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65" w:lineRule="exact"/>
        <w:rPr>
          <w:sz w:val="24"/>
          <w:szCs w:val="24"/>
          <w:color w:val="auto"/>
        </w:rPr>
      </w:pPr>
    </w:p>
    <w:p>
      <w:pPr>
        <w:ind w:left="540"/>
        <w:spacing w:after="0"/>
        <w:rPr>
          <w:sz w:val="20"/>
          <w:szCs w:val="20"/>
          <w:color w:val="auto"/>
        </w:rPr>
      </w:pPr>
      <w:r>
        <w:rPr>
          <w:rFonts w:ascii="Arial" w:cs="Arial" w:eastAsia="Arial" w:hAnsi="Arial"/>
          <w:sz w:val="12"/>
          <w:szCs w:val="12"/>
          <w:b w:val="1"/>
          <w:bCs w:val="1"/>
          <w:color w:val="auto"/>
        </w:rPr>
        <w:t>(Mark One)</w:t>
      </w:r>
    </w:p>
    <w:p>
      <w:pPr>
        <w:spacing w:after="0" w:line="12" w:lineRule="exact"/>
        <w:rPr>
          <w:sz w:val="24"/>
          <w:szCs w:val="24"/>
          <w:color w:val="auto"/>
        </w:rPr>
      </w:pPr>
    </w:p>
    <w:p>
      <w:pPr>
        <w:ind w:left="4400" w:right="3440" w:hanging="3607"/>
        <w:spacing w:after="0" w:line="320" w:lineRule="auto"/>
        <w:tabs>
          <w:tab w:leader="none" w:pos="1705"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May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33" w:lineRule="exact"/>
        <w:rPr>
          <w:sz w:val="24"/>
          <w:szCs w:val="24"/>
          <w:color w:val="auto"/>
        </w:rPr>
      </w:pPr>
    </w:p>
    <w:p>
      <w:pPr>
        <w:ind w:left="1700" w:hanging="907"/>
        <w:spacing w:after="0"/>
        <w:tabs>
          <w:tab w:leader="none" w:pos="1700"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ectPr>
          <w:pgSz w:w="11900" w:h="16838" w:orient="portrait"/>
          <w:cols w:equalWidth="0" w:num="1">
            <w:col w:w="11280"/>
          </w:cols>
          <w:pgMar w:left="300" w:top="737" w:right="319" w:bottom="1440" w:gutter="0" w:footer="0" w:header="0"/>
        </w:sectPr>
      </w:pPr>
    </w:p>
    <w:p>
      <w:pPr>
        <w:spacing w:after="0" w:line="81" w:lineRule="exact"/>
        <w:rPr>
          <w:sz w:val="24"/>
          <w:szCs w:val="24"/>
          <w:color w:val="auto"/>
        </w:rPr>
      </w:pPr>
    </w:p>
    <w:p>
      <w:pPr>
        <w:ind w:left="4540"/>
        <w:spacing w:after="0"/>
        <w:rPr>
          <w:sz w:val="20"/>
          <w:szCs w:val="20"/>
          <w:color w:val="auto"/>
        </w:rPr>
      </w:pPr>
      <w:r>
        <w:rPr>
          <w:rFonts w:ascii="Arial" w:cs="Arial" w:eastAsia="Arial" w:hAnsi="Arial"/>
          <w:sz w:val="12"/>
          <w:szCs w:val="12"/>
          <w:b w:val="1"/>
          <w:bCs w:val="1"/>
          <w:color w:val="auto"/>
        </w:rPr>
        <w:t>For the transition period from</w:t>
      </w:r>
    </w:p>
    <w:p>
      <w:pPr>
        <w:spacing w:after="0" w:line="18" w:lineRule="exact"/>
        <w:rPr>
          <w:sz w:val="24"/>
          <w:szCs w:val="24"/>
          <w:color w:val="auto"/>
        </w:rPr>
      </w:pPr>
    </w:p>
    <w:p>
      <w:pPr>
        <w:ind w:left="4700"/>
        <w:spacing w:after="0"/>
        <w:rPr>
          <w:sz w:val="20"/>
          <w:szCs w:val="20"/>
          <w:color w:val="auto"/>
        </w:rPr>
      </w:pPr>
      <w:r>
        <w:rPr>
          <w:rFonts w:ascii="Arial" w:cs="Arial" w:eastAsia="Arial" w:hAnsi="Arial"/>
          <w:sz w:val="12"/>
          <w:szCs w:val="12"/>
          <w:b w:val="1"/>
          <w:bCs w:val="1"/>
          <w:color w:val="auto"/>
        </w:rPr>
        <w:t>Commission file number 1-10658</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327" w:lineRule="exact"/>
        <w:rPr>
          <w:sz w:val="24"/>
          <w:szCs w:val="24"/>
          <w:color w:val="auto"/>
        </w:rPr>
      </w:pPr>
    </w:p>
    <w:p>
      <w:pPr>
        <w:sectPr>
          <w:pgSz w:w="11900" w:h="16838" w:orient="portrait"/>
          <w:cols w:equalWidth="0" w:num="2">
            <w:col w:w="6580" w:space="60"/>
            <w:col w:w="4640"/>
          </w:cols>
          <w:pgMar w:left="300" w:top="737" w:right="31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3420" w:type="dxa"/>
            <w:vAlign w:val="bottom"/>
            <w:gridSpan w:val="5"/>
          </w:tcPr>
          <w:p>
            <w:pPr>
              <w:jc w:val="center"/>
              <w:ind w:right="100"/>
              <w:spacing w:after="0"/>
              <w:rPr>
                <w:sz w:val="20"/>
                <w:szCs w:val="20"/>
                <w:color w:val="auto"/>
              </w:rPr>
            </w:pPr>
            <w:r>
              <w:rPr>
                <w:rFonts w:ascii="Arial" w:cs="Arial" w:eastAsia="Arial" w:hAnsi="Arial"/>
                <w:sz w:val="22"/>
                <w:szCs w:val="22"/>
                <w:b w:val="1"/>
                <w:bCs w:val="1"/>
                <w:color w:val="auto"/>
                <w:w w:val="96"/>
              </w:rPr>
              <w:t>Micron Technology, Inc.</w:t>
            </w:r>
          </w:p>
        </w:tc>
        <w:tc>
          <w:tcPr>
            <w:tcW w:w="2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20" w:type="dxa"/>
            <w:vAlign w:val="bottom"/>
            <w:gridSpan w:val="5"/>
          </w:tcPr>
          <w:p>
            <w:pPr>
              <w:jc w:val="center"/>
              <w:ind w:right="80"/>
              <w:spacing w:after="0"/>
              <w:rPr>
                <w:sz w:val="20"/>
                <w:szCs w:val="20"/>
                <w:color w:val="auto"/>
              </w:rPr>
            </w:pPr>
            <w:r>
              <w:rPr>
                <w:rFonts w:ascii="Arial" w:cs="Arial" w:eastAsia="Arial" w:hAnsi="Arial"/>
                <w:sz w:val="11"/>
                <w:szCs w:val="11"/>
                <w:color w:val="auto"/>
                <w:w w:val="98"/>
              </w:rPr>
              <w:t>(Exact name of registrant as specified in its charter)</w:t>
            </w:r>
          </w:p>
        </w:tc>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4"/>
        </w:trPr>
        <w:tc>
          <w:tcPr>
            <w:tcW w:w="20" w:type="dxa"/>
            <w:vAlign w:val="bottom"/>
          </w:tcPr>
          <w:p>
            <w:pPr>
              <w:spacing w:after="0"/>
              <w:rPr>
                <w:sz w:val="14"/>
                <w:szCs w:val="14"/>
                <w:color w:val="auto"/>
              </w:rPr>
            </w:pPr>
          </w:p>
        </w:tc>
        <w:tc>
          <w:tcPr>
            <w:tcW w:w="3960" w:type="dxa"/>
            <w:vAlign w:val="bottom"/>
          </w:tcPr>
          <w:p>
            <w:pPr>
              <w:jc w:val="center"/>
              <w:ind w:left="843"/>
              <w:spacing w:after="0"/>
              <w:rPr>
                <w:sz w:val="20"/>
                <w:szCs w:val="20"/>
                <w:color w:val="auto"/>
              </w:rPr>
            </w:pPr>
            <w:r>
              <w:rPr>
                <w:rFonts w:ascii="Arial" w:cs="Arial" w:eastAsia="Arial" w:hAnsi="Arial"/>
                <w:sz w:val="12"/>
                <w:szCs w:val="12"/>
                <w:b w:val="1"/>
                <w:bCs w:val="1"/>
                <w:color w:val="auto"/>
              </w:rPr>
              <w:t>Delaware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jc w:val="right"/>
              <w:ind w:right="521"/>
              <w:spacing w:after="0"/>
              <w:rPr>
                <w:sz w:val="20"/>
                <w:szCs w:val="20"/>
                <w:color w:val="auto"/>
              </w:rPr>
            </w:pPr>
            <w:r>
              <w:rPr>
                <w:rFonts w:ascii="Arial" w:cs="Arial" w:eastAsia="Arial" w:hAnsi="Arial"/>
                <w:sz w:val="12"/>
                <w:szCs w:val="12"/>
                <w:b w:val="1"/>
                <w:bCs w:val="1"/>
                <w:color w:val="auto"/>
              </w:rPr>
              <w:t>75-1618004</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960" w:type="dxa"/>
            <w:vAlign w:val="bottom"/>
          </w:tcPr>
          <w:p>
            <w:pPr>
              <w:jc w:val="center"/>
              <w:ind w:left="843"/>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Pr>
          <w:p>
            <w:pPr>
              <w:jc w:val="center"/>
              <w:ind w:left="561"/>
              <w:spacing w:after="0"/>
              <w:rPr>
                <w:sz w:val="20"/>
                <w:szCs w:val="20"/>
                <w:color w:val="auto"/>
              </w:rPr>
            </w:pPr>
            <w:r>
              <w:rPr>
                <w:rFonts w:ascii="Arial" w:cs="Arial" w:eastAsia="Arial" w:hAnsi="Arial"/>
                <w:sz w:val="11"/>
                <w:szCs w:val="11"/>
                <w:color w:val="auto"/>
                <w:w w:val="98"/>
              </w:rPr>
              <w:t>(IRS Employer Identification No.)</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960" w:type="dxa"/>
            <w:vAlign w:val="bottom"/>
          </w:tcPr>
          <w:p>
            <w:pPr>
              <w:jc w:val="center"/>
              <w:ind w:left="843"/>
              <w:spacing w:after="0"/>
              <w:rPr>
                <w:sz w:val="20"/>
                <w:szCs w:val="20"/>
                <w:color w:val="auto"/>
              </w:rPr>
            </w:pPr>
            <w:r>
              <w:rPr>
                <w:rFonts w:ascii="Arial" w:cs="Arial" w:eastAsia="Arial" w:hAnsi="Arial"/>
                <w:sz w:val="11"/>
                <w:szCs w:val="11"/>
                <w:color w:val="auto"/>
                <w:w w:val="98"/>
              </w:rPr>
              <w:t>Address of principal executive offices, including zip code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8000 S. Federal Way, Boise, Idaho 83716-9632</w:t>
            </w:r>
          </w:p>
        </w:tc>
        <w:tc>
          <w:tcPr>
            <w:tcW w:w="74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960" w:type="dxa"/>
            <w:vAlign w:val="bottom"/>
          </w:tcPr>
          <w:p>
            <w:pPr>
              <w:jc w:val="center"/>
              <w:ind w:left="843"/>
              <w:spacing w:after="0"/>
              <w:rPr>
                <w:sz w:val="20"/>
                <w:szCs w:val="20"/>
                <w:color w:val="auto"/>
              </w:rPr>
            </w:pPr>
            <w:r>
              <w:rPr>
                <w:rFonts w:ascii="Arial" w:cs="Arial" w:eastAsia="Arial" w:hAnsi="Arial"/>
                <w:sz w:val="11"/>
                <w:szCs w:val="11"/>
                <w:color w:val="auto"/>
                <w:w w:val="97"/>
              </w:rPr>
              <w:t>Registrant’s telephone number, including area code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tcPr>
          <w:p>
            <w:pPr>
              <w:jc w:val="right"/>
              <w:ind w:right="441"/>
              <w:spacing w:after="0"/>
              <w:rPr>
                <w:sz w:val="20"/>
                <w:szCs w:val="20"/>
                <w:color w:val="auto"/>
              </w:rPr>
            </w:pPr>
            <w:r>
              <w:rPr>
                <w:rFonts w:ascii="Arial" w:cs="Arial" w:eastAsia="Arial" w:hAnsi="Arial"/>
                <w:sz w:val="12"/>
                <w:szCs w:val="12"/>
                <w:b w:val="1"/>
                <w:bCs w:val="1"/>
                <w:color w:val="auto"/>
              </w:rPr>
              <w:t>(208) 368-4000</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1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20" w:type="dxa"/>
            <w:vAlign w:val="bottom"/>
            <w:gridSpan w:val="5"/>
          </w:tcPr>
          <w:p>
            <w:pPr>
              <w:jc w:val="center"/>
              <w:ind w:right="100"/>
              <w:spacing w:after="0"/>
              <w:rPr>
                <w:sz w:val="20"/>
                <w:szCs w:val="20"/>
                <w:color w:val="auto"/>
              </w:rPr>
            </w:pPr>
            <w:r>
              <w:rPr>
                <w:rFonts w:ascii="Arial" w:cs="Arial" w:eastAsia="Arial" w:hAnsi="Arial"/>
                <w:sz w:val="12"/>
                <w:szCs w:val="12"/>
                <w:color w:val="auto"/>
                <w:w w:val="99"/>
              </w:rPr>
              <w:t>Securities registered pursuant to Section 12(b) of the Act:</w:t>
            </w:r>
          </w:p>
        </w:tc>
        <w:tc>
          <w:tcPr>
            <w:tcW w:w="2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3960" w:type="dxa"/>
            <w:vAlign w:val="bottom"/>
          </w:tcPr>
          <w:p>
            <w:pPr>
              <w:jc w:val="center"/>
              <w:ind w:left="843"/>
              <w:spacing w:after="0"/>
              <w:rPr>
                <w:sz w:val="20"/>
                <w:szCs w:val="20"/>
                <w:color w:val="auto"/>
              </w:rPr>
            </w:pPr>
            <w:r>
              <w:rPr>
                <w:rFonts w:ascii="Arial" w:cs="Arial" w:eastAsia="Arial" w:hAnsi="Arial"/>
                <w:sz w:val="12"/>
                <w:szCs w:val="12"/>
                <w:b w:val="1"/>
                <w:bCs w:val="1"/>
                <w:color w:val="auto"/>
                <w:w w:val="98"/>
              </w:rPr>
              <w:t>Title of each class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3"/>
          </w:tcPr>
          <w:p>
            <w:pPr>
              <w:jc w:val="center"/>
              <w:ind w:right="920"/>
              <w:spacing w:after="0"/>
              <w:rPr>
                <w:sz w:val="20"/>
                <w:szCs w:val="20"/>
                <w:color w:val="auto"/>
              </w:rPr>
            </w:pPr>
            <w:r>
              <w:rPr>
                <w:rFonts w:ascii="Arial" w:cs="Arial" w:eastAsia="Arial" w:hAnsi="Arial"/>
                <w:sz w:val="12"/>
                <w:szCs w:val="12"/>
                <w:b w:val="1"/>
                <w:bCs w:val="1"/>
                <w:color w:val="auto"/>
                <w:w w:val="99"/>
              </w:rPr>
              <w:t>Trading Symbol</w:t>
            </w:r>
          </w:p>
        </w:tc>
        <w:tc>
          <w:tcPr>
            <w:tcW w:w="31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Name of each exchange on which registered</w:t>
            </w:r>
          </w:p>
        </w:tc>
        <w:tc>
          <w:tcPr>
            <w:tcW w:w="74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960" w:type="dxa"/>
            <w:vAlign w:val="bottom"/>
            <w:tcBorders>
              <w:top w:val="single" w:sz="8" w:color="auto"/>
            </w:tcBorders>
          </w:tcPr>
          <w:p>
            <w:pPr>
              <w:jc w:val="center"/>
              <w:ind w:left="843"/>
              <w:spacing w:after="0"/>
              <w:rPr>
                <w:sz w:val="20"/>
                <w:szCs w:val="20"/>
                <w:color w:val="auto"/>
              </w:rPr>
            </w:pPr>
            <w:r>
              <w:rPr>
                <w:rFonts w:ascii="Arial" w:cs="Arial" w:eastAsia="Arial" w:hAnsi="Arial"/>
                <w:sz w:val="12"/>
                <w:szCs w:val="12"/>
                <w:color w:val="auto"/>
              </w:rPr>
              <w:t>Common Stock, par value $0.10 per share</w:t>
            </w: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MU</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jc w:val="center"/>
              <w:ind w:left="581"/>
              <w:spacing w:after="0"/>
              <w:rPr>
                <w:sz w:val="20"/>
                <w:szCs w:val="20"/>
                <w:color w:val="auto"/>
              </w:rPr>
            </w:pPr>
            <w:r>
              <w:rPr>
                <w:rFonts w:ascii="Arial" w:cs="Arial" w:eastAsia="Arial" w:hAnsi="Arial"/>
                <w:sz w:val="12"/>
                <w:szCs w:val="12"/>
                <w:color w:val="auto"/>
                <w:w w:val="99"/>
              </w:rPr>
              <w:t>Nasdaq Global Select Market</w:t>
            </w:r>
          </w:p>
        </w:tc>
        <w:tc>
          <w:tcPr>
            <w:tcW w:w="7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228"/>
        </w:trPr>
        <w:tc>
          <w:tcPr>
            <w:tcW w:w="9840" w:type="dxa"/>
            <w:vAlign w:val="bottom"/>
            <w:gridSpan w:val="8"/>
          </w:tcPr>
          <w:p>
            <w:pPr>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w:t>
            </w:r>
          </w:p>
        </w:tc>
        <w:tc>
          <w:tcPr>
            <w:tcW w:w="700" w:type="dxa"/>
            <w:vAlign w:val="bottom"/>
          </w:tcPr>
          <w:p>
            <w:pPr>
              <w:ind w:left="12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740" w:type="dxa"/>
            <w:vAlign w:val="bottom"/>
          </w:tcPr>
          <w:p>
            <w:pPr>
              <w:ind w:left="24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59"/>
        </w:trPr>
        <w:tc>
          <w:tcPr>
            <w:tcW w:w="9840" w:type="dxa"/>
            <w:vAlign w:val="bottom"/>
            <w:gridSpan w:val="8"/>
          </w:tcPr>
          <w:p>
            <w:pPr>
              <w:spacing w:after="0"/>
              <w:rPr>
                <w:sz w:val="20"/>
                <w:szCs w:val="20"/>
                <w:color w:val="auto"/>
              </w:rPr>
            </w:pPr>
            <w:r>
              <w:rPr>
                <w:rFonts w:ascii="Arial" w:cs="Arial" w:eastAsia="Arial" w:hAnsi="Arial"/>
                <w:sz w:val="12"/>
                <w:szCs w:val="12"/>
                <w:color w:val="auto"/>
              </w:rPr>
              <w:t>(or for such shorter period that the registrant was required to file such reports), and (2) has been subject to such filing requirements for the past 90 days.</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97"/>
        </w:trPr>
        <w:tc>
          <w:tcPr>
            <w:tcW w:w="9840" w:type="dxa"/>
            <w:vAlign w:val="bottom"/>
            <w:gridSpan w:val="8"/>
          </w:tcPr>
          <w:p>
            <w:pPr>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 232.405 of</w:t>
            </w:r>
          </w:p>
        </w:tc>
        <w:tc>
          <w:tcPr>
            <w:tcW w:w="700" w:type="dxa"/>
            <w:vAlign w:val="bottom"/>
          </w:tcPr>
          <w:p>
            <w:pPr>
              <w:ind w:left="12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740" w:type="dxa"/>
            <w:vAlign w:val="bottom"/>
          </w:tcPr>
          <w:p>
            <w:pPr>
              <w:ind w:left="24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59"/>
        </w:trPr>
        <w:tc>
          <w:tcPr>
            <w:tcW w:w="7400" w:type="dxa"/>
            <w:vAlign w:val="bottom"/>
            <w:gridSpan w:val="7"/>
          </w:tcPr>
          <w:p>
            <w:pPr>
              <w:spacing w:after="0"/>
              <w:rPr>
                <w:sz w:val="20"/>
                <w:szCs w:val="20"/>
                <w:color w:val="auto"/>
              </w:rPr>
            </w:pPr>
            <w:r>
              <w:rPr>
                <w:rFonts w:ascii="Arial" w:cs="Arial" w:eastAsia="Arial" w:hAnsi="Arial"/>
                <w:sz w:val="12"/>
                <w:szCs w:val="12"/>
                <w:color w:val="auto"/>
              </w:rPr>
              <w:t>this chapter) during the preceding 12 months (or for such shorter period that the registrant was required to submit such files).</w:t>
            </w:r>
          </w:p>
        </w:tc>
        <w:tc>
          <w:tcPr>
            <w:tcW w:w="2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37" w:lineRule="exact"/>
        <w:rPr>
          <w:sz w:val="24"/>
          <w:szCs w:val="24"/>
          <w:color w:val="auto"/>
        </w:rPr>
      </w:pPr>
    </w:p>
    <w:p>
      <w:pPr>
        <w:ind w:right="260"/>
        <w:spacing w:after="0" w:line="28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2760" w:type="dxa"/>
            <w:vAlign w:val="bottom"/>
          </w:tcPr>
          <w:p>
            <w:pPr>
              <w:jc w:val="center"/>
              <w:ind w:right="421"/>
              <w:spacing w:after="0"/>
              <w:rPr>
                <w:sz w:val="20"/>
                <w:szCs w:val="20"/>
                <w:color w:val="auto"/>
              </w:rPr>
            </w:pPr>
            <w:r>
              <w:rPr>
                <w:rFonts w:ascii="Arial" w:cs="Arial" w:eastAsia="Arial" w:hAnsi="Arial"/>
                <w:sz w:val="11"/>
                <w:szCs w:val="11"/>
                <w:color w:val="auto"/>
                <w:w w:val="98"/>
              </w:rPr>
              <w:t>Large Accelerated Filer</w:t>
            </w:r>
          </w:p>
        </w:tc>
        <w:tc>
          <w:tcPr>
            <w:tcW w:w="1760" w:type="dxa"/>
            <w:vAlign w:val="bottom"/>
          </w:tcPr>
          <w:p>
            <w:pPr>
              <w:jc w:val="center"/>
              <w:ind w:right="363"/>
              <w:spacing w:after="0"/>
              <w:rPr>
                <w:sz w:val="20"/>
                <w:szCs w:val="20"/>
                <w:color w:val="auto"/>
              </w:rPr>
            </w:pPr>
            <w:r>
              <w:rPr>
                <w:rFonts w:ascii="Arial" w:cs="Arial" w:eastAsia="Arial" w:hAnsi="Arial"/>
                <w:sz w:val="11"/>
                <w:szCs w:val="11"/>
                <w:color w:val="auto"/>
                <w:w w:val="99"/>
              </w:rPr>
              <w:t>Accelerated Filer</w:t>
            </w:r>
          </w:p>
        </w:tc>
        <w:tc>
          <w:tcPr>
            <w:tcW w:w="2280" w:type="dxa"/>
            <w:vAlign w:val="bottom"/>
          </w:tcPr>
          <w:p>
            <w:pPr>
              <w:jc w:val="center"/>
              <w:ind w:left="83"/>
              <w:spacing w:after="0"/>
              <w:rPr>
                <w:sz w:val="20"/>
                <w:szCs w:val="20"/>
                <w:color w:val="auto"/>
              </w:rPr>
            </w:pPr>
            <w:r>
              <w:rPr>
                <w:rFonts w:ascii="Arial" w:cs="Arial" w:eastAsia="Arial" w:hAnsi="Arial"/>
                <w:sz w:val="11"/>
                <w:szCs w:val="11"/>
                <w:color w:val="auto"/>
                <w:w w:val="99"/>
              </w:rPr>
              <w:t>Non-Accelerated Filer</w:t>
            </w:r>
          </w:p>
        </w:tc>
        <w:tc>
          <w:tcPr>
            <w:tcW w:w="2320" w:type="dxa"/>
            <w:vAlign w:val="bottom"/>
          </w:tcPr>
          <w:p>
            <w:pPr>
              <w:jc w:val="center"/>
              <w:ind w:left="63"/>
              <w:spacing w:after="0"/>
              <w:rPr>
                <w:sz w:val="20"/>
                <w:szCs w:val="20"/>
                <w:color w:val="auto"/>
              </w:rPr>
            </w:pPr>
            <w:r>
              <w:rPr>
                <w:rFonts w:ascii="Arial" w:cs="Arial" w:eastAsia="Arial" w:hAnsi="Arial"/>
                <w:sz w:val="11"/>
                <w:szCs w:val="11"/>
                <w:color w:val="auto"/>
                <w:w w:val="98"/>
              </w:rPr>
              <w:t>Smaller Reporting Company</w:t>
            </w:r>
          </w:p>
        </w:tc>
        <w:tc>
          <w:tcPr>
            <w:tcW w:w="1960" w:type="dxa"/>
            <w:vAlign w:val="bottom"/>
            <w:gridSpan w:val="2"/>
          </w:tcPr>
          <w:p>
            <w:pPr>
              <w:jc w:val="center"/>
              <w:ind w:left="202"/>
              <w:spacing w:after="0"/>
              <w:rPr>
                <w:sz w:val="20"/>
                <w:szCs w:val="20"/>
                <w:color w:val="auto"/>
              </w:rPr>
            </w:pPr>
            <w:r>
              <w:rPr>
                <w:rFonts w:ascii="Arial" w:cs="Arial" w:eastAsia="Arial" w:hAnsi="Arial"/>
                <w:sz w:val="11"/>
                <w:szCs w:val="11"/>
                <w:color w:val="auto"/>
                <w:w w:val="98"/>
              </w:rPr>
              <w:t>Emerging Growth Company</w:t>
            </w:r>
          </w:p>
        </w:tc>
        <w:tc>
          <w:tcPr>
            <w:tcW w:w="0" w:type="dxa"/>
            <w:vAlign w:val="bottom"/>
          </w:tcPr>
          <w:p>
            <w:pPr>
              <w:spacing w:after="0"/>
              <w:rPr>
                <w:sz w:val="1"/>
                <w:szCs w:val="1"/>
                <w:color w:val="auto"/>
              </w:rPr>
            </w:pPr>
          </w:p>
        </w:tc>
      </w:tr>
      <w:tr>
        <w:trPr>
          <w:trHeight w:val="201"/>
        </w:trPr>
        <w:tc>
          <w:tcPr>
            <w:tcW w:w="2760" w:type="dxa"/>
            <w:vAlign w:val="bottom"/>
          </w:tcPr>
          <w:p>
            <w:pPr>
              <w:jc w:val="center"/>
              <w:ind w:right="421"/>
              <w:spacing w:after="0" w:line="121" w:lineRule="exact"/>
              <w:rPr>
                <w:sz w:val="20"/>
                <w:szCs w:val="20"/>
                <w:color w:val="auto"/>
              </w:rPr>
            </w:pPr>
            <w:r>
              <w:rPr>
                <w:rFonts w:ascii="MS PGothic" w:cs="MS PGothic" w:eastAsia="MS PGothic" w:hAnsi="MS PGothic"/>
                <w:sz w:val="12"/>
                <w:szCs w:val="12"/>
                <w:color w:val="auto"/>
                <w:w w:val="99"/>
              </w:rPr>
              <w:t>☒</w:t>
            </w:r>
          </w:p>
        </w:tc>
        <w:tc>
          <w:tcPr>
            <w:tcW w:w="1760" w:type="dxa"/>
            <w:vAlign w:val="bottom"/>
          </w:tcPr>
          <w:p>
            <w:pPr>
              <w:jc w:val="center"/>
              <w:ind w:right="363"/>
              <w:spacing w:after="0" w:line="121" w:lineRule="exact"/>
              <w:rPr>
                <w:sz w:val="20"/>
                <w:szCs w:val="20"/>
                <w:color w:val="auto"/>
              </w:rPr>
            </w:pPr>
            <w:r>
              <w:rPr>
                <w:rFonts w:ascii="MS PGothic" w:cs="MS PGothic" w:eastAsia="MS PGothic" w:hAnsi="MS PGothic"/>
                <w:sz w:val="12"/>
                <w:szCs w:val="12"/>
                <w:color w:val="auto"/>
                <w:w w:val="82"/>
              </w:rPr>
              <w:t>☐</w:t>
            </w:r>
          </w:p>
        </w:tc>
        <w:tc>
          <w:tcPr>
            <w:tcW w:w="2280" w:type="dxa"/>
            <w:vAlign w:val="bottom"/>
          </w:tcPr>
          <w:p>
            <w:pPr>
              <w:jc w:val="center"/>
              <w:ind w:left="83"/>
              <w:spacing w:after="0" w:line="121" w:lineRule="exact"/>
              <w:rPr>
                <w:sz w:val="20"/>
                <w:szCs w:val="20"/>
                <w:color w:val="auto"/>
              </w:rPr>
            </w:pPr>
            <w:r>
              <w:rPr>
                <w:rFonts w:ascii="MS PGothic" w:cs="MS PGothic" w:eastAsia="MS PGothic" w:hAnsi="MS PGothic"/>
                <w:sz w:val="12"/>
                <w:szCs w:val="12"/>
                <w:color w:val="auto"/>
                <w:w w:val="82"/>
              </w:rPr>
              <w:t>☐</w:t>
            </w:r>
          </w:p>
        </w:tc>
        <w:tc>
          <w:tcPr>
            <w:tcW w:w="2320" w:type="dxa"/>
            <w:vAlign w:val="bottom"/>
          </w:tcPr>
          <w:p>
            <w:pPr>
              <w:jc w:val="center"/>
              <w:ind w:left="43"/>
              <w:spacing w:after="0" w:line="121" w:lineRule="exact"/>
              <w:rPr>
                <w:sz w:val="20"/>
                <w:szCs w:val="20"/>
                <w:color w:val="auto"/>
              </w:rPr>
            </w:pPr>
            <w:r>
              <w:rPr>
                <w:rFonts w:ascii="MS PGothic" w:cs="MS PGothic" w:eastAsia="MS PGothic" w:hAnsi="MS PGothic"/>
                <w:sz w:val="12"/>
                <w:szCs w:val="12"/>
                <w:color w:val="auto"/>
                <w:w w:val="82"/>
              </w:rPr>
              <w:t>☐</w:t>
            </w:r>
          </w:p>
        </w:tc>
        <w:tc>
          <w:tcPr>
            <w:tcW w:w="1660" w:type="dxa"/>
            <w:vAlign w:val="bottom"/>
          </w:tcPr>
          <w:p>
            <w:pPr>
              <w:jc w:val="center"/>
              <w:ind w:left="502"/>
              <w:spacing w:after="0" w:line="121" w:lineRule="exact"/>
              <w:rPr>
                <w:sz w:val="20"/>
                <w:szCs w:val="20"/>
                <w:color w:val="auto"/>
              </w:rPr>
            </w:pPr>
            <w:r>
              <w:rPr>
                <w:rFonts w:ascii="MS PGothic" w:cs="MS PGothic" w:eastAsia="MS PGothic" w:hAnsi="MS PGothic"/>
                <w:sz w:val="12"/>
                <w:szCs w:val="12"/>
                <w:color w:val="auto"/>
                <w:w w:val="82"/>
              </w:rPr>
              <w: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780" w:type="dxa"/>
            <w:vAlign w:val="bottom"/>
            <w:gridSpan w:val="5"/>
          </w:tcPr>
          <w:p>
            <w:pPr>
              <w:spacing w:after="0"/>
              <w:rPr>
                <w:sz w:val="20"/>
                <w:szCs w:val="20"/>
                <w:color w:val="auto"/>
              </w:rPr>
            </w:pPr>
            <w:r>
              <w:rPr>
                <w:rFonts w:ascii="Arial" w:cs="Arial" w:eastAsia="Arial" w:hAnsi="Arial"/>
                <w:sz w:val="12"/>
                <w:szCs w:val="12"/>
                <w:color w:val="auto"/>
                <w:w w:val="99"/>
              </w:rPr>
              <w:t>If an emerging growth company, indicate by check mark if the registrant has elected not to use the extended transition period for complying with any new or revised financial accounting standards provided</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20"/>
                <w:szCs w:val="20"/>
                <w:color w:val="auto"/>
              </w:rPr>
            </w:pPr>
            <w:r>
              <w:rPr>
                <w:rFonts w:ascii="Arial" w:cs="Arial" w:eastAsia="Arial" w:hAnsi="Arial"/>
                <w:sz w:val="12"/>
                <w:szCs w:val="12"/>
                <w:color w:val="auto"/>
              </w:rPr>
              <w:t>pursuant to Section 13(a) of the Exchange Act.</w:t>
            </w:r>
          </w:p>
        </w:tc>
        <w:tc>
          <w:tcPr>
            <w:tcW w:w="1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vMerge w:val="restart"/>
          </w:tcPr>
          <w:p>
            <w:pPr>
              <w:jc w:val="right"/>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6800" w:type="dxa"/>
            <w:vAlign w:val="bottom"/>
            <w:gridSpan w:val="3"/>
          </w:tcPr>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tc>
        <w:tc>
          <w:tcPr>
            <w:tcW w:w="2320" w:type="dxa"/>
            <w:vAlign w:val="bottom"/>
          </w:tcPr>
          <w:p>
            <w:pPr>
              <w:spacing w:after="0"/>
              <w:rPr>
                <w:sz w:val="24"/>
                <w:szCs w:val="24"/>
                <w:color w:val="auto"/>
              </w:rPr>
            </w:pPr>
          </w:p>
        </w:tc>
        <w:tc>
          <w:tcPr>
            <w:tcW w:w="1660" w:type="dxa"/>
            <w:vAlign w:val="bottom"/>
            <w:vMerge w:val="restart"/>
          </w:tcPr>
          <w:p>
            <w:pPr>
              <w:ind w:left="84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300" w:type="dxa"/>
            <w:vAlign w:val="bottom"/>
            <w:vMerge w:val="restart"/>
          </w:tcPr>
          <w:p>
            <w:pPr>
              <w:jc w:val="right"/>
              <w:spacing w:after="0" w:line="138" w:lineRule="exact"/>
              <w:rPr>
                <w:sz w:val="20"/>
                <w:szCs w:val="20"/>
                <w:color w:val="auto"/>
              </w:rPr>
            </w:pPr>
            <w:r>
              <w:rPr>
                <w:rFonts w:ascii="Arial" w:cs="Arial" w:eastAsia="Arial" w:hAnsi="Arial"/>
                <w:sz w:val="12"/>
                <w:szCs w:val="12"/>
                <w:color w:val="auto"/>
                <w:w w:val="91"/>
              </w:rPr>
              <w:t xml:space="preserve">No </w:t>
            </w:r>
            <w:r>
              <w:rPr>
                <w:rFonts w:ascii="MS PGothic" w:cs="MS PGothic" w:eastAsia="MS PGothic" w:hAnsi="MS PGothic"/>
                <w:sz w:val="12"/>
                <w:szCs w:val="12"/>
                <w:color w:val="auto"/>
                <w:w w:val="91"/>
              </w:rPr>
              <w:t>☒</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The number of outstanding shares of the registrant’s common stock as of June 20, 2024 was 1,108,841,326.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6"/>
          <w:szCs w:val="2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00" w:type="dxa"/>
            <w:vAlign w:val="bottom"/>
            <w:shd w:val="clear" w:color="auto" w:fill="D1D2D4"/>
          </w:tcPr>
          <w:p>
            <w:pPr>
              <w:spacing w:after="0"/>
              <w:rPr>
                <w:sz w:val="20"/>
                <w:szCs w:val="20"/>
                <w:color w:val="auto"/>
              </w:rPr>
            </w:pPr>
            <w:r>
              <w:rPr>
                <w:rFonts w:ascii="Arial" w:cs="Arial" w:eastAsia="Arial" w:hAnsi="Arial"/>
                <w:sz w:val="12"/>
                <w:szCs w:val="12"/>
                <w:color w:val="auto"/>
              </w:rPr>
              <w:t>Introduction</w:t>
            </w:r>
          </w:p>
        </w:tc>
        <w:tc>
          <w:tcPr>
            <w:tcW w:w="7200" w:type="dxa"/>
            <w:vAlign w:val="bottom"/>
            <w:shd w:val="clear" w:color="auto" w:fill="D1D2D4"/>
          </w:tcPr>
          <w:p>
            <w:pPr>
              <w:spacing w:after="0"/>
              <w:rPr>
                <w:sz w:val="13"/>
                <w:szCs w:val="13"/>
                <w:color w:val="auto"/>
              </w:rPr>
            </w:pP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8700" w:type="dxa"/>
            <w:vAlign w:val="bottom"/>
            <w:gridSpan w:val="2"/>
          </w:tcPr>
          <w:p>
            <w:pPr>
              <w:spacing w:after="0"/>
              <w:rPr>
                <w:sz w:val="20"/>
                <w:szCs w:val="20"/>
                <w:color w:val="auto"/>
              </w:rPr>
            </w:pPr>
            <w:r>
              <w:rPr>
                <w:rFonts w:ascii="Arial" w:cs="Arial" w:eastAsia="Arial" w:hAnsi="Arial"/>
                <w:sz w:val="12"/>
                <w:szCs w:val="12"/>
                <w:b w:val="1"/>
                <w:bCs w:val="1"/>
                <w:color w:val="auto"/>
              </w:rPr>
              <w:t>PART I. Financial Information</w:t>
            </w:r>
          </w:p>
        </w:tc>
        <w:tc>
          <w:tcPr>
            <w:tcW w:w="2600" w:type="dxa"/>
            <w:vAlign w:val="bottom"/>
          </w:tcPr>
          <w:p>
            <w:pPr>
              <w:spacing w:after="0"/>
              <w:rPr>
                <w:sz w:val="13"/>
                <w:szCs w:val="13"/>
                <w:color w:val="auto"/>
              </w:rPr>
            </w:pP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1.</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Financial Statements: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Consolidated Statements of Operations</w:t>
            </w:r>
          </w:p>
        </w:tc>
        <w:tc>
          <w:tcPr>
            <w:tcW w:w="26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Consolidated Statements of Comprehensive Income (Loss)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Consolidated Balance Sheets</w:t>
            </w:r>
          </w:p>
        </w:tc>
        <w:tc>
          <w:tcPr>
            <w:tcW w:w="26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Consolidated Statements of Changes in Equity</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Consolidated Statements of Cash Flows</w:t>
            </w:r>
          </w:p>
        </w:tc>
        <w:tc>
          <w:tcPr>
            <w:tcW w:w="2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Notes to Consolidated Financial Statements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2.</w:t>
            </w:r>
          </w:p>
        </w:tc>
        <w:tc>
          <w:tcPr>
            <w:tcW w:w="7200" w:type="dxa"/>
            <w:vAlign w:val="bottom"/>
          </w:tcPr>
          <w:p>
            <w:pPr>
              <w:ind w:left="2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53"/>
        </w:trPr>
        <w:tc>
          <w:tcPr>
            <w:tcW w:w="1500" w:type="dxa"/>
            <w:vAlign w:val="bottom"/>
            <w:shd w:val="clear" w:color="auto" w:fill="D1D2D4"/>
          </w:tcPr>
          <w:p>
            <w:pPr>
              <w:spacing w:after="0"/>
              <w:rPr>
                <w:sz w:val="13"/>
                <w:szCs w:val="13"/>
                <w:color w:val="auto"/>
              </w:rPr>
            </w:pPr>
          </w:p>
        </w:tc>
        <w:tc>
          <w:tcPr>
            <w:tcW w:w="72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Results of Operations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1500" w:type="dxa"/>
            <w:vAlign w:val="bottom"/>
          </w:tcPr>
          <w:p>
            <w:pPr>
              <w:spacing w:after="0"/>
              <w:rPr>
                <w:sz w:val="13"/>
                <w:szCs w:val="13"/>
                <w:color w:val="auto"/>
              </w:rPr>
            </w:pPr>
          </w:p>
        </w:tc>
        <w:tc>
          <w:tcPr>
            <w:tcW w:w="7200" w:type="dxa"/>
            <w:vAlign w:val="bottom"/>
          </w:tcPr>
          <w:p>
            <w:pPr>
              <w:ind w:left="100"/>
              <w:spacing w:after="0"/>
              <w:rPr>
                <w:sz w:val="20"/>
                <w:szCs w:val="20"/>
                <w:color w:val="auto"/>
              </w:rPr>
            </w:pPr>
            <w:r>
              <w:rPr>
                <w:rFonts w:ascii="Arial" w:cs="Arial" w:eastAsia="Arial" w:hAnsi="Arial"/>
                <w:sz w:val="12"/>
                <w:szCs w:val="12"/>
                <w:color w:val="auto"/>
              </w:rPr>
              <w:t>Liquidity and Capital Resources</w:t>
            </w:r>
          </w:p>
        </w:tc>
        <w:tc>
          <w:tcPr>
            <w:tcW w:w="260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3.</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Quantitative and Qualitative Disclosures about Market Risk</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4.</w:t>
            </w:r>
          </w:p>
        </w:tc>
        <w:tc>
          <w:tcPr>
            <w:tcW w:w="7200" w:type="dxa"/>
            <w:vAlign w:val="bottom"/>
          </w:tcPr>
          <w:p>
            <w:pPr>
              <w:ind w:left="20"/>
              <w:spacing w:after="0"/>
              <w:rPr>
                <w:sz w:val="20"/>
                <w:szCs w:val="20"/>
                <w:color w:val="auto"/>
              </w:rPr>
            </w:pPr>
            <w:r>
              <w:rPr>
                <w:rFonts w:ascii="Arial" w:cs="Arial" w:eastAsia="Arial" w:hAnsi="Arial"/>
                <w:sz w:val="12"/>
                <w:szCs w:val="12"/>
                <w:color w:val="auto"/>
              </w:rPr>
              <w:t>Controls and Procedures</w:t>
            </w:r>
          </w:p>
        </w:tc>
        <w:tc>
          <w:tcPr>
            <w:tcW w:w="260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1500" w:type="dxa"/>
            <w:vAlign w:val="bottom"/>
            <w:shd w:val="clear" w:color="auto" w:fill="D1D2D4"/>
          </w:tcPr>
          <w:p>
            <w:pPr>
              <w:spacing w:after="0"/>
              <w:rPr>
                <w:sz w:val="20"/>
                <w:szCs w:val="20"/>
                <w:color w:val="auto"/>
              </w:rPr>
            </w:pPr>
            <w:r>
              <w:rPr>
                <w:rFonts w:ascii="Arial" w:cs="Arial" w:eastAsia="Arial" w:hAnsi="Arial"/>
                <w:sz w:val="12"/>
                <w:szCs w:val="12"/>
                <w:b w:val="1"/>
                <w:bCs w:val="1"/>
                <w:color w:val="auto"/>
                <w:w w:val="98"/>
              </w:rPr>
              <w:t>PART II. Other Information</w:t>
            </w:r>
          </w:p>
        </w:tc>
        <w:tc>
          <w:tcPr>
            <w:tcW w:w="7200" w:type="dxa"/>
            <w:vAlign w:val="bottom"/>
            <w:shd w:val="clear" w:color="auto" w:fill="D1D2D4"/>
          </w:tcPr>
          <w:p>
            <w:pPr>
              <w:spacing w:after="0"/>
              <w:rPr>
                <w:sz w:val="13"/>
                <w:szCs w:val="13"/>
                <w:color w:val="auto"/>
              </w:rPr>
            </w:pPr>
          </w:p>
        </w:tc>
        <w:tc>
          <w:tcPr>
            <w:tcW w:w="2600" w:type="dxa"/>
            <w:vAlign w:val="bottom"/>
            <w:shd w:val="clear" w:color="auto" w:fill="D1D2D4"/>
          </w:tcPr>
          <w:p>
            <w:pPr>
              <w:spacing w:after="0"/>
              <w:rPr>
                <w:sz w:val="13"/>
                <w:szCs w:val="13"/>
                <w:color w:val="auto"/>
              </w:rPr>
            </w:pP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1.</w:t>
            </w:r>
          </w:p>
        </w:tc>
        <w:tc>
          <w:tcPr>
            <w:tcW w:w="7200" w:type="dxa"/>
            <w:vAlign w:val="bottom"/>
          </w:tcPr>
          <w:p>
            <w:pPr>
              <w:ind w:left="20"/>
              <w:spacing w:after="0"/>
              <w:rPr>
                <w:sz w:val="20"/>
                <w:szCs w:val="20"/>
                <w:color w:val="auto"/>
              </w:rPr>
            </w:pPr>
            <w:r>
              <w:rPr>
                <w:rFonts w:ascii="Arial" w:cs="Arial" w:eastAsia="Arial" w:hAnsi="Arial"/>
                <w:sz w:val="12"/>
                <w:szCs w:val="12"/>
                <w:color w:val="auto"/>
              </w:rPr>
              <w:t>Legal Proceedings</w:t>
            </w:r>
          </w:p>
        </w:tc>
        <w:tc>
          <w:tcPr>
            <w:tcW w:w="260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1A.</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Risk Factors</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2.</w:t>
            </w:r>
          </w:p>
        </w:tc>
        <w:tc>
          <w:tcPr>
            <w:tcW w:w="7200" w:type="dxa"/>
            <w:vAlign w:val="bottom"/>
          </w:tcPr>
          <w:p>
            <w:pPr>
              <w:ind w:left="20"/>
              <w:spacing w:after="0"/>
              <w:rPr>
                <w:sz w:val="20"/>
                <w:szCs w:val="20"/>
                <w:color w:val="auto"/>
              </w:rPr>
            </w:pPr>
            <w:r>
              <w:rPr>
                <w:rFonts w:ascii="Arial" w:cs="Arial" w:eastAsia="Arial" w:hAnsi="Arial"/>
                <w:sz w:val="12"/>
                <w:szCs w:val="12"/>
                <w:color w:val="auto"/>
              </w:rPr>
              <w:t>Unregistered Sales of Equity Securities and Use of Proceeds</w:t>
            </w:r>
          </w:p>
        </w:tc>
        <w:tc>
          <w:tcPr>
            <w:tcW w:w="260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3"/>
        </w:trPr>
        <w:tc>
          <w:tcPr>
            <w:tcW w:w="1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Item 5.</w:t>
            </w:r>
          </w:p>
        </w:tc>
        <w:tc>
          <w:tcPr>
            <w:tcW w:w="720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Information</w:t>
            </w: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w:t>
            </w:r>
          </w:p>
        </w:tc>
      </w:tr>
      <w:tr>
        <w:trPr>
          <w:trHeight w:val="153"/>
        </w:trPr>
        <w:tc>
          <w:tcPr>
            <w:tcW w:w="1500" w:type="dxa"/>
            <w:vAlign w:val="bottom"/>
          </w:tcPr>
          <w:p>
            <w:pPr>
              <w:ind w:left="80"/>
              <w:spacing w:after="0"/>
              <w:rPr>
                <w:sz w:val="20"/>
                <w:szCs w:val="20"/>
                <w:color w:val="auto"/>
              </w:rPr>
            </w:pPr>
            <w:r>
              <w:rPr>
                <w:rFonts w:ascii="Arial" w:cs="Arial" w:eastAsia="Arial" w:hAnsi="Arial"/>
                <w:sz w:val="12"/>
                <w:szCs w:val="12"/>
                <w:color w:val="auto"/>
              </w:rPr>
              <w:t>Item 6.</w:t>
            </w:r>
          </w:p>
        </w:tc>
        <w:tc>
          <w:tcPr>
            <w:tcW w:w="7200" w:type="dxa"/>
            <w:vAlign w:val="bottom"/>
          </w:tcPr>
          <w:p>
            <w:pPr>
              <w:ind w:left="20"/>
              <w:spacing w:after="0"/>
              <w:rPr>
                <w:sz w:val="20"/>
                <w:szCs w:val="20"/>
                <w:color w:val="auto"/>
              </w:rPr>
            </w:pPr>
            <w:r>
              <w:rPr>
                <w:rFonts w:ascii="Arial" w:cs="Arial" w:eastAsia="Arial" w:hAnsi="Arial"/>
                <w:sz w:val="12"/>
                <w:szCs w:val="12"/>
                <w:color w:val="auto"/>
              </w:rPr>
              <w:t>Exhibits</w:t>
            </w:r>
          </w:p>
        </w:tc>
        <w:tc>
          <w:tcPr>
            <w:tcW w:w="260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1500" w:type="dxa"/>
            <w:vAlign w:val="bottom"/>
            <w:shd w:val="clear" w:color="auto" w:fill="D1D2D4"/>
          </w:tcPr>
          <w:p>
            <w:pPr>
              <w:spacing w:after="0"/>
              <w:rPr>
                <w:sz w:val="20"/>
                <w:szCs w:val="20"/>
                <w:color w:val="auto"/>
              </w:rPr>
            </w:pPr>
            <w:r>
              <w:rPr>
                <w:rFonts w:ascii="Arial" w:cs="Arial" w:eastAsia="Arial" w:hAnsi="Arial"/>
                <w:sz w:val="12"/>
                <w:szCs w:val="12"/>
                <w:color w:val="auto"/>
              </w:rPr>
              <w:t>Signatures</w:t>
            </w:r>
          </w:p>
        </w:tc>
        <w:tc>
          <w:tcPr>
            <w:tcW w:w="7200" w:type="dxa"/>
            <w:vAlign w:val="bottom"/>
            <w:shd w:val="clear" w:color="auto" w:fill="D1D2D4"/>
          </w:tcPr>
          <w:p>
            <w:pPr>
              <w:spacing w:after="0"/>
              <w:rPr>
                <w:sz w:val="13"/>
                <w:szCs w:val="13"/>
                <w:color w:val="auto"/>
              </w:rPr>
            </w:pPr>
          </w:p>
        </w:tc>
        <w:tc>
          <w:tcPr>
            <w:tcW w:w="2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61</w:t>
            </w:r>
          </w:p>
        </w:tc>
      </w:tr>
      <w:tr>
        <w:trPr>
          <w:trHeight w:val="769"/>
        </w:trPr>
        <w:tc>
          <w:tcPr>
            <w:tcW w:w="15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1"/>
                <w:szCs w:val="11"/>
                <w:b w:val="1"/>
                <w:bCs w:val="1"/>
                <w:color w:val="auto"/>
              </w:rPr>
              <w:t>2</w:t>
            </w:r>
          </w:p>
        </w:tc>
      </w:tr>
      <w:tr>
        <w:trPr>
          <w:trHeight w:val="68"/>
        </w:trPr>
        <w:tc>
          <w:tcPr>
            <w:tcW w:w="1500" w:type="dxa"/>
            <w:vAlign w:val="bottom"/>
            <w:tcBorders>
              <w:bottom w:val="single" w:sz="8" w:color="9A9A9A"/>
            </w:tcBorders>
          </w:tcPr>
          <w:p>
            <w:pPr>
              <w:spacing w:after="0"/>
              <w:rPr>
                <w:sz w:val="5"/>
                <w:szCs w:val="5"/>
                <w:color w:val="auto"/>
              </w:rPr>
            </w:pPr>
          </w:p>
        </w:tc>
        <w:tc>
          <w:tcPr>
            <w:tcW w:w="7200" w:type="dxa"/>
            <w:vAlign w:val="bottom"/>
            <w:tcBorders>
              <w:bottom w:val="single" w:sz="8" w:color="9A9A9A"/>
            </w:tcBorders>
          </w:tcPr>
          <w:p>
            <w:pPr>
              <w:spacing w:after="0"/>
              <w:rPr>
                <w:sz w:val="5"/>
                <w:szCs w:val="5"/>
                <w:color w:val="auto"/>
              </w:rPr>
            </w:pPr>
          </w:p>
        </w:tc>
        <w:tc>
          <w:tcPr>
            <w:tcW w:w="26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6675755</wp:posOffset>
            </wp:positionH>
            <wp:positionV relativeFrom="paragraph">
              <wp:posOffset>-216535</wp:posOffset>
            </wp:positionV>
            <wp:extent cx="44005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Definitions of Commonly Used Terms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2"/>
          <w:szCs w:val="12"/>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Term</w:t>
            </w:r>
          </w:p>
        </w:tc>
        <w:tc>
          <w:tcPr>
            <w:tcW w:w="8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Definition</w:t>
            </w:r>
          </w:p>
        </w:tc>
        <w:tc>
          <w:tcPr>
            <w:tcW w:w="80" w:type="dxa"/>
            <w:vAlign w:val="bottom"/>
          </w:tcPr>
          <w:p>
            <w:pPr>
              <w:spacing w:after="0"/>
              <w:rPr>
                <w:sz w:val="14"/>
                <w:szCs w:val="14"/>
                <w:color w:val="auto"/>
              </w:rPr>
            </w:pPr>
          </w:p>
        </w:tc>
        <w:tc>
          <w:tcPr>
            <w:tcW w:w="1560" w:type="dxa"/>
            <w:vAlign w:val="bottom"/>
            <w:tcBorders>
              <w:bottom w:val="single" w:sz="8" w:color="auto"/>
            </w:tcBorders>
          </w:tcPr>
          <w:p>
            <w:pPr>
              <w:ind w:left="760"/>
              <w:spacing w:after="0"/>
              <w:rPr>
                <w:sz w:val="20"/>
                <w:szCs w:val="20"/>
                <w:color w:val="auto"/>
              </w:rPr>
            </w:pPr>
            <w:r>
              <w:rPr>
                <w:rFonts w:ascii="Arial" w:cs="Arial" w:eastAsia="Arial" w:hAnsi="Arial"/>
                <w:sz w:val="12"/>
                <w:szCs w:val="12"/>
                <w:b w:val="1"/>
                <w:bCs w:val="1"/>
                <w:color w:val="auto"/>
              </w:rPr>
              <w:t>Term</w:t>
            </w:r>
          </w:p>
        </w:tc>
        <w:tc>
          <w:tcPr>
            <w:tcW w:w="4120" w:type="dxa"/>
            <w:vAlign w:val="bottom"/>
            <w:tcBorders>
              <w:bottom w:val="single" w:sz="8" w:color="auto"/>
            </w:tcBorders>
          </w:tcPr>
          <w:p>
            <w:pPr>
              <w:ind w:left="1900"/>
              <w:spacing w:after="0"/>
              <w:rPr>
                <w:sz w:val="20"/>
                <w:szCs w:val="20"/>
                <w:color w:val="auto"/>
              </w:rPr>
            </w:pPr>
            <w:r>
              <w:rPr>
                <w:rFonts w:ascii="Arial" w:cs="Arial" w:eastAsia="Arial" w:hAnsi="Arial"/>
                <w:sz w:val="12"/>
                <w:szCs w:val="12"/>
                <w:b w:val="1"/>
                <w:bCs w:val="1"/>
                <w:color w:val="auto"/>
              </w:rPr>
              <w:t>Definition</w:t>
            </w:r>
          </w:p>
        </w:tc>
      </w:tr>
      <w:tr>
        <w:trPr>
          <w:trHeight w:val="161"/>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2024</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shd w:val="clear" w:color="auto" w:fill="D1D2D4"/>
          </w:tcPr>
          <w:p>
            <w:pPr>
              <w:ind w:left="380"/>
              <w:spacing w:after="0"/>
              <w:rPr>
                <w:sz w:val="20"/>
                <w:szCs w:val="20"/>
                <w:color w:val="auto"/>
              </w:rPr>
            </w:pPr>
            <w:r>
              <w:rPr>
                <w:rFonts w:ascii="Arial" w:cs="Arial" w:eastAsia="Arial" w:hAnsi="Arial"/>
                <w:sz w:val="12"/>
                <w:szCs w:val="12"/>
                <w:color w:val="auto"/>
              </w:rPr>
              <w:t>Senior Term Loan A due October 2024, repaid January 12, 2024</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2041 Notes</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3.366% Senior Notes due November 2041</w:t>
            </w:r>
          </w:p>
        </w:tc>
      </w:tr>
      <w:tr>
        <w:trPr>
          <w:trHeight w:val="153"/>
        </w:trPr>
        <w:tc>
          <w:tcPr>
            <w:tcW w:w="280" w:type="dxa"/>
            <w:vAlign w:val="bottom"/>
          </w:tcPr>
          <w:p>
            <w:pPr>
              <w:jc w:val="right"/>
              <w:spacing w:after="0"/>
              <w:rPr>
                <w:sz w:val="20"/>
                <w:szCs w:val="20"/>
                <w:color w:val="auto"/>
              </w:rPr>
            </w:pPr>
            <w:r>
              <w:rPr>
                <w:rFonts w:ascii="Arial" w:cs="Arial" w:eastAsia="Arial" w:hAnsi="Arial"/>
                <w:sz w:val="12"/>
                <w:szCs w:val="12"/>
                <w:color w:val="auto"/>
                <w:w w:val="97"/>
              </w:rPr>
              <w:t>2025</w:t>
            </w:r>
          </w:p>
        </w:tc>
        <w:tc>
          <w:tcPr>
            <w:tcW w:w="1120" w:type="dxa"/>
            <w:vAlign w:val="bottom"/>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tcPr>
          <w:p>
            <w:pPr>
              <w:ind w:left="380"/>
              <w:spacing w:after="0"/>
              <w:rPr>
                <w:sz w:val="20"/>
                <w:szCs w:val="20"/>
                <w:color w:val="auto"/>
              </w:rPr>
            </w:pPr>
            <w:r>
              <w:rPr>
                <w:rFonts w:ascii="Arial" w:cs="Arial" w:eastAsia="Arial" w:hAnsi="Arial"/>
                <w:sz w:val="12"/>
                <w:szCs w:val="12"/>
                <w:color w:val="auto"/>
              </w:rPr>
              <w:t>Senior Term Loan A due November 2025, repaid May 29, 2024</w:t>
            </w:r>
          </w:p>
        </w:tc>
        <w:tc>
          <w:tcPr>
            <w:tcW w:w="1560" w:type="dxa"/>
            <w:vAlign w:val="bottom"/>
          </w:tcPr>
          <w:p>
            <w:pPr>
              <w:ind w:left="20"/>
              <w:spacing w:after="0"/>
              <w:rPr>
                <w:sz w:val="20"/>
                <w:szCs w:val="20"/>
                <w:color w:val="auto"/>
              </w:rPr>
            </w:pPr>
            <w:r>
              <w:rPr>
                <w:rFonts w:ascii="Arial" w:cs="Arial" w:eastAsia="Arial" w:hAnsi="Arial"/>
                <w:sz w:val="12"/>
                <w:szCs w:val="12"/>
                <w:color w:val="auto"/>
              </w:rPr>
              <w:t>2051 Notes</w:t>
            </w:r>
          </w:p>
        </w:tc>
        <w:tc>
          <w:tcPr>
            <w:tcW w:w="4120" w:type="dxa"/>
            <w:vAlign w:val="bottom"/>
          </w:tcPr>
          <w:p>
            <w:pPr>
              <w:ind w:left="260"/>
              <w:spacing w:after="0"/>
              <w:rPr>
                <w:sz w:val="20"/>
                <w:szCs w:val="20"/>
                <w:color w:val="auto"/>
              </w:rPr>
            </w:pPr>
            <w:r>
              <w:rPr>
                <w:rFonts w:ascii="Arial" w:cs="Arial" w:eastAsia="Arial" w:hAnsi="Arial"/>
                <w:sz w:val="12"/>
                <w:szCs w:val="12"/>
                <w:color w:val="auto"/>
              </w:rPr>
              <w:t>3.477% Senior Notes due November 2051</w:t>
            </w:r>
          </w:p>
        </w:tc>
      </w:tr>
      <w:tr>
        <w:trPr>
          <w:trHeight w:val="153"/>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2026</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shd w:val="clear" w:color="auto" w:fill="D1D2D4"/>
          </w:tcPr>
          <w:p>
            <w:pPr>
              <w:ind w:left="380"/>
              <w:spacing w:after="0"/>
              <w:rPr>
                <w:sz w:val="20"/>
                <w:szCs w:val="20"/>
                <w:color w:val="auto"/>
              </w:rPr>
            </w:pPr>
            <w:r>
              <w:rPr>
                <w:rFonts w:ascii="Arial" w:cs="Arial" w:eastAsia="Arial" w:hAnsi="Arial"/>
                <w:sz w:val="12"/>
                <w:szCs w:val="12"/>
                <w:color w:val="auto"/>
              </w:rPr>
              <w:t>Senior Term Loan A due November 2026</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CAC</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China’s Cyberspace Administration</w:t>
            </w:r>
          </w:p>
        </w:tc>
      </w:tr>
      <w:tr>
        <w:trPr>
          <w:trHeight w:val="153"/>
        </w:trPr>
        <w:tc>
          <w:tcPr>
            <w:tcW w:w="280" w:type="dxa"/>
            <w:vAlign w:val="bottom"/>
          </w:tcPr>
          <w:p>
            <w:pPr>
              <w:jc w:val="right"/>
              <w:spacing w:after="0"/>
              <w:rPr>
                <w:sz w:val="20"/>
                <w:szCs w:val="20"/>
                <w:color w:val="auto"/>
              </w:rPr>
            </w:pPr>
            <w:r>
              <w:rPr>
                <w:rFonts w:ascii="Arial" w:cs="Arial" w:eastAsia="Arial" w:hAnsi="Arial"/>
                <w:sz w:val="12"/>
                <w:szCs w:val="12"/>
                <w:color w:val="auto"/>
                <w:w w:val="97"/>
              </w:rPr>
              <w:t>2027</w:t>
            </w:r>
          </w:p>
        </w:tc>
        <w:tc>
          <w:tcPr>
            <w:tcW w:w="1120" w:type="dxa"/>
            <w:vAlign w:val="bottom"/>
          </w:tcPr>
          <w:p>
            <w:pPr>
              <w:ind w:left="20"/>
              <w:spacing w:after="0"/>
              <w:rPr>
                <w:sz w:val="20"/>
                <w:szCs w:val="20"/>
                <w:color w:val="auto"/>
              </w:rPr>
            </w:pPr>
            <w:r>
              <w:rPr>
                <w:rFonts w:ascii="Arial" w:cs="Arial" w:eastAsia="Arial" w:hAnsi="Arial"/>
                <w:sz w:val="12"/>
                <w:szCs w:val="12"/>
                <w:color w:val="auto"/>
              </w:rPr>
              <w:t>Term Loan A</w:t>
            </w:r>
          </w:p>
        </w:tc>
        <w:tc>
          <w:tcPr>
            <w:tcW w:w="4220" w:type="dxa"/>
            <w:vAlign w:val="bottom"/>
            <w:gridSpan w:val="3"/>
          </w:tcPr>
          <w:p>
            <w:pPr>
              <w:ind w:left="380"/>
              <w:spacing w:after="0"/>
              <w:rPr>
                <w:sz w:val="20"/>
                <w:szCs w:val="20"/>
                <w:color w:val="auto"/>
              </w:rPr>
            </w:pPr>
            <w:r>
              <w:rPr>
                <w:rFonts w:ascii="Arial" w:cs="Arial" w:eastAsia="Arial" w:hAnsi="Arial"/>
                <w:sz w:val="12"/>
                <w:szCs w:val="12"/>
                <w:color w:val="auto"/>
              </w:rPr>
              <w:t>Senior Term Loan A due November 2027</w:t>
            </w:r>
          </w:p>
        </w:tc>
        <w:tc>
          <w:tcPr>
            <w:tcW w:w="1560" w:type="dxa"/>
            <w:vAlign w:val="bottom"/>
          </w:tcPr>
          <w:p>
            <w:pPr>
              <w:ind w:left="20"/>
              <w:spacing w:after="0"/>
              <w:rPr>
                <w:sz w:val="20"/>
                <w:szCs w:val="20"/>
                <w:color w:val="auto"/>
              </w:rPr>
            </w:pPr>
            <w:r>
              <w:rPr>
                <w:rFonts w:ascii="Arial" w:cs="Arial" w:eastAsia="Arial" w:hAnsi="Arial"/>
                <w:sz w:val="12"/>
                <w:szCs w:val="12"/>
                <w:color w:val="auto"/>
              </w:rPr>
              <w:t>EBITDA</w:t>
            </w:r>
          </w:p>
        </w:tc>
        <w:tc>
          <w:tcPr>
            <w:tcW w:w="4120" w:type="dxa"/>
            <w:vAlign w:val="bottom"/>
          </w:tcPr>
          <w:p>
            <w:pPr>
              <w:ind w:left="260"/>
              <w:spacing w:after="0"/>
              <w:rPr>
                <w:sz w:val="20"/>
                <w:szCs w:val="20"/>
                <w:color w:val="auto"/>
              </w:rPr>
            </w:pPr>
            <w:r>
              <w:rPr>
                <w:rFonts w:ascii="Arial" w:cs="Arial" w:eastAsia="Arial" w:hAnsi="Arial"/>
                <w:sz w:val="12"/>
                <w:szCs w:val="12"/>
                <w:color w:val="auto"/>
              </w:rPr>
              <w:t>Earnings before interest, taxes, depreciation, and amortization</w:t>
            </w:r>
          </w:p>
        </w:tc>
      </w:tr>
      <w:tr>
        <w:trPr>
          <w:trHeight w:val="153"/>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2026</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Notes</w:t>
            </w:r>
          </w:p>
        </w:tc>
        <w:tc>
          <w:tcPr>
            <w:tcW w:w="800" w:type="dxa"/>
            <w:vAlign w:val="bottom"/>
            <w:shd w:val="clear" w:color="auto" w:fill="D1D2D4"/>
          </w:tcPr>
          <w:p>
            <w:pPr>
              <w:ind w:left="380"/>
              <w:spacing w:after="0"/>
              <w:rPr>
                <w:sz w:val="20"/>
                <w:szCs w:val="20"/>
                <w:color w:val="auto"/>
              </w:rPr>
            </w:pPr>
            <w:r>
              <w:rPr>
                <w:rFonts w:ascii="Arial" w:cs="Arial" w:eastAsia="Arial" w:hAnsi="Arial"/>
                <w:sz w:val="12"/>
                <w:szCs w:val="12"/>
                <w:color w:val="auto"/>
                <w:w w:val="98"/>
              </w:rPr>
              <w:t>4.975%</w:t>
            </w:r>
          </w:p>
        </w:tc>
        <w:tc>
          <w:tcPr>
            <w:tcW w:w="3420" w:type="dxa"/>
            <w:vAlign w:val="bottom"/>
            <w:gridSpan w:val="2"/>
            <w:shd w:val="clear" w:color="auto" w:fill="D1D2D4"/>
          </w:tcPr>
          <w:p>
            <w:pPr>
              <w:ind w:left="20"/>
              <w:spacing w:after="0"/>
              <w:rPr>
                <w:sz w:val="20"/>
                <w:szCs w:val="20"/>
                <w:color w:val="auto"/>
              </w:rPr>
            </w:pPr>
            <w:r>
              <w:rPr>
                <w:rFonts w:ascii="Arial" w:cs="Arial" w:eastAsia="Arial" w:hAnsi="Arial"/>
                <w:sz w:val="12"/>
                <w:szCs w:val="12"/>
                <w:color w:val="auto"/>
              </w:rPr>
              <w:t>Senior Notes due February 2026</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EUV</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Extreme ultraviolet lithography</w:t>
            </w:r>
          </w:p>
        </w:tc>
      </w:tr>
      <w:tr>
        <w:trPr>
          <w:trHeight w:val="117"/>
        </w:trPr>
        <w:tc>
          <w:tcPr>
            <w:tcW w:w="280" w:type="dxa"/>
            <w:vAlign w:val="bottom"/>
          </w:tcPr>
          <w:p>
            <w:pPr>
              <w:jc w:val="right"/>
              <w:spacing w:after="0" w:line="117" w:lineRule="exact"/>
              <w:rPr>
                <w:sz w:val="20"/>
                <w:szCs w:val="20"/>
                <w:color w:val="auto"/>
              </w:rPr>
            </w:pPr>
            <w:r>
              <w:rPr>
                <w:rFonts w:ascii="Arial" w:cs="Arial" w:eastAsia="Arial" w:hAnsi="Arial"/>
                <w:sz w:val="12"/>
                <w:szCs w:val="12"/>
                <w:color w:val="auto"/>
                <w:w w:val="97"/>
              </w:rPr>
              <w:t>2027</w:t>
            </w:r>
          </w:p>
        </w:tc>
        <w:tc>
          <w:tcPr>
            <w:tcW w:w="1120" w:type="dxa"/>
            <w:vAlign w:val="bottom"/>
          </w:tcPr>
          <w:p>
            <w:pPr>
              <w:ind w:left="20"/>
              <w:spacing w:after="0" w:line="117" w:lineRule="exact"/>
              <w:rPr>
                <w:sz w:val="20"/>
                <w:szCs w:val="20"/>
                <w:color w:val="auto"/>
              </w:rPr>
            </w:pPr>
            <w:r>
              <w:rPr>
                <w:rFonts w:ascii="Arial" w:cs="Arial" w:eastAsia="Arial" w:hAnsi="Arial"/>
                <w:sz w:val="12"/>
                <w:szCs w:val="12"/>
                <w:color w:val="auto"/>
              </w:rPr>
              <w:t>Notes</w:t>
            </w:r>
          </w:p>
        </w:tc>
        <w:tc>
          <w:tcPr>
            <w:tcW w:w="800" w:type="dxa"/>
            <w:vAlign w:val="bottom"/>
          </w:tcPr>
          <w:p>
            <w:pPr>
              <w:ind w:left="380"/>
              <w:spacing w:after="0" w:line="117" w:lineRule="exact"/>
              <w:rPr>
                <w:sz w:val="20"/>
                <w:szCs w:val="20"/>
                <w:color w:val="auto"/>
              </w:rPr>
            </w:pPr>
            <w:r>
              <w:rPr>
                <w:rFonts w:ascii="Arial" w:cs="Arial" w:eastAsia="Arial" w:hAnsi="Arial"/>
                <w:sz w:val="12"/>
                <w:szCs w:val="12"/>
                <w:color w:val="auto"/>
                <w:w w:val="98"/>
              </w:rPr>
              <w:t>4.185%</w:t>
            </w:r>
          </w:p>
        </w:tc>
        <w:tc>
          <w:tcPr>
            <w:tcW w:w="3420" w:type="dxa"/>
            <w:vAlign w:val="bottom"/>
            <w:gridSpan w:val="2"/>
          </w:tcPr>
          <w:p>
            <w:pPr>
              <w:ind w:left="20"/>
              <w:spacing w:after="0" w:line="117" w:lineRule="exact"/>
              <w:rPr>
                <w:sz w:val="20"/>
                <w:szCs w:val="20"/>
                <w:color w:val="auto"/>
              </w:rPr>
            </w:pPr>
            <w:r>
              <w:rPr>
                <w:rFonts w:ascii="Arial" w:cs="Arial" w:eastAsia="Arial" w:hAnsi="Arial"/>
                <w:sz w:val="12"/>
                <w:szCs w:val="12"/>
                <w:color w:val="auto"/>
              </w:rPr>
              <w:t>Senior Notes due February 2027</w:t>
            </w:r>
          </w:p>
        </w:tc>
        <w:tc>
          <w:tcPr>
            <w:tcW w:w="1560" w:type="dxa"/>
            <w:vAlign w:val="bottom"/>
          </w:tcPr>
          <w:p>
            <w:pPr>
              <w:ind w:left="20"/>
              <w:spacing w:after="0" w:line="117" w:lineRule="exact"/>
              <w:rPr>
                <w:sz w:val="20"/>
                <w:szCs w:val="20"/>
                <w:color w:val="auto"/>
              </w:rPr>
            </w:pPr>
            <w:r>
              <w:rPr>
                <w:rFonts w:ascii="Arial" w:cs="Arial" w:eastAsia="Arial" w:hAnsi="Arial"/>
                <w:sz w:val="12"/>
                <w:szCs w:val="12"/>
                <w:color w:val="auto"/>
              </w:rPr>
              <w:t>HBM</w:t>
            </w:r>
          </w:p>
        </w:tc>
        <w:tc>
          <w:tcPr>
            <w:tcW w:w="4120" w:type="dxa"/>
            <w:vAlign w:val="bottom"/>
          </w:tcPr>
          <w:p>
            <w:pPr>
              <w:ind w:left="260"/>
              <w:spacing w:after="0" w:line="117" w:lineRule="exact"/>
              <w:rPr>
                <w:sz w:val="20"/>
                <w:szCs w:val="20"/>
                <w:color w:val="auto"/>
              </w:rPr>
            </w:pPr>
            <w:r>
              <w:rPr>
                <w:rFonts w:ascii="Arial" w:cs="Arial" w:eastAsia="Arial" w:hAnsi="Arial"/>
                <w:sz w:val="12"/>
                <w:szCs w:val="12"/>
                <w:color w:val="auto"/>
              </w:rPr>
              <w:t>High-bandwidth memory, a stacked DRAM technology optimized for</w:t>
            </w:r>
          </w:p>
        </w:tc>
      </w:tr>
      <w:tr>
        <w:trPr>
          <w:trHeight w:val="160"/>
        </w:trPr>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120" w:type="dxa"/>
            <w:vAlign w:val="bottom"/>
          </w:tcPr>
          <w:p>
            <w:pPr>
              <w:ind w:left="260"/>
              <w:spacing w:after="0"/>
              <w:rPr>
                <w:sz w:val="20"/>
                <w:szCs w:val="20"/>
                <w:color w:val="auto"/>
              </w:rPr>
            </w:pPr>
            <w:r>
              <w:rPr>
                <w:rFonts w:ascii="Arial" w:cs="Arial" w:eastAsia="Arial" w:hAnsi="Arial"/>
                <w:sz w:val="12"/>
                <w:szCs w:val="12"/>
                <w:color w:val="auto"/>
              </w:rPr>
              <w:t>memory-bandwidth intensive applications</w:t>
            </w:r>
          </w:p>
        </w:tc>
      </w:tr>
      <w:tr>
        <w:trPr>
          <w:trHeight w:val="155"/>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2028</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Notes</w:t>
            </w:r>
          </w:p>
        </w:tc>
        <w:tc>
          <w:tcPr>
            <w:tcW w:w="800" w:type="dxa"/>
            <w:vAlign w:val="bottom"/>
            <w:shd w:val="clear" w:color="auto" w:fill="D1D2D4"/>
          </w:tcPr>
          <w:p>
            <w:pPr>
              <w:ind w:left="380"/>
              <w:spacing w:after="0"/>
              <w:rPr>
                <w:sz w:val="20"/>
                <w:szCs w:val="20"/>
                <w:color w:val="auto"/>
              </w:rPr>
            </w:pPr>
            <w:r>
              <w:rPr>
                <w:rFonts w:ascii="Arial" w:cs="Arial" w:eastAsia="Arial" w:hAnsi="Arial"/>
                <w:sz w:val="12"/>
                <w:szCs w:val="12"/>
                <w:color w:val="auto"/>
                <w:w w:val="98"/>
              </w:rPr>
              <w:t>5.375%</w:t>
            </w:r>
          </w:p>
        </w:tc>
        <w:tc>
          <w:tcPr>
            <w:tcW w:w="3420" w:type="dxa"/>
            <w:vAlign w:val="bottom"/>
            <w:gridSpan w:val="2"/>
            <w:shd w:val="clear" w:color="auto" w:fill="D1D2D4"/>
          </w:tcPr>
          <w:p>
            <w:pPr>
              <w:ind w:left="20"/>
              <w:spacing w:after="0"/>
              <w:rPr>
                <w:sz w:val="20"/>
                <w:szCs w:val="20"/>
                <w:color w:val="auto"/>
              </w:rPr>
            </w:pPr>
            <w:r>
              <w:rPr>
                <w:rFonts w:ascii="Arial" w:cs="Arial" w:eastAsia="Arial" w:hAnsi="Arial"/>
                <w:sz w:val="12"/>
                <w:szCs w:val="12"/>
                <w:color w:val="auto"/>
              </w:rPr>
              <w:t>Senior Notes due April 2028</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LPDRAM</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Low-power DRAM</w:t>
            </w:r>
          </w:p>
        </w:tc>
      </w:tr>
      <w:tr>
        <w:trPr>
          <w:trHeight w:val="153"/>
        </w:trPr>
        <w:tc>
          <w:tcPr>
            <w:tcW w:w="280" w:type="dxa"/>
            <w:vAlign w:val="bottom"/>
          </w:tcPr>
          <w:p>
            <w:pPr>
              <w:jc w:val="right"/>
              <w:spacing w:after="0"/>
              <w:rPr>
                <w:sz w:val="20"/>
                <w:szCs w:val="20"/>
                <w:color w:val="auto"/>
              </w:rPr>
            </w:pPr>
            <w:r>
              <w:rPr>
                <w:rFonts w:ascii="Arial" w:cs="Arial" w:eastAsia="Arial" w:hAnsi="Arial"/>
                <w:sz w:val="12"/>
                <w:szCs w:val="12"/>
                <w:color w:val="auto"/>
                <w:w w:val="97"/>
              </w:rPr>
              <w:t>2029</w:t>
            </w:r>
          </w:p>
        </w:tc>
        <w:tc>
          <w:tcPr>
            <w:tcW w:w="1120" w:type="dxa"/>
            <w:vAlign w:val="bottom"/>
          </w:tcPr>
          <w:p>
            <w:pPr>
              <w:ind w:left="20"/>
              <w:spacing w:after="0"/>
              <w:rPr>
                <w:sz w:val="20"/>
                <w:szCs w:val="20"/>
                <w:color w:val="auto"/>
              </w:rPr>
            </w:pPr>
            <w:r>
              <w:rPr>
                <w:rFonts w:ascii="Arial" w:cs="Arial" w:eastAsia="Arial" w:hAnsi="Arial"/>
                <w:sz w:val="12"/>
                <w:szCs w:val="12"/>
                <w:color w:val="auto"/>
              </w:rPr>
              <w:t>A Notes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5.327%</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February 2029</w:t>
            </w:r>
          </w:p>
        </w:tc>
        <w:tc>
          <w:tcPr>
            <w:tcW w:w="1560" w:type="dxa"/>
            <w:vAlign w:val="bottom"/>
          </w:tcPr>
          <w:p>
            <w:pPr>
              <w:ind w:left="20"/>
              <w:spacing w:after="0"/>
              <w:rPr>
                <w:sz w:val="20"/>
                <w:szCs w:val="20"/>
                <w:color w:val="auto"/>
              </w:rPr>
            </w:pPr>
            <w:r>
              <w:rPr>
                <w:rFonts w:ascii="Arial" w:cs="Arial" w:eastAsia="Arial" w:hAnsi="Arial"/>
                <w:sz w:val="12"/>
                <w:szCs w:val="12"/>
                <w:color w:val="auto"/>
              </w:rPr>
              <w:t>MCP</w:t>
            </w:r>
          </w:p>
        </w:tc>
        <w:tc>
          <w:tcPr>
            <w:tcW w:w="4120" w:type="dxa"/>
            <w:vAlign w:val="bottom"/>
          </w:tcPr>
          <w:p>
            <w:pPr>
              <w:ind w:left="260"/>
              <w:spacing w:after="0"/>
              <w:rPr>
                <w:sz w:val="20"/>
                <w:szCs w:val="20"/>
                <w:color w:val="auto"/>
              </w:rPr>
            </w:pPr>
            <w:r>
              <w:rPr>
                <w:rFonts w:ascii="Arial" w:cs="Arial" w:eastAsia="Arial" w:hAnsi="Arial"/>
                <w:sz w:val="12"/>
                <w:szCs w:val="12"/>
                <w:color w:val="auto"/>
              </w:rPr>
              <w:t>Multichip packaged solutions with managed NAND and LPDRAM</w:t>
            </w:r>
          </w:p>
        </w:tc>
      </w:tr>
      <w:tr>
        <w:trPr>
          <w:trHeight w:val="153"/>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2029</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B Notes</w:t>
            </w:r>
          </w:p>
        </w:tc>
        <w:tc>
          <w:tcPr>
            <w:tcW w:w="800" w:type="dxa"/>
            <w:vAlign w:val="bottom"/>
            <w:shd w:val="clear" w:color="auto" w:fill="D1D2D4"/>
          </w:tcPr>
          <w:p>
            <w:pPr>
              <w:ind w:left="380"/>
              <w:spacing w:after="0"/>
              <w:rPr>
                <w:sz w:val="20"/>
                <w:szCs w:val="20"/>
                <w:color w:val="auto"/>
              </w:rPr>
            </w:pPr>
            <w:r>
              <w:rPr>
                <w:rFonts w:ascii="Arial" w:cs="Arial" w:eastAsia="Arial" w:hAnsi="Arial"/>
                <w:sz w:val="12"/>
                <w:szCs w:val="12"/>
                <w:color w:val="auto"/>
                <w:w w:val="98"/>
              </w:rPr>
              <w:t>6.750%</w:t>
            </w:r>
          </w:p>
        </w:tc>
        <w:tc>
          <w:tcPr>
            <w:tcW w:w="3420" w:type="dxa"/>
            <w:vAlign w:val="bottom"/>
            <w:gridSpan w:val="2"/>
            <w:shd w:val="clear" w:color="auto" w:fill="D1D2D4"/>
          </w:tcPr>
          <w:p>
            <w:pPr>
              <w:ind w:left="20"/>
              <w:spacing w:after="0"/>
              <w:rPr>
                <w:sz w:val="20"/>
                <w:szCs w:val="20"/>
                <w:color w:val="auto"/>
              </w:rPr>
            </w:pPr>
            <w:r>
              <w:rPr>
                <w:rFonts w:ascii="Arial" w:cs="Arial" w:eastAsia="Arial" w:hAnsi="Arial"/>
                <w:sz w:val="12"/>
                <w:szCs w:val="12"/>
                <w:color w:val="auto"/>
              </w:rPr>
              <w:t>Senior Notes due November 2029</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Micron</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Micron Technology, Inc. (Parent Company)</w:t>
            </w:r>
          </w:p>
        </w:tc>
      </w:tr>
      <w:tr>
        <w:trPr>
          <w:trHeight w:val="153"/>
        </w:trPr>
        <w:tc>
          <w:tcPr>
            <w:tcW w:w="280" w:type="dxa"/>
            <w:vAlign w:val="bottom"/>
          </w:tcPr>
          <w:p>
            <w:pPr>
              <w:jc w:val="right"/>
              <w:spacing w:after="0"/>
              <w:rPr>
                <w:sz w:val="20"/>
                <w:szCs w:val="20"/>
                <w:color w:val="auto"/>
              </w:rPr>
            </w:pPr>
            <w:r>
              <w:rPr>
                <w:rFonts w:ascii="Arial" w:cs="Arial" w:eastAsia="Arial" w:hAnsi="Arial"/>
                <w:sz w:val="12"/>
                <w:szCs w:val="12"/>
                <w:color w:val="auto"/>
                <w:w w:val="97"/>
              </w:rPr>
              <w:t>2030</w:t>
            </w:r>
          </w:p>
        </w:tc>
        <w:tc>
          <w:tcPr>
            <w:tcW w:w="1120" w:type="dxa"/>
            <w:vAlign w:val="bottom"/>
          </w:tcPr>
          <w:p>
            <w:pPr>
              <w:ind w:left="20"/>
              <w:spacing w:after="0"/>
              <w:rPr>
                <w:sz w:val="20"/>
                <w:szCs w:val="20"/>
                <w:color w:val="auto"/>
              </w:rPr>
            </w:pPr>
            <w:r>
              <w:rPr>
                <w:rFonts w:ascii="Arial" w:cs="Arial" w:eastAsia="Arial" w:hAnsi="Arial"/>
                <w:sz w:val="12"/>
                <w:szCs w:val="12"/>
                <w:color w:val="auto"/>
              </w:rPr>
              <w:t>Notes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4.663%</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February 2030</w:t>
            </w:r>
          </w:p>
        </w:tc>
        <w:tc>
          <w:tcPr>
            <w:tcW w:w="1560" w:type="dxa"/>
            <w:vAlign w:val="bottom"/>
          </w:tcPr>
          <w:p>
            <w:pPr>
              <w:ind w:left="20"/>
              <w:spacing w:after="0"/>
              <w:rPr>
                <w:sz w:val="20"/>
                <w:szCs w:val="20"/>
                <w:color w:val="auto"/>
              </w:rPr>
            </w:pPr>
            <w:r>
              <w:rPr>
                <w:rFonts w:ascii="Arial" w:cs="Arial" w:eastAsia="Arial" w:hAnsi="Arial"/>
                <w:sz w:val="12"/>
                <w:szCs w:val="12"/>
                <w:color w:val="auto"/>
              </w:rPr>
              <w:t>NRV</w:t>
            </w:r>
          </w:p>
        </w:tc>
        <w:tc>
          <w:tcPr>
            <w:tcW w:w="4120" w:type="dxa"/>
            <w:vAlign w:val="bottom"/>
          </w:tcPr>
          <w:p>
            <w:pPr>
              <w:ind w:left="260"/>
              <w:spacing w:after="0"/>
              <w:rPr>
                <w:sz w:val="20"/>
                <w:szCs w:val="20"/>
                <w:color w:val="auto"/>
              </w:rPr>
            </w:pPr>
            <w:r>
              <w:rPr>
                <w:rFonts w:ascii="Arial" w:cs="Arial" w:eastAsia="Arial" w:hAnsi="Arial"/>
                <w:sz w:val="12"/>
                <w:szCs w:val="12"/>
                <w:color w:val="auto"/>
              </w:rPr>
              <w:t>Net realizable value</w:t>
            </w:r>
          </w:p>
        </w:tc>
      </w:tr>
      <w:tr>
        <w:trPr>
          <w:trHeight w:val="153"/>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2031</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Notes</w:t>
            </w:r>
          </w:p>
        </w:tc>
        <w:tc>
          <w:tcPr>
            <w:tcW w:w="800" w:type="dxa"/>
            <w:vAlign w:val="bottom"/>
            <w:shd w:val="clear" w:color="auto" w:fill="D1D2D4"/>
          </w:tcPr>
          <w:p>
            <w:pPr>
              <w:ind w:left="380"/>
              <w:spacing w:after="0"/>
              <w:rPr>
                <w:sz w:val="20"/>
                <w:szCs w:val="20"/>
                <w:color w:val="auto"/>
              </w:rPr>
            </w:pPr>
            <w:r>
              <w:rPr>
                <w:rFonts w:ascii="Arial" w:cs="Arial" w:eastAsia="Arial" w:hAnsi="Arial"/>
                <w:sz w:val="12"/>
                <w:szCs w:val="12"/>
                <w:color w:val="auto"/>
                <w:w w:val="98"/>
              </w:rPr>
              <w:t>5.300%</w:t>
            </w:r>
          </w:p>
        </w:tc>
        <w:tc>
          <w:tcPr>
            <w:tcW w:w="3420" w:type="dxa"/>
            <w:vAlign w:val="bottom"/>
            <w:gridSpan w:val="2"/>
            <w:shd w:val="clear" w:color="auto" w:fill="D1D2D4"/>
          </w:tcPr>
          <w:p>
            <w:pPr>
              <w:ind w:left="20"/>
              <w:spacing w:after="0"/>
              <w:rPr>
                <w:sz w:val="20"/>
                <w:szCs w:val="20"/>
                <w:color w:val="auto"/>
              </w:rPr>
            </w:pPr>
            <w:r>
              <w:rPr>
                <w:rFonts w:ascii="Arial" w:cs="Arial" w:eastAsia="Arial" w:hAnsi="Arial"/>
                <w:sz w:val="12"/>
                <w:szCs w:val="12"/>
                <w:color w:val="auto"/>
              </w:rPr>
              <w:t>Senior Notes due January 2031</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Revolving Credit Facility</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$2.5 billion Revolving Credit Facility due May 2026</w:t>
            </w:r>
          </w:p>
        </w:tc>
      </w:tr>
      <w:tr>
        <w:trPr>
          <w:trHeight w:val="153"/>
        </w:trPr>
        <w:tc>
          <w:tcPr>
            <w:tcW w:w="280" w:type="dxa"/>
            <w:vAlign w:val="bottom"/>
          </w:tcPr>
          <w:p>
            <w:pPr>
              <w:jc w:val="right"/>
              <w:spacing w:after="0"/>
              <w:rPr>
                <w:sz w:val="20"/>
                <w:szCs w:val="20"/>
                <w:color w:val="auto"/>
              </w:rPr>
            </w:pPr>
            <w:r>
              <w:rPr>
                <w:rFonts w:ascii="Arial" w:cs="Arial" w:eastAsia="Arial" w:hAnsi="Arial"/>
                <w:sz w:val="12"/>
                <w:szCs w:val="12"/>
                <w:color w:val="auto"/>
                <w:w w:val="97"/>
              </w:rPr>
              <w:t>2032</w:t>
            </w:r>
          </w:p>
        </w:tc>
        <w:tc>
          <w:tcPr>
            <w:tcW w:w="1120" w:type="dxa"/>
            <w:vAlign w:val="bottom"/>
          </w:tcPr>
          <w:p>
            <w:pPr>
              <w:ind w:left="20"/>
              <w:spacing w:after="0"/>
              <w:rPr>
                <w:sz w:val="20"/>
                <w:szCs w:val="20"/>
                <w:color w:val="auto"/>
              </w:rPr>
            </w:pPr>
            <w:r>
              <w:rPr>
                <w:rFonts w:ascii="Arial" w:cs="Arial" w:eastAsia="Arial" w:hAnsi="Arial"/>
                <w:sz w:val="12"/>
                <w:szCs w:val="12"/>
                <w:color w:val="auto"/>
              </w:rPr>
              <w:t>Green Bonds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2.703%</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April 2032</w:t>
            </w:r>
          </w:p>
        </w:tc>
        <w:tc>
          <w:tcPr>
            <w:tcW w:w="1560" w:type="dxa"/>
            <w:vAlign w:val="bottom"/>
          </w:tcPr>
          <w:p>
            <w:pPr>
              <w:ind w:left="20"/>
              <w:spacing w:after="0"/>
              <w:rPr>
                <w:sz w:val="20"/>
                <w:szCs w:val="20"/>
                <w:color w:val="auto"/>
              </w:rPr>
            </w:pPr>
            <w:r>
              <w:rPr>
                <w:rFonts w:ascii="Arial" w:cs="Arial" w:eastAsia="Arial" w:hAnsi="Arial"/>
                <w:sz w:val="12"/>
                <w:szCs w:val="12"/>
                <w:color w:val="auto"/>
              </w:rPr>
              <w:t>SOFR</w:t>
            </w:r>
          </w:p>
        </w:tc>
        <w:tc>
          <w:tcPr>
            <w:tcW w:w="4120" w:type="dxa"/>
            <w:vAlign w:val="bottom"/>
          </w:tcPr>
          <w:p>
            <w:pPr>
              <w:ind w:left="260"/>
              <w:spacing w:after="0"/>
              <w:rPr>
                <w:sz w:val="20"/>
                <w:szCs w:val="20"/>
                <w:color w:val="auto"/>
              </w:rPr>
            </w:pPr>
            <w:r>
              <w:rPr>
                <w:rFonts w:ascii="Arial" w:cs="Arial" w:eastAsia="Arial" w:hAnsi="Arial"/>
                <w:sz w:val="12"/>
                <w:szCs w:val="12"/>
                <w:color w:val="auto"/>
              </w:rPr>
              <w:t>Secured Overnight Financing Rate</w:t>
            </w:r>
          </w:p>
        </w:tc>
      </w:tr>
      <w:tr>
        <w:trPr>
          <w:trHeight w:val="153"/>
        </w:trPr>
        <w:tc>
          <w:tcPr>
            <w:tcW w:w="2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97"/>
              </w:rPr>
              <w:t>2033</w:t>
            </w:r>
          </w:p>
        </w:tc>
        <w:tc>
          <w:tcPr>
            <w:tcW w:w="1120" w:type="dxa"/>
            <w:vAlign w:val="bottom"/>
            <w:shd w:val="clear" w:color="auto" w:fill="D1D2D4"/>
          </w:tcPr>
          <w:p>
            <w:pPr>
              <w:ind w:left="20"/>
              <w:spacing w:after="0"/>
              <w:rPr>
                <w:sz w:val="20"/>
                <w:szCs w:val="20"/>
                <w:color w:val="auto"/>
              </w:rPr>
            </w:pPr>
            <w:r>
              <w:rPr>
                <w:rFonts w:ascii="Arial" w:cs="Arial" w:eastAsia="Arial" w:hAnsi="Arial"/>
                <w:sz w:val="12"/>
                <w:szCs w:val="12"/>
                <w:color w:val="auto"/>
              </w:rPr>
              <w:t>A Notes</w:t>
            </w:r>
          </w:p>
        </w:tc>
        <w:tc>
          <w:tcPr>
            <w:tcW w:w="800" w:type="dxa"/>
            <w:vAlign w:val="bottom"/>
            <w:shd w:val="clear" w:color="auto" w:fill="D1D2D4"/>
          </w:tcPr>
          <w:p>
            <w:pPr>
              <w:ind w:left="380"/>
              <w:spacing w:after="0"/>
              <w:rPr>
                <w:sz w:val="20"/>
                <w:szCs w:val="20"/>
                <w:color w:val="auto"/>
              </w:rPr>
            </w:pPr>
            <w:r>
              <w:rPr>
                <w:rFonts w:ascii="Arial" w:cs="Arial" w:eastAsia="Arial" w:hAnsi="Arial"/>
                <w:sz w:val="12"/>
                <w:szCs w:val="12"/>
                <w:color w:val="auto"/>
                <w:w w:val="98"/>
              </w:rPr>
              <w:t>5.875%</w:t>
            </w:r>
          </w:p>
        </w:tc>
        <w:tc>
          <w:tcPr>
            <w:tcW w:w="3420" w:type="dxa"/>
            <w:vAlign w:val="bottom"/>
            <w:gridSpan w:val="2"/>
            <w:shd w:val="clear" w:color="auto" w:fill="D1D2D4"/>
          </w:tcPr>
          <w:p>
            <w:pPr>
              <w:ind w:left="20"/>
              <w:spacing w:after="0"/>
              <w:rPr>
                <w:sz w:val="20"/>
                <w:szCs w:val="20"/>
                <w:color w:val="auto"/>
              </w:rPr>
            </w:pPr>
            <w:r>
              <w:rPr>
                <w:rFonts w:ascii="Arial" w:cs="Arial" w:eastAsia="Arial" w:hAnsi="Arial"/>
                <w:sz w:val="12"/>
                <w:szCs w:val="12"/>
                <w:color w:val="auto"/>
              </w:rPr>
              <w:t>Senior Notes due February 2033</w:t>
            </w:r>
          </w:p>
        </w:tc>
        <w:tc>
          <w:tcPr>
            <w:tcW w:w="1560" w:type="dxa"/>
            <w:vAlign w:val="bottom"/>
            <w:shd w:val="clear" w:color="auto" w:fill="D1D2D4"/>
          </w:tcPr>
          <w:p>
            <w:pPr>
              <w:ind w:left="20"/>
              <w:spacing w:after="0"/>
              <w:rPr>
                <w:sz w:val="20"/>
                <w:szCs w:val="20"/>
                <w:color w:val="auto"/>
              </w:rPr>
            </w:pPr>
            <w:r>
              <w:rPr>
                <w:rFonts w:ascii="Arial" w:cs="Arial" w:eastAsia="Arial" w:hAnsi="Arial"/>
                <w:sz w:val="12"/>
                <w:szCs w:val="12"/>
                <w:color w:val="auto"/>
              </w:rPr>
              <w:t>SSD</w:t>
            </w:r>
          </w:p>
        </w:tc>
        <w:tc>
          <w:tcPr>
            <w:tcW w:w="4120" w:type="dxa"/>
            <w:vAlign w:val="bottom"/>
            <w:shd w:val="clear" w:color="auto" w:fill="D1D2D4"/>
          </w:tcPr>
          <w:p>
            <w:pPr>
              <w:ind w:left="260"/>
              <w:spacing w:after="0"/>
              <w:rPr>
                <w:sz w:val="20"/>
                <w:szCs w:val="20"/>
                <w:color w:val="auto"/>
              </w:rPr>
            </w:pPr>
            <w:r>
              <w:rPr>
                <w:rFonts w:ascii="Arial" w:cs="Arial" w:eastAsia="Arial" w:hAnsi="Arial"/>
                <w:sz w:val="12"/>
                <w:szCs w:val="12"/>
                <w:color w:val="auto"/>
              </w:rPr>
              <w:t>Solid state drive</w:t>
            </w:r>
          </w:p>
        </w:tc>
      </w:tr>
      <w:tr>
        <w:trPr>
          <w:trHeight w:val="159"/>
        </w:trPr>
        <w:tc>
          <w:tcPr>
            <w:tcW w:w="280" w:type="dxa"/>
            <w:vAlign w:val="bottom"/>
          </w:tcPr>
          <w:p>
            <w:pPr>
              <w:jc w:val="right"/>
              <w:spacing w:after="0"/>
              <w:rPr>
                <w:sz w:val="20"/>
                <w:szCs w:val="20"/>
                <w:color w:val="auto"/>
              </w:rPr>
            </w:pPr>
            <w:r>
              <w:rPr>
                <w:rFonts w:ascii="Arial" w:cs="Arial" w:eastAsia="Arial" w:hAnsi="Arial"/>
                <w:sz w:val="12"/>
                <w:szCs w:val="12"/>
                <w:color w:val="auto"/>
                <w:w w:val="97"/>
              </w:rPr>
              <w:t>2033</w:t>
            </w:r>
          </w:p>
        </w:tc>
        <w:tc>
          <w:tcPr>
            <w:tcW w:w="1120" w:type="dxa"/>
            <w:vAlign w:val="bottom"/>
          </w:tcPr>
          <w:p>
            <w:pPr>
              <w:ind w:left="20"/>
              <w:spacing w:after="0"/>
              <w:rPr>
                <w:sz w:val="20"/>
                <w:szCs w:val="20"/>
                <w:color w:val="auto"/>
              </w:rPr>
            </w:pPr>
            <w:r>
              <w:rPr>
                <w:rFonts w:ascii="Arial" w:cs="Arial" w:eastAsia="Arial" w:hAnsi="Arial"/>
                <w:sz w:val="12"/>
                <w:szCs w:val="12"/>
                <w:color w:val="auto"/>
              </w:rPr>
              <w:t>B Notes</w:t>
            </w:r>
          </w:p>
        </w:tc>
        <w:tc>
          <w:tcPr>
            <w:tcW w:w="800" w:type="dxa"/>
            <w:vAlign w:val="bottom"/>
          </w:tcPr>
          <w:p>
            <w:pPr>
              <w:ind w:left="380"/>
              <w:spacing w:after="0"/>
              <w:rPr>
                <w:sz w:val="20"/>
                <w:szCs w:val="20"/>
                <w:color w:val="auto"/>
              </w:rPr>
            </w:pPr>
            <w:r>
              <w:rPr>
                <w:rFonts w:ascii="Arial" w:cs="Arial" w:eastAsia="Arial" w:hAnsi="Arial"/>
                <w:sz w:val="12"/>
                <w:szCs w:val="12"/>
                <w:color w:val="auto"/>
                <w:w w:val="98"/>
              </w:rPr>
              <w:t>5.875%</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Senior Notes due September 2033</w:t>
            </w:r>
          </w:p>
        </w:tc>
        <w:tc>
          <w:tcPr>
            <w:tcW w:w="1560" w:type="dxa"/>
            <w:vAlign w:val="bottom"/>
          </w:tcPr>
          <w:p>
            <w:pPr>
              <w:spacing w:after="0"/>
              <w:rPr>
                <w:sz w:val="13"/>
                <w:szCs w:val="13"/>
                <w:color w:val="auto"/>
              </w:rPr>
            </w:pPr>
          </w:p>
        </w:tc>
        <w:tc>
          <w:tcPr>
            <w:tcW w:w="4120" w:type="dxa"/>
            <w:vAlign w:val="bottom"/>
          </w:tcPr>
          <w:p>
            <w:pPr>
              <w:spacing w:after="0"/>
              <w:rPr>
                <w:sz w:val="13"/>
                <w:szCs w:val="13"/>
                <w:color w:val="auto"/>
              </w:rPr>
            </w:pPr>
          </w:p>
        </w:tc>
      </w:tr>
    </w:tbl>
    <w:p>
      <w:pPr>
        <w:spacing w:after="0" w:line="225"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 xml:space="preserve">We are an industry leader in innovative memory and storage solutions transforming how the world uses information to enrich life </w:t>
      </w:r>
      <w:r>
        <w:rPr>
          <w:rFonts w:ascii="Arial" w:cs="Arial" w:eastAsia="Arial" w:hAnsi="Arial"/>
          <w:sz w:val="12"/>
          <w:szCs w:val="12"/>
          <w:i w:val="1"/>
          <w:iCs w:val="1"/>
          <w:color w:val="auto"/>
        </w:rPr>
        <w:t>for all</w:t>
      </w:r>
      <w:r>
        <w:rPr>
          <w:rFonts w:ascii="Arial" w:cs="Arial" w:eastAsia="Arial" w:hAnsi="Arial"/>
          <w:sz w:val="12"/>
          <w:szCs w:val="12"/>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17"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Available Information</w:t>
      </w:r>
    </w:p>
    <w:p>
      <w:pPr>
        <w:spacing w:after="0" w:line="17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9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Forward-Looking Statements</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This Form 10-Q contains trend information and other forward-looking statements that involve a number of risks and uncertainties. Such forward-looking statements may be identified by words such as "anticipate," "expect," "intend,"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potential change in our effective tax rate; the timing for construction and ramping of production for new memory manufacturing fabs in the United States; receipt and maintenance of government incentives; the payment of future cash dividends; market conditions and profitability in our industry; our DRAM and NAND market share; the impact of the Cyberspace Administration of China decision; capital spending in 2024;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 FINANCIAL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Quarter ended</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2"/>
                <w:szCs w:val="12"/>
                <w:b w:val="1"/>
                <w:bCs w:val="1"/>
                <w:color w:val="auto"/>
              </w:rPr>
              <w:t>Nine months ended</w:t>
            </w:r>
          </w:p>
        </w:tc>
      </w:tr>
      <w:tr>
        <w:trPr>
          <w:trHeight w:val="111"/>
        </w:trPr>
        <w:tc>
          <w:tcPr>
            <w:tcW w:w="5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jc w:val="right"/>
              <w:ind w:right="420"/>
              <w:spacing w:after="0" w:line="111" w:lineRule="exact"/>
              <w:rPr>
                <w:sz w:val="20"/>
                <w:szCs w:val="20"/>
                <w:color w:val="auto"/>
              </w:rPr>
            </w:pPr>
            <w:r>
              <w:rPr>
                <w:rFonts w:ascii="Arial" w:cs="Arial" w:eastAsia="Arial" w:hAnsi="Arial"/>
                <w:sz w:val="12"/>
                <w:szCs w:val="12"/>
                <w:b w:val="1"/>
                <w:bCs w:val="1"/>
                <w:color w:val="auto"/>
              </w:rPr>
              <w:t>May 30,</w:t>
            </w:r>
          </w:p>
        </w:tc>
        <w:tc>
          <w:tcPr>
            <w:tcW w:w="480" w:type="dxa"/>
            <w:vAlign w:val="bottom"/>
          </w:tcPr>
          <w:p>
            <w:pPr>
              <w:spacing w:after="0"/>
              <w:rPr>
                <w:sz w:val="9"/>
                <w:szCs w:val="9"/>
                <w:color w:val="auto"/>
              </w:rPr>
            </w:pPr>
          </w:p>
        </w:tc>
        <w:tc>
          <w:tcPr>
            <w:tcW w:w="960" w:type="dxa"/>
            <w:vAlign w:val="bottom"/>
          </w:tcPr>
          <w:p>
            <w:pPr>
              <w:jc w:val="right"/>
              <w:ind w:right="440"/>
              <w:spacing w:after="0" w:line="111" w:lineRule="exact"/>
              <w:rPr>
                <w:sz w:val="20"/>
                <w:szCs w:val="20"/>
                <w:color w:val="auto"/>
              </w:rPr>
            </w:pPr>
            <w:r>
              <w:rPr>
                <w:rFonts w:ascii="Arial" w:cs="Arial" w:eastAsia="Arial" w:hAnsi="Arial"/>
                <w:sz w:val="12"/>
                <w:szCs w:val="12"/>
                <w:b w:val="1"/>
                <w:bCs w:val="1"/>
                <w:color w:val="auto"/>
              </w:rPr>
              <w:t>June 1,</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jc w:val="right"/>
              <w:ind w:right="440"/>
              <w:spacing w:after="0" w:line="111" w:lineRule="exact"/>
              <w:rPr>
                <w:sz w:val="20"/>
                <w:szCs w:val="20"/>
                <w:color w:val="auto"/>
              </w:rPr>
            </w:pPr>
            <w:r>
              <w:rPr>
                <w:rFonts w:ascii="Arial" w:cs="Arial" w:eastAsia="Arial" w:hAnsi="Arial"/>
                <w:sz w:val="12"/>
                <w:szCs w:val="12"/>
                <w:b w:val="1"/>
                <w:bCs w:val="1"/>
                <w:color w:val="auto"/>
              </w:rPr>
              <w:t>May 30,</w:t>
            </w:r>
          </w:p>
        </w:tc>
        <w:tc>
          <w:tcPr>
            <w:tcW w:w="300" w:type="dxa"/>
            <w:vAlign w:val="bottom"/>
          </w:tcPr>
          <w:p>
            <w:pPr>
              <w:spacing w:after="0"/>
              <w:rPr>
                <w:sz w:val="9"/>
                <w:szCs w:val="9"/>
                <w:color w:val="auto"/>
              </w:rPr>
            </w:pPr>
          </w:p>
        </w:tc>
        <w:tc>
          <w:tcPr>
            <w:tcW w:w="1140" w:type="dxa"/>
            <w:vAlign w:val="bottom"/>
          </w:tcPr>
          <w:p>
            <w:pPr>
              <w:jc w:val="right"/>
              <w:ind w:right="460"/>
              <w:spacing w:after="0" w:line="111" w:lineRule="exact"/>
              <w:rPr>
                <w:sz w:val="20"/>
                <w:szCs w:val="20"/>
                <w:color w:val="auto"/>
              </w:rPr>
            </w:pPr>
            <w:r>
              <w:rPr>
                <w:rFonts w:ascii="Arial" w:cs="Arial" w:eastAsia="Arial" w:hAnsi="Arial"/>
                <w:sz w:val="12"/>
                <w:szCs w:val="12"/>
                <w:b w:val="1"/>
                <w:bCs w:val="1"/>
                <w:color w:val="auto"/>
              </w:rPr>
              <w:t>June 1,</w:t>
            </w:r>
          </w:p>
        </w:tc>
      </w:tr>
      <w:tr>
        <w:trPr>
          <w:trHeight w:val="165"/>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r>
        <w:trPr>
          <w:trHeight w:val="161"/>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Revenue</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6,811</w:t>
            </w:r>
          </w:p>
        </w:tc>
        <w:tc>
          <w:tcPr>
            <w:tcW w:w="480" w:type="dxa"/>
            <w:vAlign w:val="bottom"/>
            <w:shd w:val="clear" w:color="auto" w:fill="D1D2D4"/>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3,752</w:t>
            </w:r>
          </w:p>
        </w:tc>
        <w:tc>
          <w:tcPr>
            <w:tcW w:w="80" w:type="dxa"/>
            <w:vAlign w:val="bottom"/>
            <w:shd w:val="clear" w:color="auto" w:fill="D1D2D4"/>
          </w:tcPr>
          <w:p>
            <w:pPr>
              <w:spacing w:after="0"/>
              <w:rPr>
                <w:sz w:val="14"/>
                <w:szCs w:val="14"/>
                <w:color w:val="auto"/>
              </w:rPr>
            </w:pP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17,361</w:t>
            </w:r>
          </w:p>
        </w:tc>
        <w:tc>
          <w:tcPr>
            <w:tcW w:w="300" w:type="dxa"/>
            <w:vAlign w:val="bottom"/>
            <w:shd w:val="clear" w:color="auto" w:fill="D1D2D4"/>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11,530</w:t>
            </w:r>
          </w:p>
        </w:tc>
      </w:tr>
      <w:tr>
        <w:trPr>
          <w:trHeight w:val="153"/>
        </w:trPr>
        <w:tc>
          <w:tcPr>
            <w:tcW w:w="550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Cost of goods sold</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4,979</w:t>
            </w: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4,420</w:t>
            </w:r>
          </w:p>
        </w:tc>
        <w:tc>
          <w:tcPr>
            <w:tcW w:w="80" w:type="dxa"/>
            <w:vAlign w:val="bottom"/>
            <w:tcBorders>
              <w:bottom w:val="single" w:sz="8" w:color="D1D2D4"/>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14,485</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12,511</w:t>
            </w:r>
          </w:p>
        </w:tc>
      </w:tr>
      <w:tr>
        <w:trPr>
          <w:trHeight w:val="142"/>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Gross margin</w:t>
            </w:r>
          </w:p>
        </w:tc>
        <w:tc>
          <w:tcPr>
            <w:tcW w:w="280" w:type="dxa"/>
            <w:vAlign w:val="bottom"/>
            <w:shd w:val="clear" w:color="auto" w:fill="D1D2D4"/>
          </w:tcPr>
          <w:p>
            <w:pPr>
              <w:spacing w:after="0"/>
              <w:rPr>
                <w:sz w:val="12"/>
                <w:szCs w:val="1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1,832</w:t>
            </w:r>
          </w:p>
        </w:tc>
        <w:tc>
          <w:tcPr>
            <w:tcW w:w="480" w:type="dxa"/>
            <w:vAlign w:val="bottom"/>
            <w:shd w:val="clear" w:color="auto" w:fill="D1D2D4"/>
          </w:tcPr>
          <w:p>
            <w:pPr>
              <w:spacing w:after="0"/>
              <w:rPr>
                <w:sz w:val="12"/>
                <w:szCs w:val="1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(668)</w:t>
            </w:r>
          </w:p>
        </w:tc>
        <w:tc>
          <w:tcPr>
            <w:tcW w:w="80" w:type="dxa"/>
            <w:vAlign w:val="bottom"/>
            <w:shd w:val="clear" w:color="auto" w:fill="D1D2D4"/>
          </w:tcPr>
          <w:p>
            <w:pPr>
              <w:spacing w:after="0"/>
              <w:rPr>
                <w:sz w:val="12"/>
                <w:szCs w:val="12"/>
                <w:color w:val="auto"/>
              </w:rPr>
            </w:pPr>
          </w:p>
        </w:tc>
        <w:tc>
          <w:tcPr>
            <w:tcW w:w="280" w:type="dxa"/>
            <w:vAlign w:val="bottom"/>
            <w:shd w:val="clear" w:color="auto" w:fill="D1D2D4"/>
          </w:tcPr>
          <w:p>
            <w:pPr>
              <w:spacing w:after="0"/>
              <w:rPr>
                <w:sz w:val="12"/>
                <w:szCs w:val="1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2,876</w:t>
            </w:r>
          </w:p>
        </w:tc>
        <w:tc>
          <w:tcPr>
            <w:tcW w:w="300" w:type="dxa"/>
            <w:vAlign w:val="bottom"/>
            <w:shd w:val="clear" w:color="auto" w:fill="D1D2D4"/>
          </w:tcPr>
          <w:p>
            <w:pPr>
              <w:spacing w:after="0"/>
              <w:rPr>
                <w:sz w:val="12"/>
                <w:szCs w:val="1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(981)</w:t>
            </w:r>
          </w:p>
        </w:tc>
      </w:tr>
      <w:tr>
        <w:trPr>
          <w:trHeight w:val="17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Research and development</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850</w:t>
            </w:r>
          </w:p>
        </w:tc>
        <w:tc>
          <w:tcPr>
            <w:tcW w:w="480" w:type="dxa"/>
            <w:vAlign w:val="bottom"/>
            <w:shd w:val="clear" w:color="auto" w:fill="D1D2D4"/>
          </w:tcPr>
          <w:p>
            <w:pPr>
              <w:spacing w:after="0"/>
              <w:rPr>
                <w:sz w:val="13"/>
                <w:szCs w:val="13"/>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758</w:t>
            </w:r>
          </w:p>
        </w:tc>
        <w:tc>
          <w:tcPr>
            <w:tcW w:w="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2,527</w:t>
            </w:r>
          </w:p>
        </w:tc>
        <w:tc>
          <w:tcPr>
            <w:tcW w:w="30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2,395</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291</w:t>
            </w: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834</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701</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Restructure and asset impairments</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D1D2D4"/>
          </w:tcPr>
          <w:p>
            <w:pPr>
              <w:spacing w:after="0"/>
              <w:rPr>
                <w:sz w:val="13"/>
                <w:szCs w:val="13"/>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167</w:t>
            </w:r>
          </w:p>
        </w:tc>
      </w:tr>
      <w:tr>
        <w:trPr>
          <w:trHeight w:val="153"/>
        </w:trPr>
        <w:tc>
          <w:tcPr>
            <w:tcW w:w="550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operating (income) expense, net</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D1D2D4"/>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r>
      <w:tr>
        <w:trPr>
          <w:trHeight w:val="142"/>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Operating income (loss)</w:t>
            </w:r>
          </w:p>
        </w:tc>
        <w:tc>
          <w:tcPr>
            <w:tcW w:w="280" w:type="dxa"/>
            <w:vAlign w:val="bottom"/>
            <w:shd w:val="clear" w:color="auto" w:fill="D1D2D4"/>
          </w:tcPr>
          <w:p>
            <w:pPr>
              <w:spacing w:after="0"/>
              <w:rPr>
                <w:sz w:val="12"/>
                <w:szCs w:val="1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719</w:t>
            </w:r>
          </w:p>
        </w:tc>
        <w:tc>
          <w:tcPr>
            <w:tcW w:w="480" w:type="dxa"/>
            <w:vAlign w:val="bottom"/>
            <w:shd w:val="clear" w:color="auto" w:fill="D1D2D4"/>
          </w:tcPr>
          <w:p>
            <w:pPr>
              <w:spacing w:after="0"/>
              <w:rPr>
                <w:sz w:val="12"/>
                <w:szCs w:val="12"/>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(1,761)</w:t>
            </w:r>
          </w:p>
        </w:tc>
        <w:tc>
          <w:tcPr>
            <w:tcW w:w="80" w:type="dxa"/>
            <w:vAlign w:val="bottom"/>
            <w:shd w:val="clear" w:color="auto" w:fill="D1D2D4"/>
          </w:tcPr>
          <w:p>
            <w:pPr>
              <w:spacing w:after="0"/>
              <w:rPr>
                <w:sz w:val="12"/>
                <w:szCs w:val="12"/>
                <w:color w:val="auto"/>
              </w:rPr>
            </w:pPr>
          </w:p>
        </w:tc>
        <w:tc>
          <w:tcPr>
            <w:tcW w:w="280" w:type="dxa"/>
            <w:vAlign w:val="bottom"/>
            <w:shd w:val="clear" w:color="auto" w:fill="D1D2D4"/>
          </w:tcPr>
          <w:p>
            <w:pPr>
              <w:spacing w:after="0"/>
              <w:rPr>
                <w:sz w:val="12"/>
                <w:szCs w:val="1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(218)</w:t>
            </w:r>
          </w:p>
        </w:tc>
        <w:tc>
          <w:tcPr>
            <w:tcW w:w="300" w:type="dxa"/>
            <w:vAlign w:val="bottom"/>
            <w:shd w:val="clear" w:color="auto" w:fill="D1D2D4"/>
          </w:tcPr>
          <w:p>
            <w:pPr>
              <w:spacing w:after="0"/>
              <w:rPr>
                <w:sz w:val="12"/>
                <w:szCs w:val="1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(4,273)</w:t>
            </w:r>
          </w:p>
        </w:tc>
      </w:tr>
      <w:tr>
        <w:trPr>
          <w:trHeight w:val="17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Interest income</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136</w:t>
            </w:r>
          </w:p>
        </w:tc>
        <w:tc>
          <w:tcPr>
            <w:tcW w:w="480" w:type="dxa"/>
            <w:vAlign w:val="bottom"/>
            <w:shd w:val="clear" w:color="auto" w:fill="D1D2D4"/>
          </w:tcPr>
          <w:p>
            <w:pPr>
              <w:spacing w:after="0"/>
              <w:rPr>
                <w:sz w:val="13"/>
                <w:szCs w:val="13"/>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398</w:t>
            </w:r>
          </w:p>
        </w:tc>
        <w:tc>
          <w:tcPr>
            <w:tcW w:w="30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334</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Interest expense</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(150)</w:t>
            </w: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(426)</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(259)</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Other non-operating income (expense), net</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w:t>
            </w:r>
          </w:p>
        </w:tc>
        <w:tc>
          <w:tcPr>
            <w:tcW w:w="480" w:type="dxa"/>
            <w:vAlign w:val="bottom"/>
            <w:shd w:val="clear" w:color="auto" w:fill="D1D2D4"/>
          </w:tcPr>
          <w:p>
            <w:pPr>
              <w:spacing w:after="0"/>
              <w:rPr>
                <w:sz w:val="13"/>
                <w:szCs w:val="13"/>
                <w:color w:val="auto"/>
              </w:rPr>
            </w:pPr>
          </w:p>
        </w:tc>
        <w:tc>
          <w:tcPr>
            <w:tcW w:w="10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30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r>
      <w:tr>
        <w:trPr>
          <w:trHeight w:val="142"/>
        </w:trPr>
        <w:tc>
          <w:tcPr>
            <w:tcW w:w="5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715</w:t>
            </w:r>
          </w:p>
        </w:tc>
        <w:tc>
          <w:tcPr>
            <w:tcW w:w="4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(1,753)</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(270)</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(4,200)</w:t>
            </w:r>
          </w:p>
        </w:tc>
      </w:tr>
      <w:tr>
        <w:trPr>
          <w:trHeight w:val="171"/>
        </w:trPr>
        <w:tc>
          <w:tcPr>
            <w:tcW w:w="550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c>
          <w:tcPr>
            <w:tcW w:w="48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Income tax (provision) benefit</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(377)</w:t>
            </w: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172</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(201)</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Equity in net income (loss) of equity method investees</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480" w:type="dxa"/>
            <w:vAlign w:val="bottom"/>
            <w:tcBorders>
              <w:bottom w:val="single" w:sz="8" w:color="auto"/>
            </w:tcBorders>
            <w:shd w:val="clear" w:color="auto" w:fill="D1D2D4"/>
          </w:tcPr>
          <w:p>
            <w:pPr>
              <w:spacing w:after="0"/>
              <w:rPr>
                <w:sz w:val="13"/>
                <w:szCs w:val="13"/>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D1D2D4"/>
          </w:tcPr>
          <w:p>
            <w:pPr>
              <w:spacing w:after="0"/>
              <w:rPr>
                <w:sz w:val="13"/>
                <w:szCs w:val="13"/>
                <w:color w:val="auto"/>
              </w:rPr>
            </w:pP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w:t>
            </w:r>
          </w:p>
        </w:tc>
        <w:tc>
          <w:tcPr>
            <w:tcW w:w="30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r>
      <w:tr>
        <w:trPr>
          <w:trHeight w:val="158"/>
        </w:trPr>
        <w:tc>
          <w:tcPr>
            <w:tcW w:w="5500" w:type="dxa"/>
            <w:vAlign w:val="bottom"/>
            <w:tcBorders>
              <w:bottom w:val="single" w:sz="8" w:color="D1D2D4"/>
            </w:tcBorders>
          </w:tcPr>
          <w:p>
            <w:pPr>
              <w:ind w:left="140"/>
              <w:spacing w:after="0"/>
              <w:rPr>
                <w:sz w:val="20"/>
                <w:szCs w:val="20"/>
                <w:color w:val="auto"/>
              </w:rPr>
            </w:pPr>
            <w:r>
              <w:rPr>
                <w:rFonts w:ascii="Arial" w:cs="Arial" w:eastAsia="Arial" w:hAnsi="Arial"/>
                <w:sz w:val="12"/>
                <w:szCs w:val="12"/>
                <w:color w:val="auto"/>
              </w:rPr>
              <w:t>Net income (loss)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(1,896)</w:t>
            </w:r>
          </w:p>
        </w:tc>
        <w:tc>
          <w:tcPr>
            <w:tcW w:w="80" w:type="dxa"/>
            <w:vAlign w:val="bottom"/>
            <w:tcBorders>
              <w:bottom w:val="single" w:sz="8" w:color="D1D2D4"/>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(4,403)</w:t>
            </w:r>
          </w:p>
        </w:tc>
      </w:tr>
      <w:tr>
        <w:trPr>
          <w:trHeight w:val="153"/>
        </w:trPr>
        <w:tc>
          <w:tcPr>
            <w:tcW w:w="550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Earnings (loss) per share</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Basic</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0.30</w:t>
            </w:r>
          </w:p>
        </w:tc>
        <w:tc>
          <w:tcPr>
            <w:tcW w:w="480" w:type="dxa"/>
            <w:vAlign w:val="bottom"/>
            <w:shd w:val="clear" w:color="auto" w:fill="D1D2D4"/>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(1.73)</w:t>
            </w:r>
          </w:p>
        </w:tc>
        <w:tc>
          <w:tcPr>
            <w:tcW w:w="80" w:type="dxa"/>
            <w:vAlign w:val="bottom"/>
            <w:shd w:val="clear" w:color="auto" w:fill="D1D2D4"/>
          </w:tcPr>
          <w:p>
            <w:pPr>
              <w:spacing w:after="0"/>
              <w:rPr>
                <w:sz w:val="13"/>
                <w:szCs w:val="13"/>
                <w:color w:val="auto"/>
              </w:rPr>
            </w:pP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(0.10)</w:t>
            </w:r>
          </w:p>
        </w:tc>
        <w:tc>
          <w:tcPr>
            <w:tcW w:w="300" w:type="dxa"/>
            <w:vAlign w:val="bottom"/>
            <w:shd w:val="clear" w:color="auto" w:fill="D1D2D4"/>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(4.03)</w:t>
            </w:r>
          </w:p>
        </w:tc>
      </w:tr>
      <w:tr>
        <w:trPr>
          <w:trHeight w:val="153"/>
        </w:trPr>
        <w:tc>
          <w:tcPr>
            <w:tcW w:w="5500" w:type="dxa"/>
            <w:vAlign w:val="bottom"/>
          </w:tcPr>
          <w:p>
            <w:pPr>
              <w:ind w:left="140"/>
              <w:spacing w:after="0"/>
              <w:rPr>
                <w:sz w:val="20"/>
                <w:szCs w:val="20"/>
                <w:color w:val="auto"/>
              </w:rPr>
            </w:pPr>
            <w:r>
              <w:rPr>
                <w:rFonts w:ascii="Arial" w:cs="Arial" w:eastAsia="Arial" w:hAnsi="Arial"/>
                <w:sz w:val="12"/>
                <w:szCs w:val="12"/>
                <w:color w:val="auto"/>
              </w:rPr>
              <w:t>Diluted</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0.30</w:t>
            </w: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(0.10)</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(4.03)</w:t>
            </w:r>
          </w:p>
        </w:tc>
      </w:tr>
      <w:tr>
        <w:trPr>
          <w:trHeight w:val="171"/>
        </w:trPr>
        <w:tc>
          <w:tcPr>
            <w:tcW w:w="550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c>
          <w:tcPr>
            <w:tcW w:w="48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28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Number of shares used in per share calculations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500" w:type="dxa"/>
            <w:vAlign w:val="bottom"/>
            <w:shd w:val="clear" w:color="auto" w:fill="D1D2D4"/>
          </w:tcPr>
          <w:p>
            <w:pPr>
              <w:ind w:left="140"/>
              <w:spacing w:after="0"/>
              <w:rPr>
                <w:sz w:val="20"/>
                <w:szCs w:val="20"/>
                <w:color w:val="auto"/>
              </w:rPr>
            </w:pPr>
            <w:r>
              <w:rPr>
                <w:rFonts w:ascii="Arial" w:cs="Arial" w:eastAsia="Arial" w:hAnsi="Arial"/>
                <w:sz w:val="12"/>
                <w:szCs w:val="12"/>
                <w:color w:val="auto"/>
              </w:rPr>
              <w:t>Basic</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1,107</w:t>
            </w:r>
          </w:p>
        </w:tc>
        <w:tc>
          <w:tcPr>
            <w:tcW w:w="480" w:type="dxa"/>
            <w:vAlign w:val="bottom"/>
            <w:shd w:val="clear" w:color="auto" w:fill="D1D2D4"/>
          </w:tcPr>
          <w:p>
            <w:pPr>
              <w:spacing w:after="0"/>
              <w:rPr>
                <w:sz w:val="13"/>
                <w:szCs w:val="13"/>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1,094</w:t>
            </w:r>
          </w:p>
        </w:tc>
        <w:tc>
          <w:tcPr>
            <w:tcW w:w="80" w:type="dxa"/>
            <w:vAlign w:val="bottom"/>
            <w:shd w:val="clear" w:color="auto" w:fill="D1D2D4"/>
          </w:tcPr>
          <w:p>
            <w:pPr>
              <w:spacing w:after="0"/>
              <w:rPr>
                <w:sz w:val="13"/>
                <w:szCs w:val="13"/>
                <w:color w:val="auto"/>
              </w:rPr>
            </w:pP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1,104</w:t>
            </w:r>
          </w:p>
        </w:tc>
        <w:tc>
          <w:tcPr>
            <w:tcW w:w="30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1,092</w:t>
            </w:r>
          </w:p>
        </w:tc>
      </w:tr>
      <w:tr>
        <w:trPr>
          <w:trHeight w:val="159"/>
        </w:trPr>
        <w:tc>
          <w:tcPr>
            <w:tcW w:w="5500" w:type="dxa"/>
            <w:vAlign w:val="bottom"/>
          </w:tcPr>
          <w:p>
            <w:pPr>
              <w:ind w:left="140"/>
              <w:spacing w:after="0"/>
              <w:rPr>
                <w:sz w:val="20"/>
                <w:szCs w:val="20"/>
                <w:color w:val="auto"/>
              </w:rPr>
            </w:pPr>
            <w:r>
              <w:rPr>
                <w:rFonts w:ascii="Arial" w:cs="Arial" w:eastAsia="Arial" w:hAnsi="Arial"/>
                <w:sz w:val="12"/>
                <w:szCs w:val="12"/>
                <w:color w:val="auto"/>
              </w:rPr>
              <w:t>Diluted</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1,123</w:t>
            </w: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1,104</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1,092</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Comprehensive Income (Loss)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ectPr>
          <w:pgSz w:w="11900" w:h="16838" w:orient="portrait"/>
          <w:cols w:equalWidth="0" w:num="1">
            <w:col w:w="11300"/>
          </w:cols>
          <w:pgMar w:left="300" w:top="131" w:right="29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500" w:type="dxa"/>
            <w:vAlign w:val="bottom"/>
          </w:tcPr>
          <w:p>
            <w:pPr>
              <w:spacing w:after="0"/>
              <w:rPr>
                <w:sz w:val="9"/>
                <w:szCs w:val="9"/>
                <w:color w:val="auto"/>
              </w:rPr>
            </w:pPr>
          </w:p>
        </w:tc>
        <w:tc>
          <w:tcPr>
            <w:tcW w:w="9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6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1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4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May 30,</w:t>
            </w:r>
          </w:p>
        </w:tc>
        <w:tc>
          <w:tcPr>
            <w:tcW w:w="14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2024</w:t>
            </w: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7" w:lineRule="exact"/>
        <w:rPr>
          <w:sz w:val="20"/>
          <w:szCs w:val="20"/>
          <w:color w:val="auto"/>
        </w:rPr>
      </w:pPr>
    </w:p>
    <w:p>
      <w:pPr>
        <w:sectPr>
          <w:pgSz w:w="11900" w:h="16838" w:orient="portrait"/>
          <w:cols w:equalWidth="0" w:num="2">
            <w:col w:w="8360" w:space="80"/>
            <w:col w:w="286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500" w:type="dxa"/>
            <w:vAlign w:val="bottom"/>
            <w:shd w:val="clear" w:color="auto" w:fill="D1D2D4"/>
          </w:tcPr>
          <w:p>
            <w:pPr>
              <w:ind w:left="20"/>
              <w:spacing w:after="0"/>
              <w:rPr>
                <w:sz w:val="20"/>
                <w:szCs w:val="20"/>
                <w:color w:val="auto"/>
              </w:rPr>
            </w:pPr>
            <w:r>
              <w:rPr>
                <w:rFonts w:ascii="Arial" w:cs="Arial" w:eastAsia="Arial" w:hAnsi="Arial"/>
                <w:sz w:val="12"/>
                <w:szCs w:val="12"/>
                <w:color w:val="auto"/>
              </w:rPr>
              <w:t>Net income (loss)</w:t>
            </w:r>
          </w:p>
        </w:tc>
        <w:tc>
          <w:tcPr>
            <w:tcW w:w="620" w:type="dxa"/>
            <w:vAlign w:val="bottom"/>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332</w:t>
            </w:r>
          </w:p>
        </w:tc>
        <w:tc>
          <w:tcPr>
            <w:tcW w:w="560" w:type="dxa"/>
            <w:vAlign w:val="bottom"/>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(1,896)</w:t>
            </w: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jc w:val="right"/>
              <w:ind w:right="46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w:t>
            </w:r>
          </w:p>
        </w:tc>
        <w:tc>
          <w:tcPr>
            <w:tcW w:w="540" w:type="dxa"/>
            <w:vAlign w:val="bottom"/>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(4,403)</w:t>
            </w:r>
          </w:p>
        </w:tc>
      </w:tr>
      <w:tr>
        <w:trPr>
          <w:trHeight w:val="171"/>
        </w:trPr>
        <w:tc>
          <w:tcPr>
            <w:tcW w:w="5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3"/>
        </w:trPr>
        <w:tc>
          <w:tcPr>
            <w:tcW w:w="550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62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82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r>
      <w:tr>
        <w:trPr>
          <w:trHeight w:val="153"/>
        </w:trPr>
        <w:tc>
          <w:tcPr>
            <w:tcW w:w="5500" w:type="dxa"/>
            <w:vAlign w:val="bottom"/>
          </w:tcPr>
          <w:p>
            <w:pPr>
              <w:ind w:left="100"/>
              <w:spacing w:after="0"/>
              <w:rPr>
                <w:sz w:val="20"/>
                <w:szCs w:val="20"/>
                <w:color w:val="auto"/>
              </w:rPr>
            </w:pPr>
            <w:r>
              <w:rPr>
                <w:rFonts w:ascii="Arial" w:cs="Arial" w:eastAsia="Arial" w:hAnsi="Arial"/>
                <w:sz w:val="12"/>
                <w:szCs w:val="12"/>
                <w:color w:val="auto"/>
              </w:rPr>
              <w:t>Gains (losses) on derivative instruments</w:t>
            </w: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222</w:t>
            </w:r>
          </w:p>
        </w:tc>
      </w:tr>
      <w:tr>
        <w:trPr>
          <w:trHeight w:val="153"/>
        </w:trPr>
        <w:tc>
          <w:tcPr>
            <w:tcW w:w="55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Pension liability adjustments</w:t>
            </w:r>
          </w:p>
        </w:tc>
        <w:tc>
          <w:tcPr>
            <w:tcW w:w="62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5500" w:type="dxa"/>
            <w:vAlign w:val="bottom"/>
          </w:tcPr>
          <w:p>
            <w:pPr>
              <w:ind w:left="100"/>
              <w:spacing w:after="0"/>
              <w:rPr>
                <w:sz w:val="20"/>
                <w:szCs w:val="20"/>
                <w:color w:val="auto"/>
              </w:rPr>
            </w:pPr>
            <w:r>
              <w:rPr>
                <w:rFonts w:ascii="Arial" w:cs="Arial" w:eastAsia="Arial" w:hAnsi="Arial"/>
                <w:sz w:val="12"/>
                <w:szCs w:val="12"/>
                <w:color w:val="auto"/>
              </w:rPr>
              <w:t>Unrealized gains (losses) on investments</w:t>
            </w: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500" w:type="dxa"/>
            <w:vAlign w:val="bottom"/>
            <w:shd w:val="clear" w:color="auto" w:fill="D1D2D4"/>
          </w:tcPr>
          <w:p>
            <w:pPr>
              <w:ind w:left="100"/>
              <w:spacing w:after="0"/>
              <w:rPr>
                <w:sz w:val="20"/>
                <w:szCs w:val="20"/>
                <w:color w:val="auto"/>
              </w:rPr>
            </w:pPr>
            <w:r>
              <w:rPr>
                <w:rFonts w:ascii="Arial" w:cs="Arial" w:eastAsia="Arial" w:hAnsi="Arial"/>
                <w:sz w:val="12"/>
                <w:szCs w:val="12"/>
                <w:color w:val="auto"/>
              </w:rPr>
              <w:t>Foreign currency translation adjustments</w:t>
            </w:r>
          </w:p>
        </w:tc>
        <w:tc>
          <w:tcPr>
            <w:tcW w:w="62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D1D2D4"/>
          </w:tcPr>
          <w:p>
            <w:pPr>
              <w:spacing w:after="0"/>
              <w:rPr>
                <w:sz w:val="13"/>
                <w:szCs w:val="13"/>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spacing w:after="0"/>
              <w:rPr>
                <w:sz w:val="13"/>
                <w:szCs w:val="13"/>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D1D2D4"/>
          </w:tcPr>
          <w:p>
            <w:pPr>
              <w:spacing w:after="0"/>
              <w:rPr>
                <w:sz w:val="13"/>
                <w:szCs w:val="13"/>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5500" w:type="dxa"/>
            <w:vAlign w:val="bottom"/>
            <w:tcBorders>
              <w:bottom w:val="single" w:sz="8" w:color="D1D2D4"/>
            </w:tcBorders>
          </w:tcPr>
          <w:p>
            <w:pPr>
              <w:ind w:left="140"/>
              <w:spacing w:after="0"/>
              <w:rPr>
                <w:sz w:val="20"/>
                <w:szCs w:val="20"/>
                <w:color w:val="auto"/>
              </w:rPr>
            </w:pPr>
            <w:r>
              <w:rPr>
                <w:rFonts w:ascii="Arial" w:cs="Arial" w:eastAsia="Arial" w:hAnsi="Arial"/>
                <w:sz w:val="12"/>
                <w:szCs w:val="12"/>
                <w:color w:val="auto"/>
              </w:rPr>
              <w:t>Other comprehensive income (loss)</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80" w:type="dxa"/>
            <w:vAlign w:val="bottom"/>
            <w:tcBorders>
              <w:bottom w:val="single" w:sz="8" w:color="D1D2D4"/>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w:t>
            </w:r>
          </w:p>
        </w:tc>
      </w:tr>
      <w:tr>
        <w:trPr>
          <w:trHeight w:val="158"/>
        </w:trPr>
        <w:tc>
          <w:tcPr>
            <w:tcW w:w="55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2"/>
                <w:szCs w:val="12"/>
                <w:color w:val="auto"/>
              </w:rPr>
              <w:t>Total comprehensive income (loss)</w:t>
            </w:r>
          </w:p>
        </w:tc>
        <w:tc>
          <w:tcPr>
            <w:tcW w:w="620" w:type="dxa"/>
            <w:vAlign w:val="bottom"/>
            <w:tcBorders>
              <w:bottom w:val="single" w:sz="8" w:color="auto"/>
            </w:tcBorders>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285</w:t>
            </w:r>
          </w:p>
        </w:tc>
        <w:tc>
          <w:tcPr>
            <w:tcW w:w="560" w:type="dxa"/>
            <w:vAlign w:val="bottom"/>
            <w:tcBorders>
              <w:bottom w:val="single" w:sz="8" w:color="auto"/>
            </w:tcBorders>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(1,863)</w:t>
            </w:r>
          </w:p>
        </w:tc>
        <w:tc>
          <w:tcPr>
            <w:tcW w:w="80" w:type="dxa"/>
            <w:vAlign w:val="bottom"/>
            <w:tcBorders>
              <w:bottom w:val="single" w:sz="8" w:color="D1D2D4"/>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ind w:right="46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(108)</w:t>
            </w:r>
          </w:p>
        </w:tc>
        <w:tc>
          <w:tcPr>
            <w:tcW w:w="540" w:type="dxa"/>
            <w:vAlign w:val="bottom"/>
            <w:tcBorders>
              <w:bottom w:val="single" w:sz="8" w:color="auto"/>
            </w:tcBorders>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(4,183)</w:t>
            </w:r>
          </w:p>
        </w:tc>
      </w:tr>
    </w:tbl>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c>
          <w:tcPr>
            <w:tcW w:w="0" w:type="dxa"/>
            <w:vAlign w:val="bottom"/>
          </w:tcPr>
          <w:p>
            <w:pPr>
              <w:spacing w:after="0"/>
              <w:rPr>
                <w:sz w:val="1"/>
                <w:szCs w:val="1"/>
                <w:color w:val="auto"/>
              </w:rPr>
            </w:pPr>
          </w:p>
        </w:tc>
      </w:tr>
      <w:tr>
        <w:trPr>
          <w:trHeight w:val="714"/>
        </w:trPr>
        <w:tc>
          <w:tcPr>
            <w:tcW w:w="8440" w:type="dxa"/>
            <w:vAlign w:val="bottom"/>
          </w:tcPr>
          <w:p>
            <w:pPr>
              <w:spacing w:after="0"/>
              <w:rPr>
                <w:sz w:val="20"/>
                <w:szCs w:val="20"/>
                <w:color w:val="auto"/>
              </w:rPr>
            </w:pPr>
            <w:r>
              <w:rPr>
                <w:rFonts w:ascii="Arial" w:cs="Arial" w:eastAsia="Arial" w:hAnsi="Arial"/>
                <w:sz w:val="26"/>
                <w:szCs w:val="26"/>
                <w:b w:val="1"/>
                <w:bCs w:val="1"/>
                <w:color w:val="auto"/>
              </w:rPr>
              <w:t>Micron Technology, Inc.</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440" w:type="dxa"/>
            <w:vAlign w:val="bottom"/>
          </w:tcPr>
          <w:p>
            <w:pPr>
              <w:spacing w:after="0"/>
              <w:rPr>
                <w:sz w:val="20"/>
                <w:szCs w:val="20"/>
                <w:color w:val="auto"/>
              </w:rPr>
            </w:pPr>
            <w:r>
              <w:rPr>
                <w:rFonts w:ascii="Arial" w:cs="Arial" w:eastAsia="Arial" w:hAnsi="Arial"/>
                <w:sz w:val="26"/>
                <w:szCs w:val="26"/>
                <w:b w:val="1"/>
                <w:bCs w:val="1"/>
                <w:color w:val="auto"/>
              </w:rPr>
              <w:t>Consolidated Balance Sheets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440" w:type="dxa"/>
            <w:vAlign w:val="bottom"/>
          </w:tcPr>
          <w:p>
            <w:pPr>
              <w:spacing w:after="0"/>
              <w:rPr>
                <w:sz w:val="20"/>
                <w:szCs w:val="20"/>
                <w:color w:val="auto"/>
              </w:rPr>
            </w:pPr>
            <w:r>
              <w:rPr>
                <w:rFonts w:ascii="Arial" w:cs="Arial" w:eastAsia="Arial" w:hAnsi="Arial"/>
                <w:sz w:val="12"/>
                <w:szCs w:val="12"/>
                <w:color w:val="auto"/>
              </w:rPr>
              <w:t>(In millions, except par value amounts)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440" w:type="dxa"/>
            <w:vAlign w:val="bottom"/>
          </w:tcPr>
          <w:p>
            <w:pPr>
              <w:spacing w:after="0"/>
              <w:rPr>
                <w:sz w:val="20"/>
                <w:szCs w:val="20"/>
                <w:color w:val="auto"/>
              </w:rPr>
            </w:pPr>
            <w:r>
              <w:rPr>
                <w:rFonts w:ascii="Arial" w:cs="Arial" w:eastAsia="Arial" w:hAnsi="Arial"/>
                <w:sz w:val="12"/>
                <w:szCs w:val="12"/>
                <w:color w:val="auto"/>
              </w:rPr>
              <w:t>(Unaudited)</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May 30,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65"/>
        </w:trPr>
        <w:tc>
          <w:tcPr>
            <w:tcW w:w="84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Assets</w:t>
            </w:r>
          </w:p>
        </w:tc>
        <w:tc>
          <w:tcPr>
            <w:tcW w:w="960" w:type="dxa"/>
            <w:vAlign w:val="bottom"/>
            <w:shd w:val="clear" w:color="auto" w:fill="D1D2D4"/>
          </w:tcPr>
          <w:p>
            <w:pPr>
              <w:spacing w:after="0"/>
              <w:rPr>
                <w:sz w:val="14"/>
                <w:szCs w:val="14"/>
                <w:color w:val="auto"/>
              </w:rPr>
            </w:pPr>
          </w:p>
        </w:tc>
        <w:tc>
          <w:tcPr>
            <w:tcW w:w="46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Cash and equivalents</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7,594</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8,577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Short-term investments</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785</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1,017</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Receivables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5,131</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2,443</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Inventories</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8,512</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8,387</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current assets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1,297</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142"/>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Total current assets</w:t>
            </w:r>
          </w:p>
        </w:tc>
        <w:tc>
          <w:tcPr>
            <w:tcW w:w="960" w:type="dxa"/>
            <w:vAlign w:val="bottom"/>
            <w:shd w:val="clear" w:color="auto" w:fill="D1D2D4"/>
          </w:tcPr>
          <w:p>
            <w:pPr>
              <w:spacing w:after="0"/>
              <w:rPr>
                <w:sz w:val="12"/>
                <w:szCs w:val="12"/>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23,319</w:t>
            </w:r>
          </w:p>
        </w:tc>
        <w:tc>
          <w:tcPr>
            <w:tcW w:w="240" w:type="dxa"/>
            <w:vAlign w:val="bottom"/>
            <w:shd w:val="clear" w:color="auto" w:fill="D1D2D4"/>
          </w:tcPr>
          <w:p>
            <w:pPr>
              <w:spacing w:after="0"/>
              <w:rPr>
                <w:sz w:val="12"/>
                <w:szCs w:val="12"/>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21,244</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Long-term marketable investments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775</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844</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Property, plant, and equipment</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37,926</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37,928</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660</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Intangible assets</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413</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Deferred tax assets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597</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756</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Goodwill</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1,150</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noncurrent assets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1,415</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1,262</w:t>
            </w:r>
          </w:p>
        </w:tc>
        <w:tc>
          <w:tcPr>
            <w:tcW w:w="0" w:type="dxa"/>
            <w:vAlign w:val="bottom"/>
          </w:tcPr>
          <w:p>
            <w:pPr>
              <w:spacing w:after="0"/>
              <w:rPr>
                <w:sz w:val="1"/>
                <w:szCs w:val="1"/>
                <w:color w:val="auto"/>
              </w:rPr>
            </w:pPr>
          </w:p>
        </w:tc>
      </w:tr>
      <w:tr>
        <w:trPr>
          <w:trHeight w:val="158"/>
        </w:trPr>
        <w:tc>
          <w:tcPr>
            <w:tcW w:w="8440" w:type="dxa"/>
            <w:vAlign w:val="bottom"/>
            <w:tcBorders>
              <w:bottom w:val="single" w:sz="8" w:color="D1D2D4"/>
            </w:tcBorders>
            <w:shd w:val="clear" w:color="auto" w:fill="D1D2D4"/>
          </w:tcPr>
          <w:p>
            <w:pPr>
              <w:ind w:left="300"/>
              <w:spacing w:after="0"/>
              <w:rPr>
                <w:sz w:val="20"/>
                <w:szCs w:val="20"/>
                <w:color w:val="auto"/>
              </w:rPr>
            </w:pPr>
            <w:r>
              <w:rPr>
                <w:rFonts w:ascii="Arial" w:cs="Arial" w:eastAsia="Arial" w:hAnsi="Arial"/>
                <w:sz w:val="12"/>
                <w:szCs w:val="12"/>
                <w:color w:val="auto"/>
              </w:rPr>
              <w:t>Total assets</w:t>
            </w:r>
          </w:p>
        </w:tc>
        <w:tc>
          <w:tcPr>
            <w:tcW w:w="960" w:type="dxa"/>
            <w:vAlign w:val="bottom"/>
            <w:tcBorders>
              <w:bottom w:val="single" w:sz="8" w:color="auto"/>
            </w:tcBorders>
            <w:shd w:val="clear" w:color="auto" w:fill="D1D2D4"/>
          </w:tcPr>
          <w:p>
            <w:pPr>
              <w:jc w:val="right"/>
              <w:ind w:right="82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66,255</w:t>
            </w:r>
          </w:p>
        </w:tc>
        <w:tc>
          <w:tcPr>
            <w:tcW w:w="240" w:type="dxa"/>
            <w:vAlign w:val="bottom"/>
            <w:tcBorders>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64,254</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Liabilities and equity</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5,145</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3,958</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Current debt</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398</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 current liabilities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1,297</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529</w:t>
            </w:r>
          </w:p>
        </w:tc>
        <w:tc>
          <w:tcPr>
            <w:tcW w:w="0" w:type="dxa"/>
            <w:vAlign w:val="bottom"/>
          </w:tcPr>
          <w:p>
            <w:pPr>
              <w:spacing w:after="0"/>
              <w:rPr>
                <w:sz w:val="1"/>
                <w:szCs w:val="1"/>
                <w:color w:val="auto"/>
              </w:rPr>
            </w:pPr>
          </w:p>
        </w:tc>
      </w:tr>
      <w:tr>
        <w:trPr>
          <w:trHeight w:val="142"/>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Total current liabilities</w:t>
            </w:r>
          </w:p>
        </w:tc>
        <w:tc>
          <w:tcPr>
            <w:tcW w:w="960" w:type="dxa"/>
            <w:vAlign w:val="bottom"/>
            <w:shd w:val="clear" w:color="auto" w:fill="D1D2D4"/>
          </w:tcPr>
          <w:p>
            <w:pPr>
              <w:spacing w:after="0"/>
              <w:rPr>
                <w:sz w:val="12"/>
                <w:szCs w:val="12"/>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6,840</w:t>
            </w:r>
          </w:p>
        </w:tc>
        <w:tc>
          <w:tcPr>
            <w:tcW w:w="240" w:type="dxa"/>
            <w:vAlign w:val="bottom"/>
            <w:shd w:val="clear" w:color="auto" w:fill="D1D2D4"/>
          </w:tcPr>
          <w:p>
            <w:pPr>
              <w:spacing w:after="0"/>
              <w:rPr>
                <w:sz w:val="12"/>
                <w:szCs w:val="12"/>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4,765</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Long-term debt</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12,860</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13,052</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Noncurrent operating lease liabilities</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609</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603</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Noncurrent unearned government incentives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672</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Other noncurrent liabilities</w:t>
            </w:r>
          </w:p>
        </w:tc>
        <w:tc>
          <w:tcPr>
            <w:tcW w:w="960" w:type="dxa"/>
            <w:vAlign w:val="bottom"/>
            <w:tcBorders>
              <w:bottom w:val="single" w:sz="8" w:color="auto"/>
            </w:tcBorders>
            <w:shd w:val="clear" w:color="auto" w:fill="D1D2D4"/>
          </w:tcPr>
          <w:p>
            <w:pPr>
              <w:spacing w:after="0"/>
              <w:rPr>
                <w:sz w:val="13"/>
                <w:szCs w:val="13"/>
                <w:color w:val="auto"/>
              </w:rPr>
            </w:pPr>
          </w:p>
        </w:tc>
        <w:tc>
          <w:tcPr>
            <w:tcW w:w="4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1,049</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987</w:t>
            </w:r>
          </w:p>
        </w:tc>
        <w:tc>
          <w:tcPr>
            <w:tcW w:w="0" w:type="dxa"/>
            <w:vAlign w:val="bottom"/>
          </w:tcPr>
          <w:p>
            <w:pPr>
              <w:spacing w:after="0"/>
              <w:rPr>
                <w:sz w:val="1"/>
                <w:szCs w:val="1"/>
                <w:color w:val="auto"/>
              </w:rPr>
            </w:pPr>
          </w:p>
        </w:tc>
      </w:tr>
      <w:tr>
        <w:trPr>
          <w:trHeight w:val="142"/>
        </w:trPr>
        <w:tc>
          <w:tcPr>
            <w:tcW w:w="8440" w:type="dxa"/>
            <w:vAlign w:val="bottom"/>
            <w:tcBorders>
              <w:bottom w:val="single" w:sz="8" w:color="D1D2D4"/>
            </w:tcBorders>
          </w:tcPr>
          <w:p>
            <w:pPr>
              <w:ind w:left="300"/>
              <w:spacing w:after="0"/>
              <w:rPr>
                <w:sz w:val="20"/>
                <w:szCs w:val="20"/>
                <w:color w:val="auto"/>
              </w:rPr>
            </w:pPr>
            <w:r>
              <w:rPr>
                <w:rFonts w:ascii="Arial" w:cs="Arial" w:eastAsia="Arial" w:hAnsi="Arial"/>
                <w:sz w:val="12"/>
                <w:szCs w:val="12"/>
                <w:color w:val="auto"/>
              </w:rPr>
              <w:t>Total liabilities</w:t>
            </w: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22,030</w:t>
            </w: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20,134</w:t>
            </w:r>
          </w:p>
        </w:tc>
        <w:tc>
          <w:tcPr>
            <w:tcW w:w="0" w:type="dxa"/>
            <w:vAlign w:val="bottom"/>
          </w:tcPr>
          <w:p>
            <w:pPr>
              <w:spacing w:after="0"/>
              <w:rPr>
                <w:sz w:val="1"/>
                <w:szCs w:val="1"/>
                <w:color w:val="auto"/>
              </w:rPr>
            </w:pPr>
          </w:p>
        </w:tc>
      </w:tr>
      <w:tr>
        <w:trPr>
          <w:trHeight w:val="151"/>
        </w:trPr>
        <w:tc>
          <w:tcPr>
            <w:tcW w:w="844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44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460" w:type="dxa"/>
            <w:vAlign w:val="bottom"/>
            <w:shd w:val="clear" w:color="auto" w:fill="D1D2D4"/>
          </w:tcPr>
          <w:p>
            <w:pPr>
              <w:spacing w:after="0"/>
              <w:rPr>
                <w:sz w:val="14"/>
                <w:szCs w:val="14"/>
                <w:color w:val="auto"/>
              </w:rPr>
            </w:pPr>
          </w:p>
        </w:tc>
        <w:tc>
          <w:tcPr>
            <w:tcW w:w="24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Shareholders’ equity</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440" w:type="dxa"/>
            <w:vAlign w:val="bottom"/>
            <w:shd w:val="clear" w:color="auto" w:fill="D1D2D4"/>
          </w:tcPr>
          <w:p>
            <w:pPr>
              <w:ind w:left="140"/>
              <w:spacing w:after="0" w:line="122" w:lineRule="exact"/>
              <w:rPr>
                <w:sz w:val="20"/>
                <w:szCs w:val="20"/>
                <w:color w:val="auto"/>
              </w:rPr>
            </w:pPr>
            <w:r>
              <w:rPr>
                <w:rFonts w:ascii="Arial" w:cs="Arial" w:eastAsia="Arial" w:hAnsi="Arial"/>
                <w:sz w:val="12"/>
                <w:szCs w:val="12"/>
                <w:color w:val="auto"/>
              </w:rPr>
              <w:t>Common stock, $0.10 par value, 3,000 shares authorized, 1,250 shares issued and 1,109 outstanding (1,239 shares issued and 1,098 outstanding as of</w:t>
            </w:r>
          </w:p>
        </w:tc>
        <w:tc>
          <w:tcPr>
            <w:tcW w:w="960" w:type="dxa"/>
            <w:vAlign w:val="bottom"/>
            <w:shd w:val="clear" w:color="auto" w:fill="D1D2D4"/>
          </w:tcPr>
          <w:p>
            <w:pPr>
              <w:spacing w:after="0"/>
              <w:rPr>
                <w:sz w:val="10"/>
                <w:szCs w:val="10"/>
                <w:color w:val="auto"/>
              </w:rPr>
            </w:pPr>
          </w:p>
        </w:tc>
        <w:tc>
          <w:tcPr>
            <w:tcW w:w="460" w:type="dxa"/>
            <w:vAlign w:val="bottom"/>
            <w:vMerge w:val="restart"/>
            <w:shd w:val="clear" w:color="auto" w:fill="D1D2D4"/>
          </w:tcPr>
          <w:p>
            <w:pPr>
              <w:jc w:val="right"/>
              <w:spacing w:after="0"/>
              <w:rPr>
                <w:sz w:val="20"/>
                <w:szCs w:val="20"/>
                <w:color w:val="auto"/>
              </w:rPr>
            </w:pPr>
            <w:r>
              <w:rPr>
                <w:rFonts w:ascii="Arial" w:cs="Arial" w:eastAsia="Arial" w:hAnsi="Arial"/>
                <w:sz w:val="12"/>
                <w:szCs w:val="12"/>
                <w:color w:val="auto"/>
              </w:rPr>
              <w:t>125</w:t>
            </w:r>
          </w:p>
        </w:tc>
        <w:tc>
          <w:tcPr>
            <w:tcW w:w="240" w:type="dxa"/>
            <w:vAlign w:val="bottom"/>
            <w:shd w:val="clear" w:color="auto" w:fill="D1D2D4"/>
          </w:tcPr>
          <w:p>
            <w:pPr>
              <w:spacing w:after="0"/>
              <w:rPr>
                <w:sz w:val="10"/>
                <w:szCs w:val="10"/>
                <w:color w:val="auto"/>
              </w:rPr>
            </w:pPr>
          </w:p>
        </w:tc>
        <w:tc>
          <w:tcPr>
            <w:tcW w:w="1200" w:type="dxa"/>
            <w:vAlign w:val="bottom"/>
            <w:gridSpan w:val="2"/>
            <w:vMerge w:val="restart"/>
            <w:shd w:val="clear" w:color="auto" w:fill="D1D2D4"/>
          </w:tcPr>
          <w:p>
            <w:pPr>
              <w:jc w:val="right"/>
              <w:ind w:right="6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57"/>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August 31, 2023)</w:t>
            </w:r>
          </w:p>
        </w:tc>
        <w:tc>
          <w:tcPr>
            <w:tcW w:w="960" w:type="dxa"/>
            <w:vAlign w:val="bottom"/>
            <w:shd w:val="clear" w:color="auto" w:fill="D1D2D4"/>
          </w:tcPr>
          <w:p>
            <w:pPr>
              <w:spacing w:after="0"/>
              <w:rPr>
                <w:sz w:val="13"/>
                <w:szCs w:val="13"/>
                <w:color w:val="auto"/>
              </w:rPr>
            </w:pPr>
          </w:p>
        </w:tc>
        <w:tc>
          <w:tcPr>
            <w:tcW w:w="460" w:type="dxa"/>
            <w:vAlign w:val="bottom"/>
            <w:vMerge w:val="continue"/>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1200" w:type="dxa"/>
            <w:vAlign w:val="bottom"/>
            <w:gridSpan w:val="2"/>
            <w:vMerge w:val="continue"/>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40" w:type="dxa"/>
            <w:vAlign w:val="bottom"/>
          </w:tcPr>
          <w:p>
            <w:pPr>
              <w:ind w:left="140"/>
              <w:spacing w:after="0"/>
              <w:rPr>
                <w:sz w:val="20"/>
                <w:szCs w:val="20"/>
                <w:color w:val="auto"/>
              </w:rPr>
            </w:pPr>
            <w:r>
              <w:rPr>
                <w:rFonts w:ascii="Arial" w:cs="Arial" w:eastAsia="Arial" w:hAnsi="Arial"/>
                <w:sz w:val="12"/>
                <w:szCs w:val="12"/>
                <w:color w:val="auto"/>
              </w:rPr>
              <w:t>Additional capital</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11,794</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11,036</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Retained earnings</w:t>
            </w:r>
          </w:p>
        </w:tc>
        <w:tc>
          <w:tcPr>
            <w:tcW w:w="960" w:type="dxa"/>
            <w:vAlign w:val="bottom"/>
            <w:shd w:val="clear" w:color="auto" w:fill="D1D2D4"/>
          </w:tcPr>
          <w:p>
            <w:pPr>
              <w:spacing w:after="0"/>
              <w:rPr>
                <w:sz w:val="13"/>
                <w:szCs w:val="13"/>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40,169</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40,824</w:t>
            </w:r>
          </w:p>
        </w:tc>
        <w:tc>
          <w:tcPr>
            <w:tcW w:w="0" w:type="dxa"/>
            <w:vAlign w:val="bottom"/>
          </w:tcPr>
          <w:p>
            <w:pPr>
              <w:spacing w:after="0"/>
              <w:rPr>
                <w:sz w:val="1"/>
                <w:szCs w:val="1"/>
                <w:color w:val="auto"/>
              </w:rPr>
            </w:pPr>
          </w:p>
        </w:tc>
      </w:tr>
      <w:tr>
        <w:trPr>
          <w:trHeight w:val="153"/>
        </w:trPr>
        <w:tc>
          <w:tcPr>
            <w:tcW w:w="8440" w:type="dxa"/>
            <w:vAlign w:val="bottom"/>
          </w:tcPr>
          <w:p>
            <w:pPr>
              <w:ind w:left="140"/>
              <w:spacing w:after="0"/>
              <w:rPr>
                <w:sz w:val="20"/>
                <w:szCs w:val="20"/>
                <w:color w:val="auto"/>
              </w:rPr>
            </w:pPr>
            <w:r>
              <w:rPr>
                <w:rFonts w:ascii="Arial" w:cs="Arial" w:eastAsia="Arial" w:hAnsi="Arial"/>
                <w:sz w:val="12"/>
                <w:szCs w:val="12"/>
                <w:color w:val="auto"/>
              </w:rPr>
              <w:t>Treasury stock, 141 shares held (141 shares as of August 31, 2023)</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(7,552)</w:t>
            </w:r>
          </w:p>
        </w:tc>
        <w:tc>
          <w:tcPr>
            <w:tcW w:w="240" w:type="dxa"/>
            <w:vAlign w:val="bottom"/>
          </w:tcPr>
          <w:p>
            <w:pPr>
              <w:spacing w:after="0"/>
              <w:rPr>
                <w:sz w:val="13"/>
                <w:szCs w:val="1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(7,552)</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960" w:type="dxa"/>
            <w:vAlign w:val="bottom"/>
            <w:tcBorders>
              <w:bottom w:val="single" w:sz="8" w:color="auto"/>
            </w:tcBorders>
            <w:shd w:val="clear" w:color="auto" w:fill="D1D2D4"/>
          </w:tcPr>
          <w:p>
            <w:pPr>
              <w:spacing w:after="0"/>
              <w:rPr>
                <w:sz w:val="13"/>
                <w:szCs w:val="13"/>
                <w:color w:val="auto"/>
              </w:rPr>
            </w:pPr>
          </w:p>
        </w:tc>
        <w:tc>
          <w:tcPr>
            <w:tcW w:w="4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(311)</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42"/>
        </w:trPr>
        <w:tc>
          <w:tcPr>
            <w:tcW w:w="8440" w:type="dxa"/>
            <w:vAlign w:val="bottom"/>
            <w:tcBorders>
              <w:bottom w:val="single" w:sz="8" w:color="D1D2D4"/>
            </w:tcBorders>
          </w:tcPr>
          <w:p>
            <w:pPr>
              <w:ind w:left="300"/>
              <w:spacing w:after="0"/>
              <w:rPr>
                <w:sz w:val="20"/>
                <w:szCs w:val="20"/>
                <w:color w:val="auto"/>
              </w:rPr>
            </w:pPr>
            <w:r>
              <w:rPr>
                <w:rFonts w:ascii="Arial" w:cs="Arial" w:eastAsia="Arial" w:hAnsi="Arial"/>
                <w:sz w:val="12"/>
                <w:szCs w:val="12"/>
                <w:color w:val="auto"/>
              </w:rPr>
              <w:t>Total equity</w:t>
            </w: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44,225</w:t>
            </w: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44,120</w:t>
            </w:r>
          </w:p>
        </w:tc>
        <w:tc>
          <w:tcPr>
            <w:tcW w:w="0" w:type="dxa"/>
            <w:vAlign w:val="bottom"/>
          </w:tcPr>
          <w:p>
            <w:pPr>
              <w:spacing w:after="0"/>
              <w:rPr>
                <w:sz w:val="1"/>
                <w:szCs w:val="1"/>
                <w:color w:val="auto"/>
              </w:rPr>
            </w:pPr>
          </w:p>
        </w:tc>
      </w:tr>
      <w:tr>
        <w:trPr>
          <w:trHeight w:val="158"/>
        </w:trPr>
        <w:tc>
          <w:tcPr>
            <w:tcW w:w="8440" w:type="dxa"/>
            <w:vAlign w:val="bottom"/>
            <w:tcBorders>
              <w:bottom w:val="single" w:sz="8" w:color="D1D2D4"/>
            </w:tcBorders>
            <w:shd w:val="clear" w:color="auto" w:fill="D1D2D4"/>
          </w:tcPr>
          <w:p>
            <w:pPr>
              <w:ind w:left="300"/>
              <w:spacing w:after="0"/>
              <w:rPr>
                <w:sz w:val="20"/>
                <w:szCs w:val="20"/>
                <w:color w:val="auto"/>
              </w:rPr>
            </w:pPr>
            <w:r>
              <w:rPr>
                <w:rFonts w:ascii="Arial" w:cs="Arial" w:eastAsia="Arial" w:hAnsi="Arial"/>
                <w:sz w:val="12"/>
                <w:szCs w:val="12"/>
                <w:color w:val="auto"/>
              </w:rPr>
              <w:t>Total liabilities and equity</w:t>
            </w:r>
          </w:p>
        </w:tc>
        <w:tc>
          <w:tcPr>
            <w:tcW w:w="960" w:type="dxa"/>
            <w:vAlign w:val="bottom"/>
            <w:tcBorders>
              <w:bottom w:val="single" w:sz="8" w:color="auto"/>
            </w:tcBorders>
            <w:shd w:val="clear" w:color="auto" w:fill="D1D2D4"/>
          </w:tcPr>
          <w:p>
            <w:pPr>
              <w:jc w:val="right"/>
              <w:ind w:right="82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66,255</w:t>
            </w:r>
          </w:p>
        </w:tc>
        <w:tc>
          <w:tcPr>
            <w:tcW w:w="240" w:type="dxa"/>
            <w:vAlign w:val="bottom"/>
            <w:tcBorders>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64,254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7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38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Changes in Equity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80" w:type="dxa"/>
            <w:vAlign w:val="bottom"/>
          </w:tcPr>
          <w:p>
            <w:pPr>
              <w:spacing w:after="0"/>
              <w:rPr>
                <w:sz w:val="13"/>
                <w:szCs w:val="13"/>
                <w:color w:val="auto"/>
              </w:rPr>
            </w:pPr>
          </w:p>
        </w:tc>
        <w:tc>
          <w:tcPr>
            <w:tcW w:w="1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center"/>
              <w:ind w:right="60"/>
              <w:spacing w:after="0"/>
              <w:rPr>
                <w:sz w:val="20"/>
                <w:szCs w:val="20"/>
                <w:color w:val="auto"/>
              </w:rPr>
            </w:pPr>
            <w:r>
              <w:rPr>
                <w:rFonts w:ascii="Arial" w:cs="Arial" w:eastAsia="Arial" w:hAnsi="Arial"/>
                <w:sz w:val="12"/>
                <w:szCs w:val="12"/>
                <w:b w:val="1"/>
                <w:bCs w:val="1"/>
                <w:color w:val="auto"/>
                <w:w w:val="99"/>
              </w:rPr>
              <w:t>Accumulated Other</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780" w:type="dxa"/>
            <w:vAlign w:val="bottom"/>
          </w:tcPr>
          <w:p>
            <w:pPr>
              <w:spacing w:after="0"/>
              <w:rPr>
                <w:sz w:val="8"/>
                <w:szCs w:val="8"/>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8"/>
                <w:szCs w:val="8"/>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Retained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w w:val="96"/>
              </w:rPr>
              <w:t>Total Shareholders’</w:t>
            </w: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Treasury Stock</w:t>
            </w:r>
          </w:p>
        </w:tc>
        <w:tc>
          <w:tcPr>
            <w:tcW w:w="140" w:type="dxa"/>
            <w:vAlign w:val="bottom"/>
          </w:tcPr>
          <w:p>
            <w:pPr>
              <w:spacing w:after="0"/>
              <w:rPr>
                <w:sz w:val="10"/>
                <w:szCs w:val="10"/>
                <w:color w:val="auto"/>
              </w:rPr>
            </w:pPr>
          </w:p>
        </w:tc>
        <w:tc>
          <w:tcPr>
            <w:tcW w:w="1340" w:type="dxa"/>
            <w:vAlign w:val="bottom"/>
          </w:tcPr>
          <w:p>
            <w:pPr>
              <w:jc w:val="center"/>
              <w:ind w:right="60"/>
              <w:spacing w:after="0" w:line="121" w:lineRule="exact"/>
              <w:rPr>
                <w:sz w:val="20"/>
                <w:szCs w:val="20"/>
                <w:color w:val="auto"/>
              </w:rPr>
            </w:pPr>
            <w:r>
              <w:rPr>
                <w:rFonts w:ascii="Arial" w:cs="Arial" w:eastAsia="Arial" w:hAnsi="Arial"/>
                <w:sz w:val="12"/>
                <w:szCs w:val="12"/>
                <w:b w:val="1"/>
                <w:bCs w:val="1"/>
                <w:color w:val="auto"/>
                <w:w w:val="99"/>
              </w:rPr>
              <w:t>Comprehensive</w:t>
            </w:r>
          </w:p>
        </w:tc>
        <w:tc>
          <w:tcPr>
            <w:tcW w:w="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of Shares</w:t>
            </w: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Capital</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1"/>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b w:val="1"/>
                <w:bCs w:val="1"/>
                <w:color w:val="auto"/>
              </w:rPr>
              <w:t>Balance at August 31, 2023</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1,239</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124</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11,036</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40,824</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(312)</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44,120</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(1,234)</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2"/>
                <w:szCs w:val="12"/>
                <w:color w:val="auto"/>
              </w:rPr>
              <w:t>8</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188</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Repurchase of stock - withholdings on employee equity awards</w:t>
            </w:r>
          </w:p>
        </w:tc>
        <w:tc>
          <w:tcPr>
            <w:tcW w:w="960" w:type="dxa"/>
            <w:vAlign w:val="bottom"/>
          </w:tcPr>
          <w:p>
            <w:pPr>
              <w:jc w:val="right"/>
              <w:spacing w:after="0"/>
              <w:rPr>
                <w:sz w:val="20"/>
                <w:szCs w:val="20"/>
                <w:color w:val="auto"/>
              </w:rPr>
            </w:pPr>
            <w:r>
              <w:rPr>
                <w:rFonts w:ascii="Arial" w:cs="Arial" w:eastAsia="Arial" w:hAnsi="Arial"/>
                <w:sz w:val="12"/>
                <w:szCs w:val="12"/>
                <w:color w:val="auto"/>
              </w:rPr>
              <w:t>(2)</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(105)</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Dividends and dividend equivalents declared ($0.115 per share)</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D1D2D4"/>
          </w:tcPr>
          <w:p>
            <w:pPr>
              <w:spacing w:after="0"/>
              <w:rPr>
                <w:sz w:val="13"/>
                <w:szCs w:val="13"/>
                <w:color w:val="auto"/>
              </w:rPr>
            </w:pP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(129)</w:t>
            </w:r>
          </w:p>
        </w:tc>
        <w:tc>
          <w:tcPr>
            <w:tcW w:w="320" w:type="dxa"/>
            <w:vAlign w:val="bottom"/>
            <w:tcBorders>
              <w:bottom w:val="single" w:sz="8" w:color="auto"/>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2"/>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Balance at November 30, 2023</w:t>
            </w:r>
          </w:p>
        </w:tc>
        <w:tc>
          <w:tcPr>
            <w:tcW w:w="960" w:type="dxa"/>
            <w:vAlign w:val="bottom"/>
          </w:tcPr>
          <w:p>
            <w:pPr>
              <w:jc w:val="right"/>
              <w:spacing w:after="0"/>
              <w:rPr>
                <w:sz w:val="20"/>
                <w:szCs w:val="20"/>
                <w:color w:val="auto"/>
              </w:rPr>
            </w:pPr>
            <w:r>
              <w:rPr>
                <w:rFonts w:ascii="Arial" w:cs="Arial" w:eastAsia="Arial" w:hAnsi="Arial"/>
                <w:sz w:val="12"/>
                <w:szCs w:val="12"/>
                <w:color w:val="auto"/>
              </w:rPr>
              <w:t>1,245</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tcPr>
          <w:p>
            <w:pPr>
              <w:jc w:val="right"/>
              <w:spacing w:after="0"/>
              <w:rPr>
                <w:sz w:val="20"/>
                <w:szCs w:val="20"/>
                <w:color w:val="auto"/>
              </w:rPr>
            </w:pPr>
            <w:r>
              <w:rPr>
                <w:rFonts w:ascii="Arial" w:cs="Arial" w:eastAsia="Arial" w:hAnsi="Arial"/>
                <w:sz w:val="12"/>
                <w:szCs w:val="12"/>
                <w:color w:val="auto"/>
                <w:w w:val="89"/>
              </w:rPr>
              <w:t>124</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11,217</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39,356</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(260)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42,885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Net income (loss)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Other comprehensive income (loss), net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Stock issued under stock plans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136</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213</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Repurchase of stock - withholdings on employee equity awards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D1D2D4"/>
            </w:tcBorders>
          </w:tcPr>
          <w:p>
            <w:pPr>
              <w:ind w:left="20"/>
              <w:spacing w:after="0"/>
              <w:rPr>
                <w:sz w:val="20"/>
                <w:szCs w:val="20"/>
                <w:color w:val="auto"/>
              </w:rPr>
            </w:pPr>
            <w:r>
              <w:rPr>
                <w:rFonts w:ascii="Arial" w:cs="Arial" w:eastAsia="Arial" w:hAnsi="Arial"/>
                <w:sz w:val="12"/>
                <w:szCs w:val="12"/>
                <w:color w:val="auto"/>
              </w:rPr>
              <w:t>Dividends and dividend equivalents declared ($0.115 per share)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b w:val="1"/>
                <w:bCs w:val="1"/>
                <w:color w:val="auto"/>
              </w:rPr>
              <w:t>Balance at February 29, 2024</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1,248</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125</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11,564</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39,997</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(264)</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43,870</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332</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2"/>
                <w:szCs w:val="12"/>
                <w:color w:val="auto"/>
              </w:rPr>
              <w:t>2</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219</w:t>
            </w:r>
          </w:p>
        </w:tc>
        <w:tc>
          <w:tcPr>
            <w:tcW w:w="1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53"/>
        </w:trPr>
        <w:tc>
          <w:tcPr>
            <w:tcW w:w="3780" w:type="dxa"/>
            <w:vAlign w:val="bottom"/>
          </w:tcPr>
          <w:p>
            <w:pPr>
              <w:ind w:left="20"/>
              <w:spacing w:after="0"/>
              <w:rPr>
                <w:sz w:val="20"/>
                <w:szCs w:val="20"/>
                <w:color w:val="auto"/>
              </w:rPr>
            </w:pPr>
            <w:r>
              <w:rPr>
                <w:rFonts w:ascii="Arial" w:cs="Arial" w:eastAsia="Arial" w:hAnsi="Arial"/>
                <w:sz w:val="12"/>
                <w:szCs w:val="12"/>
                <w:color w:val="auto"/>
              </w:rPr>
              <w:t>Repurchase of stock - withholdings on employee equity awards</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ind w:left="20"/>
              <w:spacing w:after="0"/>
              <w:rPr>
                <w:sz w:val="20"/>
                <w:szCs w:val="20"/>
                <w:color w:val="auto"/>
              </w:rPr>
            </w:pPr>
            <w:r>
              <w:rPr>
                <w:rFonts w:ascii="Arial" w:cs="Arial" w:eastAsia="Arial" w:hAnsi="Arial"/>
                <w:sz w:val="12"/>
                <w:szCs w:val="12"/>
                <w:color w:val="auto"/>
              </w:rPr>
              <w:t>Dividends and dividend equivalents declared ($0.115 per share)</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D1D2D4"/>
          </w:tcPr>
          <w:p>
            <w:pPr>
              <w:spacing w:after="0"/>
              <w:rPr>
                <w:sz w:val="13"/>
                <w:szCs w:val="13"/>
                <w:color w:val="auto"/>
              </w:rPr>
            </w:pP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(130)</w:t>
            </w:r>
          </w:p>
        </w:tc>
        <w:tc>
          <w:tcPr>
            <w:tcW w:w="320" w:type="dxa"/>
            <w:vAlign w:val="bottom"/>
            <w:tcBorders>
              <w:bottom w:val="single" w:sz="8" w:color="auto"/>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Balance at May 30,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w:t>
            </w:r>
          </w:p>
        </w:tc>
        <w:tc>
          <w:tcPr>
            <w:tcW w:w="7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11,794</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40,169</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7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38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Consolidated Statements of Changes in Equity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80" w:type="dxa"/>
            <w:vAlign w:val="bottom"/>
          </w:tcPr>
          <w:p>
            <w:pPr>
              <w:spacing w:after="0"/>
              <w:rPr>
                <w:sz w:val="13"/>
                <w:szCs w:val="13"/>
                <w:color w:val="auto"/>
              </w:rPr>
            </w:pPr>
          </w:p>
        </w:tc>
        <w:tc>
          <w:tcPr>
            <w:tcW w:w="1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w w:val="99"/>
              </w:rPr>
              <w:t>Accumulated Other</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780" w:type="dxa"/>
            <w:vAlign w:val="bottom"/>
          </w:tcPr>
          <w:p>
            <w:pPr>
              <w:spacing w:after="0"/>
              <w:rPr>
                <w:sz w:val="8"/>
                <w:szCs w:val="8"/>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8"/>
                <w:szCs w:val="8"/>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Retained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w w:val="98"/>
              </w:rPr>
              <w:t>Total Shareholders’</w:t>
            </w: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Treasury Stock</w:t>
            </w:r>
          </w:p>
        </w:tc>
        <w:tc>
          <w:tcPr>
            <w:tcW w:w="140" w:type="dxa"/>
            <w:vAlign w:val="bottom"/>
          </w:tcPr>
          <w:p>
            <w:pPr>
              <w:spacing w:after="0"/>
              <w:rPr>
                <w:sz w:val="10"/>
                <w:szCs w:val="10"/>
                <w:color w:val="auto"/>
              </w:rPr>
            </w:pPr>
          </w:p>
        </w:tc>
        <w:tc>
          <w:tcPr>
            <w:tcW w:w="1320" w:type="dxa"/>
            <w:vAlign w:val="bottom"/>
          </w:tcPr>
          <w:p>
            <w:pPr>
              <w:jc w:val="center"/>
              <w:ind w:right="80"/>
              <w:spacing w:after="0" w:line="121" w:lineRule="exact"/>
              <w:rPr>
                <w:sz w:val="20"/>
                <w:szCs w:val="20"/>
                <w:color w:val="auto"/>
              </w:rPr>
            </w:pPr>
            <w:r>
              <w:rPr>
                <w:rFonts w:ascii="Arial" w:cs="Arial" w:eastAsia="Arial" w:hAnsi="Arial"/>
                <w:sz w:val="12"/>
                <w:szCs w:val="12"/>
                <w:b w:val="1"/>
                <w:bCs w:val="1"/>
                <w:color w:val="auto"/>
                <w:w w:val="99"/>
              </w:rPr>
              <w:t>Comprehensive</w:t>
            </w: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7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of Shares</w:t>
            </w:r>
          </w:p>
        </w:tc>
        <w:tc>
          <w:tcPr>
            <w:tcW w:w="7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Earnings</w:t>
            </w:r>
          </w:p>
        </w:tc>
        <w:tc>
          <w:tcPr>
            <w:tcW w:w="9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1"/>
        </w:trPr>
        <w:tc>
          <w:tcPr>
            <w:tcW w:w="37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Balance at September 1, 2022</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1,226</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10,197</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47,274</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(7,127)</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(560)</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49,907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Net income (loss)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(195)</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Other comprehensive income (loss), net</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87</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Stock issued under stock plans</w:t>
            </w:r>
          </w:p>
        </w:tc>
        <w:tc>
          <w:tcPr>
            <w:tcW w:w="940" w:type="dxa"/>
            <w:vAlign w:val="bottom"/>
          </w:tcPr>
          <w:p>
            <w:pPr>
              <w:jc w:val="right"/>
              <w:spacing w:after="0"/>
              <w:rPr>
                <w:sz w:val="20"/>
                <w:szCs w:val="20"/>
                <w:color w:val="auto"/>
              </w:rPr>
            </w:pPr>
            <w:r>
              <w:rPr>
                <w:rFonts w:ascii="Arial" w:cs="Arial" w:eastAsia="Arial" w:hAnsi="Arial"/>
                <w:sz w:val="12"/>
                <w:szCs w:val="12"/>
                <w:color w:val="auto"/>
              </w:rPr>
              <w:t>8</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Stock-based compensation expense</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146</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Repurchase of stock - repurchase program</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(425)</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Repurchase of stock - withholdings on employee equity awards</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(80)</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Dividends and dividend equivalents declared ($0.115 per share)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2"/>
        </w:trPr>
        <w:tc>
          <w:tcPr>
            <w:tcW w:w="37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Balance at December 1, 2022</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1,232</w:t>
            </w:r>
          </w:p>
        </w:tc>
        <w:tc>
          <w:tcPr>
            <w:tcW w:w="700" w:type="dxa"/>
            <w:vAlign w:val="bottom"/>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10,335</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46,873</w:t>
            </w: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(473)</w:t>
            </w:r>
          </w:p>
        </w:tc>
        <w:tc>
          <w:tcPr>
            <w:tcW w:w="80" w:type="dxa"/>
            <w:vAlign w:val="bottom"/>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49,306</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Net income (loss)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(2,312)</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(2,312)</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Other comprehensive income (loss), net</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Stock issued under stock plans</w:t>
            </w: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142</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Stock-based compensation expense</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157</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Repurchase of stock - withholdings on employee equity awards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Dividends and dividend equivalents declared ($0.115 per share)</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D1D2D4"/>
          </w:tcPr>
          <w:p>
            <w:pPr>
              <w:spacing w:after="0"/>
              <w:rPr>
                <w:sz w:val="13"/>
                <w:szCs w:val="13"/>
                <w:color w:val="auto"/>
              </w:rPr>
            </w:pPr>
          </w:p>
        </w:tc>
        <w:tc>
          <w:tcPr>
            <w:tcW w:w="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(128)</w:t>
            </w:r>
          </w:p>
        </w:tc>
        <w:tc>
          <w:tcPr>
            <w:tcW w:w="320" w:type="dxa"/>
            <w:vAlign w:val="bottom"/>
            <w:tcBorders>
              <w:bottom w:val="single" w:sz="8" w:color="auto"/>
            </w:tcBorders>
            <w:shd w:val="clear" w:color="auto" w:fill="D1D2D4"/>
          </w:tcPr>
          <w:p>
            <w:pPr>
              <w:spacing w:after="0"/>
              <w:rPr>
                <w:sz w:val="13"/>
                <w:szCs w:val="13"/>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D1D2D4"/>
          </w:tcPr>
          <w:p>
            <w:pPr>
              <w:spacing w:after="0"/>
              <w:rPr>
                <w:sz w:val="13"/>
                <w:szCs w:val="13"/>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2"/>
                <w:szCs w:val="12"/>
                <w:b w:val="1"/>
                <w:bCs w:val="1"/>
                <w:color w:val="auto"/>
              </w:rPr>
              <w:t>Balance at March 2, 2023</w:t>
            </w:r>
          </w:p>
        </w:tc>
        <w:tc>
          <w:tcPr>
            <w:tcW w:w="940" w:type="dxa"/>
            <w:vAlign w:val="bottom"/>
          </w:tcPr>
          <w:p>
            <w:pPr>
              <w:jc w:val="right"/>
              <w:spacing w:after="0"/>
              <w:rPr>
                <w:sz w:val="20"/>
                <w:szCs w:val="20"/>
                <w:color w:val="auto"/>
              </w:rPr>
            </w:pPr>
            <w:r>
              <w:rPr>
                <w:rFonts w:ascii="Arial" w:cs="Arial" w:eastAsia="Arial" w:hAnsi="Arial"/>
                <w:sz w:val="12"/>
                <w:szCs w:val="12"/>
                <w:color w:val="auto"/>
              </w:rPr>
              <w:t>1,235</w:t>
            </w:r>
          </w:p>
        </w:tc>
        <w:tc>
          <w:tcPr>
            <w:tcW w:w="700" w:type="dxa"/>
            <w:vAlign w:val="bottom"/>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tcPr>
          <w:p>
            <w:pPr>
              <w:jc w:val="right"/>
              <w:spacing w:after="0"/>
              <w:rPr>
                <w:sz w:val="20"/>
                <w:szCs w:val="20"/>
                <w:color w:val="auto"/>
              </w:rPr>
            </w:pPr>
            <w:r>
              <w:rPr>
                <w:rFonts w:ascii="Arial" w:cs="Arial" w:eastAsia="Arial" w:hAnsi="Arial"/>
                <w:sz w:val="12"/>
                <w:szCs w:val="12"/>
                <w:color w:val="auto"/>
                <w:w w:val="89"/>
              </w:rPr>
              <w:t>123</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10,633</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44,426</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(373)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47,257</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Net income (loss)</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(1,896)</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(1,896)</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Other comprehensive income (loss), net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Stock issued under stock plans</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145</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53"/>
        </w:trPr>
        <w:tc>
          <w:tcPr>
            <w:tcW w:w="3780" w:type="dxa"/>
            <w:vAlign w:val="bottom"/>
            <w:shd w:val="clear" w:color="auto" w:fill="D1D2D4"/>
          </w:tcPr>
          <w:p>
            <w:pPr>
              <w:spacing w:after="0"/>
              <w:rPr>
                <w:sz w:val="20"/>
                <w:szCs w:val="20"/>
                <w:color w:val="auto"/>
              </w:rPr>
            </w:pPr>
            <w:r>
              <w:rPr>
                <w:rFonts w:ascii="Arial" w:cs="Arial" w:eastAsia="Arial" w:hAnsi="Arial"/>
                <w:sz w:val="12"/>
                <w:szCs w:val="12"/>
                <w:color w:val="auto"/>
              </w:rPr>
              <w:t>Repurchase of stock - withholdings on employee equity awards</w:t>
            </w:r>
          </w:p>
        </w:tc>
        <w:tc>
          <w:tcPr>
            <w:tcW w:w="9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1D2D4"/>
          </w:tcPr>
          <w:p>
            <w:pPr>
              <w:spacing w:after="0"/>
              <w:rPr>
                <w:sz w:val="13"/>
                <w:szCs w:val="13"/>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w:t>
            </w:r>
          </w:p>
        </w:tc>
        <w:tc>
          <w:tcPr>
            <w:tcW w:w="3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Dividends and dividend equivalents declared ($0.115 per share)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2"/>
                <w:szCs w:val="12"/>
                <w:b w:val="1"/>
                <w:bCs w:val="1"/>
                <w:color w:val="auto"/>
              </w:rPr>
              <w:t>Balance at June 1, 2023</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1,236</w:t>
            </w:r>
          </w:p>
        </w:tc>
        <w:tc>
          <w:tcPr>
            <w:tcW w:w="700" w:type="dxa"/>
            <w:vAlign w:val="bottom"/>
            <w:tcBorders>
              <w:bottom w:val="single" w:sz="8" w:color="auto"/>
            </w:tcBorders>
            <w:shd w:val="clear" w:color="auto" w:fill="D1D2D4"/>
          </w:tcPr>
          <w:p>
            <w:pPr>
              <w:jc w:val="right"/>
              <w:ind w:right="560"/>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124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10,782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42,391</w:t>
            </w:r>
          </w:p>
        </w:tc>
        <w:tc>
          <w:tcPr>
            <w:tcW w:w="320" w:type="dxa"/>
            <w:vAlign w:val="bottom"/>
            <w:tcBorders>
              <w:bottom w:val="single" w:sz="8" w:color="auto"/>
            </w:tcBorders>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(7,552)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(340)</w:t>
            </w:r>
          </w:p>
        </w:tc>
        <w:tc>
          <w:tcPr>
            <w:tcW w:w="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45,405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9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tcPr>
          <w:p>
            <w:pPr>
              <w:ind w:left="220"/>
              <w:spacing w:after="0"/>
              <w:rPr>
                <w:sz w:val="20"/>
                <w:szCs w:val="20"/>
                <w:color w:val="auto"/>
              </w:rPr>
            </w:pPr>
            <w:r>
              <w:rPr>
                <w:rFonts w:ascii="Arial" w:cs="Arial" w:eastAsia="Arial" w:hAnsi="Arial"/>
                <w:sz w:val="11"/>
                <w:szCs w:val="11"/>
                <w:b w:val="1"/>
                <w:bCs w:val="1"/>
                <w:color w:val="BD03F7"/>
                <w:w w:val="94"/>
              </w:rPr>
              <w:t>Table of Contents</w:t>
            </w:r>
          </w:p>
        </w:tc>
        <w:tc>
          <w:tcPr>
            <w:tcW w:w="0" w:type="dxa"/>
            <w:vAlign w:val="bottom"/>
          </w:tcPr>
          <w:p>
            <w:pPr>
              <w:spacing w:after="0"/>
              <w:rPr>
                <w:sz w:val="1"/>
                <w:szCs w:val="1"/>
                <w:color w:val="auto"/>
              </w:rPr>
            </w:pPr>
          </w:p>
        </w:tc>
      </w:tr>
      <w:tr>
        <w:trPr>
          <w:trHeight w:val="714"/>
        </w:trPr>
        <w:tc>
          <w:tcPr>
            <w:tcW w:w="8480" w:type="dxa"/>
            <w:vAlign w:val="bottom"/>
          </w:tcPr>
          <w:p>
            <w:pPr>
              <w:spacing w:after="0"/>
              <w:rPr>
                <w:sz w:val="20"/>
                <w:szCs w:val="20"/>
                <w:color w:val="auto"/>
              </w:rPr>
            </w:pPr>
            <w:r>
              <w:rPr>
                <w:rFonts w:ascii="Arial" w:cs="Arial" w:eastAsia="Arial" w:hAnsi="Arial"/>
                <w:sz w:val="26"/>
                <w:szCs w:val="26"/>
                <w:b w:val="1"/>
                <w:bCs w:val="1"/>
                <w:color w:val="auto"/>
              </w:rPr>
              <w:t>Micron Technology, Inc.</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480" w:type="dxa"/>
            <w:vAlign w:val="bottom"/>
          </w:tcPr>
          <w:p>
            <w:pPr>
              <w:spacing w:after="0"/>
              <w:rPr>
                <w:sz w:val="20"/>
                <w:szCs w:val="20"/>
                <w:color w:val="auto"/>
              </w:rPr>
            </w:pPr>
            <w:r>
              <w:rPr>
                <w:rFonts w:ascii="Arial" w:cs="Arial" w:eastAsia="Arial" w:hAnsi="Arial"/>
                <w:sz w:val="26"/>
                <w:szCs w:val="26"/>
                <w:b w:val="1"/>
                <w:bCs w:val="1"/>
                <w:color w:val="auto"/>
              </w:rPr>
              <w:t>Consolidated Statements of Cash Flows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480" w:type="dxa"/>
            <w:vAlign w:val="bottom"/>
          </w:tcPr>
          <w:p>
            <w:pPr>
              <w:spacing w:after="0"/>
              <w:rPr>
                <w:sz w:val="20"/>
                <w:szCs w:val="20"/>
                <w:color w:val="auto"/>
              </w:rPr>
            </w:pPr>
            <w:r>
              <w:rPr>
                <w:rFonts w:ascii="Arial" w:cs="Arial" w:eastAsia="Arial" w:hAnsi="Arial"/>
                <w:sz w:val="12"/>
                <w:szCs w:val="12"/>
                <w:color w:val="auto"/>
              </w:rPr>
              <w:t>(In millions)</w:t>
            </w: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480" w:type="dxa"/>
            <w:vAlign w:val="bottom"/>
          </w:tcPr>
          <w:p>
            <w:pPr>
              <w:spacing w:after="0"/>
              <w:rPr>
                <w:sz w:val="20"/>
                <w:szCs w:val="20"/>
                <w:color w:val="auto"/>
              </w:rPr>
            </w:pPr>
            <w:r>
              <w:rPr>
                <w:rFonts w:ascii="Arial" w:cs="Arial" w:eastAsia="Arial" w:hAnsi="Arial"/>
                <w:sz w:val="12"/>
                <w:szCs w:val="12"/>
                <w:color w:val="auto"/>
              </w:rPr>
              <w:t>(Unaudited)</w:t>
            </w: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80" w:type="dxa"/>
            <w:vAlign w:val="bottom"/>
            <w:vMerge w:val="restart"/>
          </w:tcPr>
          <w:p>
            <w:pPr>
              <w:spacing w:after="0"/>
              <w:rPr>
                <w:sz w:val="20"/>
                <w:szCs w:val="20"/>
                <w:color w:val="auto"/>
              </w:rPr>
            </w:pPr>
            <w:r>
              <w:rPr>
                <w:rFonts w:ascii="Arial" w:cs="Arial" w:eastAsia="Arial" w:hAnsi="Arial"/>
                <w:sz w:val="12"/>
                <w:szCs w:val="12"/>
                <w:b w:val="1"/>
                <w:bCs w:val="1"/>
                <w:color w:val="auto"/>
              </w:rPr>
              <w:t>Nine months ended</w:t>
            </w:r>
          </w:p>
        </w:tc>
        <w:tc>
          <w:tcPr>
            <w:tcW w:w="980" w:type="dxa"/>
            <w:vAlign w:val="bottom"/>
          </w:tcPr>
          <w:p>
            <w:pPr>
              <w:jc w:val="center"/>
              <w:ind w:left="380"/>
              <w:spacing w:after="0"/>
              <w:rPr>
                <w:sz w:val="20"/>
                <w:szCs w:val="20"/>
                <w:color w:val="auto"/>
              </w:rPr>
            </w:pPr>
            <w:r>
              <w:rPr>
                <w:rFonts w:ascii="Arial" w:cs="Arial" w:eastAsia="Arial" w:hAnsi="Arial"/>
                <w:sz w:val="12"/>
                <w:szCs w:val="12"/>
                <w:b w:val="1"/>
                <w:bCs w:val="1"/>
                <w:color w:val="auto"/>
                <w:w w:val="96"/>
              </w:rPr>
              <w:t>May 30,</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1,</w:t>
            </w:r>
          </w:p>
        </w:tc>
        <w:tc>
          <w:tcPr>
            <w:tcW w:w="0" w:type="dxa"/>
            <w:vAlign w:val="bottom"/>
          </w:tcPr>
          <w:p>
            <w:pPr>
              <w:spacing w:after="0"/>
              <w:rPr>
                <w:sz w:val="1"/>
                <w:szCs w:val="1"/>
                <w:color w:val="auto"/>
              </w:rPr>
            </w:pPr>
          </w:p>
        </w:tc>
      </w:tr>
      <w:tr>
        <w:trPr>
          <w:trHeight w:val="165"/>
        </w:trPr>
        <w:tc>
          <w:tcPr>
            <w:tcW w:w="84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980" w:type="dxa"/>
            <w:vAlign w:val="bottom"/>
            <w:shd w:val="clear" w:color="auto" w:fill="D1D2D4"/>
          </w:tcPr>
          <w:p>
            <w:pPr>
              <w:spacing w:after="0"/>
              <w:rPr>
                <w:sz w:val="14"/>
                <w:szCs w:val="14"/>
                <w:color w:val="auto"/>
              </w:rPr>
            </w:pPr>
          </w:p>
        </w:tc>
        <w:tc>
          <w:tcPr>
            <w:tcW w:w="420" w:type="dxa"/>
            <w:vAlign w:val="bottom"/>
            <w:shd w:val="clear" w:color="auto" w:fill="D1D2D4"/>
          </w:tcPr>
          <w:p>
            <w:pPr>
              <w:spacing w:after="0"/>
              <w:rPr>
                <w:sz w:val="14"/>
                <w:szCs w:val="14"/>
                <w:color w:val="auto"/>
              </w:rPr>
            </w:pPr>
          </w:p>
        </w:tc>
        <w:tc>
          <w:tcPr>
            <w:tcW w:w="30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Net income (loss)</w:t>
            </w:r>
          </w:p>
        </w:tc>
        <w:tc>
          <w:tcPr>
            <w:tcW w:w="980" w:type="dxa"/>
            <w:vAlign w:val="bottom"/>
          </w:tcPr>
          <w:p>
            <w:pPr>
              <w:jc w:val="right"/>
              <w:ind w:right="84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(109)</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(4,403)</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140"/>
              <w:spacing w:after="0"/>
              <w:rPr>
                <w:sz w:val="20"/>
                <w:szCs w:val="20"/>
                <w:color w:val="auto"/>
              </w:rPr>
            </w:pPr>
            <w:r>
              <w:rPr>
                <w:rFonts w:ascii="Arial" w:cs="Arial" w:eastAsia="Arial" w:hAnsi="Arial"/>
                <w:sz w:val="12"/>
                <w:szCs w:val="12"/>
                <w:color w:val="auto"/>
              </w:rPr>
              <w:t>Depreciation expense and amortization of intangible assets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5,794</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5,819</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Stock-based compensation</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620</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53"/>
        </w:trPr>
        <w:tc>
          <w:tcPr>
            <w:tcW w:w="8480" w:type="dxa"/>
            <w:vAlign w:val="bottom"/>
          </w:tcPr>
          <w:p>
            <w:pPr>
              <w:ind w:left="140"/>
              <w:spacing w:after="0"/>
              <w:rPr>
                <w:sz w:val="20"/>
                <w:szCs w:val="20"/>
                <w:color w:val="auto"/>
              </w:rPr>
            </w:pPr>
            <w:r>
              <w:rPr>
                <w:rFonts w:ascii="Arial" w:cs="Arial" w:eastAsia="Arial" w:hAnsi="Arial"/>
                <w:sz w:val="12"/>
                <w:szCs w:val="12"/>
                <w:color w:val="auto"/>
              </w:rPr>
              <w:t>Provision to write-down inventories to net realizable value</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1,831</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Change in operating assets and liabilities:</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20"/>
              <w:spacing w:after="0"/>
              <w:rPr>
                <w:sz w:val="20"/>
                <w:szCs w:val="20"/>
                <w:color w:val="auto"/>
              </w:rPr>
            </w:pPr>
            <w:r>
              <w:rPr>
                <w:rFonts w:ascii="Arial" w:cs="Arial" w:eastAsia="Arial" w:hAnsi="Arial"/>
                <w:sz w:val="12"/>
                <w:szCs w:val="12"/>
                <w:color w:val="auto"/>
              </w:rPr>
              <w:t>Receivables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(2,562)</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2,728</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220"/>
              <w:spacing w:after="0"/>
              <w:rPr>
                <w:sz w:val="20"/>
                <w:szCs w:val="20"/>
                <w:color w:val="auto"/>
              </w:rPr>
            </w:pPr>
            <w:r>
              <w:rPr>
                <w:rFonts w:ascii="Arial" w:cs="Arial" w:eastAsia="Arial" w:hAnsi="Arial"/>
                <w:sz w:val="12"/>
                <w:szCs w:val="12"/>
                <w:color w:val="auto"/>
              </w:rPr>
              <w:t>Inventories</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(125)</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(3,406)</w:t>
            </w:r>
          </w:p>
        </w:tc>
        <w:tc>
          <w:tcPr>
            <w:tcW w:w="0" w:type="dxa"/>
            <w:vAlign w:val="bottom"/>
          </w:tcPr>
          <w:p>
            <w:pPr>
              <w:spacing w:after="0"/>
              <w:rPr>
                <w:sz w:val="1"/>
                <w:szCs w:val="1"/>
                <w:color w:val="auto"/>
              </w:rPr>
            </w:pPr>
          </w:p>
        </w:tc>
      </w:tr>
      <w:tr>
        <w:trPr>
          <w:trHeight w:val="153"/>
        </w:trPr>
        <w:tc>
          <w:tcPr>
            <w:tcW w:w="8480" w:type="dxa"/>
            <w:vAlign w:val="bottom"/>
          </w:tcPr>
          <w:p>
            <w:pPr>
              <w:ind w:left="220"/>
              <w:spacing w:after="0"/>
              <w:rPr>
                <w:sz w:val="20"/>
                <w:szCs w:val="20"/>
                <w:color w:val="auto"/>
              </w:rPr>
            </w:pPr>
            <w:r>
              <w:rPr>
                <w:rFonts w:ascii="Arial" w:cs="Arial" w:eastAsia="Arial" w:hAnsi="Arial"/>
                <w:sz w:val="12"/>
                <w:szCs w:val="12"/>
                <w:color w:val="auto"/>
              </w:rPr>
              <w:t>Other current assets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(435)</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220"/>
              <w:spacing w:after="0"/>
              <w:rPr>
                <w:sz w:val="20"/>
                <w:szCs w:val="20"/>
                <w:color w:val="auto"/>
              </w:rPr>
            </w:pPr>
            <w:r>
              <w:rPr>
                <w:rFonts w:ascii="Arial" w:cs="Arial" w:eastAsia="Arial" w:hAnsi="Arial"/>
                <w:sz w:val="12"/>
                <w:szCs w:val="12"/>
                <w:color w:val="auto"/>
              </w:rPr>
              <w:t>Accounts payable and accrued expenses</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846</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(1,113)</w:t>
            </w:r>
          </w:p>
        </w:tc>
        <w:tc>
          <w:tcPr>
            <w:tcW w:w="0" w:type="dxa"/>
            <w:vAlign w:val="bottom"/>
          </w:tcPr>
          <w:p>
            <w:pPr>
              <w:spacing w:after="0"/>
              <w:rPr>
                <w:sz w:val="1"/>
                <w:szCs w:val="1"/>
                <w:color w:val="auto"/>
              </w:rPr>
            </w:pPr>
          </w:p>
        </w:tc>
      </w:tr>
      <w:tr>
        <w:trPr>
          <w:trHeight w:val="153"/>
        </w:trPr>
        <w:tc>
          <w:tcPr>
            <w:tcW w:w="8480" w:type="dxa"/>
            <w:vAlign w:val="bottom"/>
          </w:tcPr>
          <w:p>
            <w:pPr>
              <w:ind w:left="220"/>
              <w:spacing w:after="0"/>
              <w:rPr>
                <w:sz w:val="20"/>
                <w:szCs w:val="20"/>
                <w:color w:val="auto"/>
              </w:rPr>
            </w:pPr>
            <w:r>
              <w:rPr>
                <w:rFonts w:ascii="Arial" w:cs="Arial" w:eastAsia="Arial" w:hAnsi="Arial"/>
                <w:sz w:val="12"/>
                <w:szCs w:val="12"/>
                <w:color w:val="auto"/>
              </w:rPr>
              <w:t>Other current liabilities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769</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(677)</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Other</w:t>
            </w:r>
          </w:p>
        </w:tc>
        <w:tc>
          <w:tcPr>
            <w:tcW w:w="980" w:type="dxa"/>
            <w:vAlign w:val="bottom"/>
            <w:tcBorders>
              <w:bottom w:val="single" w:sz="8" w:color="auto"/>
            </w:tcBorders>
            <w:shd w:val="clear" w:color="auto" w:fill="D1D2D4"/>
          </w:tcPr>
          <w:p>
            <w:pPr>
              <w:spacing w:after="0"/>
              <w:rPr>
                <w:sz w:val="13"/>
                <w:szCs w:val="13"/>
                <w:color w:val="auto"/>
              </w:rPr>
            </w:pPr>
          </w:p>
        </w:tc>
        <w:tc>
          <w:tcPr>
            <w:tcW w:w="4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304</w:t>
            </w:r>
          </w:p>
        </w:tc>
        <w:tc>
          <w:tcPr>
            <w:tcW w:w="300" w:type="dxa"/>
            <w:vAlign w:val="bottom"/>
            <w:tcBorders>
              <w:bottom w:val="single" w:sz="8" w:color="auto"/>
            </w:tcBorders>
            <w:shd w:val="clear" w:color="auto" w:fill="D1D2D4"/>
          </w:tcPr>
          <w:p>
            <w:pPr>
              <w:spacing w:after="0"/>
              <w:rPr>
                <w:sz w:val="13"/>
                <w:szCs w:val="13"/>
                <w:color w:val="auto"/>
              </w:rPr>
            </w:pPr>
          </w:p>
        </w:tc>
        <w:tc>
          <w:tcPr>
            <w:tcW w:w="1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Net cash provided by operating activities</w:t>
            </w: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5,102</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1,310</w:t>
            </w:r>
          </w:p>
        </w:tc>
        <w:tc>
          <w:tcPr>
            <w:tcW w:w="0" w:type="dxa"/>
            <w:vAlign w:val="bottom"/>
          </w:tcPr>
          <w:p>
            <w:pPr>
              <w:spacing w:after="0"/>
              <w:rPr>
                <w:sz w:val="1"/>
                <w:szCs w:val="1"/>
                <w:color w:val="auto"/>
              </w:rPr>
            </w:pPr>
          </w:p>
        </w:tc>
      </w:tr>
      <w:tr>
        <w:trPr>
          <w:trHeight w:val="151"/>
        </w:trPr>
        <w:tc>
          <w:tcPr>
            <w:tcW w:w="848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Expenditures for property, plant, and equipment</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(5,266)</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(6,215)</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Purchases of available-for-sale securities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(1,110)</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Proceeds from maturities and sales of available-for-sale securities</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1,433</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1,192</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Proceeds from government incentives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Other</w:t>
            </w:r>
          </w:p>
        </w:tc>
        <w:tc>
          <w:tcPr>
            <w:tcW w:w="980" w:type="dxa"/>
            <w:vAlign w:val="bottom"/>
            <w:tcBorders>
              <w:bottom w:val="single" w:sz="8" w:color="auto"/>
            </w:tcBorders>
            <w:shd w:val="clear" w:color="auto" w:fill="D1D2D4"/>
          </w:tcPr>
          <w:p>
            <w:pPr>
              <w:spacing w:after="0"/>
              <w:rPr>
                <w:sz w:val="13"/>
                <w:szCs w:val="13"/>
                <w:color w:val="auto"/>
              </w:rPr>
            </w:pPr>
          </w:p>
        </w:tc>
        <w:tc>
          <w:tcPr>
            <w:tcW w:w="4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(35)</w:t>
            </w:r>
          </w:p>
        </w:tc>
        <w:tc>
          <w:tcPr>
            <w:tcW w:w="300" w:type="dxa"/>
            <w:vAlign w:val="bottom"/>
            <w:tcBorders>
              <w:bottom w:val="single" w:sz="8" w:color="auto"/>
            </w:tcBorders>
            <w:shd w:val="clear" w:color="auto" w:fill="D1D2D4"/>
          </w:tcPr>
          <w:p>
            <w:pPr>
              <w:spacing w:after="0"/>
              <w:rPr>
                <w:sz w:val="13"/>
                <w:szCs w:val="13"/>
                <w:color w:val="auto"/>
              </w:rPr>
            </w:pPr>
          </w:p>
        </w:tc>
        <w:tc>
          <w:tcPr>
            <w:tcW w:w="1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Net cash provided by (used for) investing activities</w:t>
            </w: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(4,711)</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(5,361)</w:t>
            </w:r>
          </w:p>
        </w:tc>
        <w:tc>
          <w:tcPr>
            <w:tcW w:w="0" w:type="dxa"/>
            <w:vAlign w:val="bottom"/>
          </w:tcPr>
          <w:p>
            <w:pPr>
              <w:spacing w:after="0"/>
              <w:rPr>
                <w:sz w:val="1"/>
                <w:szCs w:val="1"/>
                <w:color w:val="auto"/>
              </w:rPr>
            </w:pPr>
          </w:p>
        </w:tc>
      </w:tr>
      <w:tr>
        <w:trPr>
          <w:trHeight w:val="151"/>
        </w:trPr>
        <w:tc>
          <w:tcPr>
            <w:tcW w:w="848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30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Repayments of debt</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(1,816)</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(706)</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Payments of dividends to shareholders</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(384)</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Payments on equipment purchase contracts</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(127)</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53"/>
        </w:trPr>
        <w:tc>
          <w:tcPr>
            <w:tcW w:w="8480" w:type="dxa"/>
            <w:vAlign w:val="bottom"/>
          </w:tcPr>
          <w:p>
            <w:pPr>
              <w:spacing w:after="0"/>
              <w:rPr>
                <w:sz w:val="20"/>
                <w:szCs w:val="20"/>
                <w:color w:val="auto"/>
              </w:rPr>
            </w:pPr>
            <w:r>
              <w:rPr>
                <w:rFonts w:ascii="Arial" w:cs="Arial" w:eastAsia="Arial" w:hAnsi="Arial"/>
                <w:sz w:val="12"/>
                <w:szCs w:val="12"/>
                <w:color w:val="auto"/>
              </w:rPr>
              <w:t>Repurchases of common stock - repurchase program</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Proceeds from issuance of debt</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999</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6,716</w:t>
            </w:r>
          </w:p>
        </w:tc>
        <w:tc>
          <w:tcPr>
            <w:tcW w:w="0" w:type="dxa"/>
            <w:vAlign w:val="bottom"/>
          </w:tcPr>
          <w:p>
            <w:pPr>
              <w:spacing w:after="0"/>
              <w:rPr>
                <w:sz w:val="1"/>
                <w:szCs w:val="1"/>
                <w:color w:val="auto"/>
              </w:rPr>
            </w:pPr>
          </w:p>
        </w:tc>
      </w:tr>
      <w:tr>
        <w:trPr>
          <w:trHeight w:val="153"/>
        </w:trPr>
        <w:tc>
          <w:tcPr>
            <w:tcW w:w="84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w:t>
            </w: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Net cash provided by (used for) financing activities</w:t>
            </w:r>
          </w:p>
        </w:tc>
        <w:tc>
          <w:tcPr>
            <w:tcW w:w="980" w:type="dxa"/>
            <w:vAlign w:val="bottom"/>
            <w:tcBorders>
              <w:bottom w:val="single" w:sz="8" w:color="auto"/>
            </w:tcBorders>
            <w:shd w:val="clear" w:color="auto" w:fill="D1D2D4"/>
          </w:tcPr>
          <w:p>
            <w:pPr>
              <w:spacing w:after="0"/>
              <w:rPr>
                <w:sz w:val="12"/>
                <w:szCs w:val="12"/>
                <w:color w:val="auto"/>
              </w:rPr>
            </w:pPr>
          </w:p>
        </w:tc>
        <w:tc>
          <w:tcPr>
            <w:tcW w:w="4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(1,368)</w:t>
            </w:r>
          </w:p>
        </w:tc>
        <w:tc>
          <w:tcPr>
            <w:tcW w:w="300" w:type="dxa"/>
            <w:vAlign w:val="bottom"/>
            <w:tcBorders>
              <w:bottom w:val="single" w:sz="8" w:color="auto"/>
            </w:tcBorders>
            <w:shd w:val="clear" w:color="auto" w:fill="D1D2D4"/>
          </w:tcPr>
          <w:p>
            <w:pPr>
              <w:spacing w:after="0"/>
              <w:rPr>
                <w:sz w:val="12"/>
                <w:szCs w:val="12"/>
                <w:color w:val="auto"/>
              </w:rPr>
            </w:pPr>
          </w:p>
        </w:tc>
        <w:tc>
          <w:tcPr>
            <w:tcW w:w="11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2"/>
                <w:szCs w:val="12"/>
                <w:color w:val="auto"/>
              </w:rPr>
              <w:t>5,095</w:t>
            </w:r>
          </w:p>
        </w:tc>
        <w:tc>
          <w:tcPr>
            <w:tcW w:w="0" w:type="dxa"/>
            <w:vAlign w:val="bottom"/>
          </w:tcPr>
          <w:p>
            <w:pPr>
              <w:spacing w:after="0"/>
              <w:rPr>
                <w:sz w:val="1"/>
                <w:szCs w:val="1"/>
                <w:color w:val="auto"/>
              </w:rPr>
            </w:pPr>
          </w:p>
        </w:tc>
      </w:tr>
      <w:tr>
        <w:trPr>
          <w:trHeight w:val="151"/>
        </w:trPr>
        <w:tc>
          <w:tcPr>
            <w:tcW w:w="8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shd w:val="clear" w:color="auto" w:fill="D1D2D4"/>
          </w:tcPr>
          <w:p>
            <w:pPr>
              <w:spacing w:after="0"/>
              <w:rPr>
                <w:sz w:val="20"/>
                <w:szCs w:val="20"/>
                <w:color w:val="auto"/>
              </w:rPr>
            </w:pPr>
            <w:r>
              <w:rPr>
                <w:rFonts w:ascii="Arial" w:cs="Arial" w:eastAsia="Arial" w:hAnsi="Arial"/>
                <w:sz w:val="12"/>
                <w:szCs w:val="12"/>
                <w:color w:val="auto"/>
              </w:rPr>
              <w:t>Effect of changes in currency exchange rates on cash, cash equivalents, and restricted cash</w:t>
            </w:r>
          </w:p>
        </w:tc>
        <w:tc>
          <w:tcPr>
            <w:tcW w:w="98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w:t>
            </w:r>
          </w:p>
        </w:tc>
        <w:tc>
          <w:tcPr>
            <w:tcW w:w="300" w:type="dxa"/>
            <w:vAlign w:val="bottom"/>
            <w:shd w:val="clear" w:color="auto" w:fill="D1D2D4"/>
          </w:tcPr>
          <w:p>
            <w:pPr>
              <w:spacing w:after="0"/>
              <w:rPr>
                <w:sz w:val="13"/>
                <w:szCs w:val="13"/>
                <w:color w:val="auto"/>
              </w:rPr>
            </w:pP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11300"/>
          </w:cols>
          <w:pgMar w:left="300" w:top="121" w:right="299" w:bottom="1440" w:gutter="0" w:footer="0" w:header="0"/>
        </w:sectPr>
      </w:pPr>
    </w:p>
    <w:p>
      <w:pPr>
        <w:spacing w:after="0"/>
        <w:rPr>
          <w:sz w:val="20"/>
          <w:szCs w:val="20"/>
          <w:color w:val="auto"/>
        </w:rPr>
      </w:pPr>
      <w:r>
        <w:rPr>
          <w:rFonts w:ascii="Arial" w:cs="Arial" w:eastAsia="Arial" w:hAnsi="Arial"/>
          <w:sz w:val="12"/>
          <w:szCs w:val="12"/>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7804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(992)</w:t>
            </w: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1,031</w:t>
            </w:r>
          </w:p>
        </w:tc>
      </w:tr>
      <w:tr>
        <w:trPr>
          <w:trHeight w:val="157"/>
        </w:trPr>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8,656</w:t>
            </w: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8,339</w:t>
            </w:r>
          </w:p>
        </w:tc>
      </w:tr>
      <w:tr>
        <w:trPr>
          <w:trHeight w:val="142"/>
        </w:trPr>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7,664</w:t>
            </w:r>
          </w:p>
        </w:tc>
        <w:tc>
          <w:tcPr>
            <w:tcW w:w="5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9,370</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820"/>
          </w:cols>
          <w:pgMar w:left="300" w:top="121" w:right="299" w:bottom="1440" w:gutter="0" w:footer="0" w:header="0"/>
          <w:type w:val="continuous"/>
        </w:sectPr>
      </w:pP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Micron Technology,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(All tabular amounts in millions,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15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Significant Accounting Policies</w:t>
      </w:r>
    </w:p>
    <w:p>
      <w:pPr>
        <w:spacing w:after="0" w:line="178" w:lineRule="exact"/>
        <w:rPr>
          <w:sz w:val="20"/>
          <w:szCs w:val="20"/>
          <w:color w:val="auto"/>
        </w:rPr>
      </w:pPr>
    </w:p>
    <w:p>
      <w:pPr>
        <w:jc w:val="both"/>
        <w:ind w:right="200"/>
        <w:spacing w:after="0" w:line="334" w:lineRule="auto"/>
        <w:rPr>
          <w:sz w:val="20"/>
          <w:szCs w:val="20"/>
          <w:color w:val="auto"/>
        </w:rPr>
      </w:pPr>
      <w:r>
        <w:rPr>
          <w:rFonts w:ascii="Arial" w:cs="Arial" w:eastAsia="Arial" w:hAnsi="Arial"/>
          <w:sz w:val="11"/>
          <w:szCs w:val="11"/>
          <w:color w:val="auto"/>
        </w:rPr>
        <w:t>For a discussion of our significant accounting policies, see “Part II – Item 8. Financial Statements and Supplementary Data – Notes to Consolidated Financial Statements – Significant Accounting Policies” of our Annual Report on Form 10-K for the year ended August 31, 2023. There have been no changes to our significant accounting policies since our Annual Report on Form 10-K for the year ended August 31, 2023.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69"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31, 2023.</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21" w:lineRule="exact"/>
        <w:rPr>
          <w:sz w:val="20"/>
          <w:szCs w:val="20"/>
          <w:color w:val="auto"/>
        </w:rPr>
      </w:pPr>
    </w:p>
    <w:p>
      <w:pPr>
        <w:ind w:right="340"/>
        <w:spacing w:after="0" w:line="268" w:lineRule="auto"/>
        <w:rPr>
          <w:sz w:val="20"/>
          <w:szCs w:val="20"/>
          <w:color w:val="auto"/>
        </w:rPr>
      </w:pPr>
      <w:r>
        <w:rPr>
          <w:rFonts w:ascii="Arial" w:cs="Arial" w:eastAsia="Arial" w:hAnsi="Arial"/>
          <w:sz w:val="12"/>
          <w:szCs w:val="12"/>
          <w:color w:val="auto"/>
        </w:rPr>
        <w:t>Our fiscal year is the 52 or 53-week period ending on the Thursday closest to August 31. Fiscal years 2024 and 2023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31, 2023.</w:t>
      </w: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Variable Interest Entities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 As of May 30, 2024, we had approximately $600 million of financial lease liabilities and right-of-use assets under these arrangements.</w:t>
      </w: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11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Cash and Investments</w:t>
      </w:r>
    </w:p>
    <w:p>
      <w:pPr>
        <w:spacing w:after="0" w:line="178" w:lineRule="exact"/>
        <w:rPr>
          <w:sz w:val="20"/>
          <w:szCs w:val="20"/>
          <w:color w:val="auto"/>
        </w:rPr>
      </w:pPr>
    </w:p>
    <w:p>
      <w:pPr>
        <w:ind w:left="8" w:right="560"/>
        <w:spacing w:after="0" w:line="273" w:lineRule="auto"/>
        <w:rPr>
          <w:sz w:val="20"/>
          <w:szCs w:val="20"/>
          <w:color w:val="auto"/>
        </w:rPr>
      </w:pPr>
      <w:r>
        <w:rPr>
          <w:rFonts w:ascii="Arial" w:cs="Arial" w:eastAsia="Arial" w:hAnsi="Arial"/>
          <w:sz w:val="12"/>
          <w:szCs w:val="12"/>
          <w:color w:val="auto"/>
        </w:rPr>
        <w:t>All of our short-term investments and long-term marketable investments were classified as available-for-sale as of the dates noted below. Cash and equivalents and the fair values of our available-for-sale investments, which approximated amortized costs, were as follows:</w:t>
      </w:r>
    </w:p>
    <w:p>
      <w:pPr>
        <w:sectPr>
          <w:pgSz w:w="11900" w:h="16838" w:orient="portrait"/>
          <w:cols w:equalWidth="0" w:num="1">
            <w:col w:w="11308"/>
          </w:cols>
          <w:pgMar w:left="292" w:top="131" w:right="299" w:bottom="1440" w:gutter="0" w:footer="0" w:header="0"/>
        </w:sectPr>
      </w:pPr>
    </w:p>
    <w:p>
      <w:pPr>
        <w:spacing w:after="0" w:line="1"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As of May 30, 2024</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160" w:type="dxa"/>
            <w:vAlign w:val="bottom"/>
          </w:tcPr>
          <w:p>
            <w:pPr>
              <w:spacing w:after="0"/>
              <w:rPr>
                <w:sz w:val="9"/>
                <w:szCs w:val="9"/>
                <w:color w:val="auto"/>
              </w:rPr>
            </w:pPr>
          </w:p>
        </w:tc>
        <w:tc>
          <w:tcPr>
            <w:tcW w:w="11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Cash and</w:t>
            </w:r>
          </w:p>
        </w:tc>
        <w:tc>
          <w:tcPr>
            <w:tcW w:w="1080" w:type="dxa"/>
            <w:vAlign w:val="bottom"/>
            <w:tcBorders>
              <w:top w:val="single" w:sz="8" w:color="auto"/>
            </w:tcBorders>
          </w:tcPr>
          <w:p>
            <w:pPr>
              <w:jc w:val="center"/>
              <w:ind w:left="40"/>
              <w:spacing w:after="0" w:line="111" w:lineRule="exact"/>
              <w:rPr>
                <w:sz w:val="20"/>
                <w:szCs w:val="20"/>
                <w:color w:val="auto"/>
              </w:rPr>
            </w:pPr>
            <w:r>
              <w:rPr>
                <w:rFonts w:ascii="Arial" w:cs="Arial" w:eastAsia="Arial" w:hAnsi="Arial"/>
                <w:sz w:val="12"/>
                <w:szCs w:val="12"/>
                <w:b w:val="1"/>
                <w:bCs w:val="1"/>
                <w:color w:val="auto"/>
              </w:rPr>
              <w:t>Short-term</w:t>
            </w:r>
          </w:p>
        </w:tc>
        <w:tc>
          <w:tcPr>
            <w:tcW w:w="15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Long-term Marketable</w:t>
            </w:r>
          </w:p>
        </w:tc>
        <w:tc>
          <w:tcPr>
            <w:tcW w:w="8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Total Fair</w:t>
            </w:r>
          </w:p>
        </w:tc>
      </w:tr>
      <w:tr>
        <w:trPr>
          <w:trHeight w:val="158"/>
        </w:trPr>
        <w:tc>
          <w:tcPr>
            <w:tcW w:w="2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Equivalents</w:t>
            </w:r>
          </w:p>
        </w:tc>
        <w:tc>
          <w:tcPr>
            <w:tcW w:w="108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9"/>
              </w:rPr>
              <w:t>Investments</w:t>
            </w:r>
          </w:p>
        </w:tc>
        <w:tc>
          <w:tcPr>
            <w:tcW w:w="1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2"/>
                <w:szCs w:val="12"/>
                <w:b w:val="1"/>
                <w:bCs w:val="1"/>
                <w:color w:val="auto"/>
                <w:w w:val="97"/>
              </w:rPr>
              <w:t>Investments</w:t>
            </w:r>
            <w:r>
              <w:rPr>
                <w:rFonts w:ascii="Arial" w:cs="Arial" w:eastAsia="Arial" w:hAnsi="Arial"/>
                <w:sz w:val="15"/>
                <w:szCs w:val="15"/>
                <w:color w:val="auto"/>
                <w:w w:val="97"/>
                <w:vertAlign w:val="superscript"/>
              </w:rPr>
              <w:t>(1)</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Value</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As of August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Cash and</w:t>
            </w:r>
          </w:p>
        </w:tc>
        <w:tc>
          <w:tcPr>
            <w:tcW w:w="108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Short-term</w:t>
            </w:r>
          </w:p>
        </w:tc>
        <w:tc>
          <w:tcPr>
            <w:tcW w:w="15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Long-term Marketable</w:t>
            </w:r>
          </w:p>
        </w:tc>
        <w:tc>
          <w:tcPr>
            <w:tcW w:w="820" w:type="dxa"/>
            <w:vAlign w:val="bottom"/>
            <w:tcBorders>
              <w:top w:val="single" w:sz="8" w:color="auto"/>
            </w:tcBorders>
          </w:tcPr>
          <w:p>
            <w:pPr>
              <w:jc w:val="center"/>
              <w:ind w:right="20"/>
              <w:spacing w:after="0" w:line="111" w:lineRule="exact"/>
              <w:rPr>
                <w:sz w:val="20"/>
                <w:szCs w:val="20"/>
                <w:color w:val="auto"/>
              </w:rPr>
            </w:pPr>
            <w:r>
              <w:rPr>
                <w:rFonts w:ascii="Arial" w:cs="Arial" w:eastAsia="Arial" w:hAnsi="Arial"/>
                <w:sz w:val="12"/>
                <w:szCs w:val="12"/>
                <w:b w:val="1"/>
                <w:bCs w:val="1"/>
                <w:color w:val="auto"/>
                <w:w w:val="99"/>
              </w:rPr>
              <w:t>Total Fair</w:t>
            </w:r>
          </w:p>
        </w:tc>
      </w:tr>
      <w:tr>
        <w:trPr>
          <w:trHeight w:val="15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Equivalents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1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2"/>
                <w:szCs w:val="12"/>
                <w:b w:val="1"/>
                <w:bCs w:val="1"/>
                <w:color w:val="auto"/>
                <w:w w:val="97"/>
              </w:rPr>
              <w:t>Investments</w:t>
            </w:r>
            <w:r>
              <w:rPr>
                <w:rFonts w:ascii="Arial" w:cs="Arial" w:eastAsia="Arial" w:hAnsi="Arial"/>
                <w:sz w:val="15"/>
                <w:szCs w:val="15"/>
                <w:color w:val="auto"/>
                <w:w w:val="97"/>
                <w:vertAlign w:val="superscript"/>
              </w:rPr>
              <w:t>(1)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Value</w:t>
            </w:r>
          </w:p>
        </w:tc>
      </w:tr>
    </w:tbl>
    <w:p>
      <w:pPr>
        <w:spacing w:after="0" w:line="27" w:lineRule="exact"/>
        <w:rPr>
          <w:sz w:val="20"/>
          <w:szCs w:val="20"/>
          <w:color w:val="auto"/>
        </w:rPr>
      </w:pPr>
    </w:p>
    <w:p>
      <w:pPr>
        <w:sectPr>
          <w:pgSz w:w="11900" w:h="16838" w:orient="portrait"/>
          <w:cols w:equalWidth="0" w:num="2">
            <w:col w:w="6668" w:space="100"/>
            <w:col w:w="4540"/>
          </w:cols>
          <w:pgMar w:left="292" w:top="131" w:right="299" w:bottom="144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2160" w:type="dxa"/>
            <w:vAlign w:val="bottom"/>
            <w:shd w:val="clear" w:color="auto" w:fill="D1D2D4"/>
          </w:tcPr>
          <w:p>
            <w:pPr>
              <w:spacing w:after="0"/>
              <w:rPr>
                <w:sz w:val="20"/>
                <w:szCs w:val="20"/>
                <w:color w:val="auto"/>
              </w:rPr>
            </w:pPr>
            <w:r>
              <w:rPr>
                <w:rFonts w:ascii="Arial" w:cs="Arial" w:eastAsia="Arial" w:hAnsi="Arial"/>
                <w:sz w:val="12"/>
                <w:szCs w:val="12"/>
                <w:color w:val="auto"/>
              </w:rPr>
              <w:t>Cash</w:t>
            </w:r>
          </w:p>
        </w:tc>
        <w:tc>
          <w:tcPr>
            <w:tcW w:w="400" w:type="dxa"/>
            <w:vAlign w:val="bottom"/>
            <w:shd w:val="clear" w:color="auto" w:fill="D1D2D4"/>
          </w:tcPr>
          <w:p>
            <w:pPr>
              <w:jc w:val="right"/>
              <w:ind w:right="2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6,355</w:t>
            </w:r>
          </w:p>
        </w:tc>
        <w:tc>
          <w:tcPr>
            <w:tcW w:w="500" w:type="dxa"/>
            <w:vAlign w:val="bottom"/>
            <w:shd w:val="clear" w:color="auto" w:fill="D1D2D4"/>
          </w:tcPr>
          <w:p>
            <w:pPr>
              <w:jc w:val="right"/>
              <w:ind w:right="36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D1D2D4"/>
          </w:tcPr>
          <w:p>
            <w:pPr>
              <w:jc w:val="right"/>
              <w:ind w:right="460"/>
              <w:spacing w:after="0"/>
              <w:rPr>
                <w:sz w:val="20"/>
                <w:szCs w:val="20"/>
                <w:color w:val="auto"/>
              </w:rPr>
            </w:pPr>
            <w:r>
              <w:rPr>
                <w:rFonts w:ascii="Arial" w:cs="Arial" w:eastAsia="Arial" w:hAnsi="Arial"/>
                <w:sz w:val="12"/>
                <w:szCs w:val="12"/>
                <w:color w:val="auto"/>
              </w:rPr>
              <w:t>— $</w:t>
            </w:r>
          </w:p>
        </w:tc>
        <w:tc>
          <w:tcPr>
            <w:tcW w:w="1080" w:type="dxa"/>
            <w:vAlign w:val="bottom"/>
            <w:gridSpan w:val="2"/>
            <w:shd w:val="clear" w:color="auto" w:fill="D1D2D4"/>
          </w:tcPr>
          <w:p>
            <w:pPr>
              <w:jc w:val="right"/>
              <w:ind w:right="160"/>
              <w:spacing w:after="0"/>
              <w:rPr>
                <w:sz w:val="20"/>
                <w:szCs w:val="20"/>
                <w:color w:val="auto"/>
              </w:rPr>
            </w:pPr>
            <w:r>
              <w:rPr>
                <w:rFonts w:ascii="Arial" w:cs="Arial" w:eastAsia="Arial" w:hAnsi="Arial"/>
                <w:sz w:val="12"/>
                <w:szCs w:val="12"/>
                <w:color w:val="auto"/>
              </w:rPr>
              <w:t>—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6,355</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jc w:val="right"/>
              <w:ind w:right="2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5,771</w:t>
            </w:r>
          </w:p>
        </w:tc>
        <w:tc>
          <w:tcPr>
            <w:tcW w:w="460" w:type="dxa"/>
            <w:vAlign w:val="bottom"/>
            <w:shd w:val="clear" w:color="auto" w:fill="D1D2D4"/>
          </w:tcPr>
          <w:p>
            <w:pPr>
              <w:jc w:val="right"/>
              <w:ind w:right="32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D1D2D4"/>
          </w:tcPr>
          <w:p>
            <w:pPr>
              <w:jc w:val="right"/>
              <w:ind w:right="460"/>
              <w:spacing w:after="0"/>
              <w:rPr>
                <w:sz w:val="20"/>
                <w:szCs w:val="20"/>
                <w:color w:val="auto"/>
              </w:rPr>
            </w:pPr>
            <w:r>
              <w:rPr>
                <w:rFonts w:ascii="Arial" w:cs="Arial" w:eastAsia="Arial" w:hAnsi="Arial"/>
                <w:sz w:val="12"/>
                <w:szCs w:val="12"/>
                <w:color w:val="auto"/>
              </w:rPr>
              <w:t>— $</w:t>
            </w:r>
          </w:p>
        </w:tc>
        <w:tc>
          <w:tcPr>
            <w:tcW w:w="10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5,771</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2"/>
                <w:szCs w:val="12"/>
                <w:color w:val="auto"/>
              </w:rPr>
              <w:t>Level 1</w:t>
            </w:r>
            <w:r>
              <w:rPr>
                <w:rFonts w:ascii="Arial" w:cs="Arial" w:eastAsia="Arial" w:hAnsi="Arial"/>
                <w:sz w:val="15"/>
                <w:szCs w:val="15"/>
                <w:color w:val="auto"/>
                <w:vertAlign w:val="superscript"/>
              </w:rPr>
              <w:t>(2)</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Money market funds</w:t>
            </w:r>
          </w:p>
        </w:tc>
        <w:tc>
          <w:tcPr>
            <w:tcW w:w="40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570</w:t>
            </w:r>
          </w:p>
        </w:tc>
        <w:tc>
          <w:tcPr>
            <w:tcW w:w="5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570</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1,629</w:t>
            </w:r>
          </w:p>
        </w:tc>
        <w:tc>
          <w:tcPr>
            <w:tcW w:w="46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1,629</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2"/>
                <w:szCs w:val="12"/>
                <w:color w:val="auto"/>
              </w:rPr>
              <w:t>Level 2</w:t>
            </w:r>
            <w:r>
              <w:rPr>
                <w:rFonts w:ascii="Arial" w:cs="Arial" w:eastAsia="Arial" w:hAnsi="Arial"/>
                <w:sz w:val="15"/>
                <w:szCs w:val="15"/>
                <w:color w:val="auto"/>
                <w:vertAlign w:val="superscript"/>
              </w:rPr>
              <w:t>(3)</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Certificates of deposit</w:t>
            </w:r>
          </w:p>
        </w:tc>
        <w:tc>
          <w:tcPr>
            <w:tcW w:w="40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554</w:t>
            </w:r>
          </w:p>
        </w:tc>
        <w:tc>
          <w:tcPr>
            <w:tcW w:w="5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1,172</w:t>
            </w:r>
          </w:p>
        </w:tc>
        <w:tc>
          <w:tcPr>
            <w:tcW w:w="46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1,197</w:t>
            </w:r>
          </w:p>
        </w:tc>
        <w:tc>
          <w:tcPr>
            <w:tcW w:w="0" w:type="dxa"/>
            <w:vAlign w:val="bottom"/>
          </w:tcPr>
          <w:p>
            <w:pPr>
              <w:spacing w:after="0"/>
              <w:rPr>
                <w:sz w:val="1"/>
                <w:szCs w:val="1"/>
                <w:color w:val="auto"/>
              </w:rPr>
            </w:pPr>
          </w:p>
        </w:tc>
      </w:tr>
      <w:tr>
        <w:trPr>
          <w:trHeight w:val="153"/>
        </w:trPr>
        <w:tc>
          <w:tcPr>
            <w:tcW w:w="2160" w:type="dxa"/>
            <w:vAlign w:val="bottom"/>
          </w:tcPr>
          <w:p>
            <w:pPr>
              <w:ind w:left="80"/>
              <w:spacing w:after="0"/>
              <w:rPr>
                <w:sz w:val="20"/>
                <w:szCs w:val="20"/>
                <w:color w:val="auto"/>
              </w:rPr>
            </w:pPr>
            <w:r>
              <w:rPr>
                <w:rFonts w:ascii="Arial" w:cs="Arial" w:eastAsia="Arial" w:hAnsi="Arial"/>
                <w:sz w:val="12"/>
                <w:szCs w:val="12"/>
                <w:color w:val="auto"/>
              </w:rPr>
              <w:t>Corporate bonds</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454</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418</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872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737</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437</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1,174</w:t>
            </w: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Asset-backed securities</w:t>
            </w:r>
          </w:p>
        </w:tc>
        <w:tc>
          <w:tcPr>
            <w:tcW w:w="40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42</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337</w:t>
            </w:r>
          </w:p>
        </w:tc>
        <w:tc>
          <w:tcPr>
            <w:tcW w:w="3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379</w:t>
            </w:r>
          </w:p>
        </w:tc>
        <w:tc>
          <w:tcPr>
            <w:tcW w:w="100" w:type="dxa"/>
            <w:vAlign w:val="bottom"/>
            <w:shd w:val="clear" w:color="auto" w:fill="D1D2D4"/>
          </w:tcPr>
          <w:p>
            <w:pPr>
              <w:spacing w:after="0"/>
              <w:rPr>
                <w:sz w:val="13"/>
                <w:szCs w:val="13"/>
                <w:color w:val="auto"/>
              </w:rPr>
            </w:pPr>
          </w:p>
        </w:tc>
        <w:tc>
          <w:tcPr>
            <w:tcW w:w="420" w:type="dxa"/>
            <w:vAlign w:val="bottom"/>
            <w:shd w:val="clear" w:color="auto" w:fill="D1D2D4"/>
          </w:tcPr>
          <w:p>
            <w:pPr>
              <w:spacing w:after="0"/>
              <w:rPr>
                <w:sz w:val="13"/>
                <w:szCs w:val="13"/>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D1D2D4"/>
          </w:tcPr>
          <w:p>
            <w:pPr>
              <w:spacing w:after="0"/>
              <w:rPr>
                <w:sz w:val="13"/>
                <w:szCs w:val="13"/>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w:t>
            </w:r>
          </w:p>
        </w:tc>
        <w:tc>
          <w:tcPr>
            <w:tcW w:w="6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387</w:t>
            </w:r>
          </w:p>
        </w:tc>
        <w:tc>
          <w:tcPr>
            <w:tcW w:w="280" w:type="dxa"/>
            <w:vAlign w:val="bottom"/>
            <w:shd w:val="clear" w:color="auto" w:fill="D1D2D4"/>
          </w:tcPr>
          <w:p>
            <w:pPr>
              <w:spacing w:after="0"/>
              <w:rPr>
                <w:sz w:val="13"/>
                <w:szCs w:val="13"/>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53"/>
        </w:trPr>
        <w:tc>
          <w:tcPr>
            <w:tcW w:w="2160" w:type="dxa"/>
            <w:vAlign w:val="bottom"/>
          </w:tcPr>
          <w:p>
            <w:pPr>
              <w:ind w:left="80"/>
              <w:spacing w:after="0"/>
              <w:rPr>
                <w:sz w:val="20"/>
                <w:szCs w:val="20"/>
                <w:color w:val="auto"/>
              </w:rPr>
            </w:pPr>
            <w:r>
              <w:rPr>
                <w:rFonts w:ascii="Arial" w:cs="Arial" w:eastAsia="Arial" w:hAnsi="Arial"/>
                <w:sz w:val="12"/>
                <w:szCs w:val="12"/>
                <w:color w:val="auto"/>
              </w:rPr>
              <w:t>Commercial paper</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w:t>
            </w: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130</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109</w:t>
            </w: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53"/>
        </w:trPr>
        <w:tc>
          <w:tcPr>
            <w:tcW w:w="2160" w:type="dxa"/>
            <w:vAlign w:val="bottom"/>
            <w:shd w:val="clear" w:color="auto" w:fill="D1D2D4"/>
          </w:tcPr>
          <w:p>
            <w:pPr>
              <w:ind w:left="80"/>
              <w:spacing w:after="0"/>
              <w:rPr>
                <w:sz w:val="20"/>
                <w:szCs w:val="20"/>
                <w:color w:val="auto"/>
              </w:rPr>
            </w:pPr>
            <w:r>
              <w:rPr>
                <w:rFonts w:ascii="Arial" w:cs="Arial" w:eastAsia="Arial" w:hAnsi="Arial"/>
                <w:sz w:val="12"/>
                <w:szCs w:val="12"/>
                <w:color w:val="auto"/>
              </w:rPr>
              <w:t>Government securities</w:t>
            </w:r>
          </w:p>
        </w:tc>
        <w:tc>
          <w:tcPr>
            <w:tcW w:w="400" w:type="dxa"/>
            <w:vAlign w:val="bottom"/>
            <w:tcBorders>
              <w:bottom w:val="single" w:sz="8" w:color="auto"/>
            </w:tcBorders>
            <w:shd w:val="clear" w:color="auto" w:fill="D1D2D4"/>
          </w:tcPr>
          <w:p>
            <w:pPr>
              <w:spacing w:after="0"/>
              <w:rPr>
                <w:sz w:val="13"/>
                <w:szCs w:val="13"/>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59</w:t>
            </w:r>
          </w:p>
        </w:tc>
        <w:tc>
          <w:tcPr>
            <w:tcW w:w="500" w:type="dxa"/>
            <w:vAlign w:val="bottom"/>
            <w:tcBorders>
              <w:bottom w:val="single" w:sz="8" w:color="auto"/>
            </w:tcBorders>
            <w:shd w:val="clear" w:color="auto" w:fill="D1D2D4"/>
          </w:tcPr>
          <w:p>
            <w:pPr>
              <w:spacing w:after="0"/>
              <w:rPr>
                <w:sz w:val="13"/>
                <w:szCs w:val="13"/>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153</w:t>
            </w:r>
          </w:p>
        </w:tc>
        <w:tc>
          <w:tcPr>
            <w:tcW w:w="62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w:t>
            </w:r>
          </w:p>
        </w:tc>
        <w:tc>
          <w:tcPr>
            <w:tcW w:w="320" w:type="dxa"/>
            <w:vAlign w:val="bottom"/>
            <w:tcBorders>
              <w:bottom w:val="single" w:sz="8" w:color="auto"/>
            </w:tcBorders>
            <w:shd w:val="clear" w:color="auto" w:fill="D1D2D4"/>
          </w:tcPr>
          <w:p>
            <w:pPr>
              <w:spacing w:after="0"/>
              <w:rPr>
                <w:sz w:val="13"/>
                <w:szCs w:val="13"/>
                <w:color w:val="auto"/>
              </w:rPr>
            </w:pPr>
          </w:p>
        </w:tc>
        <w:tc>
          <w:tcPr>
            <w:tcW w:w="5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232</w:t>
            </w:r>
          </w:p>
        </w:tc>
        <w:tc>
          <w:tcPr>
            <w:tcW w:w="100" w:type="dxa"/>
            <w:vAlign w:val="bottom"/>
            <w:shd w:val="clear" w:color="auto" w:fill="D1D2D4"/>
          </w:tcPr>
          <w:p>
            <w:pPr>
              <w:spacing w:after="0"/>
              <w:rPr>
                <w:sz w:val="13"/>
                <w:szCs w:val="13"/>
                <w:color w:val="auto"/>
              </w:rPr>
            </w:pPr>
          </w:p>
        </w:tc>
        <w:tc>
          <w:tcPr>
            <w:tcW w:w="420" w:type="dxa"/>
            <w:vAlign w:val="bottom"/>
            <w:tcBorders>
              <w:bottom w:val="single" w:sz="8" w:color="auto"/>
            </w:tcBorders>
            <w:shd w:val="clear" w:color="auto" w:fill="D1D2D4"/>
          </w:tcPr>
          <w:p>
            <w:pPr>
              <w:spacing w:after="0"/>
              <w:rPr>
                <w:sz w:val="13"/>
                <w:szCs w:val="13"/>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w:t>
            </w:r>
          </w:p>
        </w:tc>
        <w:tc>
          <w:tcPr>
            <w:tcW w:w="460" w:type="dxa"/>
            <w:vAlign w:val="bottom"/>
            <w:tcBorders>
              <w:bottom w:val="single" w:sz="8" w:color="auto"/>
            </w:tcBorders>
            <w:shd w:val="clear" w:color="auto" w:fill="D1D2D4"/>
          </w:tcPr>
          <w:p>
            <w:pPr>
              <w:spacing w:after="0"/>
              <w:rPr>
                <w:sz w:val="13"/>
                <w:szCs w:val="13"/>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131</w:t>
            </w:r>
          </w:p>
        </w:tc>
        <w:tc>
          <w:tcPr>
            <w:tcW w:w="62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w:t>
            </w:r>
          </w:p>
        </w:tc>
        <w:tc>
          <w:tcPr>
            <w:tcW w:w="280" w:type="dxa"/>
            <w:vAlign w:val="bottom"/>
            <w:tcBorders>
              <w:bottom w:val="single" w:sz="8" w:color="auto"/>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58"/>
        </w:trPr>
        <w:tc>
          <w:tcPr>
            <w:tcW w:w="2160" w:type="dxa"/>
            <w:vAlign w:val="bottom"/>
            <w:tcBorders>
              <w:bottom w:val="single" w:sz="8" w:color="D1D2D4"/>
            </w:tcBorders>
          </w:tcPr>
          <w:p>
            <w:pPr>
              <w:spacing w:after="0"/>
              <w:rPr>
                <w:sz w:val="13"/>
                <w:szCs w:val="13"/>
                <w:color w:val="auto"/>
              </w:rPr>
            </w:pPr>
          </w:p>
        </w:tc>
        <w:tc>
          <w:tcPr>
            <w:tcW w:w="400" w:type="dxa"/>
            <w:vAlign w:val="bottom"/>
            <w:tcBorders>
              <w:bottom w:val="single" w:sz="8" w:color="D1D2D4"/>
            </w:tcBorders>
          </w:tcPr>
          <w:p>
            <w:pPr>
              <w:spacing w:after="0"/>
              <w:rPr>
                <w:sz w:val="13"/>
                <w:szCs w:val="13"/>
                <w:color w:val="auto"/>
              </w:rPr>
            </w:pPr>
          </w:p>
        </w:tc>
        <w:tc>
          <w:tcPr>
            <w:tcW w:w="70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7,594</w:t>
            </w: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w:t>
            </w: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775</w:t>
            </w:r>
          </w:p>
        </w:tc>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9,154</w:t>
            </w:r>
          </w:p>
        </w:tc>
        <w:tc>
          <w:tcPr>
            <w:tcW w:w="100" w:type="dxa"/>
            <w:vAlign w:val="bottom"/>
            <w:tcBorders>
              <w:bottom w:val="single" w:sz="8" w:color="D1D2D4"/>
            </w:tcBorders>
          </w:tcPr>
          <w:p>
            <w:pPr>
              <w:spacing w:after="0"/>
              <w:rPr>
                <w:sz w:val="13"/>
                <w:szCs w:val="13"/>
                <w:color w:val="auto"/>
              </w:rPr>
            </w:pPr>
          </w:p>
        </w:tc>
        <w:tc>
          <w:tcPr>
            <w:tcW w:w="420" w:type="dxa"/>
            <w:vAlign w:val="bottom"/>
            <w:tcBorders>
              <w:bottom w:val="single" w:sz="8" w:color="D1D2D4"/>
            </w:tcBorders>
          </w:tcPr>
          <w:p>
            <w:pPr>
              <w:spacing w:after="0"/>
              <w:rPr>
                <w:sz w:val="13"/>
                <w:szCs w:val="13"/>
                <w:color w:val="auto"/>
              </w:rPr>
            </w:pPr>
          </w:p>
        </w:tc>
        <w:tc>
          <w:tcPr>
            <w:tcW w:w="68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8,577</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w:t>
            </w: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w:t>
            </w: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10,438</w:t>
            </w:r>
          </w:p>
        </w:tc>
        <w:tc>
          <w:tcPr>
            <w:tcW w:w="0" w:type="dxa"/>
            <w:vAlign w:val="bottom"/>
          </w:tcPr>
          <w:p>
            <w:pPr>
              <w:spacing w:after="0"/>
              <w:rPr>
                <w:sz w:val="1"/>
                <w:szCs w:val="1"/>
                <w:color w:val="auto"/>
              </w:rPr>
            </w:pPr>
          </w:p>
        </w:tc>
      </w:tr>
      <w:tr>
        <w:trPr>
          <w:trHeight w:val="135"/>
        </w:trPr>
        <w:tc>
          <w:tcPr>
            <w:tcW w:w="2160" w:type="dxa"/>
            <w:vAlign w:val="bottom"/>
            <w:shd w:val="clear" w:color="auto" w:fill="D1D2D4"/>
          </w:tcPr>
          <w:p>
            <w:pPr>
              <w:spacing w:after="0" w:line="135" w:lineRule="exact"/>
              <w:rPr>
                <w:sz w:val="20"/>
                <w:szCs w:val="20"/>
                <w:color w:val="auto"/>
              </w:rPr>
            </w:pPr>
            <w:r>
              <w:rPr>
                <w:rFonts w:ascii="Arial" w:cs="Arial" w:eastAsia="Arial" w:hAnsi="Arial"/>
                <w:sz w:val="12"/>
                <w:szCs w:val="12"/>
                <w:color w:val="auto"/>
              </w:rPr>
              <w:t>Restricted cash</w:t>
            </w:r>
            <w:r>
              <w:rPr>
                <w:rFonts w:ascii="Arial" w:cs="Arial" w:eastAsia="Arial" w:hAnsi="Arial"/>
                <w:sz w:val="15"/>
                <w:szCs w:val="15"/>
                <w:color w:val="auto"/>
                <w:vertAlign w:val="superscript"/>
              </w:rPr>
              <w:t>(4)</w:t>
            </w:r>
          </w:p>
        </w:tc>
        <w:tc>
          <w:tcPr>
            <w:tcW w:w="400" w:type="dxa"/>
            <w:vAlign w:val="bottom"/>
            <w:tcBorders>
              <w:bottom w:val="single" w:sz="8" w:color="auto"/>
            </w:tcBorders>
            <w:shd w:val="clear" w:color="auto" w:fill="D1D2D4"/>
          </w:tcPr>
          <w:p>
            <w:pPr>
              <w:spacing w:after="0"/>
              <w:rPr>
                <w:sz w:val="11"/>
                <w:szCs w:val="11"/>
                <w:color w:val="auto"/>
              </w:rPr>
            </w:pPr>
          </w:p>
        </w:tc>
        <w:tc>
          <w:tcPr>
            <w:tcW w:w="700" w:type="dxa"/>
            <w:vAlign w:val="bottom"/>
            <w:tcBorders>
              <w:bottom w:val="single" w:sz="8" w:color="auto"/>
            </w:tcBorders>
            <w:shd w:val="clear" w:color="auto" w:fill="D1D2D4"/>
          </w:tcPr>
          <w:p>
            <w:pPr>
              <w:jc w:val="right"/>
              <w:spacing w:after="0" w:line="135" w:lineRule="exact"/>
              <w:rPr>
                <w:sz w:val="20"/>
                <w:szCs w:val="20"/>
                <w:color w:val="auto"/>
              </w:rPr>
            </w:pPr>
            <w:r>
              <w:rPr>
                <w:rFonts w:ascii="Arial" w:cs="Arial" w:eastAsia="Arial" w:hAnsi="Arial"/>
                <w:sz w:val="12"/>
                <w:szCs w:val="12"/>
                <w:color w:val="auto"/>
              </w:rPr>
              <w:t>70</w:t>
            </w:r>
          </w:p>
        </w:tc>
        <w:tc>
          <w:tcPr>
            <w:tcW w:w="500" w:type="dxa"/>
            <w:vAlign w:val="bottom"/>
            <w:shd w:val="clear" w:color="auto" w:fill="D1D2D4"/>
          </w:tcPr>
          <w:p>
            <w:pPr>
              <w:spacing w:after="0"/>
              <w:rPr>
                <w:sz w:val="11"/>
                <w:szCs w:val="11"/>
                <w:color w:val="auto"/>
              </w:rPr>
            </w:pPr>
          </w:p>
        </w:tc>
        <w:tc>
          <w:tcPr>
            <w:tcW w:w="640" w:type="dxa"/>
            <w:vAlign w:val="bottom"/>
            <w:shd w:val="clear" w:color="auto" w:fill="D1D2D4"/>
          </w:tcPr>
          <w:p>
            <w:pPr>
              <w:spacing w:after="0"/>
              <w:rPr>
                <w:sz w:val="11"/>
                <w:szCs w:val="11"/>
                <w:color w:val="auto"/>
              </w:rPr>
            </w:pPr>
          </w:p>
        </w:tc>
        <w:tc>
          <w:tcPr>
            <w:tcW w:w="620" w:type="dxa"/>
            <w:vAlign w:val="bottom"/>
            <w:shd w:val="clear" w:color="auto" w:fill="D1D2D4"/>
          </w:tcPr>
          <w:p>
            <w:pPr>
              <w:spacing w:after="0"/>
              <w:rPr>
                <w:sz w:val="11"/>
                <w:szCs w:val="11"/>
                <w:color w:val="auto"/>
              </w:rPr>
            </w:pPr>
          </w:p>
        </w:tc>
        <w:tc>
          <w:tcPr>
            <w:tcW w:w="760" w:type="dxa"/>
            <w:vAlign w:val="bottom"/>
            <w:shd w:val="clear" w:color="auto" w:fill="D1D2D4"/>
          </w:tcPr>
          <w:p>
            <w:pPr>
              <w:spacing w:after="0"/>
              <w:rPr>
                <w:sz w:val="11"/>
                <w:szCs w:val="11"/>
                <w:color w:val="auto"/>
              </w:rPr>
            </w:pPr>
          </w:p>
        </w:tc>
        <w:tc>
          <w:tcPr>
            <w:tcW w:w="320" w:type="dxa"/>
            <w:vAlign w:val="bottom"/>
            <w:shd w:val="clear" w:color="auto" w:fill="D1D2D4"/>
          </w:tcPr>
          <w:p>
            <w:pPr>
              <w:spacing w:after="0"/>
              <w:rPr>
                <w:sz w:val="11"/>
                <w:szCs w:val="11"/>
                <w:color w:val="auto"/>
              </w:rPr>
            </w:pPr>
          </w:p>
        </w:tc>
        <w:tc>
          <w:tcPr>
            <w:tcW w:w="560" w:type="dxa"/>
            <w:vAlign w:val="bottom"/>
            <w:shd w:val="clear" w:color="auto" w:fill="D1D2D4"/>
          </w:tcPr>
          <w:p>
            <w:pPr>
              <w:spacing w:after="0"/>
              <w:rPr>
                <w:sz w:val="11"/>
                <w:szCs w:val="11"/>
                <w:color w:val="auto"/>
              </w:rPr>
            </w:pPr>
          </w:p>
        </w:tc>
        <w:tc>
          <w:tcPr>
            <w:tcW w:w="100" w:type="dxa"/>
            <w:vAlign w:val="bottom"/>
            <w:shd w:val="clear" w:color="auto" w:fill="D1D2D4"/>
          </w:tcPr>
          <w:p>
            <w:pPr>
              <w:spacing w:after="0"/>
              <w:rPr>
                <w:sz w:val="11"/>
                <w:szCs w:val="11"/>
                <w:color w:val="auto"/>
              </w:rPr>
            </w:pPr>
          </w:p>
        </w:tc>
        <w:tc>
          <w:tcPr>
            <w:tcW w:w="420" w:type="dxa"/>
            <w:vAlign w:val="bottom"/>
            <w:tcBorders>
              <w:bottom w:val="single" w:sz="8" w:color="auto"/>
            </w:tcBorders>
            <w:shd w:val="clear" w:color="auto" w:fill="D1D2D4"/>
          </w:tcPr>
          <w:p>
            <w:pPr>
              <w:spacing w:after="0"/>
              <w:rPr>
                <w:sz w:val="11"/>
                <w:szCs w:val="11"/>
                <w:color w:val="auto"/>
              </w:rPr>
            </w:pPr>
          </w:p>
        </w:tc>
        <w:tc>
          <w:tcPr>
            <w:tcW w:w="680" w:type="dxa"/>
            <w:vAlign w:val="bottom"/>
            <w:tcBorders>
              <w:bottom w:val="single" w:sz="8" w:color="auto"/>
            </w:tcBorders>
            <w:shd w:val="clear" w:color="auto" w:fill="D1D2D4"/>
          </w:tcPr>
          <w:p>
            <w:pPr>
              <w:jc w:val="right"/>
              <w:spacing w:after="0" w:line="135" w:lineRule="exact"/>
              <w:rPr>
                <w:sz w:val="20"/>
                <w:szCs w:val="20"/>
                <w:color w:val="auto"/>
              </w:rPr>
            </w:pPr>
            <w:r>
              <w:rPr>
                <w:rFonts w:ascii="Arial" w:cs="Arial" w:eastAsia="Arial" w:hAnsi="Arial"/>
                <w:sz w:val="12"/>
                <w:szCs w:val="12"/>
                <w:color w:val="auto"/>
              </w:rPr>
              <w:t>79</w:t>
            </w:r>
          </w:p>
        </w:tc>
        <w:tc>
          <w:tcPr>
            <w:tcW w:w="460" w:type="dxa"/>
            <w:vAlign w:val="bottom"/>
            <w:shd w:val="clear" w:color="auto" w:fill="D1D2D4"/>
          </w:tcPr>
          <w:p>
            <w:pPr>
              <w:spacing w:after="0"/>
              <w:rPr>
                <w:sz w:val="11"/>
                <w:szCs w:val="11"/>
                <w:color w:val="auto"/>
              </w:rPr>
            </w:pPr>
          </w:p>
        </w:tc>
        <w:tc>
          <w:tcPr>
            <w:tcW w:w="700" w:type="dxa"/>
            <w:vAlign w:val="bottom"/>
            <w:shd w:val="clear" w:color="auto" w:fill="D1D2D4"/>
          </w:tcPr>
          <w:p>
            <w:pPr>
              <w:spacing w:after="0"/>
              <w:rPr>
                <w:sz w:val="11"/>
                <w:szCs w:val="11"/>
                <w:color w:val="auto"/>
              </w:rPr>
            </w:pPr>
          </w:p>
        </w:tc>
        <w:tc>
          <w:tcPr>
            <w:tcW w:w="620" w:type="dxa"/>
            <w:vAlign w:val="bottom"/>
            <w:shd w:val="clear" w:color="auto" w:fill="D1D2D4"/>
          </w:tcPr>
          <w:p>
            <w:pPr>
              <w:spacing w:after="0"/>
              <w:rPr>
                <w:sz w:val="11"/>
                <w:szCs w:val="11"/>
                <w:color w:val="auto"/>
              </w:rPr>
            </w:pPr>
          </w:p>
        </w:tc>
        <w:tc>
          <w:tcPr>
            <w:tcW w:w="760" w:type="dxa"/>
            <w:vAlign w:val="bottom"/>
            <w:shd w:val="clear" w:color="auto" w:fill="D1D2D4"/>
          </w:tcPr>
          <w:p>
            <w:pPr>
              <w:spacing w:after="0"/>
              <w:rPr>
                <w:sz w:val="11"/>
                <w:szCs w:val="11"/>
                <w:color w:val="auto"/>
              </w:rPr>
            </w:pPr>
          </w:p>
        </w:tc>
        <w:tc>
          <w:tcPr>
            <w:tcW w:w="280" w:type="dxa"/>
            <w:vAlign w:val="bottom"/>
            <w:shd w:val="clear" w:color="auto" w:fill="D1D2D4"/>
          </w:tcPr>
          <w:p>
            <w:pPr>
              <w:spacing w:after="0"/>
              <w:rPr>
                <w:sz w:val="11"/>
                <w:szCs w:val="11"/>
                <w:color w:val="auto"/>
              </w:rPr>
            </w:pPr>
          </w:p>
        </w:tc>
        <w:tc>
          <w:tcPr>
            <w:tcW w:w="62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line="103" w:lineRule="exact"/>
              <w:rPr>
                <w:sz w:val="20"/>
                <w:szCs w:val="20"/>
                <w:color w:val="auto"/>
              </w:rPr>
            </w:pPr>
            <w:r>
              <w:rPr>
                <w:rFonts w:ascii="Arial" w:cs="Arial" w:eastAsia="Arial" w:hAnsi="Arial"/>
                <w:sz w:val="11"/>
                <w:szCs w:val="11"/>
                <w:color w:val="auto"/>
              </w:rPr>
              <w:t>Cash, cash equivalents, and restricted</w:t>
            </w:r>
          </w:p>
        </w:tc>
        <w:tc>
          <w:tcPr>
            <w:tcW w:w="400" w:type="dxa"/>
            <w:vAlign w:val="bottom"/>
            <w:vMerge w:val="restart"/>
          </w:tcPr>
          <w:p>
            <w:pPr>
              <w:jc w:val="right"/>
              <w:ind w:right="260"/>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7,664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restart"/>
          </w:tcPr>
          <w:p>
            <w:pPr>
              <w:jc w:val="right"/>
              <w:ind w:right="280"/>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8,656</w:t>
            </w: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20"/>
                <w:szCs w:val="20"/>
                <w:color w:val="auto"/>
              </w:rPr>
            </w:pPr>
            <w:r>
              <w:rPr>
                <w:rFonts w:ascii="Arial" w:cs="Arial" w:eastAsia="Arial" w:hAnsi="Arial"/>
                <w:sz w:val="12"/>
                <w:szCs w:val="12"/>
                <w:color w:val="auto"/>
              </w:rPr>
              <w:t>cash</w:t>
            </w:r>
          </w:p>
        </w:tc>
        <w:tc>
          <w:tcPr>
            <w:tcW w:w="4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68" w:hanging="168"/>
        <w:spacing w:after="0"/>
        <w:tabs>
          <w:tab w:leader="none" w:pos="168"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maturities of long-term marketable investments primarily range from one to five years, except for asset-backed securities which are not due at a single maturity date.</w:t>
      </w:r>
    </w:p>
    <w:p>
      <w:pPr>
        <w:ind w:left="168" w:hanging="168"/>
        <w:spacing w:after="0" w:line="187" w:lineRule="auto"/>
        <w:tabs>
          <w:tab w:leader="none" w:pos="168"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i w:val="1"/>
          <w:iCs w:val="1"/>
          <w:color w:val="auto"/>
        </w:rPr>
        <w:t>The fair value of Level 1 securities is measured based on quoted prices in active markets for identical assets.</w:t>
      </w:r>
    </w:p>
    <w:p>
      <w:pPr>
        <w:ind w:left="168" w:right="160" w:hanging="168"/>
        <w:spacing w:after="0" w:line="225" w:lineRule="auto"/>
        <w:tabs>
          <w:tab w:leader="none" w:pos="164"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May 30, 2024 or August 31, 2023.</w:t>
      </w:r>
    </w:p>
    <w:p>
      <w:pPr>
        <w:ind w:left="168" w:right="500" w:hanging="168"/>
        <w:spacing w:after="0" w:line="216" w:lineRule="auto"/>
        <w:tabs>
          <w:tab w:leader="none" w:pos="164"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color w:val="auto"/>
        </w:rPr>
        <w:t>Gross realized gains and losses from sales of available-for-sale securities were not significant for any period presented.</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Non-marketable Equity Investments</w:t>
      </w:r>
    </w:p>
    <w:p>
      <w:pPr>
        <w:spacing w:after="0" w:line="160" w:lineRule="exact"/>
        <w:rPr>
          <w:sz w:val="20"/>
          <w:szCs w:val="20"/>
          <w:color w:val="auto"/>
        </w:rPr>
      </w:pPr>
    </w:p>
    <w:p>
      <w:pPr>
        <w:ind w:left="8" w:right="60"/>
        <w:spacing w:after="0" w:line="252" w:lineRule="auto"/>
        <w:rPr>
          <w:sz w:val="20"/>
          <w:szCs w:val="20"/>
          <w:color w:val="auto"/>
        </w:rPr>
      </w:pPr>
      <w:r>
        <w:rPr>
          <w:rFonts w:ascii="Arial" w:cs="Arial" w:eastAsia="Arial" w:hAnsi="Arial"/>
          <w:sz w:val="12"/>
          <w:szCs w:val="12"/>
          <w:color w:val="auto"/>
        </w:rPr>
        <w:t>In addition to the amounts included in the table above, we had $192 million and $218 million of non-marketable equity investments without a readily determinable fair value that were included in other noncurrent assets as of May 30, 2024 and August 31, 2023, respectively. We recognized a net loss in other non-operating income (expense) on our non-marketable investments of $29 million for the first nine months of 2024. The amounts recognized for the other periods presented were not significant. Our non-marketable equity investments are recorded at fair value on a non-recurring basis and classified as Level 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type w:val="continuous"/>
        </w:sectPr>
      </w:pPr>
    </w:p>
    <w:bookmarkStart w:id="12" w:name="page13"/>
    <w:bookmarkEnd w:id="12"/>
    <w:tbl>
      <w:tblPr>
        <w:tblLayout w:type="fixed"/>
        <w:tblInd w:w="8"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26"/>
                <w:szCs w:val="26"/>
                <w:b w:val="1"/>
                <w:bCs w:val="1"/>
                <w:color w:val="auto"/>
              </w:rPr>
              <w:t>Receivables</w:t>
            </w: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BD03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8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96"/>
              </w:rPr>
              <w:t>May 30,</w:t>
            </w:r>
          </w:p>
        </w:tc>
        <w:tc>
          <w:tcPr>
            <w:tcW w:w="2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August 31,</w:t>
            </w:r>
          </w:p>
        </w:tc>
        <w:tc>
          <w:tcPr>
            <w:tcW w:w="0" w:type="dxa"/>
            <w:vAlign w:val="bottom"/>
          </w:tcPr>
          <w:p>
            <w:pPr>
              <w:spacing w:after="0"/>
              <w:rPr>
                <w:sz w:val="1"/>
                <w:szCs w:val="1"/>
                <w:color w:val="auto"/>
              </w:rPr>
            </w:pPr>
          </w:p>
        </w:tc>
      </w:tr>
      <w:tr>
        <w:trPr>
          <w:trHeight w:val="105"/>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8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7"/>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Trade receivables</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4,416</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2,048</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Government incentives</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Income and other taxes</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208</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62"/>
        </w:trPr>
        <w:tc>
          <w:tcPr>
            <w:tcW w:w="8440" w:type="dxa"/>
            <w:vAlign w:val="bottom"/>
            <w:tcBorders>
              <w:bottom w:val="single" w:sz="8" w:color="D1D2D4"/>
            </w:tcBorders>
            <w:shd w:val="clear" w:color="auto" w:fill="D1D2D4"/>
          </w:tcPr>
          <w:p>
            <w:pPr>
              <w:spacing w:after="0"/>
              <w:rPr>
                <w:sz w:val="14"/>
                <w:szCs w:val="14"/>
                <w:color w:val="auto"/>
              </w:rPr>
            </w:pPr>
          </w:p>
        </w:tc>
        <w:tc>
          <w:tcPr>
            <w:tcW w:w="28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5,131</w:t>
            </w:r>
          </w:p>
        </w:tc>
        <w:tc>
          <w:tcPr>
            <w:tcW w:w="240" w:type="dxa"/>
            <w:vAlign w:val="bottom"/>
            <w:tcBorders>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2,443</w:t>
            </w:r>
          </w:p>
        </w:tc>
        <w:tc>
          <w:tcPr>
            <w:tcW w:w="0" w:type="dxa"/>
            <w:vAlign w:val="bottom"/>
          </w:tcPr>
          <w:p>
            <w:pPr>
              <w:spacing w:after="0"/>
              <w:rPr>
                <w:sz w:val="1"/>
                <w:szCs w:val="1"/>
                <w:color w:val="auto"/>
              </w:rPr>
            </w:pPr>
          </w:p>
        </w:tc>
      </w:tr>
      <w:tr>
        <w:trPr>
          <w:trHeight w:val="733"/>
        </w:trPr>
        <w:tc>
          <w:tcPr>
            <w:tcW w:w="8440" w:type="dxa"/>
            <w:vAlign w:val="bottom"/>
          </w:tcPr>
          <w:p>
            <w:pPr>
              <w:spacing w:after="0"/>
              <w:rPr>
                <w:sz w:val="20"/>
                <w:szCs w:val="20"/>
                <w:color w:val="auto"/>
              </w:rPr>
            </w:pPr>
            <w:r>
              <w:rPr>
                <w:rFonts w:ascii="Arial" w:cs="Arial" w:eastAsia="Arial" w:hAnsi="Arial"/>
                <w:sz w:val="26"/>
                <w:szCs w:val="26"/>
                <w:b w:val="1"/>
                <w:bCs w:val="1"/>
                <w:color w:val="auto"/>
              </w:rPr>
              <w:t>Inventories</w:t>
            </w:r>
          </w:p>
        </w:tc>
        <w:tc>
          <w:tcPr>
            <w:tcW w:w="280" w:type="dxa"/>
            <w:vAlign w:val="bottom"/>
          </w:tcPr>
          <w:p>
            <w:pPr>
              <w:spacing w:after="0"/>
              <w:rPr>
                <w:sz w:val="24"/>
                <w:szCs w:val="24"/>
                <w:color w:val="auto"/>
              </w:rPr>
            </w:pPr>
          </w:p>
        </w:tc>
        <w:tc>
          <w:tcPr>
            <w:tcW w:w="114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96"/>
              </w:rPr>
              <w:t>May 30,</w:t>
            </w:r>
          </w:p>
        </w:tc>
        <w:tc>
          <w:tcPr>
            <w:tcW w:w="2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August 31,</w:t>
            </w:r>
          </w:p>
        </w:tc>
        <w:tc>
          <w:tcPr>
            <w:tcW w:w="0" w:type="dxa"/>
            <w:vAlign w:val="bottom"/>
          </w:tcPr>
          <w:p>
            <w:pPr>
              <w:spacing w:after="0"/>
              <w:rPr>
                <w:sz w:val="1"/>
                <w:szCs w:val="1"/>
                <w:color w:val="auto"/>
              </w:rPr>
            </w:pPr>
          </w:p>
        </w:tc>
      </w:tr>
      <w:tr>
        <w:trPr>
          <w:trHeight w:val="100"/>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7"/>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Finished goods</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1,280</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1,616</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Work in process</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6,542</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6,111</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Raw materials and supplies</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690</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660</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8,512</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8,387</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26"/>
                <w:szCs w:val="26"/>
                <w:b w:val="1"/>
                <w:bCs w:val="1"/>
                <w:color w:val="auto"/>
              </w:rPr>
              <w:t>Property, Plant, and Equipment</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8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96"/>
              </w:rPr>
              <w:t>May 30,</w:t>
            </w:r>
          </w:p>
        </w:tc>
        <w:tc>
          <w:tcPr>
            <w:tcW w:w="24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August 31,</w:t>
            </w:r>
          </w:p>
        </w:tc>
        <w:tc>
          <w:tcPr>
            <w:tcW w:w="0" w:type="dxa"/>
            <w:vAlign w:val="bottom"/>
          </w:tcPr>
          <w:p>
            <w:pPr>
              <w:spacing w:after="0"/>
              <w:rPr>
                <w:sz w:val="1"/>
                <w:szCs w:val="1"/>
                <w:color w:val="auto"/>
              </w:rPr>
            </w:pPr>
          </w:p>
        </w:tc>
      </w:tr>
      <w:tr>
        <w:trPr>
          <w:trHeight w:val="100"/>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2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4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7"/>
              </w:rPr>
              <w:t>2024</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Land</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284</w:t>
            </w:r>
          </w:p>
        </w:tc>
        <w:tc>
          <w:tcPr>
            <w:tcW w:w="24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Buildings</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19,134</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17,967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line="153" w:lineRule="exact"/>
              <w:rPr>
                <w:sz w:val="20"/>
                <w:szCs w:val="20"/>
                <w:color w:val="auto"/>
              </w:rPr>
            </w:pPr>
            <w:r>
              <w:rPr>
                <w:rFonts w:ascii="Arial" w:cs="Arial" w:eastAsia="Arial" w:hAnsi="Arial"/>
                <w:sz w:val="12"/>
                <w:szCs w:val="12"/>
                <w:color w:val="auto"/>
              </w:rPr>
              <w:t>Equipment</w:t>
            </w:r>
            <w:r>
              <w:rPr>
                <w:rFonts w:ascii="Arial" w:cs="Arial" w:eastAsia="Arial" w:hAnsi="Arial"/>
                <w:sz w:val="15"/>
                <w:szCs w:val="15"/>
                <w:color w:val="auto"/>
                <w:vertAlign w:val="superscript"/>
              </w:rPr>
              <w:t>(1)</w:t>
            </w:r>
          </w:p>
        </w:tc>
        <w:tc>
          <w:tcPr>
            <w:tcW w:w="28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68,426</w:t>
            </w:r>
          </w:p>
        </w:tc>
        <w:tc>
          <w:tcPr>
            <w:tcW w:w="24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65,555</w:t>
            </w:r>
          </w:p>
        </w:tc>
        <w:tc>
          <w:tcPr>
            <w:tcW w:w="0" w:type="dxa"/>
            <w:vAlign w:val="bottom"/>
          </w:tcPr>
          <w:p>
            <w:pPr>
              <w:spacing w:after="0"/>
              <w:rPr>
                <w:sz w:val="1"/>
                <w:szCs w:val="1"/>
                <w:color w:val="auto"/>
              </w:rPr>
            </w:pPr>
          </w:p>
        </w:tc>
      </w:tr>
      <w:tr>
        <w:trPr>
          <w:trHeight w:val="153"/>
        </w:trPr>
        <w:tc>
          <w:tcPr>
            <w:tcW w:w="8440" w:type="dxa"/>
            <w:vAlign w:val="bottom"/>
          </w:tcPr>
          <w:p>
            <w:pPr>
              <w:spacing w:after="0" w:line="153" w:lineRule="exact"/>
              <w:rPr>
                <w:sz w:val="20"/>
                <w:szCs w:val="20"/>
                <w:color w:val="auto"/>
              </w:rPr>
            </w:pPr>
            <w:r>
              <w:rPr>
                <w:rFonts w:ascii="Arial" w:cs="Arial" w:eastAsia="Arial" w:hAnsi="Arial"/>
                <w:sz w:val="12"/>
                <w:szCs w:val="12"/>
                <w:color w:val="auto"/>
              </w:rPr>
              <w:t>Construction in progress</w:t>
            </w:r>
            <w:r>
              <w:rPr>
                <w:rFonts w:ascii="Arial" w:cs="Arial" w:eastAsia="Arial" w:hAnsi="Arial"/>
                <w:sz w:val="15"/>
                <w:szCs w:val="15"/>
                <w:color w:val="auto"/>
                <w:vertAlign w:val="superscript"/>
              </w:rPr>
              <w:t>(2)</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3,351</w:t>
            </w:r>
          </w:p>
        </w:tc>
        <w:tc>
          <w:tcPr>
            <w:tcW w:w="24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2,464</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Software</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1,346</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1,316</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92,541</w:t>
            </w:r>
          </w:p>
        </w:tc>
        <w:tc>
          <w:tcPr>
            <w:tcW w:w="24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87,585</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Accumulated depreciation</w:t>
            </w:r>
          </w:p>
        </w:tc>
        <w:tc>
          <w:tcPr>
            <w:tcW w:w="280" w:type="dxa"/>
            <w:vAlign w:val="bottom"/>
            <w:tcBorders>
              <w:bottom w:val="single" w:sz="8" w:color="auto"/>
            </w:tcBorders>
            <w:shd w:val="clear" w:color="auto" w:fill="D1D2D4"/>
          </w:tcPr>
          <w:p>
            <w:pPr>
              <w:spacing w:after="0"/>
              <w:rPr>
                <w:sz w:val="13"/>
                <w:szCs w:val="13"/>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(54,615)</w:t>
            </w:r>
          </w:p>
        </w:tc>
        <w:tc>
          <w:tcPr>
            <w:tcW w:w="24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(49,657)</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37,926</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37,928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68" w:hanging="168"/>
        <w:spacing w:after="0"/>
        <w:tabs>
          <w:tab w:leader="none" w:pos="168"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costs related to equipment not placed into service of $1.77 billion as of May 30, 2024 and $2.91 billion as of August 31, 2023.</w:t>
      </w:r>
    </w:p>
    <w:p>
      <w:pPr>
        <w:ind w:left="168" w:hanging="168"/>
        <w:spacing w:after="0" w:line="191" w:lineRule="auto"/>
        <w:tabs>
          <w:tab w:leader="none" w:pos="168"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building-related construction, tool installation, and software costs for assets not placed into service.</w:t>
      </w:r>
    </w:p>
    <w:p>
      <w:pPr>
        <w:spacing w:after="0" w:line="309"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Intangible Assets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27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9"/>
              </w:rPr>
              <w:t>As of May 30, 2024</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As of August 31, 2023</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06"/>
        </w:trPr>
        <w:tc>
          <w:tcPr>
            <w:tcW w:w="2780" w:type="dxa"/>
            <w:vAlign w:val="bottom"/>
          </w:tcPr>
          <w:p>
            <w:pPr>
              <w:spacing w:after="0"/>
              <w:rPr>
                <w:sz w:val="9"/>
                <w:szCs w:val="9"/>
                <w:color w:val="auto"/>
              </w:rPr>
            </w:pPr>
          </w:p>
        </w:tc>
        <w:tc>
          <w:tcPr>
            <w:tcW w:w="1040" w:type="dxa"/>
            <w:vAlign w:val="bottom"/>
          </w:tcPr>
          <w:p>
            <w:pPr>
              <w:jc w:val="right"/>
              <w:ind w:right="100"/>
              <w:spacing w:after="0" w:line="106" w:lineRule="exact"/>
              <w:rPr>
                <w:sz w:val="20"/>
                <w:szCs w:val="20"/>
                <w:color w:val="auto"/>
              </w:rPr>
            </w:pPr>
            <w:r>
              <w:rPr>
                <w:rFonts w:ascii="Arial" w:cs="Arial" w:eastAsia="Arial" w:hAnsi="Arial"/>
                <w:sz w:val="12"/>
                <w:szCs w:val="12"/>
                <w:b w:val="1"/>
                <w:bCs w:val="1"/>
                <w:color w:val="auto"/>
              </w:rPr>
              <w:t>Gross</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jc w:val="center"/>
              <w:ind w:right="40"/>
              <w:spacing w:after="0" w:line="106" w:lineRule="exact"/>
              <w:rPr>
                <w:sz w:val="20"/>
                <w:szCs w:val="20"/>
                <w:color w:val="auto"/>
              </w:rPr>
            </w:pPr>
            <w:r>
              <w:rPr>
                <w:rFonts w:ascii="Arial" w:cs="Arial" w:eastAsia="Arial" w:hAnsi="Arial"/>
                <w:sz w:val="12"/>
                <w:szCs w:val="12"/>
                <w:b w:val="1"/>
                <w:bCs w:val="1"/>
                <w:color w:val="auto"/>
                <w:w w:val="98"/>
              </w:rPr>
              <w:t>Accumulated</w:t>
            </w:r>
          </w:p>
        </w:tc>
        <w:tc>
          <w:tcPr>
            <w:tcW w:w="220" w:type="dxa"/>
            <w:vAlign w:val="bottom"/>
          </w:tcPr>
          <w:p>
            <w:pPr>
              <w:spacing w:after="0"/>
              <w:rPr>
                <w:sz w:val="9"/>
                <w:szCs w:val="9"/>
                <w:color w:val="auto"/>
              </w:rPr>
            </w:pPr>
          </w:p>
        </w:tc>
        <w:tc>
          <w:tcPr>
            <w:tcW w:w="1200" w:type="dxa"/>
            <w:vAlign w:val="bottom"/>
          </w:tcPr>
          <w:p>
            <w:pPr>
              <w:jc w:val="center"/>
              <w:ind w:right="140"/>
              <w:spacing w:after="0" w:line="106" w:lineRule="exact"/>
              <w:rPr>
                <w:sz w:val="20"/>
                <w:szCs w:val="20"/>
                <w:color w:val="auto"/>
              </w:rPr>
            </w:pPr>
            <w:r>
              <w:rPr>
                <w:rFonts w:ascii="Arial" w:cs="Arial" w:eastAsia="Arial" w:hAnsi="Arial"/>
                <w:sz w:val="12"/>
                <w:szCs w:val="12"/>
                <w:b w:val="1"/>
                <w:bCs w:val="1"/>
                <w:color w:val="auto"/>
                <w:w w:val="99"/>
              </w:rPr>
              <w:t>Net Carrying</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jc w:val="right"/>
              <w:ind w:right="440"/>
              <w:spacing w:after="0" w:line="106" w:lineRule="exact"/>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9"/>
                <w:szCs w:val="9"/>
                <w:color w:val="auto"/>
              </w:rPr>
            </w:pPr>
          </w:p>
        </w:tc>
        <w:tc>
          <w:tcPr>
            <w:tcW w:w="13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8"/>
              </w:rPr>
              <w:t>Accumulated</w:t>
            </w:r>
          </w:p>
        </w:tc>
        <w:tc>
          <w:tcPr>
            <w:tcW w:w="220" w:type="dxa"/>
            <w:vAlign w:val="bottom"/>
          </w:tcPr>
          <w:p>
            <w:pPr>
              <w:spacing w:after="0"/>
              <w:rPr>
                <w:sz w:val="9"/>
                <w:szCs w:val="9"/>
                <w:color w:val="auto"/>
              </w:rPr>
            </w:pPr>
          </w:p>
        </w:tc>
        <w:tc>
          <w:tcPr>
            <w:tcW w:w="1200" w:type="dxa"/>
            <w:vAlign w:val="bottom"/>
          </w:tcPr>
          <w:p>
            <w:pPr>
              <w:jc w:val="right"/>
              <w:ind w:right="280"/>
              <w:spacing w:after="0" w:line="106" w:lineRule="exact"/>
              <w:rPr>
                <w:sz w:val="20"/>
                <w:szCs w:val="20"/>
                <w:color w:val="auto"/>
              </w:rPr>
            </w:pPr>
            <w:r>
              <w:rPr>
                <w:rFonts w:ascii="Arial" w:cs="Arial" w:eastAsia="Arial" w:hAnsi="Arial"/>
                <w:sz w:val="12"/>
                <w:szCs w:val="12"/>
                <w:b w:val="1"/>
                <w:bCs w:val="1"/>
                <w:color w:val="auto"/>
              </w:rPr>
              <w:t>Net Carrying</w:t>
            </w:r>
          </w:p>
        </w:tc>
      </w:tr>
      <w:tr>
        <w:trPr>
          <w:trHeight w:val="170"/>
        </w:trPr>
        <w:tc>
          <w:tcPr>
            <w:tcW w:w="278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4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1100" w:type="dxa"/>
            <w:vAlign w:val="bottom"/>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4"/>
                <w:szCs w:val="14"/>
                <w:color w:val="auto"/>
              </w:rPr>
            </w:pPr>
          </w:p>
        </w:tc>
        <w:tc>
          <w:tcPr>
            <w:tcW w:w="1200" w:type="dxa"/>
            <w:vAlign w:val="bottom"/>
          </w:tcPr>
          <w:p>
            <w:pPr>
              <w:jc w:val="right"/>
              <w:ind w:right="420"/>
              <w:spacing w:after="0"/>
              <w:rPr>
                <w:sz w:val="20"/>
                <w:szCs w:val="20"/>
                <w:color w:val="auto"/>
              </w:rPr>
            </w:pPr>
            <w:r>
              <w:rPr>
                <w:rFonts w:ascii="Arial" w:cs="Arial" w:eastAsia="Arial" w:hAnsi="Arial"/>
                <w:sz w:val="12"/>
                <w:szCs w:val="12"/>
                <w:b w:val="1"/>
                <w:bCs w:val="1"/>
                <w:color w:val="auto"/>
              </w:rPr>
              <w:t>Amount</w:t>
            </w:r>
          </w:p>
        </w:tc>
      </w:tr>
      <w:tr>
        <w:trPr>
          <w:trHeight w:val="161"/>
        </w:trPr>
        <w:tc>
          <w:tcPr>
            <w:tcW w:w="2780" w:type="dxa"/>
            <w:vAlign w:val="bottom"/>
            <w:tcBorders>
              <w:top w:val="single" w:sz="8" w:color="auto"/>
            </w:tcBorders>
            <w:shd w:val="clear" w:color="auto" w:fill="D1D2D4"/>
          </w:tcPr>
          <w:p>
            <w:pPr>
              <w:spacing w:after="0"/>
              <w:rPr>
                <w:sz w:val="20"/>
                <w:szCs w:val="20"/>
                <w:color w:val="auto"/>
              </w:rPr>
            </w:pPr>
            <w:r>
              <w:rPr>
                <w:rFonts w:ascii="Arial" w:cs="Arial" w:eastAsia="Arial" w:hAnsi="Arial"/>
                <w:sz w:val="12"/>
                <w:szCs w:val="12"/>
                <w:color w:val="auto"/>
              </w:rPr>
              <w:t>Product and process technology</w:t>
            </w:r>
          </w:p>
        </w:tc>
        <w:tc>
          <w:tcPr>
            <w:tcW w:w="1040" w:type="dxa"/>
            <w:vAlign w:val="bottom"/>
            <w:tcBorders>
              <w:top w:val="single" w:sz="8" w:color="auto"/>
            </w:tcBorders>
            <w:shd w:val="clear" w:color="auto" w:fill="D1D2D4"/>
          </w:tcPr>
          <w:p>
            <w:pPr>
              <w:jc w:val="right"/>
              <w:ind w:right="900"/>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662</w:t>
            </w:r>
          </w:p>
        </w:tc>
        <w:tc>
          <w:tcPr>
            <w:tcW w:w="1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(260)</w:t>
            </w:r>
          </w:p>
        </w:tc>
        <w:tc>
          <w:tcPr>
            <w:tcW w:w="220" w:type="dxa"/>
            <w:vAlign w:val="bottom"/>
            <w:tcBorders>
              <w:top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80" w:type="dxa"/>
            <w:vAlign w:val="bottom"/>
            <w:shd w:val="clear" w:color="auto" w:fill="D1D2D4"/>
          </w:tcPr>
          <w:p>
            <w:pPr>
              <w:spacing w:after="0"/>
              <w:rPr>
                <w:sz w:val="14"/>
                <w:szCs w:val="14"/>
                <w:color w:val="auto"/>
              </w:rPr>
            </w:pPr>
          </w:p>
        </w:tc>
        <w:tc>
          <w:tcPr>
            <w:tcW w:w="280" w:type="dxa"/>
            <w:vAlign w:val="bottom"/>
            <w:tcBorders>
              <w:top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613</w:t>
            </w:r>
          </w:p>
        </w:tc>
        <w:tc>
          <w:tcPr>
            <w:tcW w:w="1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(209)</w:t>
            </w:r>
          </w:p>
        </w:tc>
        <w:tc>
          <w:tcPr>
            <w:tcW w:w="220" w:type="dxa"/>
            <w:vAlign w:val="bottom"/>
            <w:tcBorders>
              <w:top w:val="single" w:sz="8" w:color="auto"/>
            </w:tcBorders>
            <w:shd w:val="clear" w:color="auto" w:fill="D1D2D4"/>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404</w:t>
            </w:r>
          </w:p>
        </w:tc>
      </w:tr>
      <w:tr>
        <w:trPr>
          <w:trHeight w:val="153"/>
        </w:trPr>
        <w:tc>
          <w:tcPr>
            <w:tcW w:w="278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w:t>
            </w:r>
          </w:p>
        </w:tc>
        <w:tc>
          <w:tcPr>
            <w:tcW w:w="10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Borders>
              <w:bottom w:val="single" w:sz="8" w:color="D1D2D4"/>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2780" w:type="dxa"/>
            <w:vAlign w:val="bottom"/>
            <w:tcBorders>
              <w:bottom w:val="single" w:sz="8" w:color="D1D2D4"/>
            </w:tcBorders>
            <w:shd w:val="clear" w:color="auto" w:fill="D1D2D4"/>
          </w:tcPr>
          <w:p>
            <w:pPr>
              <w:spacing w:after="0"/>
              <w:rPr>
                <w:sz w:val="14"/>
                <w:szCs w:val="14"/>
                <w:color w:val="auto"/>
              </w:rPr>
            </w:pPr>
          </w:p>
        </w:tc>
        <w:tc>
          <w:tcPr>
            <w:tcW w:w="1040" w:type="dxa"/>
            <w:vAlign w:val="bottom"/>
            <w:tcBorders>
              <w:bottom w:val="single" w:sz="8" w:color="auto"/>
            </w:tcBorders>
            <w:shd w:val="clear" w:color="auto" w:fill="D1D2D4"/>
          </w:tcPr>
          <w:p>
            <w:pPr>
              <w:jc w:val="right"/>
              <w:ind w:right="900"/>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673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(260)</w:t>
            </w:r>
          </w:p>
        </w:tc>
        <w:tc>
          <w:tcPr>
            <w:tcW w:w="220" w:type="dxa"/>
            <w:vAlign w:val="bottom"/>
            <w:tcBorders>
              <w:bottom w:val="single" w:sz="8" w:color="auto"/>
            </w:tcBorders>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413</w:t>
            </w:r>
          </w:p>
        </w:tc>
        <w:tc>
          <w:tcPr>
            <w:tcW w:w="80" w:type="dxa"/>
            <w:vAlign w:val="bottom"/>
            <w:tcBorders>
              <w:bottom w:val="single" w:sz="8" w:color="D1D2D4"/>
            </w:tcBorders>
            <w:shd w:val="clear" w:color="auto" w:fill="D1D2D4"/>
          </w:tcPr>
          <w:p>
            <w:pPr>
              <w:spacing w:after="0"/>
              <w:rPr>
                <w:sz w:val="14"/>
                <w:szCs w:val="14"/>
                <w:color w:val="auto"/>
              </w:rPr>
            </w:pPr>
          </w:p>
        </w:tc>
        <w:tc>
          <w:tcPr>
            <w:tcW w:w="280" w:type="dxa"/>
            <w:vAlign w:val="bottom"/>
            <w:tcBorders>
              <w:bottom w:val="single" w:sz="8" w:color="auto"/>
            </w:tcBorders>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613</w:t>
            </w:r>
          </w:p>
        </w:tc>
        <w:tc>
          <w:tcPr>
            <w:tcW w:w="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(209)</w:t>
            </w:r>
          </w:p>
        </w:tc>
        <w:tc>
          <w:tcPr>
            <w:tcW w:w="220" w:type="dxa"/>
            <w:vAlign w:val="bottom"/>
            <w:tcBorders>
              <w:bottom w:val="single" w:sz="8" w:color="auto"/>
            </w:tcBorders>
            <w:shd w:val="clear" w:color="auto" w:fill="D1D2D4"/>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404</w:t>
            </w:r>
          </w:p>
        </w:tc>
      </w:tr>
      <w:tr>
        <w:trPr>
          <w:trHeight w:val="765"/>
        </w:trPr>
        <w:tc>
          <w:tcPr>
            <w:tcW w:w="2780" w:type="dxa"/>
            <w:vAlign w:val="bottom"/>
          </w:tcPr>
          <w:p>
            <w:pPr>
              <w:spacing w:after="0"/>
              <w:rPr>
                <w:sz w:val="20"/>
                <w:szCs w:val="20"/>
                <w:color w:val="auto"/>
              </w:rPr>
            </w:pPr>
            <w:r>
              <w:rPr>
                <w:rFonts w:ascii="Arial" w:cs="Arial" w:eastAsia="Arial" w:hAnsi="Arial"/>
                <w:sz w:val="11"/>
                <w:szCs w:val="11"/>
                <w:b w:val="1"/>
                <w:bCs w:val="1"/>
                <w:color w:val="auto"/>
              </w:rPr>
              <w:t>13 | 2024 Q3 10-Q</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9"/>
        </w:trPr>
        <w:tc>
          <w:tcPr>
            <w:tcW w:w="2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3" w:name="page14"/>
    <w:bookmarkEnd w:id="1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left="8" w:right="280"/>
        <w:spacing w:after="0" w:line="268" w:lineRule="auto"/>
        <w:rPr>
          <w:sz w:val="20"/>
          <w:szCs w:val="20"/>
          <w:color w:val="auto"/>
        </w:rPr>
      </w:pPr>
      <w:r>
        <w:rPr>
          <w:rFonts w:ascii="Arial" w:cs="Arial" w:eastAsia="Arial" w:hAnsi="Arial"/>
          <w:sz w:val="12"/>
          <w:szCs w:val="12"/>
          <w:color w:val="auto"/>
        </w:rPr>
        <w:t>In the first nine months of 2024 and 2023, we capitalized $60 million and $72 million, respectively, for product and process technology with weighted-average useful lives of 10 years and 9 years, respectively. Amortization expense was $61 million and $66 million for the first nine months of 2024 and 2023, respectively. Expected amortization expense is $21 million for the remainder of 2024, $63 million for 2025, $53 million for 2026, $49 million for 2027, and $47 million for 2028.</w:t>
      </w:r>
    </w:p>
    <w:p>
      <w:pPr>
        <w:spacing w:after="0" w:line="293"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Leases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lease cost are presented below:</w:t>
      </w:r>
    </w:p>
    <w:p>
      <w:pPr>
        <w:sectPr>
          <w:pgSz w:w="11900" w:h="16838" w:orient="portrait"/>
          <w:cols w:equalWidth="0" w:num="1">
            <w:col w:w="11308"/>
          </w:cols>
          <w:pgMar w:left="292" w:top="131" w:right="299" w:bottom="1440" w:gutter="0" w:footer="0" w:header="0"/>
        </w:sectPr>
      </w:pP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500" w:type="dxa"/>
            <w:vAlign w:val="bottom"/>
          </w:tcPr>
          <w:p>
            <w:pPr>
              <w:spacing w:after="0"/>
              <w:rPr>
                <w:sz w:val="9"/>
                <w:szCs w:val="9"/>
                <w:color w:val="auto"/>
              </w:rPr>
            </w:pPr>
          </w:p>
        </w:tc>
        <w:tc>
          <w:tcPr>
            <w:tcW w:w="960" w:type="dxa"/>
            <w:vAlign w:val="bottom"/>
          </w:tcPr>
          <w:p>
            <w:pPr>
              <w:jc w:val="center"/>
              <w:ind w:left="380"/>
              <w:spacing w:after="0" w:line="111" w:lineRule="exact"/>
              <w:rPr>
                <w:sz w:val="20"/>
                <w:szCs w:val="20"/>
                <w:color w:val="auto"/>
              </w:rPr>
            </w:pPr>
            <w:r>
              <w:rPr>
                <w:rFonts w:ascii="Arial" w:cs="Arial" w:eastAsia="Arial" w:hAnsi="Arial"/>
                <w:sz w:val="12"/>
                <w:szCs w:val="12"/>
                <w:b w:val="1"/>
                <w:bCs w:val="1"/>
                <w:color w:val="auto"/>
              </w:rPr>
              <w:t>May 30,</w:t>
            </w:r>
          </w:p>
        </w:tc>
        <w:tc>
          <w:tcPr>
            <w:tcW w:w="190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w w:val="96"/>
              </w:rPr>
              <w:t>June 1,</w:t>
            </w:r>
          </w:p>
        </w:tc>
      </w:tr>
      <w:tr>
        <w:trPr>
          <w:trHeight w:val="157"/>
        </w:trPr>
        <w:tc>
          <w:tcPr>
            <w:tcW w:w="6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19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12065</wp:posOffset>
            </wp:positionV>
            <wp:extent cx="182308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b w:val="1"/>
          <w:bCs w:val="1"/>
          <w:color w:val="auto"/>
        </w:rPr>
        <w:t>May 30,</w:t>
      </w:r>
      <w:r>
        <w:rPr>
          <w:sz w:val="20"/>
          <w:szCs w:val="20"/>
          <w:color w:val="auto"/>
        </w:rPr>
        <w:tab/>
      </w:r>
      <w:r>
        <w:rPr>
          <w:rFonts w:ascii="Arial" w:cs="Arial" w:eastAsia="Arial" w:hAnsi="Arial"/>
          <w:sz w:val="12"/>
          <w:szCs w:val="12"/>
          <w:b w:val="1"/>
          <w:bCs w:val="1"/>
          <w:color w:val="auto"/>
        </w:rPr>
        <w:t>June 1,</w:t>
      </w:r>
    </w:p>
    <w:p>
      <w:pPr>
        <w:ind w:left="80"/>
        <w:spacing w:after="0"/>
        <w:tabs>
          <w:tab w:leader="none" w:pos="1500" w:val="left"/>
        </w:tabs>
        <w:rPr>
          <w:sz w:val="20"/>
          <w:szCs w:val="20"/>
          <w:color w:val="auto"/>
        </w:rPr>
      </w:pPr>
      <w:r>
        <w:rPr>
          <w:rFonts w:ascii="Arial" w:cs="Arial" w:eastAsia="Arial" w:hAnsi="Arial"/>
          <w:sz w:val="12"/>
          <w:szCs w:val="12"/>
          <w:b w:val="1"/>
          <w:bCs w:val="1"/>
          <w:color w:val="auto"/>
        </w:rPr>
        <w:t>2024</w:t>
      </w:r>
      <w:r>
        <w:rPr>
          <w:sz w:val="20"/>
          <w:szCs w:val="20"/>
          <w:color w:val="auto"/>
        </w:rPr>
        <w:tab/>
      </w:r>
      <w:r>
        <w:rPr>
          <w:rFonts w:ascii="Arial" w:cs="Arial" w:eastAsia="Arial" w:hAnsi="Arial"/>
          <w:sz w:val="12"/>
          <w:szCs w:val="1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4445</wp:posOffset>
            </wp:positionV>
            <wp:extent cx="182308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368" w:space="560"/>
            <w:col w:w="2380"/>
          </w:cols>
          <w:pgMar w:left="292" w:top="131" w:right="299" w:bottom="144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Finance lease cost</w:t>
            </w:r>
          </w:p>
        </w:tc>
        <w:tc>
          <w:tcPr>
            <w:tcW w:w="620" w:type="dxa"/>
            <w:vAlign w:val="bottom"/>
            <w:shd w:val="clear" w:color="auto" w:fill="D1D2D4"/>
          </w:tcPr>
          <w:p>
            <w:pPr>
              <w:spacing w:after="0"/>
              <w:rPr>
                <w:sz w:val="13"/>
                <w:szCs w:val="13"/>
                <w:color w:val="auto"/>
              </w:rPr>
            </w:pPr>
          </w:p>
        </w:tc>
        <w:tc>
          <w:tcPr>
            <w:tcW w:w="780" w:type="dxa"/>
            <w:vAlign w:val="bottom"/>
            <w:shd w:val="clear" w:color="auto" w:fill="D1D2D4"/>
          </w:tcPr>
          <w:p>
            <w:pPr>
              <w:spacing w:after="0"/>
              <w:rPr>
                <w:sz w:val="13"/>
                <w:szCs w:val="13"/>
                <w:color w:val="auto"/>
              </w:rPr>
            </w:pPr>
          </w:p>
        </w:tc>
        <w:tc>
          <w:tcPr>
            <w:tcW w:w="680" w:type="dxa"/>
            <w:vAlign w:val="bottom"/>
            <w:shd w:val="clear" w:color="auto" w:fill="D1D2D4"/>
          </w:tcPr>
          <w:p>
            <w:pPr>
              <w:spacing w:after="0"/>
              <w:rPr>
                <w:sz w:val="13"/>
                <w:szCs w:val="13"/>
                <w:color w:val="auto"/>
              </w:rPr>
            </w:pPr>
          </w:p>
        </w:tc>
        <w:tc>
          <w:tcPr>
            <w:tcW w:w="780" w:type="dxa"/>
            <w:vAlign w:val="bottom"/>
            <w:shd w:val="clear" w:color="auto" w:fill="D1D2D4"/>
          </w:tcPr>
          <w:p>
            <w:pPr>
              <w:spacing w:after="0"/>
              <w:rPr>
                <w:sz w:val="13"/>
                <w:szCs w:val="13"/>
                <w:color w:val="auto"/>
              </w:rPr>
            </w:pPr>
          </w:p>
        </w:tc>
        <w:tc>
          <w:tcPr>
            <w:tcW w:w="6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78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820" w:type="dxa"/>
            <w:vAlign w:val="bottom"/>
            <w:shd w:val="clear" w:color="auto" w:fill="D1D2D4"/>
          </w:tcPr>
          <w:p>
            <w:pPr>
              <w:spacing w:after="0"/>
              <w:rPr>
                <w:sz w:val="13"/>
                <w:szCs w:val="13"/>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Amortization of right-of-use asset</w:t>
            </w:r>
          </w:p>
        </w:tc>
        <w:tc>
          <w:tcPr>
            <w:tcW w:w="620" w:type="dxa"/>
            <w:vAlign w:val="bottom"/>
          </w:tcPr>
          <w:p>
            <w:pPr>
              <w:jc w:val="right"/>
              <w:ind w:right="5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52</w:t>
            </w:r>
          </w:p>
        </w:tc>
        <w:tc>
          <w:tcPr>
            <w:tcW w:w="680" w:type="dxa"/>
            <w:vAlign w:val="bottom"/>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121</w:t>
            </w:r>
          </w:p>
        </w:tc>
        <w:tc>
          <w:tcPr>
            <w:tcW w:w="640" w:type="dxa"/>
            <w:vAlign w:val="bottom"/>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Interest on lease liability</w:t>
            </w:r>
          </w:p>
        </w:tc>
        <w:tc>
          <w:tcPr>
            <w:tcW w:w="620" w:type="dxa"/>
            <w:vAlign w:val="bottom"/>
            <w:shd w:val="clear" w:color="auto" w:fill="D1D2D4"/>
          </w:tcPr>
          <w:p>
            <w:pPr>
              <w:spacing w:after="0"/>
              <w:rPr>
                <w:sz w:val="13"/>
                <w:szCs w:val="13"/>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w:t>
            </w:r>
          </w:p>
        </w:tc>
        <w:tc>
          <w:tcPr>
            <w:tcW w:w="680" w:type="dxa"/>
            <w:vAlign w:val="bottom"/>
            <w:shd w:val="clear" w:color="auto" w:fill="D1D2D4"/>
          </w:tcPr>
          <w:p>
            <w:pPr>
              <w:spacing w:after="0"/>
              <w:rPr>
                <w:sz w:val="13"/>
                <w:szCs w:val="13"/>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48</w:t>
            </w:r>
          </w:p>
        </w:tc>
        <w:tc>
          <w:tcPr>
            <w:tcW w:w="64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5500" w:type="dxa"/>
            <w:vAlign w:val="bottom"/>
            <w:tcBorders>
              <w:bottom w:val="single" w:sz="8" w:color="D1D2D4"/>
            </w:tcBorders>
          </w:tcPr>
          <w:p>
            <w:pPr>
              <w:spacing w:after="0" w:line="153" w:lineRule="exact"/>
              <w:rPr>
                <w:sz w:val="20"/>
                <w:szCs w:val="20"/>
                <w:color w:val="auto"/>
              </w:rPr>
            </w:pPr>
            <w:r>
              <w:rPr>
                <w:rFonts w:ascii="Arial" w:cs="Arial" w:eastAsia="Arial" w:hAnsi="Arial"/>
                <w:sz w:val="12"/>
                <w:szCs w:val="12"/>
                <w:color w:val="auto"/>
              </w:rPr>
              <w:t>Operating lease cost</w:t>
            </w:r>
            <w:r>
              <w:rPr>
                <w:rFonts w:ascii="Arial" w:cs="Arial" w:eastAsia="Arial" w:hAnsi="Arial"/>
                <w:sz w:val="15"/>
                <w:szCs w:val="15"/>
                <w:color w:val="auto"/>
                <w:vertAlign w:val="superscript"/>
              </w:rPr>
              <w:t>(1)</w:t>
            </w: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60" w:type="dxa"/>
            <w:vAlign w:val="bottom"/>
            <w:tcBorders>
              <w:bottom w:val="single" w:sz="8" w:color="D1D2D4"/>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r>
      <w:tr>
        <w:trPr>
          <w:trHeight w:val="158"/>
        </w:trPr>
        <w:tc>
          <w:tcPr>
            <w:tcW w:w="5500" w:type="dxa"/>
            <w:vAlign w:val="bottom"/>
            <w:tcBorders>
              <w:bottom w:val="single" w:sz="8" w:color="D1D2D4"/>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ind w:right="5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105</w:t>
            </w:r>
          </w:p>
        </w:tc>
        <w:tc>
          <w:tcPr>
            <w:tcW w:w="680" w:type="dxa"/>
            <w:vAlign w:val="bottom"/>
            <w:tcBorders>
              <w:bottom w:val="single" w:sz="8" w:color="auto"/>
            </w:tcBorders>
            <w:shd w:val="clear" w:color="auto" w:fill="D1D2D4"/>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68</w:t>
            </w:r>
          </w:p>
        </w:tc>
        <w:tc>
          <w:tcPr>
            <w:tcW w:w="60" w:type="dxa"/>
            <w:vAlign w:val="bottom"/>
            <w:tcBorders>
              <w:bottom w:val="single" w:sz="8" w:color="D1D2D4"/>
            </w:tcBorders>
            <w:shd w:val="clear" w:color="auto" w:fill="D1D2D4"/>
          </w:tcPr>
          <w:p>
            <w:pPr>
              <w:spacing w:after="0"/>
              <w:rPr>
                <w:sz w:val="13"/>
                <w:szCs w:val="13"/>
                <w:color w:val="auto"/>
              </w:rPr>
            </w:pPr>
          </w:p>
        </w:tc>
        <w:tc>
          <w:tcPr>
            <w:tcW w:w="640" w:type="dxa"/>
            <w:vAlign w:val="bottom"/>
            <w:tcBorders>
              <w:bottom w:val="single" w:sz="8" w:color="auto"/>
            </w:tcBorders>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272</w:t>
            </w:r>
          </w:p>
        </w:tc>
        <w:tc>
          <w:tcPr>
            <w:tcW w:w="640" w:type="dxa"/>
            <w:vAlign w:val="bottom"/>
            <w:tcBorders>
              <w:bottom w:val="single" w:sz="8" w:color="auto"/>
            </w:tcBorders>
            <w:shd w:val="clear" w:color="auto" w:fill="D1D2D4"/>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196</w:t>
            </w:r>
          </w:p>
        </w:tc>
      </w:tr>
    </w:tbl>
    <w:p>
      <w:pPr>
        <w:spacing w:after="0" w:line="52" w:lineRule="exact"/>
        <w:rPr>
          <w:sz w:val="20"/>
          <w:szCs w:val="20"/>
          <w:color w:val="auto"/>
        </w:rPr>
      </w:pPr>
    </w:p>
    <w:p>
      <w:pPr>
        <w:ind w:left="108" w:hanging="108"/>
        <w:spacing w:after="0"/>
        <w:tabs>
          <w:tab w:leader="none" w:pos="108" w:val="left"/>
        </w:tabs>
        <w:numPr>
          <w:ilvl w:val="0"/>
          <w:numId w:val="5"/>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Operating lease cost includes short-term and variable lease expenses, which were not material for the periods presented.</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460" w:type="dxa"/>
            <w:vAlign w:val="bottom"/>
          </w:tcPr>
          <w:p>
            <w:pPr>
              <w:spacing w:after="0"/>
              <w:rPr>
                <w:sz w:val="20"/>
                <w:szCs w:val="20"/>
                <w:color w:val="auto"/>
              </w:rPr>
            </w:pPr>
            <w:r>
              <w:rPr>
                <w:rFonts w:ascii="Arial" w:cs="Arial" w:eastAsia="Arial" w:hAnsi="Arial"/>
                <w:sz w:val="12"/>
                <w:szCs w:val="12"/>
                <w:color w:val="auto"/>
              </w:rPr>
              <w:t>Supplemental cash flow information related to leases was as follows:</w:t>
            </w:r>
          </w:p>
        </w:tc>
        <w:tc>
          <w:tcPr>
            <w:tcW w:w="2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60" w:type="dxa"/>
            <w:vAlign w:val="bottom"/>
            <w:vMerge w:val="restart"/>
          </w:tcPr>
          <w:p>
            <w:pPr>
              <w:spacing w:after="0"/>
              <w:rPr>
                <w:sz w:val="20"/>
                <w:szCs w:val="20"/>
                <w:color w:val="auto"/>
              </w:rPr>
            </w:pPr>
            <w:r>
              <w:rPr>
                <w:rFonts w:ascii="Arial" w:cs="Arial" w:eastAsia="Arial" w:hAnsi="Arial"/>
                <w:sz w:val="12"/>
                <w:szCs w:val="12"/>
                <w:b w:val="1"/>
                <w:bCs w:val="1"/>
                <w:color w:val="auto"/>
              </w:rPr>
              <w:t>Nine months ended</w:t>
            </w:r>
          </w:p>
        </w:tc>
        <w:tc>
          <w:tcPr>
            <w:tcW w:w="2200" w:type="dxa"/>
            <w:vAlign w:val="bottom"/>
          </w:tcPr>
          <w:p>
            <w:pPr>
              <w:spacing w:after="0"/>
              <w:rPr>
                <w:sz w:val="11"/>
                <w:szCs w:val="11"/>
                <w:color w:val="auto"/>
              </w:rPr>
            </w:pPr>
          </w:p>
        </w:tc>
        <w:tc>
          <w:tcPr>
            <w:tcW w:w="980" w:type="dxa"/>
            <w:vAlign w:val="bottom"/>
          </w:tcPr>
          <w:p>
            <w:pPr>
              <w:jc w:val="right"/>
              <w:ind w:right="220"/>
              <w:spacing w:after="0" w:line="133" w:lineRule="exact"/>
              <w:rPr>
                <w:sz w:val="20"/>
                <w:szCs w:val="20"/>
                <w:color w:val="auto"/>
              </w:rPr>
            </w:pPr>
            <w:r>
              <w:rPr>
                <w:rFonts w:ascii="Arial" w:cs="Arial" w:eastAsia="Arial" w:hAnsi="Arial"/>
                <w:sz w:val="12"/>
                <w:szCs w:val="12"/>
                <w:b w:val="1"/>
                <w:bCs w:val="1"/>
                <w:color w:val="auto"/>
              </w:rPr>
              <w:t>May 30,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520"/>
              <w:spacing w:after="0" w:line="133" w:lineRule="exact"/>
              <w:rPr>
                <w:sz w:val="20"/>
                <w:szCs w:val="20"/>
                <w:color w:val="auto"/>
              </w:rPr>
            </w:pPr>
            <w:r>
              <w:rPr>
                <w:rFonts w:ascii="Arial" w:cs="Arial" w:eastAsia="Arial" w:hAnsi="Arial"/>
                <w:sz w:val="12"/>
                <w:szCs w:val="12"/>
                <w:b w:val="1"/>
                <w:bCs w:val="1"/>
                <w:color w:val="auto"/>
              </w:rPr>
              <w:t>June 1,</w:t>
            </w:r>
          </w:p>
        </w:tc>
        <w:tc>
          <w:tcPr>
            <w:tcW w:w="0" w:type="dxa"/>
            <w:vAlign w:val="bottom"/>
          </w:tcPr>
          <w:p>
            <w:pPr>
              <w:spacing w:after="0"/>
              <w:rPr>
                <w:sz w:val="1"/>
                <w:szCs w:val="1"/>
                <w:color w:val="auto"/>
              </w:rPr>
            </w:pPr>
          </w:p>
        </w:tc>
      </w:tr>
      <w:tr>
        <w:trPr>
          <w:trHeight w:val="170"/>
        </w:trPr>
        <w:tc>
          <w:tcPr>
            <w:tcW w:w="6460" w:type="dxa"/>
            <w:vAlign w:val="bottom"/>
            <w:tcBorders>
              <w:bottom w:val="single" w:sz="8" w:color="auto"/>
            </w:tcBorders>
            <w:vMerge w:val="continue"/>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shd w:val="clear" w:color="auto" w:fill="D1D2D4"/>
          </w:tcPr>
          <w:p>
            <w:pPr>
              <w:spacing w:after="0"/>
              <w:rPr>
                <w:sz w:val="20"/>
                <w:szCs w:val="20"/>
                <w:color w:val="auto"/>
              </w:rPr>
            </w:pPr>
            <w:r>
              <w:rPr>
                <w:rFonts w:ascii="Arial" w:cs="Arial" w:eastAsia="Arial" w:hAnsi="Arial"/>
                <w:sz w:val="12"/>
                <w:szCs w:val="12"/>
                <w:color w:val="auto"/>
              </w:rPr>
              <w:t>Cash flows used for operating activities</w:t>
            </w:r>
          </w:p>
        </w:tc>
        <w:tc>
          <w:tcPr>
            <w:tcW w:w="220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Finance leases</w:t>
            </w:r>
          </w:p>
        </w:tc>
        <w:tc>
          <w:tcPr>
            <w:tcW w:w="22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41</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Operating leases</w:t>
            </w:r>
          </w:p>
        </w:tc>
        <w:tc>
          <w:tcPr>
            <w:tcW w:w="220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98</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91</w:t>
            </w:r>
          </w:p>
        </w:tc>
        <w:tc>
          <w:tcPr>
            <w:tcW w:w="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Cash flows used for financing activities – Finance leases</w:t>
            </w:r>
          </w:p>
        </w:tc>
        <w:tc>
          <w:tcPr>
            <w:tcW w:w="2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99</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spacing w:after="0"/>
              <w:rPr>
                <w:sz w:val="20"/>
                <w:szCs w:val="20"/>
                <w:color w:val="auto"/>
              </w:rPr>
            </w:pPr>
            <w:r>
              <w:rPr>
                <w:rFonts w:ascii="Arial" w:cs="Arial" w:eastAsia="Arial" w:hAnsi="Arial"/>
                <w:sz w:val="12"/>
                <w:szCs w:val="12"/>
                <w:color w:val="auto"/>
              </w:rPr>
              <w:t>Noncash acquisitions of right-of-use assets</w:t>
            </w:r>
          </w:p>
        </w:tc>
        <w:tc>
          <w:tcPr>
            <w:tcW w:w="220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Finance leases</w:t>
            </w:r>
          </w:p>
        </w:tc>
        <w:tc>
          <w:tcPr>
            <w:tcW w:w="220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758</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Operating leases</w:t>
            </w:r>
          </w:p>
        </w:tc>
        <w:tc>
          <w:tcPr>
            <w:tcW w:w="220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48</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w:t>
            </w:r>
          </w:p>
        </w:tc>
        <w:tc>
          <w:tcPr>
            <w:tcW w:w="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6460" w:type="dxa"/>
            <w:vAlign w:val="bottom"/>
          </w:tcPr>
          <w:p>
            <w:pPr>
              <w:spacing w:after="0"/>
              <w:rPr>
                <w:sz w:val="20"/>
                <w:szCs w:val="20"/>
                <w:color w:val="auto"/>
              </w:rPr>
            </w:pPr>
            <w:r>
              <w:rPr>
                <w:rFonts w:ascii="Arial" w:cs="Arial" w:eastAsia="Arial" w:hAnsi="Arial"/>
                <w:sz w:val="12"/>
                <w:szCs w:val="12"/>
                <w:color w:val="auto"/>
              </w:rPr>
              <w:t>Supplemental balance sheet information related to leases was as follows:</w:t>
            </w:r>
          </w:p>
        </w:tc>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w:t>
            </w:r>
          </w:p>
        </w:tc>
        <w:tc>
          <w:tcPr>
            <w:tcW w:w="2200" w:type="dxa"/>
            <w:vAlign w:val="bottom"/>
          </w:tcPr>
          <w:p>
            <w:pPr>
              <w:spacing w:after="0"/>
              <w:rPr>
                <w:sz w:val="11"/>
                <w:szCs w:val="11"/>
                <w:color w:val="auto"/>
              </w:rPr>
            </w:pPr>
          </w:p>
        </w:tc>
        <w:tc>
          <w:tcPr>
            <w:tcW w:w="980" w:type="dxa"/>
            <w:vAlign w:val="bottom"/>
          </w:tcPr>
          <w:p>
            <w:pPr>
              <w:jc w:val="right"/>
              <w:ind w:right="340"/>
              <w:spacing w:after="0" w:line="133" w:lineRule="exact"/>
              <w:rPr>
                <w:sz w:val="20"/>
                <w:szCs w:val="20"/>
                <w:color w:val="auto"/>
              </w:rPr>
            </w:pPr>
            <w:r>
              <w:rPr>
                <w:rFonts w:ascii="Arial" w:cs="Arial" w:eastAsia="Arial" w:hAnsi="Arial"/>
                <w:sz w:val="12"/>
                <w:szCs w:val="12"/>
                <w:b w:val="1"/>
                <w:bCs w:val="1"/>
                <w:color w:val="auto"/>
              </w:rPr>
              <w:t>May 30,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460"/>
              <w:spacing w:after="0" w:line="133" w:lineRule="exact"/>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70"/>
        </w:trPr>
        <w:tc>
          <w:tcPr>
            <w:tcW w:w="6460" w:type="dxa"/>
            <w:vAlign w:val="bottom"/>
            <w:tcBorders>
              <w:bottom w:val="single" w:sz="8" w:color="auto"/>
            </w:tcBorders>
            <w:vMerge w:val="continue"/>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shd w:val="clear" w:color="auto" w:fill="D1D2D4"/>
          </w:tcPr>
          <w:p>
            <w:pPr>
              <w:ind w:left="20"/>
              <w:spacing w:after="0"/>
              <w:rPr>
                <w:sz w:val="20"/>
                <w:szCs w:val="20"/>
                <w:color w:val="auto"/>
              </w:rPr>
            </w:pPr>
            <w:r>
              <w:rPr>
                <w:rFonts w:ascii="Arial" w:cs="Arial" w:eastAsia="Arial" w:hAnsi="Arial"/>
                <w:sz w:val="12"/>
                <w:szCs w:val="12"/>
                <w:color w:val="auto"/>
              </w:rPr>
              <w:t>Finance lease right-of-use assets (included in property, plant, and equipment)</w:t>
            </w:r>
          </w:p>
        </w:tc>
        <w:tc>
          <w:tcPr>
            <w:tcW w:w="2200" w:type="dxa"/>
            <w:vAlign w:val="bottom"/>
            <w:shd w:val="clear" w:color="auto" w:fill="D1D2D4"/>
          </w:tcPr>
          <w:p>
            <w:pPr>
              <w:jc w:val="right"/>
              <w:ind w:right="260"/>
              <w:spacing w:after="0"/>
              <w:rPr>
                <w:sz w:val="20"/>
                <w:szCs w:val="20"/>
                <w:color w:val="auto"/>
              </w:rPr>
            </w:pPr>
            <w:r>
              <w:rPr>
                <w:rFonts w:ascii="Arial" w:cs="Arial" w:eastAsia="Arial" w:hAnsi="Arial"/>
                <w:sz w:val="12"/>
                <w:szCs w:val="12"/>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1,944</w:t>
            </w:r>
          </w:p>
        </w:tc>
        <w:tc>
          <w:tcPr>
            <w:tcW w:w="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1,311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Arial" w:cs="Arial" w:eastAsia="Arial" w:hAnsi="Arial"/>
                <w:sz w:val="12"/>
                <w:szCs w:val="12"/>
                <w:color w:val="auto"/>
              </w:rPr>
              <w:t>Current operating lease liabilities (included in accounts payable and accrued expenses)</w:t>
            </w:r>
          </w:p>
        </w:tc>
        <w:tc>
          <w:tcPr>
            <w:tcW w:w="2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60" w:type="dxa"/>
            <w:vAlign w:val="bottom"/>
            <w:shd w:val="clear" w:color="auto" w:fill="D1D2D4"/>
          </w:tcPr>
          <w:p>
            <w:pPr>
              <w:spacing w:after="0"/>
              <w:rPr>
                <w:sz w:val="14"/>
                <w:szCs w:val="14"/>
                <w:color w:val="auto"/>
              </w:rPr>
            </w:pPr>
          </w:p>
        </w:tc>
        <w:tc>
          <w:tcPr>
            <w:tcW w:w="220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220" w:type="dxa"/>
            <w:vAlign w:val="bottom"/>
            <w:shd w:val="clear" w:color="auto" w:fill="D1D2D4"/>
          </w:tcPr>
          <w:p>
            <w:pPr>
              <w:spacing w:after="0"/>
              <w:rPr>
                <w:sz w:val="14"/>
                <w:szCs w:val="14"/>
                <w:color w:val="auto"/>
              </w:rPr>
            </w:pPr>
          </w:p>
        </w:tc>
        <w:tc>
          <w:tcPr>
            <w:tcW w:w="1200" w:type="dxa"/>
            <w:vAlign w:val="bottom"/>
            <w:shd w:val="clear" w:color="auto" w:fill="D1D2D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Arial" w:cs="Arial" w:eastAsia="Arial" w:hAnsi="Arial"/>
                <w:sz w:val="12"/>
                <w:szCs w:val="12"/>
                <w:color w:val="auto"/>
              </w:rPr>
              <w:t>Weighted-average remaining lease term (in years)</w:t>
            </w:r>
          </w:p>
        </w:tc>
        <w:tc>
          <w:tcPr>
            <w:tcW w:w="2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Finance leases</w:t>
            </w:r>
          </w:p>
        </w:tc>
        <w:tc>
          <w:tcPr>
            <w:tcW w:w="2200" w:type="dxa"/>
            <w:vAlign w:val="bottom"/>
            <w:shd w:val="clear" w:color="auto" w:fill="D1D2D4"/>
          </w:tcPr>
          <w:p>
            <w:pPr>
              <w:spacing w:after="0"/>
              <w:rPr>
                <w:sz w:val="13"/>
                <w:szCs w:val="13"/>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w:t>
            </w:r>
          </w:p>
        </w:tc>
        <w:tc>
          <w:tcPr>
            <w:tcW w:w="22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Operating leases</w:t>
            </w:r>
          </w:p>
        </w:tc>
        <w:tc>
          <w:tcPr>
            <w:tcW w:w="2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20"/>
              <w:spacing w:after="0"/>
              <w:rPr>
                <w:sz w:val="20"/>
                <w:szCs w:val="20"/>
                <w:color w:val="auto"/>
              </w:rPr>
            </w:pPr>
            <w:r>
              <w:rPr>
                <w:rFonts w:ascii="Arial" w:cs="Arial" w:eastAsia="Arial" w:hAnsi="Arial"/>
                <w:sz w:val="12"/>
                <w:szCs w:val="12"/>
                <w:color w:val="auto"/>
              </w:rPr>
              <w:t>Weighted-average discount rate</w:t>
            </w:r>
          </w:p>
        </w:tc>
        <w:tc>
          <w:tcPr>
            <w:tcW w:w="2200" w:type="dxa"/>
            <w:vAlign w:val="bottom"/>
            <w:shd w:val="clear" w:color="auto" w:fill="D1D2D4"/>
          </w:tcPr>
          <w:p>
            <w:pPr>
              <w:spacing w:after="0"/>
              <w:rPr>
                <w:sz w:val="13"/>
                <w:szCs w:val="13"/>
                <w:color w:val="auto"/>
              </w:rPr>
            </w:pPr>
          </w:p>
        </w:tc>
        <w:tc>
          <w:tcPr>
            <w:tcW w:w="98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Finance leases</w:t>
            </w:r>
          </w:p>
        </w:tc>
        <w:tc>
          <w:tcPr>
            <w:tcW w:w="220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2"/>
                <w:szCs w:val="12"/>
                <w:color w:val="auto"/>
              </w:rPr>
              <w:t>4.78 %</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3.86 %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D1D2D4"/>
          </w:tcPr>
          <w:p>
            <w:pPr>
              <w:ind w:left="80"/>
              <w:spacing w:after="0"/>
              <w:rPr>
                <w:sz w:val="20"/>
                <w:szCs w:val="20"/>
                <w:color w:val="auto"/>
              </w:rPr>
            </w:pPr>
            <w:r>
              <w:rPr>
                <w:rFonts w:ascii="Arial" w:cs="Arial" w:eastAsia="Arial" w:hAnsi="Arial"/>
                <w:sz w:val="12"/>
                <w:szCs w:val="12"/>
                <w:color w:val="auto"/>
              </w:rPr>
              <w:t>Operating leases</w:t>
            </w:r>
          </w:p>
        </w:tc>
        <w:tc>
          <w:tcPr>
            <w:tcW w:w="2200" w:type="dxa"/>
            <w:vAlign w:val="bottom"/>
            <w:shd w:val="clear" w:color="auto" w:fill="D1D2D4"/>
          </w:tcPr>
          <w:p>
            <w:pPr>
              <w:spacing w:after="0"/>
              <w:rPr>
                <w:sz w:val="13"/>
                <w:szCs w:val="13"/>
                <w:color w:val="auto"/>
              </w:rPr>
            </w:pPr>
          </w:p>
        </w:tc>
        <w:tc>
          <w:tcPr>
            <w:tcW w:w="1200" w:type="dxa"/>
            <w:vAlign w:val="bottom"/>
            <w:gridSpan w:val="2"/>
            <w:shd w:val="clear" w:color="auto" w:fill="D1D2D4"/>
          </w:tcPr>
          <w:p>
            <w:pPr>
              <w:jc w:val="right"/>
              <w:ind w:right="40"/>
              <w:spacing w:after="0"/>
              <w:rPr>
                <w:sz w:val="20"/>
                <w:szCs w:val="20"/>
                <w:color w:val="auto"/>
              </w:rPr>
            </w:pPr>
            <w:r>
              <w:rPr>
                <w:rFonts w:ascii="Arial" w:cs="Arial" w:eastAsia="Arial" w:hAnsi="Arial"/>
                <w:sz w:val="12"/>
                <w:szCs w:val="12"/>
                <w:color w:val="auto"/>
              </w:rPr>
              <w:t>3.37 %</w:t>
            </w:r>
          </w:p>
        </w:tc>
        <w:tc>
          <w:tcPr>
            <w:tcW w:w="2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3.21 %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9"/>
        </w:trPr>
        <w:tc>
          <w:tcPr>
            <w:tcW w:w="6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1"/>
                <w:szCs w:val="11"/>
                <w:b w:val="1"/>
                <w:bCs w:val="1"/>
                <w:color w:val="auto"/>
              </w:rPr>
              <w:t>14</w:t>
            </w:r>
          </w:p>
        </w:tc>
        <w:tc>
          <w:tcPr>
            <w:tcW w:w="0" w:type="dxa"/>
            <w:vAlign w:val="bottom"/>
          </w:tcPr>
          <w:p>
            <w:pPr>
              <w:spacing w:after="0"/>
              <w:rPr>
                <w:sz w:val="1"/>
                <w:szCs w:val="1"/>
                <w:color w:val="auto"/>
              </w:rPr>
            </w:pPr>
          </w:p>
        </w:tc>
      </w:tr>
      <w:tr>
        <w:trPr>
          <w:trHeight w:val="59"/>
        </w:trPr>
        <w:tc>
          <w:tcPr>
            <w:tcW w:w="6460" w:type="dxa"/>
            <w:vAlign w:val="bottom"/>
            <w:tcBorders>
              <w:bottom w:val="single" w:sz="8" w:color="9A9A9A"/>
            </w:tcBorders>
          </w:tcPr>
          <w:p>
            <w:pPr>
              <w:spacing w:after="0"/>
              <w:rPr>
                <w:sz w:val="5"/>
                <w:szCs w:val="5"/>
                <w:color w:val="auto"/>
              </w:rPr>
            </w:pPr>
          </w:p>
        </w:tc>
        <w:tc>
          <w:tcPr>
            <w:tcW w:w="2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-216535</wp:posOffset>
            </wp:positionV>
            <wp:extent cx="44005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26"/>
        </w:trPr>
        <w:tc>
          <w:tcPr>
            <w:tcW w:w="8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r>
      <w:tr>
        <w:trPr>
          <w:trHeight w:val="558"/>
        </w:trPr>
        <w:tc>
          <w:tcPr>
            <w:tcW w:w="8440" w:type="dxa"/>
            <w:vAlign w:val="bottom"/>
          </w:tcPr>
          <w:p>
            <w:pPr>
              <w:spacing w:after="0"/>
              <w:rPr>
                <w:sz w:val="20"/>
                <w:szCs w:val="20"/>
                <w:color w:val="auto"/>
              </w:rPr>
            </w:pPr>
            <w:r>
              <w:rPr>
                <w:rFonts w:ascii="Arial" w:cs="Arial" w:eastAsia="Arial" w:hAnsi="Arial"/>
                <w:sz w:val="12"/>
                <w:szCs w:val="12"/>
                <w:color w:val="auto"/>
              </w:rPr>
              <w:t>As of May 30, 2024, maturities of lease liabilities by fiscal year were as follows: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r>
      <w:tr>
        <w:trPr>
          <w:trHeight w:val="177"/>
        </w:trPr>
        <w:tc>
          <w:tcPr>
            <w:tcW w:w="8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year ending</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Finance Leases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Operating Leases</w:t>
            </w: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Remainder of 2024</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95</w:t>
            </w: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9</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2025</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368</w:t>
            </w:r>
          </w:p>
        </w:tc>
        <w:tc>
          <w:tcPr>
            <w:tcW w:w="1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86</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2026</w:t>
            </w:r>
          </w:p>
        </w:tc>
        <w:tc>
          <w:tcPr>
            <w:tcW w:w="16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351</w:t>
            </w:r>
          </w:p>
        </w:tc>
        <w:tc>
          <w:tcPr>
            <w:tcW w:w="160" w:type="dxa"/>
            <w:vAlign w:val="bottom"/>
            <w:shd w:val="clear" w:color="auto" w:fill="D1D2D4"/>
          </w:tcPr>
          <w:p>
            <w:pPr>
              <w:spacing w:after="0"/>
              <w:rPr>
                <w:sz w:val="13"/>
                <w:szCs w:val="13"/>
                <w:color w:val="auto"/>
              </w:rPr>
            </w:pPr>
          </w:p>
        </w:tc>
        <w:tc>
          <w:tcPr>
            <w:tcW w:w="128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88</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2027</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341</w:t>
            </w:r>
          </w:p>
        </w:tc>
        <w:tc>
          <w:tcPr>
            <w:tcW w:w="1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86</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2028</w:t>
            </w:r>
          </w:p>
        </w:tc>
        <w:tc>
          <w:tcPr>
            <w:tcW w:w="16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328</w:t>
            </w:r>
          </w:p>
        </w:tc>
        <w:tc>
          <w:tcPr>
            <w:tcW w:w="160" w:type="dxa"/>
            <w:vAlign w:val="bottom"/>
            <w:shd w:val="clear" w:color="auto" w:fill="D1D2D4"/>
          </w:tcPr>
          <w:p>
            <w:pPr>
              <w:spacing w:after="0"/>
              <w:rPr>
                <w:sz w:val="13"/>
                <w:szCs w:val="13"/>
                <w:color w:val="auto"/>
              </w:rPr>
            </w:pPr>
          </w:p>
        </w:tc>
        <w:tc>
          <w:tcPr>
            <w:tcW w:w="128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80</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2029 and thereafter</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778</w:t>
            </w:r>
          </w:p>
        </w:tc>
        <w:tc>
          <w:tcPr>
            <w:tcW w:w="1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468</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Less imputed interest</w:t>
            </w:r>
          </w:p>
        </w:tc>
        <w:tc>
          <w:tcPr>
            <w:tcW w:w="160" w:type="dxa"/>
            <w:vAlign w:val="bottom"/>
            <w:tcBorders>
              <w:bottom w:val="single" w:sz="8" w:color="auto"/>
            </w:tcBorders>
            <w:shd w:val="clear" w:color="auto" w:fill="D1D2D4"/>
          </w:tcPr>
          <w:p>
            <w:pPr>
              <w:spacing w:after="0"/>
              <w:rPr>
                <w:sz w:val="13"/>
                <w:szCs w:val="13"/>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(335)</w:t>
            </w:r>
          </w:p>
        </w:tc>
        <w:tc>
          <w:tcPr>
            <w:tcW w:w="160" w:type="dxa"/>
            <w:vAlign w:val="bottom"/>
            <w:tcBorders>
              <w:bottom w:val="single" w:sz="8" w:color="auto"/>
            </w:tcBorders>
            <w:shd w:val="clear" w:color="auto" w:fill="D1D2D4"/>
          </w:tcPr>
          <w:p>
            <w:pPr>
              <w:spacing w:after="0"/>
              <w:rPr>
                <w:sz w:val="13"/>
                <w:szCs w:val="13"/>
                <w:color w:val="auto"/>
              </w:rPr>
            </w:pPr>
          </w:p>
        </w:tc>
        <w:tc>
          <w:tcPr>
            <w:tcW w:w="128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(140)</w:t>
            </w:r>
          </w:p>
        </w:tc>
      </w:tr>
      <w:tr>
        <w:trPr>
          <w:trHeight w:val="142"/>
        </w:trPr>
        <w:tc>
          <w:tcPr>
            <w:tcW w:w="84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1,926</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677</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The table above excludes obligations for leases that have been executed but have not yet commenced. As of May 30, 2024, excluded obligations consisted of $704 million of finance lease obligations over a weighted-average period of 14 years for gas supply arrangements deemed to contain embedded leases and equipment leases. We will recognize right-of-use assets and associated lease liabilities at the time such assets become available for our use.</w:t>
      </w: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Accounts Payable and Accrued Expenses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40" w:type="dxa"/>
            <w:vAlign w:val="bottom"/>
            <w:vMerge w:val="restart"/>
          </w:tcPr>
          <w:p>
            <w:pPr>
              <w:spacing w:after="0"/>
              <w:rPr>
                <w:sz w:val="20"/>
                <w:szCs w:val="20"/>
                <w:color w:val="auto"/>
              </w:rPr>
            </w:pPr>
            <w:r>
              <w:rPr>
                <w:rFonts w:ascii="Arial" w:cs="Arial" w:eastAsia="Arial" w:hAnsi="Arial"/>
                <w:sz w:val="12"/>
                <w:szCs w:val="12"/>
                <w:b w:val="1"/>
                <w:bCs w:val="1"/>
                <w:color w:val="auto"/>
              </w:rPr>
              <w:t>As of</w:t>
            </w:r>
          </w:p>
        </w:tc>
        <w:tc>
          <w:tcPr>
            <w:tcW w:w="1000" w:type="dxa"/>
            <w:vAlign w:val="bottom"/>
          </w:tcPr>
          <w:p>
            <w:pPr>
              <w:jc w:val="right"/>
              <w:ind w:right="20"/>
              <w:spacing w:after="0"/>
              <w:rPr>
                <w:sz w:val="20"/>
                <w:szCs w:val="20"/>
                <w:color w:val="auto"/>
              </w:rPr>
            </w:pPr>
            <w:r>
              <w:rPr>
                <w:rFonts w:ascii="Arial" w:cs="Arial" w:eastAsia="Arial" w:hAnsi="Arial"/>
                <w:sz w:val="12"/>
                <w:szCs w:val="12"/>
                <w:b w:val="1"/>
                <w:bCs w:val="1"/>
                <w:color w:val="auto"/>
              </w:rPr>
              <w:t>May 30,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60"/>
              <w:spacing w:after="0"/>
              <w:rPr>
                <w:sz w:val="20"/>
                <w:szCs w:val="20"/>
                <w:color w:val="auto"/>
              </w:rPr>
            </w:pPr>
            <w:r>
              <w:rPr>
                <w:rFonts w:ascii="Arial" w:cs="Arial" w:eastAsia="Arial" w:hAnsi="Arial"/>
                <w:sz w:val="12"/>
                <w:szCs w:val="12"/>
                <w:b w:val="1"/>
                <w:bCs w:val="1"/>
                <w:color w:val="auto"/>
              </w:rPr>
              <w:t>August 31,</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2024</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Accounts payable</w:t>
            </w:r>
          </w:p>
        </w:tc>
        <w:tc>
          <w:tcPr>
            <w:tcW w:w="1000" w:type="dxa"/>
            <w:vAlign w:val="bottom"/>
            <w:shd w:val="clear" w:color="auto" w:fill="D1D2D4"/>
          </w:tcPr>
          <w:p>
            <w:pPr>
              <w:jc w:val="right"/>
              <w:ind w:right="860"/>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1,951</w:t>
            </w:r>
          </w:p>
        </w:tc>
        <w:tc>
          <w:tcPr>
            <w:tcW w:w="26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1,725</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1,663</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1,419</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Salaries, wages, and benefits</w:t>
            </w:r>
          </w:p>
        </w:tc>
        <w:tc>
          <w:tcPr>
            <w:tcW w:w="100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909</w:t>
            </w:r>
          </w:p>
        </w:tc>
        <w:tc>
          <w:tcPr>
            <w:tcW w:w="26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Income and other taxes</w:t>
            </w:r>
          </w:p>
        </w:tc>
        <w:tc>
          <w:tcPr>
            <w:tcW w:w="10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121</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Other</w:t>
            </w:r>
          </w:p>
        </w:tc>
        <w:tc>
          <w:tcPr>
            <w:tcW w:w="1000" w:type="dxa"/>
            <w:vAlign w:val="bottom"/>
            <w:tcBorders>
              <w:bottom w:val="single" w:sz="8" w:color="auto"/>
            </w:tcBorders>
            <w:shd w:val="clear" w:color="auto" w:fill="D1D2D4"/>
          </w:tcPr>
          <w:p>
            <w:pPr>
              <w:spacing w:after="0"/>
              <w:rPr>
                <w:sz w:val="13"/>
                <w:szCs w:val="13"/>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501</w:t>
            </w:r>
          </w:p>
        </w:tc>
        <w:tc>
          <w:tcPr>
            <w:tcW w:w="260" w:type="dxa"/>
            <w:vAlign w:val="bottom"/>
            <w:tcBorders>
              <w:bottom w:val="single" w:sz="8" w:color="auto"/>
            </w:tcBorders>
            <w:shd w:val="clear" w:color="auto" w:fill="D1D2D4"/>
          </w:tcPr>
          <w:p>
            <w:pPr>
              <w:spacing w:after="0"/>
              <w:rPr>
                <w:sz w:val="13"/>
                <w:szCs w:val="13"/>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5,145</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15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126"/>
        </w:trPr>
        <w:tc>
          <w:tcPr>
            <w:tcW w:w="3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4"/>
          </w:tcPr>
          <w:p>
            <w:pPr>
              <w:ind w:left="40"/>
              <w:spacing w:after="0"/>
              <w:rPr>
                <w:sz w:val="20"/>
                <w:szCs w:val="20"/>
                <w:color w:val="auto"/>
              </w:rPr>
            </w:pPr>
            <w:r>
              <w:rPr>
                <w:rFonts w:ascii="Arial" w:cs="Arial" w:eastAsia="Arial" w:hAnsi="Arial"/>
                <w:sz w:val="11"/>
                <w:szCs w:val="11"/>
                <w:b w:val="1"/>
                <w:bCs w:val="1"/>
                <w:color w:val="BD03F7"/>
                <w:w w:val="96"/>
              </w:rPr>
              <w:t>Table of Contents</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26"/>
                <w:szCs w:val="26"/>
                <w:b w:val="1"/>
                <w:bCs w:val="1"/>
                <w:color w:val="auto"/>
              </w:rPr>
              <w:t>Debt</w:t>
            </w: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BD03F7"/>
          </w:tcPr>
          <w:p>
            <w:pPr>
              <w:spacing w:after="0" w:line="20" w:lineRule="exact"/>
              <w:rPr>
                <w:sz w:val="1"/>
                <w:szCs w:val="1"/>
                <w:color w:val="auto"/>
              </w:rPr>
            </w:pPr>
          </w:p>
        </w:tc>
        <w:tc>
          <w:tcPr>
            <w:tcW w:w="660" w:type="dxa"/>
            <w:vAlign w:val="bottom"/>
            <w:shd w:val="clear" w:color="auto" w:fill="BD03F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3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gridSpan w:val="4"/>
            <w:vMerge w:val="restart"/>
          </w:tcPr>
          <w:p>
            <w:pPr>
              <w:jc w:val="right"/>
              <w:ind w:right="20"/>
              <w:spacing w:after="0"/>
              <w:rPr>
                <w:sz w:val="20"/>
                <w:szCs w:val="20"/>
                <w:color w:val="auto"/>
              </w:rPr>
            </w:pPr>
            <w:r>
              <w:rPr>
                <w:rFonts w:ascii="Arial" w:cs="Arial" w:eastAsia="Arial" w:hAnsi="Arial"/>
                <w:sz w:val="12"/>
                <w:szCs w:val="12"/>
                <w:b w:val="1"/>
                <w:bCs w:val="1"/>
                <w:color w:val="auto"/>
              </w:rPr>
              <w:t>As of May 30, 2024</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5"/>
            <w:vMerge w:val="restart"/>
          </w:tcPr>
          <w:p>
            <w:pPr>
              <w:jc w:val="center"/>
              <w:ind w:left="420"/>
              <w:spacing w:after="0"/>
              <w:rPr>
                <w:sz w:val="20"/>
                <w:szCs w:val="20"/>
                <w:color w:val="auto"/>
              </w:rPr>
            </w:pPr>
            <w:r>
              <w:rPr>
                <w:rFonts w:ascii="Arial" w:cs="Arial" w:eastAsia="Arial" w:hAnsi="Arial"/>
                <w:sz w:val="12"/>
                <w:szCs w:val="12"/>
                <w:b w:val="1"/>
                <w:bCs w:val="1"/>
                <w:color w:val="auto"/>
                <w:w w:val="99"/>
              </w:rPr>
              <w:t>As of August 31, 2023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9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Net Carrying Amount</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center"/>
              <w:ind w:left="420"/>
              <w:spacing w:after="0"/>
              <w:rPr>
                <w:sz w:val="20"/>
                <w:szCs w:val="20"/>
                <w:color w:val="auto"/>
              </w:rPr>
            </w:pPr>
            <w:r>
              <w:rPr>
                <w:rFonts w:ascii="Arial" w:cs="Arial" w:eastAsia="Arial" w:hAnsi="Arial"/>
                <w:sz w:val="12"/>
                <w:szCs w:val="12"/>
                <w:b w:val="1"/>
                <w:bCs w:val="1"/>
                <w:color w:val="auto"/>
                <w:w w:val="99"/>
              </w:rPr>
              <w:t>Net Carrying Amount</w:t>
            </w:r>
          </w:p>
        </w:tc>
        <w:tc>
          <w:tcPr>
            <w:tcW w:w="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Stated Rate</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Effective Rate</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Current</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8"/>
              </w:rPr>
              <w:t>Long-Term</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Current</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Long-Term</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2026 Term Loan A</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6.791 %</w:t>
            </w:r>
          </w:p>
        </w:tc>
        <w:tc>
          <w:tcPr>
            <w:tcW w:w="1080" w:type="dxa"/>
            <w:vAlign w:val="bottom"/>
            <w:gridSpan w:val="2"/>
            <w:shd w:val="clear" w:color="auto" w:fill="D1D2D4"/>
          </w:tcPr>
          <w:p>
            <w:pPr>
              <w:jc w:val="right"/>
              <w:ind w:right="20"/>
              <w:spacing w:after="0"/>
              <w:rPr>
                <w:sz w:val="20"/>
                <w:szCs w:val="20"/>
                <w:color w:val="auto"/>
              </w:rPr>
            </w:pPr>
            <w:r>
              <w:rPr>
                <w:rFonts w:ascii="Arial" w:cs="Arial" w:eastAsia="Arial" w:hAnsi="Arial"/>
                <w:sz w:val="12"/>
                <w:szCs w:val="12"/>
                <w:color w:val="auto"/>
              </w:rPr>
              <w:t>6.93 % $</w:t>
            </w: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w:t>
            </w:r>
          </w:p>
        </w:tc>
        <w:tc>
          <w:tcPr>
            <w:tcW w:w="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884</w:t>
            </w:r>
          </w:p>
        </w:tc>
        <w:tc>
          <w:tcPr>
            <w:tcW w:w="26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933</w:t>
            </w:r>
          </w:p>
        </w:tc>
        <w:tc>
          <w:tcPr>
            <w:tcW w:w="100" w:type="dxa"/>
            <w:vAlign w:val="bottom"/>
            <w:shd w:val="clear" w:color="auto" w:fill="D1D2D4"/>
          </w:tcPr>
          <w:p>
            <w:pPr>
              <w:spacing w:after="0"/>
              <w:rPr>
                <w:sz w:val="14"/>
                <w:szCs w:val="14"/>
                <w:color w:val="auto"/>
              </w:rPr>
            </w:pPr>
          </w:p>
        </w:tc>
        <w:tc>
          <w:tcPr>
            <w:tcW w:w="160" w:type="dxa"/>
            <w:vAlign w:val="bottom"/>
            <w:shd w:val="clear" w:color="auto" w:fill="D1D2D4"/>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921</w:t>
            </w:r>
          </w:p>
        </w:tc>
        <w:tc>
          <w:tcPr>
            <w:tcW w:w="280" w:type="dxa"/>
            <w:vAlign w:val="bottom"/>
            <w:gridSpan w:val="2"/>
            <w:shd w:val="clear" w:color="auto" w:fill="D1D2D4"/>
          </w:tcPr>
          <w:p>
            <w:pPr>
              <w:ind w:lef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2027 Term Loan A</w:t>
            </w:r>
          </w:p>
        </w:tc>
        <w:tc>
          <w:tcPr>
            <w:tcW w:w="960" w:type="dxa"/>
            <w:vAlign w:val="bottom"/>
          </w:tcPr>
          <w:p>
            <w:pPr>
              <w:jc w:val="right"/>
              <w:spacing w:after="0"/>
              <w:rPr>
                <w:sz w:val="20"/>
                <w:szCs w:val="20"/>
                <w:color w:val="auto"/>
              </w:rPr>
            </w:pPr>
            <w:r>
              <w:rPr>
                <w:rFonts w:ascii="Arial" w:cs="Arial" w:eastAsia="Arial" w:hAnsi="Arial"/>
                <w:sz w:val="12"/>
                <w:szCs w:val="12"/>
                <w:color w:val="auto"/>
              </w:rPr>
              <w:t>6.916 %</w:t>
            </w:r>
          </w:p>
        </w:tc>
        <w:tc>
          <w:tcPr>
            <w:tcW w:w="920" w:type="dxa"/>
            <w:vAlign w:val="bottom"/>
          </w:tcPr>
          <w:p>
            <w:pPr>
              <w:jc w:val="right"/>
              <w:spacing w:after="0"/>
              <w:rPr>
                <w:sz w:val="20"/>
                <w:szCs w:val="20"/>
                <w:color w:val="auto"/>
              </w:rPr>
            </w:pPr>
            <w:r>
              <w:rPr>
                <w:rFonts w:ascii="Arial" w:cs="Arial" w:eastAsia="Arial" w:hAnsi="Arial"/>
                <w:sz w:val="12"/>
                <w:szCs w:val="12"/>
                <w:color w:val="auto"/>
              </w:rPr>
              <w:t>7.05 %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1,021</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1,078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1,063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2026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4.975 %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5.07 %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499</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499</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499</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line="153" w:lineRule="exact"/>
              <w:rPr>
                <w:sz w:val="20"/>
                <w:szCs w:val="20"/>
                <w:color w:val="auto"/>
              </w:rPr>
            </w:pPr>
            <w:r>
              <w:rPr>
                <w:rFonts w:ascii="Arial" w:cs="Arial" w:eastAsia="Arial" w:hAnsi="Arial"/>
                <w:sz w:val="12"/>
                <w:szCs w:val="12"/>
                <w:color w:val="auto"/>
              </w:rPr>
              <w:t>2027 Notes</w:t>
            </w:r>
            <w:r>
              <w:rPr>
                <w:rFonts w:ascii="Arial" w:cs="Arial" w:eastAsia="Arial" w:hAnsi="Arial"/>
                <w:sz w:val="15"/>
                <w:szCs w:val="15"/>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2"/>
                <w:szCs w:val="12"/>
                <w:color w:val="auto"/>
              </w:rPr>
              <w:t>4.185 %</w:t>
            </w:r>
          </w:p>
        </w:tc>
        <w:tc>
          <w:tcPr>
            <w:tcW w:w="920" w:type="dxa"/>
            <w:vAlign w:val="bottom"/>
          </w:tcPr>
          <w:p>
            <w:pPr>
              <w:jc w:val="right"/>
              <w:spacing w:after="0"/>
              <w:rPr>
                <w:sz w:val="20"/>
                <w:szCs w:val="20"/>
                <w:color w:val="auto"/>
              </w:rPr>
            </w:pPr>
            <w:r>
              <w:rPr>
                <w:rFonts w:ascii="Arial" w:cs="Arial" w:eastAsia="Arial" w:hAnsi="Arial"/>
                <w:sz w:val="12"/>
                <w:szCs w:val="12"/>
                <w:color w:val="auto"/>
              </w:rPr>
              <w:t>4.27 %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800</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798</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2028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5.375 %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5.52 %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597</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597</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596</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2029 A Notes</w:t>
            </w:r>
          </w:p>
        </w:tc>
        <w:tc>
          <w:tcPr>
            <w:tcW w:w="960" w:type="dxa"/>
            <w:vAlign w:val="bottom"/>
          </w:tcPr>
          <w:p>
            <w:pPr>
              <w:jc w:val="right"/>
              <w:spacing w:after="0"/>
              <w:rPr>
                <w:sz w:val="20"/>
                <w:szCs w:val="20"/>
                <w:color w:val="auto"/>
              </w:rPr>
            </w:pPr>
            <w:r>
              <w:rPr>
                <w:rFonts w:ascii="Arial" w:cs="Arial" w:eastAsia="Arial" w:hAnsi="Arial"/>
                <w:sz w:val="12"/>
                <w:szCs w:val="12"/>
                <w:color w:val="auto"/>
              </w:rPr>
              <w:t>5.327 %</w:t>
            </w:r>
          </w:p>
        </w:tc>
        <w:tc>
          <w:tcPr>
            <w:tcW w:w="920" w:type="dxa"/>
            <w:vAlign w:val="bottom"/>
          </w:tcPr>
          <w:p>
            <w:pPr>
              <w:jc w:val="right"/>
              <w:spacing w:after="0"/>
              <w:rPr>
                <w:sz w:val="20"/>
                <w:szCs w:val="20"/>
                <w:color w:val="auto"/>
              </w:rPr>
            </w:pPr>
            <w:r>
              <w:rPr>
                <w:rFonts w:ascii="Arial" w:cs="Arial" w:eastAsia="Arial" w:hAnsi="Arial"/>
                <w:sz w:val="12"/>
                <w:szCs w:val="12"/>
                <w:color w:val="auto"/>
              </w:rPr>
              <w:t>5.40 %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698</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697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2029 B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6.750 %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6.54 %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1,262</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1,262</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1,263</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2030 Notes</w:t>
            </w:r>
          </w:p>
        </w:tc>
        <w:tc>
          <w:tcPr>
            <w:tcW w:w="960" w:type="dxa"/>
            <w:vAlign w:val="bottom"/>
          </w:tcPr>
          <w:p>
            <w:pPr>
              <w:jc w:val="right"/>
              <w:spacing w:after="0"/>
              <w:rPr>
                <w:sz w:val="20"/>
                <w:szCs w:val="20"/>
                <w:color w:val="auto"/>
              </w:rPr>
            </w:pPr>
            <w:r>
              <w:rPr>
                <w:rFonts w:ascii="Arial" w:cs="Arial" w:eastAsia="Arial" w:hAnsi="Arial"/>
                <w:sz w:val="12"/>
                <w:szCs w:val="12"/>
                <w:color w:val="auto"/>
              </w:rPr>
              <w:t>4.663 %</w:t>
            </w:r>
          </w:p>
        </w:tc>
        <w:tc>
          <w:tcPr>
            <w:tcW w:w="920" w:type="dxa"/>
            <w:vAlign w:val="bottom"/>
          </w:tcPr>
          <w:p>
            <w:pPr>
              <w:jc w:val="right"/>
              <w:spacing w:after="0"/>
              <w:rPr>
                <w:sz w:val="20"/>
                <w:szCs w:val="20"/>
                <w:color w:val="auto"/>
              </w:rPr>
            </w:pPr>
            <w:r>
              <w:rPr>
                <w:rFonts w:ascii="Arial" w:cs="Arial" w:eastAsia="Arial" w:hAnsi="Arial"/>
                <w:sz w:val="12"/>
                <w:szCs w:val="12"/>
                <w:color w:val="auto"/>
              </w:rPr>
              <w:t>4.73 %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847</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2031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5.300 %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5.41 %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994</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994</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2032 Green Bonds</w:t>
            </w:r>
          </w:p>
        </w:tc>
        <w:tc>
          <w:tcPr>
            <w:tcW w:w="960" w:type="dxa"/>
            <w:vAlign w:val="bottom"/>
          </w:tcPr>
          <w:p>
            <w:pPr>
              <w:jc w:val="right"/>
              <w:spacing w:after="0"/>
              <w:rPr>
                <w:sz w:val="20"/>
                <w:szCs w:val="20"/>
                <w:color w:val="auto"/>
              </w:rPr>
            </w:pPr>
            <w:r>
              <w:rPr>
                <w:rFonts w:ascii="Arial" w:cs="Arial" w:eastAsia="Arial" w:hAnsi="Arial"/>
                <w:sz w:val="12"/>
                <w:szCs w:val="12"/>
                <w:color w:val="auto"/>
              </w:rPr>
              <w:t>2.703 %</w:t>
            </w:r>
          </w:p>
        </w:tc>
        <w:tc>
          <w:tcPr>
            <w:tcW w:w="920" w:type="dxa"/>
            <w:vAlign w:val="bottom"/>
          </w:tcPr>
          <w:p>
            <w:pPr>
              <w:jc w:val="right"/>
              <w:spacing w:after="0"/>
              <w:rPr>
                <w:sz w:val="20"/>
                <w:szCs w:val="20"/>
                <w:color w:val="auto"/>
              </w:rPr>
            </w:pPr>
            <w:r>
              <w:rPr>
                <w:rFonts w:ascii="Arial" w:cs="Arial" w:eastAsia="Arial" w:hAnsi="Arial"/>
                <w:sz w:val="12"/>
                <w:szCs w:val="12"/>
                <w:color w:val="auto"/>
              </w:rPr>
              <w:t>2.77 %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995</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995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2033 A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5.875 %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5.96 %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745</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745</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745</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2033 B Notes</w:t>
            </w:r>
          </w:p>
        </w:tc>
        <w:tc>
          <w:tcPr>
            <w:tcW w:w="960" w:type="dxa"/>
            <w:vAlign w:val="bottom"/>
          </w:tcPr>
          <w:p>
            <w:pPr>
              <w:jc w:val="right"/>
              <w:spacing w:after="0"/>
              <w:rPr>
                <w:sz w:val="20"/>
                <w:szCs w:val="20"/>
                <w:color w:val="auto"/>
              </w:rPr>
            </w:pPr>
            <w:r>
              <w:rPr>
                <w:rFonts w:ascii="Arial" w:cs="Arial" w:eastAsia="Arial" w:hAnsi="Arial"/>
                <w:sz w:val="12"/>
                <w:szCs w:val="12"/>
                <w:color w:val="auto"/>
              </w:rPr>
              <w:t>5.875 %</w:t>
            </w:r>
          </w:p>
        </w:tc>
        <w:tc>
          <w:tcPr>
            <w:tcW w:w="920" w:type="dxa"/>
            <w:vAlign w:val="bottom"/>
          </w:tcPr>
          <w:p>
            <w:pPr>
              <w:jc w:val="right"/>
              <w:spacing w:after="0"/>
              <w:rPr>
                <w:sz w:val="20"/>
                <w:szCs w:val="20"/>
                <w:color w:val="auto"/>
              </w:rPr>
            </w:pPr>
            <w:r>
              <w:rPr>
                <w:rFonts w:ascii="Arial" w:cs="Arial" w:eastAsia="Arial" w:hAnsi="Arial"/>
                <w:sz w:val="12"/>
                <w:szCs w:val="12"/>
                <w:color w:val="auto"/>
              </w:rPr>
              <w:t>6.01 %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891</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890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2041 Notes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3.366 %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3.41 %</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497</w:t>
            </w:r>
          </w:p>
        </w:tc>
        <w:tc>
          <w:tcPr>
            <w:tcW w:w="26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497</w:t>
            </w:r>
          </w:p>
        </w:tc>
        <w:tc>
          <w:tcPr>
            <w:tcW w:w="1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497</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2051 Notes</w:t>
            </w:r>
          </w:p>
        </w:tc>
        <w:tc>
          <w:tcPr>
            <w:tcW w:w="960" w:type="dxa"/>
            <w:vAlign w:val="bottom"/>
          </w:tcPr>
          <w:p>
            <w:pPr>
              <w:jc w:val="right"/>
              <w:spacing w:after="0"/>
              <w:rPr>
                <w:sz w:val="20"/>
                <w:szCs w:val="20"/>
                <w:color w:val="auto"/>
              </w:rPr>
            </w:pPr>
            <w:r>
              <w:rPr>
                <w:rFonts w:ascii="Arial" w:cs="Arial" w:eastAsia="Arial" w:hAnsi="Arial"/>
                <w:sz w:val="12"/>
                <w:szCs w:val="12"/>
                <w:color w:val="auto"/>
              </w:rPr>
              <w:t>3.477 %</w:t>
            </w:r>
          </w:p>
        </w:tc>
        <w:tc>
          <w:tcPr>
            <w:tcW w:w="920" w:type="dxa"/>
            <w:vAlign w:val="bottom"/>
          </w:tcPr>
          <w:p>
            <w:pPr>
              <w:jc w:val="right"/>
              <w:spacing w:after="0"/>
              <w:rPr>
                <w:sz w:val="20"/>
                <w:szCs w:val="20"/>
                <w:color w:val="auto"/>
              </w:rPr>
            </w:pPr>
            <w:r>
              <w:rPr>
                <w:rFonts w:ascii="Arial" w:cs="Arial" w:eastAsia="Arial" w:hAnsi="Arial"/>
                <w:sz w:val="12"/>
                <w:szCs w:val="12"/>
                <w:color w:val="auto"/>
              </w:rPr>
              <w:t>3.52 %</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496</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2024 Term Loan A</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N/A</w:t>
            </w:r>
          </w:p>
        </w:tc>
        <w:tc>
          <w:tcPr>
            <w:tcW w:w="108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N/A</w:t>
            </w: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D1D2D4"/>
          </w:tcPr>
          <w:p>
            <w:pPr>
              <w:spacing w:after="0"/>
              <w:rPr>
                <w:sz w:val="13"/>
                <w:szCs w:val="13"/>
                <w:color w:val="auto"/>
              </w:rPr>
            </w:pPr>
          </w:p>
        </w:tc>
        <w:tc>
          <w:tcPr>
            <w:tcW w:w="760" w:type="dxa"/>
            <w:vAlign w:val="bottom"/>
            <w:gridSpan w:val="2"/>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D1D2D4"/>
          </w:tcPr>
          <w:p>
            <w:pPr>
              <w:spacing w:after="0"/>
              <w:rPr>
                <w:sz w:val="13"/>
                <w:szCs w:val="13"/>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D1D2D4"/>
          </w:tcPr>
          <w:p>
            <w:pPr>
              <w:spacing w:after="0"/>
              <w:rPr>
                <w:sz w:val="13"/>
                <w:szCs w:val="13"/>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587</w:t>
            </w:r>
          </w:p>
        </w:tc>
        <w:tc>
          <w:tcPr>
            <w:tcW w:w="40" w:type="dxa"/>
            <w:vAlign w:val="bottom"/>
            <w:shd w:val="clear" w:color="auto" w:fill="D1D2D4"/>
          </w:tcPr>
          <w:p>
            <w:pPr>
              <w:spacing w:after="0"/>
              <w:rPr>
                <w:sz w:val="13"/>
                <w:szCs w:val="13"/>
                <w:color w:val="auto"/>
              </w:rPr>
            </w:pPr>
          </w:p>
        </w:tc>
        <w:tc>
          <w:tcPr>
            <w:tcW w:w="240" w:type="dxa"/>
            <w:vAlign w:val="bottom"/>
            <w:shd w:val="clear" w:color="auto" w:fill="D1D2D4"/>
          </w:tcPr>
          <w:p>
            <w:pPr>
              <w:spacing w:after="0"/>
              <w:rPr>
                <w:sz w:val="13"/>
                <w:szCs w:val="13"/>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2025 Term Loan A</w:t>
            </w:r>
          </w:p>
        </w:tc>
        <w:tc>
          <w:tcPr>
            <w:tcW w:w="960" w:type="dxa"/>
            <w:vAlign w:val="bottom"/>
          </w:tcPr>
          <w:p>
            <w:pPr>
              <w:jc w:val="right"/>
              <w:spacing w:after="0"/>
              <w:rPr>
                <w:sz w:val="20"/>
                <w:szCs w:val="20"/>
                <w:color w:val="auto"/>
              </w:rPr>
            </w:pPr>
            <w:r>
              <w:rPr>
                <w:rFonts w:ascii="Arial" w:cs="Arial" w:eastAsia="Arial" w:hAnsi="Arial"/>
                <w:sz w:val="12"/>
                <w:szCs w:val="12"/>
                <w:color w:val="auto"/>
              </w:rPr>
              <w:t>N/A</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D1D2D4"/>
          </w:tcPr>
          <w:p>
            <w:pPr>
              <w:spacing w:after="0"/>
              <w:rPr>
                <w:sz w:val="20"/>
                <w:szCs w:val="20"/>
                <w:color w:val="auto"/>
              </w:rPr>
            </w:pPr>
            <w:r>
              <w:rPr>
                <w:rFonts w:ascii="Arial" w:cs="Arial" w:eastAsia="Arial" w:hAnsi="Arial"/>
                <w:sz w:val="12"/>
                <w:szCs w:val="12"/>
                <w:color w:val="auto"/>
              </w:rPr>
              <w:t>Finance lease obligations</w:t>
            </w: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N/A</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4.78 %</w:t>
            </w:r>
          </w:p>
        </w:tc>
        <w:tc>
          <w:tcPr>
            <w:tcW w:w="160" w:type="dxa"/>
            <w:vAlign w:val="bottom"/>
            <w:tcBorders>
              <w:bottom w:val="single" w:sz="8" w:color="auto"/>
            </w:tcBorders>
            <w:shd w:val="clear" w:color="auto" w:fill="D1D2D4"/>
          </w:tcPr>
          <w:p>
            <w:pPr>
              <w:spacing w:after="0"/>
              <w:rPr>
                <w:sz w:val="13"/>
                <w:szCs w:val="13"/>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292</w:t>
            </w:r>
          </w:p>
        </w:tc>
        <w:tc>
          <w:tcPr>
            <w:tcW w:w="14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1,634</w:t>
            </w:r>
          </w:p>
        </w:tc>
        <w:tc>
          <w:tcPr>
            <w:tcW w:w="260" w:type="dxa"/>
            <w:vAlign w:val="bottom"/>
            <w:tcBorders>
              <w:bottom w:val="single" w:sz="8" w:color="auto"/>
            </w:tcBorders>
            <w:shd w:val="clear" w:color="auto" w:fill="D1D2D4"/>
          </w:tcPr>
          <w:p>
            <w:pPr>
              <w:spacing w:after="0"/>
              <w:rPr>
                <w:sz w:val="13"/>
                <w:szCs w:val="13"/>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1,926</w:t>
            </w:r>
          </w:p>
        </w:tc>
        <w:tc>
          <w:tcPr>
            <w:tcW w:w="100" w:type="dxa"/>
            <w:vAlign w:val="bottom"/>
            <w:shd w:val="clear" w:color="auto" w:fill="D1D2D4"/>
          </w:tcPr>
          <w:p>
            <w:pPr>
              <w:spacing w:after="0"/>
              <w:rPr>
                <w:sz w:val="13"/>
                <w:szCs w:val="13"/>
                <w:color w:val="auto"/>
              </w:rPr>
            </w:pPr>
          </w:p>
        </w:tc>
        <w:tc>
          <w:tcPr>
            <w:tcW w:w="160" w:type="dxa"/>
            <w:vAlign w:val="bottom"/>
            <w:tcBorders>
              <w:bottom w:val="single" w:sz="8" w:color="auto"/>
            </w:tcBorders>
            <w:shd w:val="clear" w:color="auto" w:fill="D1D2D4"/>
          </w:tcPr>
          <w:p>
            <w:pPr>
              <w:spacing w:after="0"/>
              <w:rPr>
                <w:sz w:val="13"/>
                <w:szCs w:val="13"/>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auto"/>
            </w:tcBorders>
            <w:shd w:val="clear" w:color="auto" w:fill="D1D2D4"/>
          </w:tcPr>
          <w:p>
            <w:pPr>
              <w:spacing w:after="0"/>
              <w:rPr>
                <w:sz w:val="13"/>
                <w:szCs w:val="13"/>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1,109</w:t>
            </w:r>
          </w:p>
        </w:tc>
        <w:tc>
          <w:tcPr>
            <w:tcW w:w="40" w:type="dxa"/>
            <w:vAlign w:val="bottom"/>
            <w:tcBorders>
              <w:bottom w:val="single" w:sz="8" w:color="auto"/>
            </w:tcBorders>
            <w:shd w:val="clear" w:color="auto" w:fill="D1D2D4"/>
          </w:tcPr>
          <w:p>
            <w:pPr>
              <w:spacing w:after="0"/>
              <w:rPr>
                <w:sz w:val="13"/>
                <w:szCs w:val="13"/>
                <w:color w:val="auto"/>
              </w:rPr>
            </w:pPr>
          </w:p>
        </w:tc>
        <w:tc>
          <w:tcPr>
            <w:tcW w:w="240" w:type="dxa"/>
            <w:vAlign w:val="bottom"/>
            <w:tcBorders>
              <w:bottom w:val="single" w:sz="8" w:color="auto"/>
            </w:tcBorders>
            <w:shd w:val="clear" w:color="auto" w:fill="D1D2D4"/>
          </w:tcPr>
          <w:p>
            <w:pPr>
              <w:spacing w:after="0"/>
              <w:rPr>
                <w:sz w:val="13"/>
                <w:szCs w:val="13"/>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12,860</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13,258</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13,052</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08" w:right="240" w:hanging="108"/>
        <w:spacing w:after="0" w:line="256" w:lineRule="auto"/>
        <w:tabs>
          <w:tab w:leader="none" w:pos="129" w:val="left"/>
        </w:tabs>
        <w:numPr>
          <w:ilvl w:val="0"/>
          <w:numId w:val="6"/>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8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Debt Activity</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presents the effects of debt financing and prepayment activities in the first nine months of 2024:</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960" w:type="dxa"/>
            <w:vAlign w:val="bottom"/>
            <w:vMerge w:val="restart"/>
          </w:tcPr>
          <w:p>
            <w:pPr>
              <w:ind w:left="1940"/>
              <w:spacing w:after="0"/>
              <w:rPr>
                <w:sz w:val="20"/>
                <w:szCs w:val="20"/>
                <w:color w:val="auto"/>
              </w:rPr>
            </w:pPr>
            <w:r>
              <w:rPr>
                <w:rFonts w:ascii="Arial" w:cs="Arial" w:eastAsia="Arial" w:hAnsi="Arial"/>
                <w:sz w:val="12"/>
                <w:szCs w:val="12"/>
                <w:b w:val="1"/>
                <w:bCs w:val="1"/>
                <w:color w:val="auto"/>
              </w:rPr>
              <w:t>Transaction Date</w:t>
            </w:r>
          </w:p>
        </w:tc>
        <w:tc>
          <w:tcPr>
            <w:tcW w:w="80" w:type="dxa"/>
            <w:vAlign w:val="bottom"/>
          </w:tcPr>
          <w:p>
            <w:pPr>
              <w:spacing w:after="0"/>
              <w:rPr>
                <w:sz w:val="12"/>
                <w:szCs w:val="12"/>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b w:val="1"/>
                <w:bCs w:val="1"/>
                <w:color w:val="auto"/>
                <w:w w:val="98"/>
              </w:rPr>
              <w:t>Increase (Decrease) in</w:t>
            </w: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b w:val="1"/>
                <w:bCs w:val="1"/>
                <w:color w:val="auto"/>
                <w:w w:val="98"/>
              </w:rPr>
              <w:t>Increase (Decrease) in</w:t>
            </w:r>
          </w:p>
        </w:tc>
        <w:tc>
          <w:tcPr>
            <w:tcW w:w="100" w:type="dxa"/>
            <w:vAlign w:val="bottom"/>
          </w:tcPr>
          <w:p>
            <w:pPr>
              <w:spacing w:after="0"/>
              <w:rPr>
                <w:sz w:val="12"/>
                <w:szCs w:val="12"/>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b w:val="1"/>
                <w:bCs w:val="1"/>
                <w:color w:val="auto"/>
                <w:w w:val="98"/>
              </w:rPr>
              <w:t>Increase (Decrease) in</w:t>
            </w:r>
          </w:p>
        </w:tc>
        <w:tc>
          <w:tcPr>
            <w:tcW w:w="0" w:type="dxa"/>
            <w:vAlign w:val="bottom"/>
          </w:tcPr>
          <w:p>
            <w:pPr>
              <w:spacing w:after="0"/>
              <w:rPr>
                <w:sz w:val="1"/>
                <w:szCs w:val="1"/>
                <w:color w:val="auto"/>
              </w:rPr>
            </w:pPr>
          </w:p>
        </w:tc>
      </w:tr>
      <w:tr>
        <w:trPr>
          <w:trHeight w:val="170"/>
        </w:trPr>
        <w:tc>
          <w:tcPr>
            <w:tcW w:w="3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Principal</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Carrying Value</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Cash</w:t>
            </w:r>
          </w:p>
        </w:tc>
        <w:tc>
          <w:tcPr>
            <w:tcW w:w="0" w:type="dxa"/>
            <w:vAlign w:val="bottom"/>
          </w:tcPr>
          <w:p>
            <w:pPr>
              <w:spacing w:after="0"/>
              <w:rPr>
                <w:sz w:val="1"/>
                <w:szCs w:val="1"/>
                <w:color w:val="auto"/>
              </w:rPr>
            </w:pPr>
          </w:p>
        </w:tc>
      </w:tr>
      <w:tr>
        <w:trPr>
          <w:trHeight w:val="161"/>
        </w:trPr>
        <w:tc>
          <w:tcPr>
            <w:tcW w:w="3000" w:type="dxa"/>
            <w:vAlign w:val="bottom"/>
            <w:gridSpan w:val="2"/>
            <w:shd w:val="clear" w:color="auto" w:fill="D1D2D4"/>
          </w:tcPr>
          <w:p>
            <w:pPr>
              <w:ind w:left="20"/>
              <w:spacing w:after="0"/>
              <w:rPr>
                <w:sz w:val="20"/>
                <w:szCs w:val="20"/>
                <w:color w:val="auto"/>
              </w:rPr>
            </w:pPr>
            <w:r>
              <w:rPr>
                <w:rFonts w:ascii="Arial" w:cs="Arial" w:eastAsia="Arial" w:hAnsi="Arial"/>
                <w:sz w:val="12"/>
                <w:szCs w:val="12"/>
                <w:b w:val="1"/>
                <w:bCs w:val="1"/>
                <w:color w:val="auto"/>
              </w:rPr>
              <w:t>Issuance</w:t>
            </w:r>
          </w:p>
        </w:tc>
        <w:tc>
          <w:tcPr>
            <w:tcW w:w="396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136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134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13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0" w:type="dxa"/>
            <w:vAlign w:val="bottom"/>
          </w:tcPr>
          <w:p>
            <w:pPr>
              <w:jc w:val="right"/>
              <w:spacing w:after="0"/>
              <w:rPr>
                <w:sz w:val="20"/>
                <w:szCs w:val="20"/>
                <w:color w:val="auto"/>
              </w:rPr>
            </w:pPr>
            <w:r>
              <w:rPr>
                <w:rFonts w:ascii="Arial" w:cs="Arial" w:eastAsia="Arial" w:hAnsi="Arial"/>
                <w:sz w:val="12"/>
                <w:szCs w:val="12"/>
                <w:color w:val="auto"/>
              </w:rPr>
              <w:t>2031</w:t>
            </w:r>
          </w:p>
        </w:tc>
        <w:tc>
          <w:tcPr>
            <w:tcW w:w="2620" w:type="dxa"/>
            <w:vAlign w:val="bottom"/>
          </w:tcPr>
          <w:p>
            <w:pPr>
              <w:ind w:left="20"/>
              <w:spacing w:after="0"/>
              <w:rPr>
                <w:sz w:val="20"/>
                <w:szCs w:val="20"/>
                <w:color w:val="auto"/>
              </w:rPr>
            </w:pPr>
            <w:r>
              <w:rPr>
                <w:rFonts w:ascii="Arial" w:cs="Arial" w:eastAsia="Arial" w:hAnsi="Arial"/>
                <w:sz w:val="12"/>
                <w:szCs w:val="12"/>
                <w:color w:val="auto"/>
              </w:rPr>
              <w:t>Notes</w:t>
            </w:r>
          </w:p>
        </w:tc>
        <w:tc>
          <w:tcPr>
            <w:tcW w:w="3960" w:type="dxa"/>
            <w:vAlign w:val="bottom"/>
          </w:tcPr>
          <w:p>
            <w:pPr>
              <w:ind w:left="1940"/>
              <w:spacing w:after="0"/>
              <w:rPr>
                <w:sz w:val="20"/>
                <w:szCs w:val="20"/>
                <w:color w:val="auto"/>
              </w:rPr>
            </w:pPr>
            <w:r>
              <w:rPr>
                <w:rFonts w:ascii="Arial" w:cs="Arial" w:eastAsia="Arial" w:hAnsi="Arial"/>
                <w:sz w:val="12"/>
                <w:szCs w:val="12"/>
                <w:color w:val="auto"/>
              </w:rPr>
              <w:t>January 12, 2024</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993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153"/>
        </w:trPr>
        <w:tc>
          <w:tcPr>
            <w:tcW w:w="3000" w:type="dxa"/>
            <w:vAlign w:val="bottom"/>
            <w:gridSpan w:val="2"/>
            <w:shd w:val="clear" w:color="auto" w:fill="D1D2D4"/>
          </w:tcPr>
          <w:p>
            <w:pPr>
              <w:ind w:left="20"/>
              <w:spacing w:after="0"/>
              <w:rPr>
                <w:sz w:val="20"/>
                <w:szCs w:val="20"/>
                <w:color w:val="auto"/>
              </w:rPr>
            </w:pPr>
            <w:r>
              <w:rPr>
                <w:rFonts w:ascii="Arial" w:cs="Arial" w:eastAsia="Arial" w:hAnsi="Arial"/>
                <w:sz w:val="12"/>
                <w:szCs w:val="12"/>
                <w:b w:val="1"/>
                <w:bCs w:val="1"/>
                <w:color w:val="auto"/>
              </w:rPr>
              <w:t>Prepayments</w:t>
            </w:r>
          </w:p>
        </w:tc>
        <w:tc>
          <w:tcPr>
            <w:tcW w:w="396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136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1340" w:type="dxa"/>
            <w:vAlign w:val="bottom"/>
            <w:shd w:val="clear" w:color="auto" w:fill="D1D2D4"/>
          </w:tcPr>
          <w:p>
            <w:pPr>
              <w:spacing w:after="0"/>
              <w:rPr>
                <w:sz w:val="13"/>
                <w:szCs w:val="13"/>
                <w:color w:val="auto"/>
              </w:rPr>
            </w:pPr>
          </w:p>
        </w:tc>
        <w:tc>
          <w:tcPr>
            <w:tcW w:w="100" w:type="dxa"/>
            <w:vAlign w:val="bottom"/>
            <w:shd w:val="clear" w:color="auto" w:fill="D1D2D4"/>
          </w:tcPr>
          <w:p>
            <w:pPr>
              <w:spacing w:after="0"/>
              <w:rPr>
                <w:sz w:val="13"/>
                <w:szCs w:val="13"/>
                <w:color w:val="auto"/>
              </w:rPr>
            </w:pPr>
          </w:p>
        </w:tc>
        <w:tc>
          <w:tcPr>
            <w:tcW w:w="13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0" w:type="dxa"/>
            <w:vAlign w:val="bottom"/>
          </w:tcPr>
          <w:p>
            <w:pPr>
              <w:jc w:val="right"/>
              <w:spacing w:after="0"/>
              <w:rPr>
                <w:sz w:val="20"/>
                <w:szCs w:val="20"/>
                <w:color w:val="auto"/>
              </w:rPr>
            </w:pPr>
            <w:r>
              <w:rPr>
                <w:rFonts w:ascii="Arial" w:cs="Arial" w:eastAsia="Arial" w:hAnsi="Arial"/>
                <w:sz w:val="12"/>
                <w:szCs w:val="12"/>
                <w:color w:val="auto"/>
              </w:rPr>
              <w:t>2024</w:t>
            </w:r>
          </w:p>
        </w:tc>
        <w:tc>
          <w:tcPr>
            <w:tcW w:w="2620" w:type="dxa"/>
            <w:vAlign w:val="bottom"/>
          </w:tcPr>
          <w:p>
            <w:pPr>
              <w:ind w:left="20"/>
              <w:spacing w:after="0"/>
              <w:rPr>
                <w:sz w:val="20"/>
                <w:szCs w:val="20"/>
                <w:color w:val="auto"/>
              </w:rPr>
            </w:pPr>
            <w:r>
              <w:rPr>
                <w:rFonts w:ascii="Arial" w:cs="Arial" w:eastAsia="Arial" w:hAnsi="Arial"/>
                <w:sz w:val="12"/>
                <w:szCs w:val="12"/>
                <w:color w:val="auto"/>
              </w:rPr>
              <w:t>Term Loan A</w:t>
            </w:r>
          </w:p>
        </w:tc>
        <w:tc>
          <w:tcPr>
            <w:tcW w:w="3960" w:type="dxa"/>
            <w:vAlign w:val="bottom"/>
          </w:tcPr>
          <w:p>
            <w:pPr>
              <w:ind w:left="1940"/>
              <w:spacing w:after="0"/>
              <w:rPr>
                <w:sz w:val="20"/>
                <w:szCs w:val="20"/>
                <w:color w:val="auto"/>
              </w:rPr>
            </w:pPr>
            <w:r>
              <w:rPr>
                <w:rFonts w:ascii="Arial" w:cs="Arial" w:eastAsia="Arial" w:hAnsi="Arial"/>
                <w:sz w:val="12"/>
                <w:szCs w:val="12"/>
                <w:color w:val="auto"/>
              </w:rPr>
              <w:t>January 12, 2024</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(588)</w:t>
            </w: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(587)</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53"/>
        </w:trPr>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2025</w:t>
            </w:r>
          </w:p>
        </w:tc>
        <w:tc>
          <w:tcPr>
            <w:tcW w:w="2620" w:type="dxa"/>
            <w:vAlign w:val="bottom"/>
            <w:shd w:val="clear" w:color="auto" w:fill="D1D2D4"/>
          </w:tcPr>
          <w:p>
            <w:pPr>
              <w:ind w:left="20"/>
              <w:spacing w:after="0"/>
              <w:rPr>
                <w:sz w:val="20"/>
                <w:szCs w:val="20"/>
                <w:color w:val="auto"/>
              </w:rPr>
            </w:pPr>
            <w:r>
              <w:rPr>
                <w:rFonts w:ascii="Arial" w:cs="Arial" w:eastAsia="Arial" w:hAnsi="Arial"/>
                <w:sz w:val="12"/>
                <w:szCs w:val="12"/>
                <w:color w:val="auto"/>
              </w:rPr>
              <w:t>Term Loan A</w:t>
            </w:r>
          </w:p>
        </w:tc>
        <w:tc>
          <w:tcPr>
            <w:tcW w:w="3960" w:type="dxa"/>
            <w:vAlign w:val="bottom"/>
            <w:shd w:val="clear" w:color="auto" w:fill="D1D2D4"/>
          </w:tcPr>
          <w:p>
            <w:pPr>
              <w:ind w:left="1940"/>
              <w:spacing w:after="0"/>
              <w:rPr>
                <w:sz w:val="20"/>
                <w:szCs w:val="20"/>
                <w:color w:val="auto"/>
              </w:rPr>
            </w:pPr>
            <w:r>
              <w:rPr>
                <w:rFonts w:ascii="Arial" w:cs="Arial" w:eastAsia="Arial" w:hAnsi="Arial"/>
                <w:sz w:val="12"/>
                <w:szCs w:val="12"/>
                <w:color w:val="auto"/>
              </w:rPr>
              <w:t>January 12, 2024</w:t>
            </w:r>
          </w:p>
        </w:tc>
        <w:tc>
          <w:tcPr>
            <w:tcW w:w="80" w:type="dxa"/>
            <w:vAlign w:val="bottom"/>
            <w:shd w:val="clear" w:color="auto" w:fill="D1D2D4"/>
          </w:tcPr>
          <w:p>
            <w:pPr>
              <w:spacing w:after="0"/>
              <w:rPr>
                <w:sz w:val="13"/>
                <w:szCs w:val="13"/>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80" w:type="dxa"/>
            <w:vAlign w:val="bottom"/>
            <w:shd w:val="clear" w:color="auto" w:fill="D1D2D4"/>
          </w:tcPr>
          <w:p>
            <w:pPr>
              <w:spacing w:after="0"/>
              <w:rPr>
                <w:sz w:val="13"/>
                <w:szCs w:val="13"/>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(401)</w:t>
            </w:r>
          </w:p>
        </w:tc>
        <w:tc>
          <w:tcPr>
            <w:tcW w:w="100" w:type="dxa"/>
            <w:vAlign w:val="bottom"/>
            <w:shd w:val="clear" w:color="auto" w:fill="D1D2D4"/>
          </w:tcPr>
          <w:p>
            <w:pPr>
              <w:spacing w:after="0"/>
              <w:rPr>
                <w:sz w:val="13"/>
                <w:szCs w:val="13"/>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53"/>
        </w:trPr>
        <w:tc>
          <w:tcPr>
            <w:tcW w:w="38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2025</w:t>
            </w:r>
          </w:p>
        </w:tc>
        <w:tc>
          <w:tcPr>
            <w:tcW w:w="2620" w:type="dxa"/>
            <w:vAlign w:val="bottom"/>
            <w:tcBorders>
              <w:bottom w:val="single" w:sz="8" w:color="D1D2D4"/>
            </w:tcBorders>
          </w:tcPr>
          <w:p>
            <w:pPr>
              <w:ind w:left="20"/>
              <w:spacing w:after="0"/>
              <w:rPr>
                <w:sz w:val="20"/>
                <w:szCs w:val="20"/>
                <w:color w:val="auto"/>
              </w:rPr>
            </w:pPr>
            <w:r>
              <w:rPr>
                <w:rFonts w:ascii="Arial" w:cs="Arial" w:eastAsia="Arial" w:hAnsi="Arial"/>
                <w:sz w:val="12"/>
                <w:szCs w:val="12"/>
                <w:color w:val="auto"/>
              </w:rPr>
              <w:t>Term Loan A</w:t>
            </w:r>
          </w:p>
        </w:tc>
        <w:tc>
          <w:tcPr>
            <w:tcW w:w="3960" w:type="dxa"/>
            <w:vAlign w:val="bottom"/>
            <w:tcBorders>
              <w:bottom w:val="single" w:sz="8" w:color="D1D2D4"/>
            </w:tcBorders>
          </w:tcPr>
          <w:p>
            <w:pPr>
              <w:ind w:left="1940"/>
              <w:spacing w:after="0"/>
              <w:rPr>
                <w:sz w:val="20"/>
                <w:szCs w:val="20"/>
                <w:color w:val="auto"/>
              </w:rPr>
            </w:pPr>
            <w:r>
              <w:rPr>
                <w:rFonts w:ascii="Arial" w:cs="Arial" w:eastAsia="Arial" w:hAnsi="Arial"/>
                <w:sz w:val="12"/>
                <w:szCs w:val="12"/>
                <w:color w:val="auto"/>
              </w:rPr>
              <w:t>May 29, 2024</w:t>
            </w: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58"/>
        </w:trPr>
        <w:tc>
          <w:tcPr>
            <w:tcW w:w="380" w:type="dxa"/>
            <w:vAlign w:val="bottom"/>
            <w:tcBorders>
              <w:bottom w:val="single" w:sz="8" w:color="D1D2D4"/>
            </w:tcBorders>
            <w:shd w:val="clear" w:color="auto" w:fill="D1D2D4"/>
          </w:tcPr>
          <w:p>
            <w:pPr>
              <w:spacing w:after="0"/>
              <w:rPr>
                <w:sz w:val="13"/>
                <w:szCs w:val="13"/>
                <w:color w:val="auto"/>
              </w:rPr>
            </w:pPr>
          </w:p>
        </w:tc>
        <w:tc>
          <w:tcPr>
            <w:tcW w:w="2620" w:type="dxa"/>
            <w:vAlign w:val="bottom"/>
            <w:tcBorders>
              <w:bottom w:val="single" w:sz="8" w:color="D1D2D4"/>
            </w:tcBorders>
            <w:shd w:val="clear" w:color="auto" w:fill="D1D2D4"/>
          </w:tcPr>
          <w:p>
            <w:pPr>
              <w:spacing w:after="0"/>
              <w:rPr>
                <w:sz w:val="13"/>
                <w:szCs w:val="13"/>
                <w:color w:val="auto"/>
              </w:rPr>
            </w:pPr>
          </w:p>
        </w:tc>
        <w:tc>
          <w:tcPr>
            <w:tcW w:w="3960" w:type="dxa"/>
            <w:vAlign w:val="bottom"/>
            <w:tcBorders>
              <w:bottom w:val="single" w:sz="8" w:color="D1D2D4"/>
            </w:tcBorders>
            <w:shd w:val="clear" w:color="auto" w:fill="D1D2D4"/>
          </w:tcPr>
          <w:p>
            <w:pPr>
              <w:spacing w:after="0"/>
              <w:rPr>
                <w:sz w:val="13"/>
                <w:szCs w:val="13"/>
                <w:color w:val="auto"/>
              </w:rPr>
            </w:pPr>
          </w:p>
        </w:tc>
        <w:tc>
          <w:tcPr>
            <w:tcW w:w="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(640)</w:t>
            </w:r>
          </w:p>
        </w:tc>
        <w:tc>
          <w:tcPr>
            <w:tcW w:w="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(644)</w:t>
            </w:r>
          </w:p>
        </w:tc>
        <w:tc>
          <w:tcPr>
            <w:tcW w:w="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(647)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2031 Notes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January 12, 2024, we issued $1.00 billion principal amount of senior unsecured 2031 Notes in a public offering. The 2031 Notes bear interest at a rate of 5.300% per year and will mature on January 15, 2031.</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Issuance costs and debt discount for the 2031 Notes were $7 million.</w:t>
      </w: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ind w:left="8" w:right="60"/>
        <w:spacing w:after="0" w:line="268" w:lineRule="auto"/>
        <w:rPr>
          <w:sz w:val="20"/>
          <w:szCs w:val="20"/>
          <w:color w:val="auto"/>
        </w:rPr>
      </w:pPr>
      <w:r>
        <w:rPr>
          <w:rFonts w:ascii="Arial" w:cs="Arial" w:eastAsia="Arial" w:hAnsi="Arial"/>
          <w:sz w:val="12"/>
          <w:szCs w:val="12"/>
          <w:color w:val="auto"/>
        </w:rPr>
        <w:t>We may redeem the 2031 Notes, in whole or in part, at our option prior to their maturity dates at a redemption price equal to the greater of (i) 100% of the principal amount of the notes to be redeemed and (ii) the present value of the remaining scheduled payments of principal and interest, plus accrued interest in each case. We may also redeem the 2031 Notes, in whole or in part, at a price equal to par two months prior to maturity in accordance with the terms of the 2031 Notes.</w:t>
      </w:r>
    </w:p>
    <w:p>
      <w:pPr>
        <w:spacing w:after="0" w:line="132" w:lineRule="exact"/>
        <w:rPr>
          <w:sz w:val="20"/>
          <w:szCs w:val="20"/>
          <w:color w:val="auto"/>
        </w:rPr>
      </w:pPr>
    </w:p>
    <w:p>
      <w:pPr>
        <w:ind w:left="8" w:right="100"/>
        <w:spacing w:after="0" w:line="284" w:lineRule="auto"/>
        <w:rPr>
          <w:sz w:val="20"/>
          <w:szCs w:val="20"/>
          <w:color w:val="auto"/>
        </w:rPr>
      </w:pPr>
      <w:r>
        <w:rPr>
          <w:rFonts w:ascii="Arial" w:cs="Arial" w:eastAsia="Arial" w:hAnsi="Arial"/>
          <w:sz w:val="11"/>
          <w:szCs w:val="11"/>
          <w:color w:val="auto"/>
        </w:rPr>
        <w:t>The 2031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the 2031 Notes) to (1) create or incur certain liens; (2) enter into certain sale and lease-back transactions; and</w:t>
      </w:r>
    </w:p>
    <w:p>
      <w:pPr>
        <w:spacing w:after="0" w:line="1" w:lineRule="exact"/>
        <w:rPr>
          <w:sz w:val="20"/>
          <w:szCs w:val="20"/>
          <w:color w:val="auto"/>
        </w:rPr>
      </w:pPr>
    </w:p>
    <w:p>
      <w:pPr>
        <w:ind w:left="8" w:right="180" w:hanging="8"/>
        <w:spacing w:after="0" w:line="257" w:lineRule="auto"/>
        <w:tabs>
          <w:tab w:leader="none" w:pos="188"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the 2031 Notes, we will be required to offer to purchase the 2031 Notes at 101% of the outstanding aggregate principal amount plus accrued interest up to the purchase date.</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Revolving Credit Facility</w:t>
      </w:r>
    </w:p>
    <w:p>
      <w:pPr>
        <w:spacing w:after="0" w:line="169" w:lineRule="exact"/>
        <w:rPr>
          <w:sz w:val="20"/>
          <w:szCs w:val="20"/>
          <w:color w:val="auto"/>
        </w:rPr>
      </w:pPr>
    </w:p>
    <w:p>
      <w:pPr>
        <w:ind w:left="8" w:right="100"/>
        <w:spacing w:after="0" w:line="262" w:lineRule="auto"/>
        <w:rPr>
          <w:sz w:val="20"/>
          <w:szCs w:val="20"/>
          <w:color w:val="auto"/>
        </w:rPr>
      </w:pPr>
      <w:r>
        <w:rPr>
          <w:rFonts w:ascii="Arial" w:cs="Arial" w:eastAsia="Arial" w:hAnsi="Arial"/>
          <w:sz w:val="12"/>
          <w:szCs w:val="12"/>
          <w:color w:val="auto"/>
        </w:rPr>
        <w:t>As of May 30, 2024, no amounts were outstanding under the Revolving Credit Facility and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135" w:lineRule="exact"/>
        <w:rPr>
          <w:sz w:val="20"/>
          <w:szCs w:val="20"/>
          <w:color w:val="auto"/>
        </w:rPr>
      </w:pPr>
    </w:p>
    <w:p>
      <w:pPr>
        <w:ind w:left="8" w:right="40"/>
        <w:spacing w:after="0" w:line="248" w:lineRule="auto"/>
        <w:rPr>
          <w:sz w:val="20"/>
          <w:szCs w:val="20"/>
          <w:color w:val="auto"/>
        </w:rPr>
      </w:pPr>
      <w:r>
        <w:rPr>
          <w:rFonts w:ascii="Arial" w:cs="Arial" w:eastAsia="Arial" w:hAnsi="Arial"/>
          <w:sz w:val="12"/>
          <w:szCs w:val="12"/>
          <w:color w:val="auto"/>
        </w:rPr>
        <w:t>The Revolving Credit Facility requires us to maintain, on a consolidated basis, a leverage ratio of total indebtedness to adjusted EBITDA, as defined in the Revolving Credit Facility and calculated as of the last day of each fiscal quarter, not to exceed 3.25 to 1.00. On March 27, 2023, we amended the Revolving Credit Facility to provide that in lieu of the foregoing leverage ratio, during the fourth quarter of 2023 and each quarter of 2024, we will be required to maintain, on a consolidated basis, a net leverage ratio of total net indebtedness to adjusted EBITDA, as defined in the Revolving Credit Facility and calculated as of the last day of each fiscal quarter, not to exceed 3.25 to 1.00. Alternatively, for up to three of such five quarters, we may elect to comply with a requirement of minimum liquidity, as defined in the Revolving Credit Facility, of not less than $5.0 billion. Each of the leverage ratio and net leverage ratio maximums, as applicable, is subject to a temporary four quarter increase in such ratio to 3.75 to 1.00 following certain material acquisitions. Through the third quarter of 2024, we complied with these requirements under the Revolving Credit Facility.</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Maturities of Notes Payable</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67"/>
        </w:trPr>
        <w:tc>
          <w:tcPr>
            <w:tcW w:w="9860" w:type="dxa"/>
            <w:vAlign w:val="bottom"/>
          </w:tcPr>
          <w:p>
            <w:pPr>
              <w:spacing w:after="0"/>
              <w:rPr>
                <w:sz w:val="20"/>
                <w:szCs w:val="20"/>
                <w:color w:val="auto"/>
              </w:rPr>
            </w:pPr>
            <w:r>
              <w:rPr>
                <w:rFonts w:ascii="Arial" w:cs="Arial" w:eastAsia="Arial" w:hAnsi="Arial"/>
                <w:sz w:val="12"/>
                <w:szCs w:val="12"/>
                <w:color w:val="auto"/>
              </w:rPr>
              <w:t>As of May 30, 2024, maturities of notes payable by fiscal year were as follows: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1"/>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Remainder of 2024</w:t>
            </w:r>
          </w:p>
        </w:tc>
        <w:tc>
          <w:tcPr>
            <w:tcW w:w="560" w:type="dxa"/>
            <w:vAlign w:val="bottom"/>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2025</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2026</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607</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2027</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1,780</w:t>
            </w:r>
          </w:p>
        </w:tc>
      </w:tr>
      <w:tr>
        <w:trPr>
          <w:trHeight w:val="153"/>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2028</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1,493</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2029 and thereafter</w:t>
            </w: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7,450</w:t>
            </w:r>
          </w:p>
        </w:tc>
      </w:tr>
      <w:tr>
        <w:trPr>
          <w:trHeight w:val="153"/>
        </w:trPr>
        <w:tc>
          <w:tcPr>
            <w:tcW w:w="9860" w:type="dxa"/>
            <w:vAlign w:val="bottom"/>
            <w:shd w:val="clear" w:color="auto" w:fill="D1D2D4"/>
          </w:tcPr>
          <w:p>
            <w:pPr>
              <w:spacing w:after="0"/>
              <w:rPr>
                <w:sz w:val="20"/>
                <w:szCs w:val="20"/>
                <w:color w:val="auto"/>
              </w:rPr>
            </w:pPr>
            <w:r>
              <w:rPr>
                <w:rFonts w:ascii="Arial" w:cs="Arial" w:eastAsia="Arial" w:hAnsi="Arial"/>
                <w:sz w:val="12"/>
                <w:szCs w:val="12"/>
                <w:color w:val="auto"/>
              </w:rPr>
              <w:t>Unamortized issuance costs, discounts, and premium, net</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986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Hedge accounting fair value adjustment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w:t>
            </w:r>
          </w:p>
        </w:tc>
      </w:tr>
      <w:tr>
        <w:trPr>
          <w:trHeight w:val="158"/>
        </w:trPr>
        <w:tc>
          <w:tcPr>
            <w:tcW w:w="9860" w:type="dxa"/>
            <w:vAlign w:val="bottom"/>
            <w:tcBorders>
              <w:bottom w:val="single" w:sz="8" w:color="D1D2D4"/>
            </w:tcBorders>
            <w:shd w:val="clear" w:color="auto" w:fill="D1D2D4"/>
          </w:tcPr>
          <w:p>
            <w:pPr>
              <w:spacing w:after="0"/>
              <w:rPr>
                <w:sz w:val="13"/>
                <w:szCs w:val="13"/>
                <w:color w:val="auto"/>
              </w:rPr>
            </w:pPr>
          </w:p>
        </w:tc>
        <w:tc>
          <w:tcPr>
            <w:tcW w:w="560" w:type="dxa"/>
            <w:vAlign w:val="bottom"/>
            <w:tcBorders>
              <w:bottom w:val="single" w:sz="8" w:color="auto"/>
            </w:tcBorders>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11,332</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17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Contingencies</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 Matters</w:t>
      </w:r>
    </w:p>
    <w:p>
      <w:pPr>
        <w:spacing w:after="0" w:line="169"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 — U.S. Patent No. 7,619,912 (“the ‘912 patent”) and U.S. Patent No. 11,093,417 (“the ‘417 patent”) — and found that Micron should pay $425 million for infringement of the ‘912 patent and $20 million for infringement of the ‘417 patent. Micron expects to appeal the verdict. On April 17, 2024, the Patent Trial and Appeal Board (“PTAB”) of the United States Patent and Trademark Office (“USPTO”) issued a final written decision (“FWD”) finding unpatentable the sole asserted claim of the ‘912 patent. Netlist has sought review of that ruling by the Director of the USPTO. If the Director upholds the FWD, and the United States Court of Appeals for the Federal Circuit subsequently affirms the FWD, then the affirmed FWD will preclude any pending actions asserting infringement of the ‘912 patent (including any infringement verdict that is subject to an ongoing appeal). The PTAB’s final written decision regarding whether all claims of the ‘417 patent are also unpatentable is expected to be issued on or before August 2, 2024.</w:t>
      </w:r>
    </w:p>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On August 16, 2022, Sonrai Memory Ltd. filed a patent infringement complaint against Micron in the U.S. District Court for the Western District of Texas. The complaint alleges that two U.S. patents are infringed by certain SSD and NAND flash products. The complaint seeks damages, attorneys’ fees, and costs.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On January 23, 2023, Besang Inc. filed a patent infringement complaint against Micron in the U.S. District Court for the Eastern District of Texas. The complaint alleges that one U.S. patent is infringed by certain of our 3D NAND and SSD products. The complaint seeks an injunction, damages, attorneys’ fees, and costs.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On November 9, 2023, Yangtze Memory Technologies Company, Ltd. (“YMTC”) filed a patent infringement complaint against Micron and one of its subsidiaries in the U.S. District Court for the Northern District of California.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Technology, Inc. (“MTI”) was served with the same complaints. The complaints assert that MTI and MSS infringed three Chinese patents owned by YMTC by importing, selling, offering for sale, and assisting others to sell certain 3D NAND products and SSDs in China. The complaint seeks an injunction, damages, attorneys’ fees, and costs.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On June 3, 2024, MimirIP LLC (“MimirIP”) submitted a complaint to the United States International Trade Commission (“ITC”) alleging that certain of Micron’s DRAM and NAND products infringe six patents owned by MimirIP. The complaint requests the ITC to institute an investigation of such alleged infringement pursuant to Section 337 of the Tariff Act of 1930 and to issue a permanent limited exclusion order barring from entry into the United States such allegedly infringing DRAM and NAND devices and electronic devices containing the same produced by several alleged customers of Micron.</w:t>
      </w:r>
    </w:p>
    <w:p>
      <w:pPr>
        <w:spacing w:after="0" w:line="132"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On June 3, 2024, MimirIP filed a complaint against Micron, two of its subsidiaries, and certain alleged customers of Micron in the E.D. Tex. alleging that the same six patents as are asserted in the ITC are infringed by certain of Micron’s DRAM and NAND products. The complaint seeks damages, attorneys’ fees, and costs.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color w:val="auto"/>
        </w:rPr>
        <w:t>On June 4, 2024, MimirIP filed a second complaint against Micron, two of its subsidiaries, and certain alleged customers of Micron in the E.D. Tex. alleging that six additional patents are infringed by certain of Micron’s DRAM and NAND products. The complaint seeks damages, attorneys’ fees, and costs.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The above lawsuits pertain to substantially all of our DRAM, NAND, and other memory and storage products we manufacture, which account for substantially all of our revenue.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Antitrust Matters</w:t>
      </w:r>
    </w:p>
    <w:p>
      <w:pPr>
        <w:spacing w:after="0" w:line="169" w:lineRule="exact"/>
        <w:rPr>
          <w:sz w:val="20"/>
          <w:szCs w:val="20"/>
          <w:color w:val="auto"/>
        </w:rPr>
      </w:pPr>
    </w:p>
    <w:p>
      <w:pPr>
        <w:jc w:val="both"/>
        <w:ind w:right="200"/>
        <w:spacing w:after="0" w:line="334" w:lineRule="auto"/>
        <w:rPr>
          <w:sz w:val="20"/>
          <w:szCs w:val="20"/>
          <w:color w:val="auto"/>
        </w:rPr>
      </w:pPr>
      <w:r>
        <w:rPr>
          <w:rFonts w:ascii="Arial" w:cs="Arial" w:eastAsia="Arial" w:hAnsi="Arial"/>
          <w:sz w:val="11"/>
          <w:szCs w:val="11"/>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Matters</w:t>
      </w:r>
    </w:p>
    <w:p>
      <w:pPr>
        <w:spacing w:after="0" w:line="169" w:lineRule="exact"/>
        <w:rPr>
          <w:sz w:val="20"/>
          <w:szCs w:val="20"/>
          <w:color w:val="auto"/>
        </w:rPr>
      </w:pPr>
    </w:p>
    <w:p>
      <w:pPr>
        <w:jc w:val="both"/>
        <w:ind w:right="200"/>
        <w:spacing w:after="0" w:line="268" w:lineRule="auto"/>
        <w:rPr>
          <w:sz w:val="20"/>
          <w:szCs w:val="20"/>
          <w:color w:val="auto"/>
        </w:rPr>
      </w:pPr>
      <w:r>
        <w:rPr>
          <w:rFonts w:ascii="Arial" w:cs="Arial" w:eastAsia="Arial" w:hAnsi="Arial"/>
          <w:sz w:val="12"/>
          <w:szCs w:val="12"/>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Contingency Assessment</w:t>
      </w:r>
    </w:p>
    <w:p>
      <w:pPr>
        <w:spacing w:after="0" w:line="17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Equity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Repurchases</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In May 2018,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No shares were repurchased under this authorization in the first nine months of 2024. Through May 30, 2024, we had repurchased an aggregate of $6.89 billion under the authorization. Amounts repurchased are included in treasury stock.</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19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ind w:left="10400"/>
        <w:spacing w:after="0"/>
        <w:rPr>
          <w:sz w:val="20"/>
          <w:szCs w:val="20"/>
          <w:color w:val="auto"/>
        </w:rPr>
      </w:pPr>
      <w:r>
        <w:rPr>
          <w:rFonts w:ascii="Arial" w:cs="Arial" w:eastAsia="Arial" w:hAnsi="Arial"/>
          <w:sz w:val="10"/>
          <w:szCs w:val="10"/>
          <w:b w:val="1"/>
          <w:bCs w:val="1"/>
          <w:u w:val="single" w:color="auto"/>
          <w:color w:val="BD03F7"/>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69"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We paid dividends of $ 128 million ($0.115 per share), $ 127 million ($0.115 per share), and $129 million ($0.115 per share) in the third, second, and first quarters of 2024, respectively. On June 26, 2024, our Board of Directors declared a quarterly dividend of $0.115 per share, payable in cash on July 23, 2024, to shareholders of record as of the close of business on July 8, 2024.</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Other Comprehensive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Changes in accumulated other comprehensive income (loss) by component for the nine months ended May 30, 2024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w w:val="99"/>
              </w:rPr>
              <w:t>Gains (Losses) on</w:t>
            </w:r>
          </w:p>
        </w:tc>
        <w:tc>
          <w:tcPr>
            <w:tcW w:w="140" w:type="dxa"/>
            <w:vAlign w:val="bottom"/>
          </w:tcPr>
          <w:p>
            <w:pPr>
              <w:spacing w:after="0"/>
              <w:rPr>
                <w:sz w:val="12"/>
                <w:szCs w:val="12"/>
                <w:color w:val="auto"/>
              </w:rPr>
            </w:pPr>
          </w:p>
        </w:tc>
        <w:tc>
          <w:tcPr>
            <w:tcW w:w="1180" w:type="dxa"/>
            <w:vAlign w:val="bottom"/>
          </w:tcPr>
          <w:p>
            <w:pPr>
              <w:jc w:val="center"/>
              <w:ind w:right="60"/>
              <w:spacing w:after="0"/>
              <w:rPr>
                <w:sz w:val="20"/>
                <w:szCs w:val="20"/>
                <w:color w:val="auto"/>
              </w:rPr>
            </w:pPr>
            <w:r>
              <w:rPr>
                <w:rFonts w:ascii="Arial" w:cs="Arial" w:eastAsia="Arial" w:hAnsi="Arial"/>
                <w:sz w:val="12"/>
                <w:szCs w:val="12"/>
                <w:b w:val="1"/>
                <w:bCs w:val="1"/>
                <w:color w:val="auto"/>
              </w:rPr>
              <w:t>Unrealized Gains</w:t>
            </w:r>
          </w:p>
        </w:tc>
        <w:tc>
          <w:tcPr>
            <w:tcW w:w="140" w:type="dxa"/>
            <w:vAlign w:val="bottom"/>
          </w:tcPr>
          <w:p>
            <w:pPr>
              <w:spacing w:after="0"/>
              <w:rPr>
                <w:sz w:val="12"/>
                <w:szCs w:val="12"/>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Pension Liability</w:t>
            </w:r>
          </w:p>
        </w:tc>
        <w:tc>
          <w:tcPr>
            <w:tcW w:w="100" w:type="dxa"/>
            <w:vAlign w:val="bottom"/>
          </w:tcPr>
          <w:p>
            <w:pPr>
              <w:spacing w:after="0"/>
              <w:rPr>
                <w:sz w:val="12"/>
                <w:szCs w:val="12"/>
                <w:color w:val="auto"/>
              </w:rPr>
            </w:pPr>
          </w:p>
        </w:tc>
        <w:tc>
          <w:tcPr>
            <w:tcW w:w="124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Cumulative Foreign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80"/>
              <w:spacing w:after="0" w:line="121" w:lineRule="exact"/>
              <w:rPr>
                <w:sz w:val="20"/>
                <w:szCs w:val="20"/>
                <w:color w:val="auto"/>
              </w:rPr>
            </w:pPr>
            <w:r>
              <w:rPr>
                <w:rFonts w:ascii="Arial" w:cs="Arial" w:eastAsia="Arial" w:hAnsi="Arial"/>
                <w:sz w:val="12"/>
                <w:szCs w:val="12"/>
                <w:b w:val="1"/>
                <w:bCs w:val="1"/>
                <w:color w:val="auto"/>
              </w:rPr>
              <w:t>(Losses) on</w:t>
            </w: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4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99"/>
              </w:rPr>
              <w:t>Currency Translation</w:t>
            </w:r>
          </w:p>
        </w:tc>
        <w:tc>
          <w:tcPr>
            <w:tcW w:w="300" w:type="dxa"/>
            <w:vAlign w:val="bottom"/>
          </w:tcPr>
          <w:p>
            <w:pPr>
              <w:spacing w:after="0"/>
              <w:rPr>
                <w:sz w:val="10"/>
                <w:szCs w:val="10"/>
                <w:color w:val="auto"/>
              </w:rPr>
            </w:pPr>
          </w:p>
        </w:tc>
        <w:tc>
          <w:tcPr>
            <w:tcW w:w="1020" w:type="dxa"/>
            <w:vAlign w:val="bottom"/>
            <w:vMerge w:val="restart"/>
          </w:tcPr>
          <w:p>
            <w:pPr>
              <w:jc w:val="right"/>
              <w:ind w:right="4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1"/>
        </w:trPr>
        <w:tc>
          <w:tcPr>
            <w:tcW w:w="4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8"/>
              </w:rPr>
              <w:t>Derivative Instruments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9"/>
              </w:rPr>
              <w:t>Investments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9"/>
              </w:rPr>
              <w:t>Adjustment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 of August 31, 2023</w:t>
            </w:r>
          </w:p>
        </w:tc>
        <w:tc>
          <w:tcPr>
            <w:tcW w:w="12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(304)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36</w:t>
            </w:r>
          </w:p>
        </w:tc>
        <w:tc>
          <w:tcPr>
            <w:tcW w:w="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D1D2D4"/>
          </w:tcPr>
          <w:p>
            <w:pPr>
              <w:ind w:left="1060"/>
              <w:spacing w:after="0"/>
              <w:rPr>
                <w:sz w:val="20"/>
                <w:szCs w:val="20"/>
                <w:color w:val="auto"/>
              </w:rPr>
            </w:pPr>
            <w:r>
              <w:rPr>
                <w:rFonts w:ascii="Arial" w:cs="Arial" w:eastAsia="Arial" w:hAnsi="Arial"/>
                <w:sz w:val="12"/>
                <w:szCs w:val="12"/>
                <w:color w:val="auto"/>
              </w:rPr>
              <w:t>(3)</w:t>
            </w:r>
          </w:p>
        </w:tc>
        <w:tc>
          <w:tcPr>
            <w:tcW w:w="300" w:type="dxa"/>
            <w:vAlign w:val="bottom"/>
            <w:tcBorders>
              <w:bottom w:val="single" w:sz="8" w:color="auto"/>
            </w:tcBorders>
            <w:shd w:val="clear" w:color="auto" w:fill="D1D2D4"/>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42"/>
        </w:trPr>
        <w:tc>
          <w:tcPr>
            <w:tcW w:w="4680" w:type="dxa"/>
            <w:vAlign w:val="bottom"/>
          </w:tcPr>
          <w:p>
            <w:pPr>
              <w:ind w:left="140"/>
              <w:spacing w:after="0"/>
              <w:rPr>
                <w:sz w:val="20"/>
                <w:szCs w:val="20"/>
                <w:color w:val="auto"/>
              </w:rPr>
            </w:pPr>
            <w:r>
              <w:rPr>
                <w:rFonts w:ascii="Arial" w:cs="Arial" w:eastAsia="Arial" w:hAnsi="Arial"/>
                <w:sz w:val="12"/>
                <w:szCs w:val="12"/>
                <w:color w:val="auto"/>
              </w:rPr>
              <w:t>Other comprehensive income (loss) before reclassifications</w:t>
            </w: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(151)</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tcPr>
          <w:p>
            <w:pPr>
              <w:ind w:left="10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53"/>
        </w:trPr>
        <w:tc>
          <w:tcPr>
            <w:tcW w:w="46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Amount reclassified out of accumulated other comprehensive income (loss)</w:t>
            </w:r>
          </w:p>
        </w:tc>
        <w:tc>
          <w:tcPr>
            <w:tcW w:w="120" w:type="dxa"/>
            <w:vAlign w:val="bottom"/>
            <w:shd w:val="clear" w:color="auto" w:fill="D1D2D4"/>
          </w:tcPr>
          <w:p>
            <w:pPr>
              <w:spacing w:after="0"/>
              <w:rPr>
                <w:sz w:val="13"/>
                <w:szCs w:val="13"/>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139</w:t>
            </w:r>
          </w:p>
        </w:tc>
        <w:tc>
          <w:tcPr>
            <w:tcW w:w="14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D1D2D4"/>
          </w:tcPr>
          <w:p>
            <w:pPr>
              <w:spacing w:after="0"/>
              <w:rPr>
                <w:sz w:val="13"/>
                <w:szCs w:val="13"/>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D1D2D4"/>
          </w:tcPr>
          <w:p>
            <w:pPr>
              <w:spacing w:after="0"/>
              <w:rPr>
                <w:sz w:val="13"/>
                <w:szCs w:val="13"/>
                <w:color w:val="auto"/>
              </w:rPr>
            </w:pPr>
          </w:p>
        </w:tc>
        <w:tc>
          <w:tcPr>
            <w:tcW w:w="1240" w:type="dxa"/>
            <w:vAlign w:val="bottom"/>
            <w:shd w:val="clear" w:color="auto" w:fill="D1D2D4"/>
          </w:tcPr>
          <w:p>
            <w:pPr>
              <w:ind w:left="1060"/>
              <w:spacing w:after="0"/>
              <w:rPr>
                <w:sz w:val="20"/>
                <w:szCs w:val="20"/>
                <w:color w:val="auto"/>
              </w:rPr>
            </w:pPr>
            <w:r>
              <w:rPr>
                <w:rFonts w:ascii="Arial" w:cs="Arial" w:eastAsia="Arial" w:hAnsi="Arial"/>
                <w:sz w:val="12"/>
                <w:szCs w:val="12"/>
                <w:color w:val="auto"/>
              </w:rPr>
              <w:t>—</w:t>
            </w:r>
          </w:p>
        </w:tc>
        <w:tc>
          <w:tcPr>
            <w:tcW w:w="300" w:type="dxa"/>
            <w:vAlign w:val="bottom"/>
            <w:shd w:val="clear" w:color="auto" w:fill="D1D2D4"/>
          </w:tcPr>
          <w:p>
            <w:pPr>
              <w:spacing w:after="0"/>
              <w:rPr>
                <w:sz w:val="13"/>
                <w:szCs w:val="13"/>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53"/>
        </w:trPr>
        <w:tc>
          <w:tcPr>
            <w:tcW w:w="4680" w:type="dxa"/>
            <w:vAlign w:val="bottom"/>
            <w:tcBorders>
              <w:bottom w:val="single" w:sz="8" w:color="D1D2D4"/>
            </w:tcBorders>
          </w:tcPr>
          <w:p>
            <w:pPr>
              <w:ind w:left="160"/>
              <w:spacing w:after="0"/>
              <w:rPr>
                <w:sz w:val="20"/>
                <w:szCs w:val="20"/>
                <w:color w:val="auto"/>
              </w:rPr>
            </w:pPr>
            <w:r>
              <w:rPr>
                <w:rFonts w:ascii="Arial" w:cs="Arial" w:eastAsia="Arial" w:hAnsi="Arial"/>
                <w:sz w:val="12"/>
                <w:szCs w:val="12"/>
                <w:color w:val="auto"/>
              </w:rPr>
              <w:t>Tax effects</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680" w:type="dxa"/>
            <w:vAlign w:val="bottom"/>
            <w:shd w:val="clear" w:color="auto" w:fill="D1D2D4"/>
          </w:tcPr>
          <w:p>
            <w:pPr>
              <w:spacing w:after="0"/>
              <w:rPr>
                <w:sz w:val="20"/>
                <w:szCs w:val="20"/>
                <w:color w:val="auto"/>
              </w:rPr>
            </w:pPr>
            <w:r>
              <w:rPr>
                <w:rFonts w:ascii="Arial" w:cs="Arial" w:eastAsia="Arial" w:hAnsi="Arial"/>
                <w:sz w:val="12"/>
                <w:szCs w:val="12"/>
                <w:color w:val="auto"/>
              </w:rPr>
              <w:t>Other comprehensive income (loss)</w:t>
            </w:r>
          </w:p>
        </w:tc>
        <w:tc>
          <w:tcPr>
            <w:tcW w:w="120" w:type="dxa"/>
            <w:vAlign w:val="bottom"/>
            <w:tcBorders>
              <w:bottom w:val="single" w:sz="8" w:color="auto"/>
            </w:tcBorders>
            <w:shd w:val="clear" w:color="auto" w:fill="D1D2D4"/>
          </w:tcPr>
          <w:p>
            <w:pPr>
              <w:spacing w:after="0"/>
              <w:rPr>
                <w:sz w:val="12"/>
                <w:szCs w:val="12"/>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140" w:type="dxa"/>
            <w:vAlign w:val="bottom"/>
            <w:tcBorders>
              <w:bottom w:val="single" w:sz="8" w:color="auto"/>
            </w:tcBorders>
            <w:shd w:val="clear" w:color="auto" w:fill="D1D2D4"/>
          </w:tcPr>
          <w:p>
            <w:pPr>
              <w:spacing w:after="0"/>
              <w:rPr>
                <w:sz w:val="12"/>
                <w:szCs w:val="1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w:t>
            </w:r>
          </w:p>
        </w:tc>
        <w:tc>
          <w:tcPr>
            <w:tcW w:w="140" w:type="dxa"/>
            <w:vAlign w:val="bottom"/>
            <w:tcBorders>
              <w:bottom w:val="single" w:sz="8" w:color="auto"/>
            </w:tcBorders>
            <w:shd w:val="clear" w:color="auto" w:fill="D1D2D4"/>
          </w:tcPr>
          <w:p>
            <w:pPr>
              <w:spacing w:after="0"/>
              <w:rPr>
                <w:sz w:val="12"/>
                <w:szCs w:val="1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auto"/>
            </w:tcBorders>
            <w:shd w:val="clear" w:color="auto" w:fill="D1D2D4"/>
          </w:tcPr>
          <w:p>
            <w:pPr>
              <w:spacing w:after="0"/>
              <w:rPr>
                <w:sz w:val="12"/>
                <w:szCs w:val="12"/>
                <w:color w:val="auto"/>
              </w:rPr>
            </w:pPr>
          </w:p>
        </w:tc>
        <w:tc>
          <w:tcPr>
            <w:tcW w:w="1240" w:type="dxa"/>
            <w:vAlign w:val="bottom"/>
            <w:tcBorders>
              <w:bottom w:val="single" w:sz="8" w:color="auto"/>
            </w:tcBorders>
            <w:shd w:val="clear" w:color="auto" w:fill="D1D2D4"/>
          </w:tcPr>
          <w:p>
            <w:pPr>
              <w:ind w:left="106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D1D2D4"/>
          </w:tcPr>
          <w:p>
            <w:pPr>
              <w:spacing w:after="0"/>
              <w:rPr>
                <w:sz w:val="12"/>
                <w:szCs w:val="12"/>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20"/>
                <w:szCs w:val="20"/>
                <w:color w:val="auto"/>
              </w:rPr>
            </w:pPr>
            <w:r>
              <w:rPr>
                <w:rFonts w:ascii="Arial" w:cs="Arial" w:eastAsia="Arial" w:hAnsi="Arial"/>
                <w:sz w:val="12"/>
                <w:szCs w:val="12"/>
                <w:b w:val="1"/>
                <w:bCs w:val="1"/>
                <w:color w:val="auto"/>
              </w:rPr>
              <w:t>As of May 30, 2024</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(3)</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Fair Value Measurements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The estimated fair values and carrying values of our outstanding debt instruments were as follows:</w:t>
      </w:r>
    </w:p>
    <w:p>
      <w:pPr>
        <w:sectPr>
          <w:pgSz w:w="11900" w:h="16838" w:orient="portrait"/>
          <w:cols w:equalWidth="0" w:num="1">
            <w:col w:w="11300"/>
          </w:cols>
          <w:pgMar w:left="300" w:top="131" w:right="29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 of May 30, 2024</w:t>
            </w:r>
          </w:p>
        </w:tc>
      </w:tr>
      <w:tr>
        <w:trPr>
          <w:trHeight w:val="111"/>
        </w:trPr>
        <w:tc>
          <w:tcPr>
            <w:tcW w:w="5460" w:type="dxa"/>
            <w:vAlign w:val="bottom"/>
          </w:tcPr>
          <w:p>
            <w:pPr>
              <w:spacing w:after="0"/>
              <w:rPr>
                <w:sz w:val="9"/>
                <w:szCs w:val="9"/>
                <w:color w:val="auto"/>
              </w:rPr>
            </w:pPr>
          </w:p>
        </w:tc>
        <w:tc>
          <w:tcPr>
            <w:tcW w:w="880" w:type="dxa"/>
            <w:vAlign w:val="bottom"/>
          </w:tcPr>
          <w:p>
            <w:pPr>
              <w:jc w:val="center"/>
              <w:ind w:left="480"/>
              <w:spacing w:after="0" w:line="111" w:lineRule="exact"/>
              <w:rPr>
                <w:sz w:val="20"/>
                <w:szCs w:val="20"/>
                <w:color w:val="auto"/>
              </w:rPr>
            </w:pPr>
            <w:r>
              <w:rPr>
                <w:rFonts w:ascii="Arial" w:cs="Arial" w:eastAsia="Arial" w:hAnsi="Arial"/>
                <w:sz w:val="12"/>
                <w:szCs w:val="12"/>
                <w:b w:val="1"/>
                <w:bCs w:val="1"/>
                <w:color w:val="auto"/>
                <w:w w:val="99"/>
              </w:rPr>
              <w:t>Fair</w:t>
            </w:r>
          </w:p>
        </w:tc>
        <w:tc>
          <w:tcPr>
            <w:tcW w:w="1980" w:type="dxa"/>
            <w:vAlign w:val="bottom"/>
          </w:tcPr>
          <w:p>
            <w:pPr>
              <w:jc w:val="center"/>
              <w:ind w:left="500"/>
              <w:spacing w:after="0" w:line="111" w:lineRule="exact"/>
              <w:rPr>
                <w:sz w:val="20"/>
                <w:szCs w:val="20"/>
                <w:color w:val="auto"/>
              </w:rPr>
            </w:pPr>
            <w:r>
              <w:rPr>
                <w:rFonts w:ascii="Arial" w:cs="Arial" w:eastAsia="Arial" w:hAnsi="Arial"/>
                <w:sz w:val="12"/>
                <w:szCs w:val="12"/>
                <w:b w:val="1"/>
                <w:bCs w:val="1"/>
                <w:color w:val="auto"/>
              </w:rPr>
              <w:t>Carrying</w:t>
            </w:r>
          </w:p>
        </w:tc>
      </w:tr>
      <w:tr>
        <w:trPr>
          <w:trHeight w:val="157"/>
        </w:trPr>
        <w:tc>
          <w:tcPr>
            <w:tcW w:w="5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500"/>
              <w:spacing w:after="0"/>
              <w:rPr>
                <w:sz w:val="20"/>
                <w:szCs w:val="20"/>
                <w:color w:val="auto"/>
              </w:rPr>
            </w:pPr>
            <w:r>
              <w:rPr>
                <w:rFonts w:ascii="Arial" w:cs="Arial" w:eastAsia="Arial" w:hAnsi="Arial"/>
                <w:sz w:val="12"/>
                <w:szCs w:val="12"/>
                <w:b w:val="1"/>
                <w:bCs w:val="1"/>
                <w:color w:val="auto"/>
                <w:w w:val="99"/>
              </w:rPr>
              <w:t>Value</w:t>
            </w:r>
          </w:p>
        </w:tc>
        <w:tc>
          <w:tcPr>
            <w:tcW w:w="1980" w:type="dxa"/>
            <w:vAlign w:val="bottom"/>
            <w:tcBorders>
              <w:bottom w:val="single" w:sz="8" w:color="auto"/>
            </w:tcBorders>
          </w:tcPr>
          <w:p>
            <w:pPr>
              <w:jc w:val="center"/>
              <w:ind w:left="500"/>
              <w:spacing w:after="0"/>
              <w:rPr>
                <w:sz w:val="20"/>
                <w:szCs w:val="20"/>
                <w:color w:val="auto"/>
              </w:rPr>
            </w:pPr>
            <w:r>
              <w:rPr>
                <w:rFonts w:ascii="Arial" w:cs="Arial" w:eastAsia="Arial" w:hAnsi="Arial"/>
                <w:sz w:val="12"/>
                <w:szCs w:val="12"/>
                <w:b w:val="1"/>
                <w:bCs w:val="1"/>
                <w:color w:val="auto"/>
                <w:w w:val="93"/>
              </w:rPr>
              <w:t>Value</w:t>
            </w: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August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38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Fair</w:t>
            </w:r>
          </w:p>
        </w:tc>
        <w:tc>
          <w:tcPr>
            <w:tcW w:w="15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Carrying</w:t>
            </w:r>
          </w:p>
        </w:tc>
      </w:tr>
      <w:tr>
        <w:trPr>
          <w:trHeight w:val="157"/>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r>
    </w:tbl>
    <w:p>
      <w:pPr>
        <w:spacing w:after="0" w:line="23" w:lineRule="exact"/>
        <w:rPr>
          <w:sz w:val="20"/>
          <w:szCs w:val="20"/>
          <w:color w:val="auto"/>
        </w:rPr>
      </w:pPr>
    </w:p>
    <w:p>
      <w:pPr>
        <w:sectPr>
          <w:pgSz w:w="11900" w:h="16838" w:orient="portrait"/>
          <w:cols w:equalWidth="0" w:num="2">
            <w:col w:w="8320" w:space="100"/>
            <w:col w:w="2880"/>
          </w:cols>
          <w:pgMar w:left="300" w:top="131" w:right="299" w:bottom="1440" w:gutter="0" w:footer="0" w:header="0"/>
          <w:type w:val="continuous"/>
        </w:sectPr>
      </w:pPr>
    </w:p>
    <w:p>
      <w:pPr>
        <w:spacing w:after="0"/>
        <w:tabs>
          <w:tab w:leader="none" w:pos="5460" w:val="left"/>
          <w:tab w:leader="none" w:pos="6460" w:val="left"/>
          <w:tab w:leader="none" w:pos="7900" w:val="left"/>
          <w:tab w:leader="none" w:pos="8400" w:val="left"/>
          <w:tab w:leader="none" w:pos="9420" w:val="left"/>
          <w:tab w:leader="none" w:pos="10840" w:val="left"/>
        </w:tabs>
        <w:rPr>
          <w:sz w:val="20"/>
          <w:szCs w:val="20"/>
          <w:color w:val="auto"/>
        </w:rPr>
      </w:pPr>
      <w:r>
        <w:rPr>
          <w:rFonts w:ascii="Arial" w:cs="Arial" w:eastAsia="Arial" w:hAnsi="Arial"/>
          <w:sz w:val="12"/>
          <w:szCs w:val="12"/>
          <w:color w:val="auto"/>
        </w:rPr>
        <w:t>Notes</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11,037 $</w:t>
      </w:r>
      <w:r>
        <w:rPr>
          <w:sz w:val="20"/>
          <w:szCs w:val="20"/>
          <w:color w:val="auto"/>
        </w:rPr>
        <w:tab/>
      </w:r>
      <w:r>
        <w:rPr>
          <w:rFonts w:ascii="Arial" w:cs="Arial" w:eastAsia="Arial" w:hAnsi="Arial"/>
          <w:sz w:val="12"/>
          <w:szCs w:val="12"/>
          <w:color w:val="auto"/>
        </w:rPr>
        <w:t>11,332</w:t>
        <w:tab/>
        <w:t>$</w:t>
      </w:r>
      <w:r>
        <w:rPr>
          <w:sz w:val="20"/>
          <w:szCs w:val="20"/>
          <w:color w:val="auto"/>
        </w:rPr>
        <w:tab/>
      </w:r>
      <w:r>
        <w:rPr>
          <w:rFonts w:ascii="Arial" w:cs="Arial" w:eastAsia="Arial" w:hAnsi="Arial"/>
          <w:sz w:val="12"/>
          <w:szCs w:val="12"/>
          <w:color w:val="auto"/>
        </w:rPr>
        <w:t>11,549 $</w:t>
      </w:r>
      <w:r>
        <w:rPr>
          <w:sz w:val="20"/>
          <w:szCs w:val="20"/>
          <w:color w:val="auto"/>
        </w:rPr>
        <w:tab/>
      </w:r>
      <w:r>
        <w:rPr>
          <w:rFonts w:ascii="Arial" w:cs="Arial" w:eastAsia="Arial" w:hAnsi="Arial"/>
          <w:sz w:val="12"/>
          <w:szCs w:val="12"/>
          <w:color w:val="auto"/>
        </w:rPr>
        <w:t>12,049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0" w:name="page21"/>
    <w:bookmarkEnd w:id="20"/>
    <w:tbl>
      <w:tblPr>
        <w:tblLayout w:type="fixed"/>
        <w:tblInd w:w="8" w:type="dxa"/>
        <w:tblCellMar>
          <w:top w:w="0" w:type="dxa"/>
          <w:left w:w="0" w:type="dxa"/>
          <w:bottom w:w="0" w:type="dxa"/>
          <w:right w:w="0" w:type="dxa"/>
        </w:tblCellMar>
      </w:tblPr>
      <w:tr>
        <w:trPr>
          <w:trHeight w:val="126"/>
        </w:trPr>
        <w:tc>
          <w:tcPr>
            <w:tcW w:w="5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b w:val="1"/>
                <w:bCs w:val="1"/>
                <w:color w:val="BD03F7"/>
              </w:rPr>
              <w:t>Table of Contents</w:t>
            </w:r>
          </w:p>
        </w:tc>
        <w:tc>
          <w:tcPr>
            <w:tcW w:w="0" w:type="dxa"/>
            <w:vAlign w:val="bottom"/>
          </w:tcPr>
          <w:p>
            <w:pPr>
              <w:spacing w:after="0"/>
              <w:rPr>
                <w:sz w:val="1"/>
                <w:szCs w:val="1"/>
                <w:color w:val="auto"/>
              </w:rPr>
            </w:pPr>
          </w:p>
        </w:tc>
      </w:tr>
      <w:tr>
        <w:trPr>
          <w:trHeight w:val="762"/>
        </w:trPr>
        <w:tc>
          <w:tcPr>
            <w:tcW w:w="5120" w:type="dxa"/>
            <w:vAlign w:val="bottom"/>
          </w:tcPr>
          <w:p>
            <w:pPr>
              <w:spacing w:after="0"/>
              <w:rPr>
                <w:sz w:val="20"/>
                <w:szCs w:val="20"/>
                <w:color w:val="auto"/>
              </w:rPr>
            </w:pPr>
            <w:r>
              <w:rPr>
                <w:rFonts w:ascii="Arial" w:cs="Arial" w:eastAsia="Arial" w:hAnsi="Arial"/>
                <w:sz w:val="26"/>
                <w:szCs w:val="26"/>
                <w:b w:val="1"/>
                <w:bCs w:val="1"/>
                <w:color w:val="auto"/>
              </w:rPr>
              <w:t>Derivative Instruments</w:t>
            </w: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3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Notional or Contractual</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Fair Value of</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5120" w:type="dxa"/>
            <w:vAlign w:val="bottom"/>
          </w:tcPr>
          <w:p>
            <w:pPr>
              <w:spacing w:after="0"/>
              <w:rPr>
                <w:sz w:val="2"/>
                <w:szCs w:val="2"/>
                <w:color w:val="auto"/>
              </w:rPr>
            </w:pPr>
          </w:p>
        </w:tc>
        <w:tc>
          <w:tcPr>
            <w:tcW w:w="33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Assets</w:t>
            </w:r>
            <w:r>
              <w:rPr>
                <w:rFonts w:ascii="Arial" w:cs="Arial" w:eastAsia="Arial" w:hAnsi="Arial"/>
                <w:sz w:val="15"/>
                <w:szCs w:val="15"/>
                <w:b w:val="1"/>
                <w:bCs w:val="1"/>
                <w:color w:val="auto"/>
                <w:vertAlign w:val="superscript"/>
              </w:rPr>
              <w:t>(1)</w:t>
            </w:r>
          </w:p>
        </w:tc>
        <w:tc>
          <w:tcPr>
            <w:tcW w:w="400" w:type="dxa"/>
            <w:vAlign w:val="bottom"/>
          </w:tcPr>
          <w:p>
            <w:pPr>
              <w:spacing w:after="0"/>
              <w:rPr>
                <w:sz w:val="2"/>
                <w:szCs w:val="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94"/>
              </w:rPr>
              <w:t>Liabilities</w:t>
            </w:r>
            <w:r>
              <w:rPr>
                <w:rFonts w:ascii="Arial" w:cs="Arial" w:eastAsia="Arial" w:hAnsi="Arial"/>
                <w:sz w:val="15"/>
                <w:szCs w:val="15"/>
                <w:b w:val="1"/>
                <w:bCs w:val="1"/>
                <w:color w:val="auto"/>
                <w:w w:val="94"/>
                <w:vertAlign w:val="superscript"/>
              </w:rPr>
              <w:t>(2)</w:t>
            </w:r>
          </w:p>
        </w:tc>
        <w:tc>
          <w:tcPr>
            <w:tcW w:w="0" w:type="dxa"/>
            <w:vAlign w:val="bottom"/>
          </w:tcPr>
          <w:p>
            <w:pPr>
              <w:spacing w:after="0" w:line="20" w:lineRule="exact"/>
              <w:rPr>
                <w:sz w:val="1"/>
                <w:szCs w:val="1"/>
                <w:color w:val="auto"/>
              </w:rPr>
            </w:pPr>
          </w:p>
        </w:tc>
      </w:tr>
      <w:tr>
        <w:trPr>
          <w:trHeight w:val="165"/>
        </w:trPr>
        <w:tc>
          <w:tcPr>
            <w:tcW w:w="5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 of May 30, 2024</w:t>
            </w:r>
          </w:p>
        </w:tc>
        <w:tc>
          <w:tcPr>
            <w:tcW w:w="216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c>
          <w:tcPr>
            <w:tcW w:w="260" w:type="dxa"/>
            <w:vAlign w:val="bottom"/>
            <w:shd w:val="clear" w:color="auto" w:fill="D1D2D4"/>
          </w:tcPr>
          <w:p>
            <w:pPr>
              <w:spacing w:after="0"/>
              <w:rPr>
                <w:sz w:val="14"/>
                <w:szCs w:val="14"/>
                <w:color w:val="auto"/>
              </w:rPr>
            </w:pPr>
          </w:p>
        </w:tc>
        <w:tc>
          <w:tcPr>
            <w:tcW w:w="1140" w:type="dxa"/>
            <w:vAlign w:val="bottom"/>
            <w:shd w:val="clear" w:color="auto" w:fill="D1D2D4"/>
          </w:tcPr>
          <w:p>
            <w:pPr>
              <w:spacing w:after="0"/>
              <w:rPr>
                <w:sz w:val="14"/>
                <w:szCs w:val="14"/>
                <w:color w:val="auto"/>
              </w:rPr>
            </w:pPr>
          </w:p>
        </w:tc>
        <w:tc>
          <w:tcPr>
            <w:tcW w:w="4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Derivative instruments with hedge accounting designation</w:t>
            </w:r>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20"/>
              <w:spacing w:after="0"/>
              <w:rPr>
                <w:sz w:val="20"/>
                <w:szCs w:val="20"/>
                <w:color w:val="auto"/>
              </w:rPr>
            </w:pPr>
            <w:r>
              <w:rPr>
                <w:rFonts w:ascii="Arial" w:cs="Arial" w:eastAsia="Arial" w:hAnsi="Arial"/>
                <w:sz w:val="12"/>
                <w:szCs w:val="12"/>
                <w:color w:val="auto"/>
              </w:rPr>
              <w:t>Cash flow currency hedges</w:t>
            </w:r>
          </w:p>
        </w:tc>
        <w:tc>
          <w:tcPr>
            <w:tcW w:w="216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4,177</w:t>
            </w:r>
          </w:p>
        </w:tc>
        <w:tc>
          <w:tcPr>
            <w:tcW w:w="260" w:type="dxa"/>
            <w:vAlign w:val="bottom"/>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400" w:type="dxa"/>
            <w:vAlign w:val="bottom"/>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53"/>
        </w:trPr>
        <w:tc>
          <w:tcPr>
            <w:tcW w:w="5120" w:type="dxa"/>
            <w:vAlign w:val="bottom"/>
          </w:tcPr>
          <w:p>
            <w:pPr>
              <w:ind w:left="120"/>
              <w:spacing w:after="0"/>
              <w:rPr>
                <w:sz w:val="20"/>
                <w:szCs w:val="20"/>
                <w:color w:val="auto"/>
              </w:rPr>
            </w:pPr>
            <w:r>
              <w:rPr>
                <w:rFonts w:ascii="Arial" w:cs="Arial" w:eastAsia="Arial" w:hAnsi="Arial"/>
                <w:sz w:val="12"/>
                <w:szCs w:val="12"/>
                <w:color w:val="auto"/>
              </w:rPr>
              <w:t>Cash flow commodity hedges</w:t>
            </w:r>
          </w:p>
        </w:tc>
        <w:tc>
          <w:tcPr>
            <w:tcW w:w="2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458</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w:t>
            </w:r>
          </w:p>
        </w:tc>
        <w:tc>
          <w:tcPr>
            <w:tcW w:w="4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20"/>
              <w:spacing w:after="0"/>
              <w:rPr>
                <w:sz w:val="20"/>
                <w:szCs w:val="20"/>
                <w:color w:val="auto"/>
              </w:rPr>
            </w:pPr>
            <w:r>
              <w:rPr>
                <w:rFonts w:ascii="Arial" w:cs="Arial" w:eastAsia="Arial" w:hAnsi="Arial"/>
                <w:sz w:val="12"/>
                <w:szCs w:val="12"/>
                <w:color w:val="auto"/>
              </w:rPr>
              <w:t>Fair value interest rate hedges</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900</w:t>
            </w: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D1D2D4"/>
          </w:tcPr>
          <w:p>
            <w:pPr>
              <w:spacing w:after="0"/>
              <w:rPr>
                <w:sz w:val="13"/>
                <w:szCs w:val="13"/>
                <w:color w:val="auto"/>
              </w:rPr>
            </w:pP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spacing w:after="0"/>
              <w:rPr>
                <w:sz w:val="20"/>
                <w:szCs w:val="20"/>
                <w:color w:val="auto"/>
              </w:rPr>
            </w:pPr>
            <w:r>
              <w:rPr>
                <w:rFonts w:ascii="Arial" w:cs="Arial" w:eastAsia="Arial" w:hAnsi="Arial"/>
                <w:sz w:val="12"/>
                <w:szCs w:val="12"/>
                <w:color w:val="auto"/>
              </w:rPr>
              <w:t>Derivative instruments without hedge accounting designation</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Borders>
              <w:bottom w:val="single" w:sz="8" w:color="D1D2D4"/>
            </w:tcBorders>
          </w:tcPr>
          <w:p>
            <w:pPr>
              <w:ind w:left="120"/>
              <w:spacing w:after="0"/>
              <w:rPr>
                <w:sz w:val="20"/>
                <w:szCs w:val="20"/>
                <w:color w:val="auto"/>
              </w:rPr>
            </w:pPr>
            <w:r>
              <w:rPr>
                <w:rFonts w:ascii="Arial" w:cs="Arial" w:eastAsia="Arial" w:hAnsi="Arial"/>
                <w:sz w:val="12"/>
                <w:szCs w:val="12"/>
                <w:color w:val="auto"/>
              </w:rPr>
              <w:t>Non-designated currency hedges</w:t>
            </w:r>
          </w:p>
        </w:tc>
        <w:tc>
          <w:tcPr>
            <w:tcW w:w="2160" w:type="dxa"/>
            <w:vAlign w:val="bottom"/>
            <w:tcBorders>
              <w:bottom w:val="single" w:sz="8" w:color="D1D2D4"/>
            </w:tcBorders>
          </w:tcPr>
          <w:p>
            <w:pPr>
              <w:spacing w:after="0"/>
              <w:rPr>
                <w:sz w:val="13"/>
                <w:szCs w:val="13"/>
                <w:color w:val="auto"/>
              </w:rPr>
            </w:pPr>
          </w:p>
        </w:tc>
        <w:tc>
          <w:tcPr>
            <w:tcW w:w="116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1,964</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D1D2D4"/>
            </w:tcBorders>
            <w:shd w:val="clear" w:color="auto" w:fill="D1D2D4"/>
          </w:tcPr>
          <w:p>
            <w:pPr>
              <w:spacing w:after="0"/>
              <w:rPr>
                <w:sz w:val="13"/>
                <w:szCs w:val="13"/>
                <w:color w:val="auto"/>
              </w:rPr>
            </w:pPr>
          </w:p>
        </w:tc>
        <w:tc>
          <w:tcPr>
            <w:tcW w:w="2160" w:type="dxa"/>
            <w:vAlign w:val="bottom"/>
            <w:tcBorders>
              <w:bottom w:val="single" w:sz="8" w:color="D1D2D4"/>
            </w:tcBorders>
            <w:shd w:val="clear" w:color="auto" w:fill="D1D2D4"/>
          </w:tcPr>
          <w:p>
            <w:pPr>
              <w:spacing w:after="0"/>
              <w:rPr>
                <w:sz w:val="13"/>
                <w:szCs w:val="13"/>
                <w:color w:val="auto"/>
              </w:rPr>
            </w:pPr>
          </w:p>
        </w:tc>
        <w:tc>
          <w:tcPr>
            <w:tcW w:w="1160" w:type="dxa"/>
            <w:vAlign w:val="bottom"/>
            <w:tcBorders>
              <w:bottom w:val="single" w:sz="8" w:color="D1D2D4"/>
            </w:tcBorders>
            <w:shd w:val="clear" w:color="auto" w:fill="D1D2D4"/>
          </w:tcPr>
          <w:p>
            <w:pPr>
              <w:spacing w:after="0"/>
              <w:rPr>
                <w:sz w:val="13"/>
                <w:szCs w:val="13"/>
                <w:color w:val="auto"/>
              </w:rPr>
            </w:pPr>
          </w:p>
        </w:tc>
        <w:tc>
          <w:tcPr>
            <w:tcW w:w="260" w:type="dxa"/>
            <w:vAlign w:val="bottom"/>
            <w:tcBorders>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31</w:t>
            </w:r>
          </w:p>
        </w:tc>
        <w:tc>
          <w:tcPr>
            <w:tcW w:w="400" w:type="dxa"/>
            <w:vAlign w:val="bottom"/>
            <w:tcBorders>
              <w:bottom w:val="single" w:sz="8" w:color="auto"/>
            </w:tcBorders>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spacing w:after="0"/>
              <w:rPr>
                <w:sz w:val="20"/>
                <w:szCs w:val="20"/>
                <w:color w:val="auto"/>
              </w:rPr>
            </w:pPr>
            <w:r>
              <w:rPr>
                <w:rFonts w:ascii="Arial" w:cs="Arial" w:eastAsia="Arial" w:hAnsi="Arial"/>
                <w:sz w:val="12"/>
                <w:szCs w:val="12"/>
                <w:b w:val="1"/>
                <w:bCs w:val="1"/>
                <w:color w:val="auto"/>
              </w:rPr>
              <w:t>As of August 31, 2023</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2"/>
                <w:szCs w:val="12"/>
                <w:color w:val="auto"/>
              </w:rPr>
              <w:t>Derivative instruments with hedge accounting designation</w:t>
            </w:r>
          </w:p>
        </w:tc>
        <w:tc>
          <w:tcPr>
            <w:tcW w:w="2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20"/>
              <w:spacing w:after="0"/>
              <w:rPr>
                <w:sz w:val="20"/>
                <w:szCs w:val="20"/>
                <w:color w:val="auto"/>
              </w:rPr>
            </w:pPr>
            <w:r>
              <w:rPr>
                <w:rFonts w:ascii="Arial" w:cs="Arial" w:eastAsia="Arial" w:hAnsi="Arial"/>
                <w:sz w:val="12"/>
                <w:szCs w:val="12"/>
                <w:color w:val="auto"/>
              </w:rPr>
              <w:t>Cash flow currency hedges</w:t>
            </w:r>
          </w:p>
        </w:tc>
        <w:tc>
          <w:tcPr>
            <w:tcW w:w="216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3,873</w:t>
            </w:r>
          </w:p>
        </w:tc>
        <w:tc>
          <w:tcPr>
            <w:tcW w:w="260" w:type="dxa"/>
            <w:vAlign w:val="bottom"/>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w:t>
            </w:r>
          </w:p>
        </w:tc>
        <w:tc>
          <w:tcPr>
            <w:tcW w:w="400" w:type="dxa"/>
            <w:vAlign w:val="bottom"/>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53"/>
        </w:trPr>
        <w:tc>
          <w:tcPr>
            <w:tcW w:w="5120" w:type="dxa"/>
            <w:vAlign w:val="bottom"/>
          </w:tcPr>
          <w:p>
            <w:pPr>
              <w:ind w:left="140"/>
              <w:spacing w:after="0"/>
              <w:rPr>
                <w:sz w:val="20"/>
                <w:szCs w:val="20"/>
                <w:color w:val="auto"/>
              </w:rPr>
            </w:pPr>
            <w:r>
              <w:rPr>
                <w:rFonts w:ascii="Arial" w:cs="Arial" w:eastAsia="Arial" w:hAnsi="Arial"/>
                <w:sz w:val="12"/>
                <w:szCs w:val="12"/>
                <w:color w:val="auto"/>
              </w:rPr>
              <w:t>Cash flow commodity hedges</w:t>
            </w:r>
          </w:p>
        </w:tc>
        <w:tc>
          <w:tcPr>
            <w:tcW w:w="2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331</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ind w:left="140"/>
              <w:spacing w:after="0"/>
              <w:rPr>
                <w:sz w:val="20"/>
                <w:szCs w:val="20"/>
                <w:color w:val="auto"/>
              </w:rPr>
            </w:pPr>
            <w:r>
              <w:rPr>
                <w:rFonts w:ascii="Arial" w:cs="Arial" w:eastAsia="Arial" w:hAnsi="Arial"/>
                <w:sz w:val="12"/>
                <w:szCs w:val="12"/>
                <w:color w:val="auto"/>
              </w:rPr>
              <w:t>Fair value interest rate hedges</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900</w:t>
            </w: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D1D2D4"/>
          </w:tcPr>
          <w:p>
            <w:pPr>
              <w:spacing w:after="0"/>
              <w:rPr>
                <w:sz w:val="13"/>
                <w:szCs w:val="13"/>
                <w:color w:val="auto"/>
              </w:rPr>
            </w:pP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20" w:type="dxa"/>
            <w:vAlign w:val="bottom"/>
            <w:shd w:val="clear" w:color="auto" w:fill="D1D2D4"/>
          </w:tcPr>
          <w:p>
            <w:pPr>
              <w:spacing w:after="0"/>
              <w:rPr>
                <w:sz w:val="20"/>
                <w:szCs w:val="20"/>
                <w:color w:val="auto"/>
              </w:rPr>
            </w:pPr>
            <w:r>
              <w:rPr>
                <w:rFonts w:ascii="Arial" w:cs="Arial" w:eastAsia="Arial" w:hAnsi="Arial"/>
                <w:sz w:val="12"/>
                <w:szCs w:val="12"/>
                <w:color w:val="auto"/>
              </w:rPr>
              <w:t>Derivative instruments without hedge accounting designation</w:t>
            </w:r>
          </w:p>
        </w:tc>
        <w:tc>
          <w:tcPr>
            <w:tcW w:w="2160" w:type="dxa"/>
            <w:vAlign w:val="bottom"/>
            <w:shd w:val="clear" w:color="auto" w:fill="D1D2D4"/>
          </w:tcPr>
          <w:p>
            <w:pPr>
              <w:spacing w:after="0"/>
              <w:rPr>
                <w:sz w:val="13"/>
                <w:szCs w:val="13"/>
                <w:color w:val="auto"/>
              </w:rPr>
            </w:pPr>
          </w:p>
        </w:tc>
        <w:tc>
          <w:tcPr>
            <w:tcW w:w="1160" w:type="dxa"/>
            <w:vAlign w:val="bottom"/>
            <w:shd w:val="clear" w:color="auto" w:fill="D1D2D4"/>
          </w:tcPr>
          <w:p>
            <w:pPr>
              <w:spacing w:after="0"/>
              <w:rPr>
                <w:sz w:val="13"/>
                <w:szCs w:val="13"/>
                <w:color w:val="auto"/>
              </w:rPr>
            </w:pPr>
          </w:p>
        </w:tc>
        <w:tc>
          <w:tcPr>
            <w:tcW w:w="260" w:type="dxa"/>
            <w:vAlign w:val="bottom"/>
            <w:shd w:val="clear" w:color="auto" w:fill="D1D2D4"/>
          </w:tcPr>
          <w:p>
            <w:pPr>
              <w:spacing w:after="0"/>
              <w:rPr>
                <w:sz w:val="13"/>
                <w:szCs w:val="13"/>
                <w:color w:val="auto"/>
              </w:rPr>
            </w:pPr>
          </w:p>
        </w:tc>
        <w:tc>
          <w:tcPr>
            <w:tcW w:w="114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1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20" w:type="dxa"/>
            <w:vAlign w:val="bottom"/>
            <w:tcBorders>
              <w:bottom w:val="single" w:sz="8" w:color="D1D2D4"/>
            </w:tcBorders>
          </w:tcPr>
          <w:p>
            <w:pPr>
              <w:ind w:left="120"/>
              <w:spacing w:after="0"/>
              <w:rPr>
                <w:sz w:val="20"/>
                <w:szCs w:val="20"/>
                <w:color w:val="auto"/>
              </w:rPr>
            </w:pPr>
            <w:r>
              <w:rPr>
                <w:rFonts w:ascii="Arial" w:cs="Arial" w:eastAsia="Arial" w:hAnsi="Arial"/>
                <w:sz w:val="12"/>
                <w:szCs w:val="12"/>
                <w:color w:val="auto"/>
              </w:rPr>
              <w:t>Non-designated currency hedges</w:t>
            </w:r>
          </w:p>
        </w:tc>
        <w:tc>
          <w:tcPr>
            <w:tcW w:w="2160" w:type="dxa"/>
            <w:vAlign w:val="bottom"/>
            <w:tcBorders>
              <w:bottom w:val="single" w:sz="8" w:color="D1D2D4"/>
            </w:tcBorders>
          </w:tcPr>
          <w:p>
            <w:pPr>
              <w:spacing w:after="0"/>
              <w:rPr>
                <w:sz w:val="13"/>
                <w:szCs w:val="13"/>
                <w:color w:val="auto"/>
              </w:rPr>
            </w:pPr>
          </w:p>
        </w:tc>
        <w:tc>
          <w:tcPr>
            <w:tcW w:w="116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1,839</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D1D2D4"/>
            </w:tcBorders>
            <w:shd w:val="clear" w:color="auto" w:fill="D1D2D4"/>
          </w:tcPr>
          <w:p>
            <w:pPr>
              <w:spacing w:after="0"/>
              <w:rPr>
                <w:sz w:val="13"/>
                <w:szCs w:val="13"/>
                <w:color w:val="auto"/>
              </w:rPr>
            </w:pPr>
          </w:p>
        </w:tc>
        <w:tc>
          <w:tcPr>
            <w:tcW w:w="2160" w:type="dxa"/>
            <w:vAlign w:val="bottom"/>
            <w:tcBorders>
              <w:bottom w:val="single" w:sz="8" w:color="D1D2D4"/>
            </w:tcBorders>
            <w:shd w:val="clear" w:color="auto" w:fill="D1D2D4"/>
          </w:tcPr>
          <w:p>
            <w:pPr>
              <w:spacing w:after="0"/>
              <w:rPr>
                <w:sz w:val="13"/>
                <w:szCs w:val="13"/>
                <w:color w:val="auto"/>
              </w:rPr>
            </w:pPr>
          </w:p>
        </w:tc>
        <w:tc>
          <w:tcPr>
            <w:tcW w:w="1160" w:type="dxa"/>
            <w:vAlign w:val="bottom"/>
            <w:tcBorders>
              <w:bottom w:val="single" w:sz="8" w:color="D1D2D4"/>
            </w:tcBorders>
            <w:shd w:val="clear" w:color="auto" w:fill="D1D2D4"/>
          </w:tcPr>
          <w:p>
            <w:pPr>
              <w:spacing w:after="0"/>
              <w:rPr>
                <w:sz w:val="13"/>
                <w:szCs w:val="13"/>
                <w:color w:val="auto"/>
              </w:rPr>
            </w:pPr>
          </w:p>
        </w:tc>
        <w:tc>
          <w:tcPr>
            <w:tcW w:w="260" w:type="dxa"/>
            <w:vAlign w:val="bottom"/>
            <w:tcBorders>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63</w:t>
            </w:r>
          </w:p>
        </w:tc>
        <w:tc>
          <w:tcPr>
            <w:tcW w:w="400" w:type="dxa"/>
            <w:vAlign w:val="bottom"/>
            <w:tcBorders>
              <w:bottom w:val="single" w:sz="8" w:color="auto"/>
            </w:tcBorders>
            <w:shd w:val="clear" w:color="auto" w:fill="D1D2D4"/>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8" w:hanging="168"/>
        <w:spacing w:after="0"/>
        <w:tabs>
          <w:tab w:leader="none" w:pos="168"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Included in receivables and other noncurrent assets.</w:t>
      </w:r>
    </w:p>
    <w:p>
      <w:pPr>
        <w:ind w:left="168" w:hanging="168"/>
        <w:spacing w:after="0" w:line="191" w:lineRule="auto"/>
        <w:tabs>
          <w:tab w:leader="none" w:pos="168"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Included in accounts payable and accrued expenses and other noncurrent liabilities.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Derivative Instruments with Hedge Accounting Designation</w:t>
      </w:r>
    </w:p>
    <w:p>
      <w:pPr>
        <w:spacing w:after="0" w:line="169" w:lineRule="exact"/>
        <w:rPr>
          <w:sz w:val="20"/>
          <w:szCs w:val="20"/>
          <w:color w:val="auto"/>
        </w:rPr>
      </w:pPr>
    </w:p>
    <w:p>
      <w:pPr>
        <w:jc w:val="both"/>
        <w:ind w:left="8" w:right="120"/>
        <w:spacing w:after="0" w:line="268" w:lineRule="auto"/>
        <w:rPr>
          <w:sz w:val="20"/>
          <w:szCs w:val="20"/>
          <w:color w:val="auto"/>
        </w:rPr>
      </w:pPr>
      <w:r>
        <w:rPr>
          <w:rFonts w:ascii="Arial" w:cs="Arial" w:eastAsia="Arial" w:hAnsi="Arial"/>
          <w:sz w:val="12"/>
          <w:szCs w:val="12"/>
          <w:b w:val="1"/>
          <w:bCs w:val="1"/>
          <w:i w:val="1"/>
          <w:iCs w:val="1"/>
          <w:color w:val="auto"/>
        </w:rPr>
        <w:t>Cash Flow Hedges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utilize forward and swap contracts that generally mature within two years designated as cash flow hedges to minimize our exposure to changes in currency exchange rates or commodity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prices for certain capital expenditures and manufacturing costs. Forward and swap contracts are measured at fair value based on market-based observable inputs including market spot and forward rates, interest rates, and credit-risk spreads (Level 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effects of cash flow hedging activities were as follows:</w:t>
      </w:r>
    </w:p>
    <w:p>
      <w:pPr>
        <w:sectPr>
          <w:pgSz w:w="11900" w:h="16838" w:orient="portrait"/>
          <w:cols w:equalWidth="0" w:num="1">
            <w:col w:w="11308"/>
          </w:cols>
          <w:pgMar w:left="292" w:top="121" w:right="299" w:bottom="1440" w:gutter="0" w:footer="0" w:header="0"/>
        </w:sectPr>
      </w:pPr>
    </w:p>
    <w:p>
      <w:pPr>
        <w:spacing w:after="0" w:line="33" w:lineRule="exact"/>
        <w:rPr>
          <w:sz w:val="20"/>
          <w:szCs w:val="20"/>
          <w:color w:val="auto"/>
        </w:rPr>
      </w:pPr>
    </w:p>
    <w:tbl>
      <w:tblPr>
        <w:tblLayout w:type="fixed"/>
        <w:tblInd w:w="5508" w:type="dxa"/>
        <w:tblCellMar>
          <w:top w:w="0" w:type="dxa"/>
          <w:left w:w="0" w:type="dxa"/>
          <w:bottom w:w="0" w:type="dxa"/>
          <w:right w:w="0" w:type="dxa"/>
        </w:tblCellMar>
      </w:tblPr>
      <w:tr>
        <w:trPr>
          <w:trHeight w:val="157"/>
        </w:trPr>
        <w:tc>
          <w:tcPr>
            <w:tcW w:w="9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06"/>
        </w:trPr>
        <w:tc>
          <w:tcPr>
            <w:tcW w:w="980" w:type="dxa"/>
            <w:vAlign w:val="bottom"/>
          </w:tcPr>
          <w:p>
            <w:pPr>
              <w:jc w:val="center"/>
              <w:ind w:left="400"/>
              <w:spacing w:after="0" w:line="106"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06" w:lineRule="exact"/>
              <w:rPr>
                <w:sz w:val="20"/>
                <w:szCs w:val="20"/>
                <w:color w:val="auto"/>
              </w:rPr>
            </w:pPr>
            <w:r>
              <w:rPr>
                <w:rFonts w:ascii="Arial" w:cs="Arial" w:eastAsia="Arial" w:hAnsi="Arial"/>
                <w:sz w:val="12"/>
                <w:szCs w:val="12"/>
                <w:b w:val="1"/>
                <w:bCs w:val="1"/>
                <w:color w:val="auto"/>
              </w:rPr>
              <w:t>June 1,</w:t>
            </w:r>
          </w:p>
        </w:tc>
      </w:tr>
      <w:tr>
        <w:trPr>
          <w:trHeight w:val="165"/>
        </w:trPr>
        <w:tc>
          <w:tcPr>
            <w:tcW w:w="980" w:type="dxa"/>
            <w:vAlign w:val="bottom"/>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1880" w:type="dxa"/>
            <w:vAlign w:val="bottom"/>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53149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49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4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May 30,</w:t>
            </w:r>
          </w:p>
        </w:tc>
        <w:tc>
          <w:tcPr>
            <w:tcW w:w="142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June 1,</w:t>
            </w:r>
          </w:p>
        </w:tc>
      </w:tr>
      <w:tr>
        <w:trPr>
          <w:trHeight w:val="165"/>
        </w:trPr>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1420" w:type="dxa"/>
            <w:vAlign w:val="bottom"/>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81737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7370" cy="571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8368" w:space="80"/>
            <w:col w:w="2860"/>
          </w:cols>
          <w:pgMar w:left="292" w:top="121" w:right="299" w:bottom="144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5440" w:type="dxa"/>
            <w:vAlign w:val="bottom"/>
            <w:shd w:val="clear" w:color="auto" w:fill="D1D2D4"/>
          </w:tcPr>
          <w:p>
            <w:pPr>
              <w:spacing w:after="0"/>
              <w:rPr>
                <w:sz w:val="20"/>
                <w:szCs w:val="20"/>
                <w:color w:val="auto"/>
              </w:rPr>
            </w:pPr>
            <w:r>
              <w:rPr>
                <w:rFonts w:ascii="Arial" w:cs="Arial" w:eastAsia="Arial" w:hAnsi="Arial"/>
                <w:sz w:val="12"/>
                <w:szCs w:val="12"/>
                <w:color w:val="auto"/>
              </w:rPr>
              <w:t>Gain (loss) from cash flow hedges in accumulated other comprehensive income (loss)</w:t>
            </w:r>
          </w:p>
        </w:tc>
        <w:tc>
          <w:tcPr>
            <w:tcW w:w="700" w:type="dxa"/>
            <w:vAlign w:val="bottom"/>
            <w:shd w:val="clear" w:color="auto" w:fill="D1D2D4"/>
          </w:tcPr>
          <w:p>
            <w:pPr>
              <w:jc w:val="right"/>
              <w:ind w:right="500"/>
              <w:spacing w:after="0"/>
              <w:rPr>
                <w:sz w:val="20"/>
                <w:szCs w:val="20"/>
                <w:color w:val="auto"/>
              </w:rPr>
            </w:pPr>
            <w:r>
              <w:rPr>
                <w:rFonts w:ascii="Arial" w:cs="Arial" w:eastAsia="Arial" w:hAnsi="Arial"/>
                <w:sz w:val="12"/>
                <w:szCs w:val="12"/>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(99)</w:t>
            </w:r>
          </w:p>
        </w:tc>
        <w:tc>
          <w:tcPr>
            <w:tcW w:w="660" w:type="dxa"/>
            <w:vAlign w:val="bottom"/>
            <w:shd w:val="clear" w:color="auto" w:fill="D1D2D4"/>
          </w:tcPr>
          <w:p>
            <w:pPr>
              <w:jc w:val="right"/>
              <w:ind w:right="5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w:t>
            </w:r>
          </w:p>
        </w:tc>
        <w:tc>
          <w:tcPr>
            <w:tcW w:w="640" w:type="dxa"/>
            <w:vAlign w:val="bottom"/>
            <w:shd w:val="clear" w:color="auto" w:fill="D1D2D4"/>
          </w:tcPr>
          <w:p>
            <w:pPr>
              <w:jc w:val="right"/>
              <w:ind w:right="460"/>
              <w:spacing w:after="0"/>
              <w:rPr>
                <w:sz w:val="20"/>
                <w:szCs w:val="20"/>
                <w:color w:val="auto"/>
              </w:rPr>
            </w:pPr>
            <w:r>
              <w:rPr>
                <w:rFonts w:ascii="Arial" w:cs="Arial" w:eastAsia="Arial" w:hAnsi="Arial"/>
                <w:sz w:val="12"/>
                <w:szCs w:val="12"/>
                <w:color w:val="auto"/>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(142)</w:t>
            </w:r>
          </w:p>
        </w:tc>
        <w:tc>
          <w:tcPr>
            <w:tcW w:w="620" w:type="dxa"/>
            <w:vAlign w:val="bottom"/>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Arial" w:cs="Arial" w:eastAsia="Arial" w:hAnsi="Arial"/>
                <w:sz w:val="12"/>
                <w:szCs w:val="12"/>
                <w:color w:val="auto"/>
              </w:rPr>
              <w:t>Gain (loss) excluded from effectiveness testing in cost of goods sold</w:t>
            </w:r>
          </w:p>
        </w:tc>
        <w:tc>
          <w:tcPr>
            <w:tcW w:w="7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(35)</w:t>
            </w:r>
          </w:p>
        </w:tc>
        <w:tc>
          <w:tcPr>
            <w:tcW w:w="6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w:t>
            </w:r>
          </w:p>
        </w:tc>
        <w:tc>
          <w:tcPr>
            <w:tcW w:w="6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w:t>
            </w:r>
          </w:p>
        </w:tc>
        <w:tc>
          <w:tcPr>
            <w:tcW w:w="6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17"/>
        </w:trPr>
        <w:tc>
          <w:tcPr>
            <w:tcW w:w="5440" w:type="dxa"/>
            <w:vAlign w:val="bottom"/>
            <w:shd w:val="clear" w:color="auto" w:fill="D1D2D4"/>
          </w:tcPr>
          <w:p>
            <w:pPr>
              <w:spacing w:after="0" w:line="117" w:lineRule="exact"/>
              <w:rPr>
                <w:sz w:val="20"/>
                <w:szCs w:val="20"/>
                <w:color w:val="auto"/>
              </w:rPr>
            </w:pPr>
            <w:r>
              <w:rPr>
                <w:rFonts w:ascii="Arial" w:cs="Arial" w:eastAsia="Arial" w:hAnsi="Arial"/>
                <w:sz w:val="12"/>
                <w:szCs w:val="12"/>
                <w:color w:val="auto"/>
              </w:rPr>
              <w:t>Gain (loss) reclassified from accumulated other comprehensive income (loss) to earnings, primarily to</w:t>
            </w:r>
          </w:p>
        </w:tc>
        <w:tc>
          <w:tcPr>
            <w:tcW w:w="700" w:type="dxa"/>
            <w:vAlign w:val="bottom"/>
            <w:shd w:val="clear" w:color="auto" w:fill="D1D2D4"/>
          </w:tcPr>
          <w:p>
            <w:pPr>
              <w:spacing w:after="0"/>
              <w:rPr>
                <w:sz w:val="10"/>
                <w:szCs w:val="10"/>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2"/>
                <w:szCs w:val="12"/>
                <w:color w:val="auto"/>
              </w:rPr>
              <w:t>(39)</w:t>
            </w:r>
          </w:p>
        </w:tc>
        <w:tc>
          <w:tcPr>
            <w:tcW w:w="660" w:type="dxa"/>
            <w:vAlign w:val="bottom"/>
            <w:shd w:val="clear" w:color="auto" w:fill="D1D2D4"/>
          </w:tcPr>
          <w:p>
            <w:pPr>
              <w:spacing w:after="0"/>
              <w:rPr>
                <w:sz w:val="10"/>
                <w:szCs w:val="10"/>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2"/>
                <w:szCs w:val="12"/>
                <w:color w:val="auto"/>
              </w:rPr>
              <w:t>(77)</w:t>
            </w:r>
          </w:p>
        </w:tc>
        <w:tc>
          <w:tcPr>
            <w:tcW w:w="640" w:type="dxa"/>
            <w:vAlign w:val="bottom"/>
            <w:shd w:val="clear" w:color="auto" w:fill="D1D2D4"/>
          </w:tcPr>
          <w:p>
            <w:pPr>
              <w:spacing w:after="0"/>
              <w:rPr>
                <w:sz w:val="10"/>
                <w:szCs w:val="10"/>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2"/>
                <w:szCs w:val="12"/>
                <w:color w:val="auto"/>
              </w:rPr>
              <w:t>(139)</w:t>
            </w:r>
          </w:p>
        </w:tc>
        <w:tc>
          <w:tcPr>
            <w:tcW w:w="620" w:type="dxa"/>
            <w:vAlign w:val="bottom"/>
            <w:shd w:val="clear" w:color="auto" w:fill="D1D2D4"/>
          </w:tcPr>
          <w:p>
            <w:pPr>
              <w:spacing w:after="0"/>
              <w:rPr>
                <w:sz w:val="10"/>
                <w:szCs w:val="10"/>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62"/>
        </w:trPr>
        <w:tc>
          <w:tcPr>
            <w:tcW w:w="5440" w:type="dxa"/>
            <w:vAlign w:val="bottom"/>
            <w:shd w:val="clear" w:color="auto" w:fill="D1D2D4"/>
          </w:tcPr>
          <w:p>
            <w:pPr>
              <w:spacing w:after="0"/>
              <w:rPr>
                <w:sz w:val="20"/>
                <w:szCs w:val="20"/>
                <w:color w:val="auto"/>
              </w:rPr>
            </w:pPr>
            <w:r>
              <w:rPr>
                <w:rFonts w:ascii="Arial" w:cs="Arial" w:eastAsia="Arial" w:hAnsi="Arial"/>
                <w:sz w:val="12"/>
                <w:szCs w:val="12"/>
                <w:color w:val="auto"/>
              </w:rPr>
              <w:t>cost of goods sold</w:t>
            </w:r>
          </w:p>
        </w:tc>
        <w:tc>
          <w:tcPr>
            <w:tcW w:w="700" w:type="dxa"/>
            <w:vAlign w:val="bottom"/>
            <w:shd w:val="clear" w:color="auto" w:fill="D1D2D4"/>
          </w:tcPr>
          <w:p>
            <w:pPr>
              <w:spacing w:after="0"/>
              <w:rPr>
                <w:sz w:val="14"/>
                <w:szCs w:val="14"/>
                <w:color w:val="auto"/>
              </w:rPr>
            </w:pPr>
          </w:p>
        </w:tc>
        <w:tc>
          <w:tcPr>
            <w:tcW w:w="780" w:type="dxa"/>
            <w:vAlign w:val="bottom"/>
            <w:vMerge w:val="continue"/>
            <w:shd w:val="clear" w:color="auto" w:fill="D1D2D4"/>
          </w:tcPr>
          <w:p>
            <w:pPr>
              <w:spacing w:after="0"/>
              <w:rPr>
                <w:sz w:val="14"/>
                <w:szCs w:val="14"/>
                <w:color w:val="auto"/>
              </w:rPr>
            </w:pPr>
          </w:p>
        </w:tc>
        <w:tc>
          <w:tcPr>
            <w:tcW w:w="660" w:type="dxa"/>
            <w:vAlign w:val="bottom"/>
            <w:shd w:val="clear" w:color="auto" w:fill="D1D2D4"/>
          </w:tcPr>
          <w:p>
            <w:pPr>
              <w:spacing w:after="0"/>
              <w:rPr>
                <w:sz w:val="14"/>
                <w:szCs w:val="14"/>
                <w:color w:val="auto"/>
              </w:rPr>
            </w:pPr>
          </w:p>
        </w:tc>
        <w:tc>
          <w:tcPr>
            <w:tcW w:w="820" w:type="dxa"/>
            <w:vAlign w:val="bottom"/>
            <w:vMerge w:val="continue"/>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820" w:type="dxa"/>
            <w:vAlign w:val="bottom"/>
            <w:vMerge w:val="continue"/>
            <w:shd w:val="clear" w:color="auto" w:fill="D1D2D4"/>
          </w:tcPr>
          <w:p>
            <w:pPr>
              <w:spacing w:after="0"/>
              <w:rPr>
                <w:sz w:val="14"/>
                <w:szCs w:val="14"/>
                <w:color w:val="auto"/>
              </w:rPr>
            </w:pPr>
          </w:p>
        </w:tc>
        <w:tc>
          <w:tcPr>
            <w:tcW w:w="620" w:type="dxa"/>
            <w:vAlign w:val="bottom"/>
            <w:shd w:val="clear" w:color="auto" w:fill="D1D2D4"/>
          </w:tcPr>
          <w:p>
            <w:pPr>
              <w:spacing w:after="0"/>
              <w:rPr>
                <w:sz w:val="14"/>
                <w:szCs w:val="14"/>
                <w:color w:val="auto"/>
              </w:rPr>
            </w:pPr>
          </w:p>
        </w:tc>
        <w:tc>
          <w:tcPr>
            <w:tcW w:w="820" w:type="dxa"/>
            <w:vAlign w:val="bottom"/>
            <w:vMerge w:val="continue"/>
            <w:shd w:val="clear" w:color="auto" w:fill="D1D2D4"/>
          </w:tcPr>
          <w:p>
            <w:pPr>
              <w:spacing w:after="0"/>
              <w:rPr>
                <w:sz w:val="14"/>
                <w:szCs w:val="1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May 30, 2024, we expect to reclassify $168 million of pre-tax losses related to cash flow hedges from accumulated other comprehensive income (loss) into earnings in the next 12 months.</w:t>
      </w:r>
    </w:p>
    <w:p>
      <w:pPr>
        <w:spacing w:after="0" w:line="200" w:lineRule="exact"/>
        <w:rPr>
          <w:sz w:val="20"/>
          <w:szCs w:val="20"/>
          <w:color w:val="auto"/>
        </w:rPr>
      </w:pPr>
    </w:p>
    <w:p>
      <w:pPr>
        <w:spacing w:after="0" w:line="37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21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b w:val="1"/>
          <w:bCs w:val="1"/>
          <w:i w:val="1"/>
          <w:iCs w:val="1"/>
          <w:color w:val="auto"/>
        </w:rPr>
        <w:t>Fair Value Hedges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utilize fixed-to-floating interest rate swaps designated as fair value hedges to minimize certain exposures to changes in the fair value of fixed-rate debt that result from fluctuations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Instruments without Hedge Accounting Designation</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b w:val="1"/>
          <w:bCs w:val="1"/>
          <w:i w:val="1"/>
          <w:iCs w:val="1"/>
          <w:color w:val="auto"/>
        </w:rPr>
        <w:t>Currency Derivatives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generally utilize a rolling hedge strategy with currency forward contracts that mature within three months to hedge our exposures of monetary assets and liabilities from changes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Equity Plans</w:t>
      </w:r>
    </w:p>
    <w:p>
      <w:pPr>
        <w:spacing w:after="0" w:line="178"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color w:val="auto"/>
        </w:rPr>
        <w:t>As of May 30, 2024, 72 million shares of our common stock were available for future awards under our equity plans, including 12 million shares approved for issuance under our employee stock purchase plan (“ESPP”).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and Restricted Stock Units (“Restricted Stock Awards”)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80" w:type="dxa"/>
            <w:vAlign w:val="bottom"/>
          </w:tcPr>
          <w:p>
            <w:pPr>
              <w:spacing w:after="0"/>
              <w:rPr>
                <w:sz w:val="20"/>
                <w:szCs w:val="20"/>
                <w:color w:val="auto"/>
              </w:rPr>
            </w:pPr>
            <w:r>
              <w:rPr>
                <w:rFonts w:ascii="Arial" w:cs="Arial" w:eastAsia="Arial" w:hAnsi="Arial"/>
                <w:sz w:val="12"/>
                <w:szCs w:val="12"/>
                <w:color w:val="auto"/>
              </w:rPr>
              <w:t>Restricted Stock Awards activity is summarized as follows:</w:t>
            </w:r>
          </w:p>
        </w:tc>
        <w:tc>
          <w:tcPr>
            <w:tcW w:w="3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780" w:type="dxa"/>
            <w:vAlign w:val="bottom"/>
            <w:vMerge w:val="restart"/>
          </w:tcPr>
          <w:p>
            <w:pPr>
              <w:spacing w:after="0"/>
              <w:rPr>
                <w:sz w:val="20"/>
                <w:szCs w:val="20"/>
                <w:color w:val="auto"/>
              </w:rPr>
            </w:pPr>
            <w:r>
              <w:rPr>
                <w:rFonts w:ascii="Arial" w:cs="Arial" w:eastAsia="Arial" w:hAnsi="Arial"/>
                <w:sz w:val="12"/>
                <w:szCs w:val="12"/>
                <w:b w:val="1"/>
                <w:bCs w:val="1"/>
                <w:color w:val="auto"/>
              </w:rPr>
              <w:t>Nine months ended</w:t>
            </w:r>
          </w:p>
        </w:tc>
        <w:tc>
          <w:tcPr>
            <w:tcW w:w="3660" w:type="dxa"/>
            <w:vAlign w:val="bottom"/>
          </w:tcPr>
          <w:p>
            <w:pPr>
              <w:jc w:val="center"/>
              <w:ind w:left="3020"/>
              <w:spacing w:after="0" w:line="133" w:lineRule="exact"/>
              <w:rPr>
                <w:sz w:val="20"/>
                <w:szCs w:val="20"/>
                <w:color w:val="auto"/>
              </w:rPr>
            </w:pPr>
            <w:r>
              <w:rPr>
                <w:rFonts w:ascii="Arial" w:cs="Arial" w:eastAsia="Arial" w:hAnsi="Arial"/>
                <w:sz w:val="12"/>
                <w:szCs w:val="12"/>
                <w:b w:val="1"/>
                <w:bCs w:val="1"/>
                <w:color w:val="auto"/>
                <w:w w:val="96"/>
              </w:rPr>
              <w:t>May 30,</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ind w:right="240"/>
              <w:spacing w:after="0" w:line="133" w:lineRule="exact"/>
              <w:rPr>
                <w:sz w:val="20"/>
                <w:szCs w:val="20"/>
                <w:color w:val="auto"/>
              </w:rPr>
            </w:pPr>
            <w:r>
              <w:rPr>
                <w:rFonts w:ascii="Arial" w:cs="Arial" w:eastAsia="Arial" w:hAnsi="Arial"/>
                <w:sz w:val="12"/>
                <w:szCs w:val="12"/>
                <w:b w:val="1"/>
                <w:bCs w:val="1"/>
                <w:color w:val="auto"/>
                <w:w w:val="96"/>
              </w:rPr>
              <w:t>June 1,</w:t>
            </w:r>
          </w:p>
        </w:tc>
        <w:tc>
          <w:tcPr>
            <w:tcW w:w="0" w:type="dxa"/>
            <w:vAlign w:val="bottom"/>
          </w:tcPr>
          <w:p>
            <w:pPr>
              <w:spacing w:after="0"/>
              <w:rPr>
                <w:sz w:val="1"/>
                <w:szCs w:val="1"/>
                <w:color w:val="auto"/>
              </w:rPr>
            </w:pPr>
          </w:p>
        </w:tc>
      </w:tr>
      <w:tr>
        <w:trPr>
          <w:trHeight w:val="170"/>
        </w:trPr>
        <w:tc>
          <w:tcPr>
            <w:tcW w:w="5780" w:type="dxa"/>
            <w:vAlign w:val="bottom"/>
            <w:tcBorders>
              <w:bottom w:val="single" w:sz="8" w:color="auto"/>
            </w:tcBorders>
            <w:vMerge w:val="continue"/>
          </w:tcPr>
          <w:p>
            <w:pPr>
              <w:spacing w:after="0"/>
              <w:rPr>
                <w:sz w:val="14"/>
                <w:szCs w:val="14"/>
                <w:color w:val="auto"/>
              </w:rPr>
            </w:pPr>
          </w:p>
        </w:tc>
        <w:tc>
          <w:tcPr>
            <w:tcW w:w="3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2024</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5780" w:type="dxa"/>
            <w:vAlign w:val="bottom"/>
            <w:shd w:val="clear" w:color="auto" w:fill="D1D2D4"/>
          </w:tcPr>
          <w:p>
            <w:pPr>
              <w:spacing w:after="0"/>
              <w:rPr>
                <w:sz w:val="20"/>
                <w:szCs w:val="20"/>
                <w:color w:val="auto"/>
              </w:rPr>
            </w:pPr>
            <w:r>
              <w:rPr>
                <w:rFonts w:ascii="Arial" w:cs="Arial" w:eastAsia="Arial" w:hAnsi="Arial"/>
                <w:sz w:val="12"/>
                <w:szCs w:val="12"/>
                <w:color w:val="auto"/>
              </w:rPr>
              <w:t>Restricted stock award shares granted</w:t>
            </w:r>
          </w:p>
        </w:tc>
        <w:tc>
          <w:tcPr>
            <w:tcW w:w="3660" w:type="dxa"/>
            <w:vAlign w:val="bottom"/>
            <w:shd w:val="clear" w:color="auto" w:fill="D1D2D4"/>
          </w:tcPr>
          <w:p>
            <w:pPr>
              <w:spacing w:after="0"/>
              <w:rPr>
                <w:sz w:val="14"/>
                <w:szCs w:val="14"/>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w:t>
            </w:r>
          </w:p>
        </w:tc>
        <w:tc>
          <w:tcPr>
            <w:tcW w:w="300" w:type="dxa"/>
            <w:vAlign w:val="bottom"/>
            <w:shd w:val="clear" w:color="auto" w:fill="D1D2D4"/>
          </w:tcPr>
          <w:p>
            <w:pPr>
              <w:spacing w:after="0"/>
              <w:rPr>
                <w:sz w:val="14"/>
                <w:szCs w:val="14"/>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20"/>
                <w:szCs w:val="20"/>
                <w:color w:val="auto"/>
              </w:rPr>
            </w:pPr>
            <w:r>
              <w:rPr>
                <w:rFonts w:ascii="Arial" w:cs="Arial" w:eastAsia="Arial" w:hAnsi="Arial"/>
                <w:sz w:val="12"/>
                <w:szCs w:val="12"/>
                <w:color w:val="auto"/>
              </w:rPr>
              <w:t>Weighted-average grant-date fair value per share</w:t>
            </w:r>
          </w:p>
        </w:tc>
        <w:tc>
          <w:tcPr>
            <w:tcW w:w="3660" w:type="dxa"/>
            <w:vAlign w:val="bottom"/>
          </w:tcPr>
          <w:p>
            <w:pPr>
              <w:jc w:val="right"/>
              <w:ind w:right="8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69.02</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54.13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Stock Purchase Plan (“ESPP”)</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For each six-month ESPP offering period that ended in the second quarter of 2024 and 2023, employees purchased 2 million and 3 million shares, respectively, at a share price of $60.68 and $52.45, respectively.</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169"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Stock-based compensation expense recognized in our statements of operations is presented below. Stock-based compensation expense of $100 million and $88 million was capitalized and remained in inventory as of May 30, 2024 and August 31, 2023, respectively.</w:t>
      </w:r>
    </w:p>
    <w:p>
      <w:pPr>
        <w:sectPr>
          <w:pgSz w:w="11900" w:h="16838" w:orient="portrait"/>
          <w:cols w:equalWidth="0" w:num="1">
            <w:col w:w="11300"/>
          </w:cols>
          <w:pgMar w:left="300" w:top="131" w:right="299" w:bottom="1440" w:gutter="0" w:footer="0" w:header="0"/>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500" w:type="dxa"/>
            <w:vAlign w:val="bottom"/>
          </w:tcPr>
          <w:p>
            <w:pPr>
              <w:spacing w:after="0"/>
              <w:rPr>
                <w:sz w:val="9"/>
                <w:szCs w:val="9"/>
                <w:color w:val="auto"/>
              </w:rPr>
            </w:pPr>
          </w:p>
        </w:tc>
        <w:tc>
          <w:tcPr>
            <w:tcW w:w="9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6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1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4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May 30,</w:t>
            </w:r>
          </w:p>
        </w:tc>
        <w:tc>
          <w:tcPr>
            <w:tcW w:w="14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June 1,</w:t>
            </w:r>
          </w:p>
        </w:tc>
      </w:tr>
      <w:tr>
        <w:trPr>
          <w:trHeight w:val="157"/>
        </w:trPr>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7" w:lineRule="exact"/>
        <w:rPr>
          <w:sz w:val="20"/>
          <w:szCs w:val="20"/>
          <w:color w:val="auto"/>
        </w:rPr>
      </w:pPr>
    </w:p>
    <w:p>
      <w:pPr>
        <w:sectPr>
          <w:pgSz w:w="11900" w:h="16838" w:orient="portrait"/>
          <w:cols w:equalWidth="0" w:num="2">
            <w:col w:w="8360" w:space="80"/>
            <w:col w:w="286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Stock-based compensation expense by caption</w:t>
            </w:r>
          </w:p>
        </w:tc>
        <w:tc>
          <w:tcPr>
            <w:tcW w:w="62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780" w:type="dxa"/>
            <w:vAlign w:val="bottom"/>
            <w:shd w:val="clear" w:color="auto" w:fill="D1D2D4"/>
          </w:tcPr>
          <w:p>
            <w:pPr>
              <w:spacing w:after="0"/>
              <w:rPr>
                <w:sz w:val="13"/>
                <w:szCs w:val="13"/>
                <w:color w:val="auto"/>
              </w:rPr>
            </w:pPr>
          </w:p>
        </w:tc>
        <w:tc>
          <w:tcPr>
            <w:tcW w:w="66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Cost of goods sold</w:t>
            </w: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80</w:t>
            </w:r>
          </w:p>
        </w:tc>
        <w:tc>
          <w:tcPr>
            <w:tcW w:w="640" w:type="dxa"/>
            <w:vAlign w:val="bottom"/>
          </w:tcPr>
          <w:p>
            <w:pPr>
              <w:jc w:val="right"/>
              <w:ind w:right="5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3"/>
                <w:szCs w:val="13"/>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227</w:t>
            </w:r>
          </w:p>
        </w:tc>
        <w:tc>
          <w:tcPr>
            <w:tcW w:w="66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Research and development</w:t>
            </w:r>
          </w:p>
        </w:tc>
        <w:tc>
          <w:tcPr>
            <w:tcW w:w="62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77</w:t>
            </w:r>
          </w:p>
        </w:tc>
        <w:tc>
          <w:tcPr>
            <w:tcW w:w="6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222</w:t>
            </w:r>
          </w:p>
        </w:tc>
        <w:tc>
          <w:tcPr>
            <w:tcW w:w="66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169</w:t>
            </w:r>
          </w:p>
        </w:tc>
      </w:tr>
      <w:tr>
        <w:trPr>
          <w:trHeight w:val="153"/>
        </w:trPr>
        <w:tc>
          <w:tcPr>
            <w:tcW w:w="550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6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w:t>
            </w:r>
          </w:p>
        </w:tc>
        <w:tc>
          <w:tcPr>
            <w:tcW w:w="6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159</w:t>
            </w:r>
          </w:p>
        </w:tc>
        <w:tc>
          <w:tcPr>
            <w:tcW w:w="6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Restructure</w:t>
            </w:r>
          </w:p>
        </w:tc>
        <w:tc>
          <w:tcPr>
            <w:tcW w:w="62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spacing w:after="0"/>
              <w:rPr>
                <w:sz w:val="13"/>
                <w:szCs w:val="13"/>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D1D2D4"/>
          </w:tcPr>
          <w:p>
            <w:pPr>
              <w:spacing w:after="0"/>
              <w:rPr>
                <w:sz w:val="13"/>
                <w:szCs w:val="13"/>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w:t>
            </w:r>
          </w:p>
        </w:tc>
      </w:tr>
      <w:tr>
        <w:trPr>
          <w:trHeight w:val="158"/>
        </w:trPr>
        <w:tc>
          <w:tcPr>
            <w:tcW w:w="5500" w:type="dxa"/>
            <w:vAlign w:val="bottom"/>
            <w:tcBorders>
              <w:bottom w:val="single" w:sz="8" w:color="D1D2D4"/>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w:t>
            </w: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80" w:type="dxa"/>
            <w:vAlign w:val="bottom"/>
            <w:tcBorders>
              <w:bottom w:val="single" w:sz="8" w:color="D1D2D4"/>
            </w:tcBorders>
          </w:tcPr>
          <w:p>
            <w:pPr>
              <w:spacing w:after="0"/>
              <w:rPr>
                <w:sz w:val="13"/>
                <w:szCs w:val="13"/>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608</w:t>
            </w:r>
          </w:p>
        </w:tc>
        <w:tc>
          <w:tcPr>
            <w:tcW w:w="6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w:t>
            </w:r>
          </w:p>
        </w:tc>
      </w:tr>
      <w:tr>
        <w:trPr>
          <w:trHeight w:val="153"/>
        </w:trPr>
        <w:tc>
          <w:tcPr>
            <w:tcW w:w="550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c>
          <w:tcPr>
            <w:tcW w:w="64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620" w:type="dxa"/>
            <w:vAlign w:val="bottom"/>
            <w:shd w:val="clear" w:color="auto" w:fill="D1D2D4"/>
          </w:tcPr>
          <w:p>
            <w:pPr>
              <w:spacing w:after="0"/>
              <w:rPr>
                <w:sz w:val="13"/>
                <w:szCs w:val="13"/>
                <w:color w:val="auto"/>
              </w:rPr>
            </w:pPr>
          </w:p>
        </w:tc>
        <w:tc>
          <w:tcPr>
            <w:tcW w:w="780" w:type="dxa"/>
            <w:vAlign w:val="bottom"/>
            <w:shd w:val="clear" w:color="auto" w:fill="D1D2D4"/>
          </w:tcPr>
          <w:p>
            <w:pPr>
              <w:spacing w:after="0"/>
              <w:rPr>
                <w:sz w:val="13"/>
                <w:szCs w:val="13"/>
                <w:color w:val="auto"/>
              </w:rPr>
            </w:pPr>
          </w:p>
        </w:tc>
        <w:tc>
          <w:tcPr>
            <w:tcW w:w="660" w:type="dxa"/>
            <w:vAlign w:val="bottom"/>
            <w:shd w:val="clear" w:color="auto" w:fill="D1D2D4"/>
          </w:tcPr>
          <w:p>
            <w:pPr>
              <w:spacing w:after="0"/>
              <w:rPr>
                <w:sz w:val="13"/>
                <w:szCs w:val="13"/>
                <w:color w:val="auto"/>
              </w:rPr>
            </w:pPr>
          </w:p>
        </w:tc>
        <w:tc>
          <w:tcPr>
            <w:tcW w:w="800" w:type="dxa"/>
            <w:vAlign w:val="bottom"/>
            <w:shd w:val="clear" w:color="auto" w:fill="D1D2D4"/>
          </w:tcPr>
          <w:p>
            <w:pPr>
              <w:spacing w:after="0"/>
              <w:rPr>
                <w:sz w:val="13"/>
                <w:szCs w:val="13"/>
                <w:color w:val="auto"/>
              </w:rPr>
            </w:pP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Stock-based compensation expense by type of award</w:t>
            </w: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550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Restricted stock awards</w:t>
            </w:r>
          </w:p>
        </w:tc>
        <w:tc>
          <w:tcPr>
            <w:tcW w:w="620" w:type="dxa"/>
            <w:vAlign w:val="bottom"/>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201</w:t>
            </w:r>
          </w:p>
        </w:tc>
        <w:tc>
          <w:tcPr>
            <w:tcW w:w="640" w:type="dxa"/>
            <w:vAlign w:val="bottom"/>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129</w:t>
            </w:r>
          </w:p>
        </w:tc>
        <w:tc>
          <w:tcPr>
            <w:tcW w:w="80" w:type="dxa"/>
            <w:vAlign w:val="bottom"/>
            <w:shd w:val="clear" w:color="auto" w:fill="D1D2D4"/>
          </w:tcPr>
          <w:p>
            <w:pPr>
              <w:spacing w:after="0"/>
              <w:rPr>
                <w:sz w:val="13"/>
                <w:szCs w:val="13"/>
                <w:color w:val="auto"/>
              </w:rPr>
            </w:pPr>
          </w:p>
        </w:tc>
        <w:tc>
          <w:tcPr>
            <w:tcW w:w="620" w:type="dxa"/>
            <w:vAlign w:val="bottom"/>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555</w:t>
            </w:r>
          </w:p>
        </w:tc>
        <w:tc>
          <w:tcPr>
            <w:tcW w:w="660" w:type="dxa"/>
            <w:vAlign w:val="bottom"/>
            <w:shd w:val="clear" w:color="auto" w:fill="D1D2D4"/>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354</w:t>
            </w:r>
          </w:p>
        </w:tc>
      </w:tr>
      <w:tr>
        <w:trPr>
          <w:trHeight w:val="153"/>
        </w:trPr>
        <w:tc>
          <w:tcPr>
            <w:tcW w:w="550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ESPP</w:t>
            </w:r>
          </w:p>
        </w:tc>
        <w:tc>
          <w:tcPr>
            <w:tcW w:w="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6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D1D2D4"/>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6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r>
      <w:tr>
        <w:trPr>
          <w:trHeight w:val="158"/>
        </w:trPr>
        <w:tc>
          <w:tcPr>
            <w:tcW w:w="5500" w:type="dxa"/>
            <w:vAlign w:val="bottom"/>
            <w:tcBorders>
              <w:bottom w:val="single" w:sz="8" w:color="D1D2D4"/>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217</w:t>
            </w:r>
          </w:p>
        </w:tc>
        <w:tc>
          <w:tcPr>
            <w:tcW w:w="640" w:type="dxa"/>
            <w:vAlign w:val="bottom"/>
            <w:tcBorders>
              <w:bottom w:val="single" w:sz="8" w:color="auto"/>
            </w:tcBorders>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148</w:t>
            </w:r>
          </w:p>
        </w:tc>
        <w:tc>
          <w:tcPr>
            <w:tcW w:w="80" w:type="dxa"/>
            <w:vAlign w:val="bottom"/>
            <w:tcBorders>
              <w:bottom w:val="single" w:sz="8" w:color="D1D2D4"/>
            </w:tcBorders>
            <w:shd w:val="clear" w:color="auto" w:fill="D1D2D4"/>
          </w:tcPr>
          <w:p>
            <w:pPr>
              <w:spacing w:after="0"/>
              <w:rPr>
                <w:sz w:val="13"/>
                <w:szCs w:val="13"/>
                <w:color w:val="auto"/>
              </w:rPr>
            </w:pPr>
          </w:p>
        </w:tc>
        <w:tc>
          <w:tcPr>
            <w:tcW w:w="620" w:type="dxa"/>
            <w:vAlign w:val="bottom"/>
            <w:tcBorders>
              <w:bottom w:val="single" w:sz="8" w:color="auto"/>
            </w:tcBorders>
            <w:shd w:val="clear" w:color="auto" w:fill="D1D2D4"/>
          </w:tcPr>
          <w:p>
            <w:pPr>
              <w:jc w:val="right"/>
              <w:ind w:right="48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608</w:t>
            </w:r>
          </w:p>
        </w:tc>
        <w:tc>
          <w:tcPr>
            <w:tcW w:w="660" w:type="dxa"/>
            <w:vAlign w:val="bottom"/>
            <w:tcBorders>
              <w:bottom w:val="single" w:sz="8" w:color="auto"/>
            </w:tcBorders>
            <w:shd w:val="clear" w:color="auto" w:fill="D1D2D4"/>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407</w:t>
            </w:r>
          </w:p>
        </w:tc>
      </w:tr>
    </w:tbl>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As of May 30, 2024, $1.51 billion of total unrecognized compensation costs for unvested awards, before the effect of any future forfeitures, was expected to be recognized through the third quarter of 2028, resulting in a weighted-average period of 1.3 years.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23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Revenue and Customer Contract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by Technology</w:t>
      </w:r>
    </w:p>
    <w:p>
      <w:pPr>
        <w:sectPr>
          <w:pgSz w:w="11900" w:h="16838" w:orient="portrait"/>
          <w:cols w:equalWidth="0" w:num="1">
            <w:col w:w="11300"/>
          </w:cols>
          <w:pgMar w:left="300" w:top="131" w:right="29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480" w:type="dxa"/>
            <w:vAlign w:val="bottom"/>
          </w:tcPr>
          <w:p>
            <w:pPr>
              <w:spacing w:after="0"/>
              <w:rPr>
                <w:sz w:val="9"/>
                <w:szCs w:val="9"/>
                <w:color w:val="auto"/>
              </w:rPr>
            </w:pPr>
          </w:p>
        </w:tc>
        <w:tc>
          <w:tcPr>
            <w:tcW w:w="9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6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1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4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May 30,</w:t>
            </w:r>
          </w:p>
        </w:tc>
        <w:tc>
          <w:tcPr>
            <w:tcW w:w="14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r>
    </w:tbl>
    <w:p>
      <w:pPr>
        <w:spacing w:after="0" w:line="27" w:lineRule="exact"/>
        <w:rPr>
          <w:sz w:val="20"/>
          <w:szCs w:val="20"/>
          <w:color w:val="auto"/>
        </w:rPr>
      </w:pPr>
    </w:p>
    <w:p>
      <w:pPr>
        <w:sectPr>
          <w:pgSz w:w="11900" w:h="16838" w:orient="portrait"/>
          <w:cols w:equalWidth="0" w:num="2">
            <w:col w:w="8340" w:space="80"/>
            <w:col w:w="288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DRAM</w:t>
            </w:r>
          </w:p>
        </w:tc>
        <w:tc>
          <w:tcPr>
            <w:tcW w:w="58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4,692</w:t>
            </w:r>
          </w:p>
        </w:tc>
        <w:tc>
          <w:tcPr>
            <w:tcW w:w="60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2,672</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12,277</w:t>
            </w:r>
          </w:p>
        </w:tc>
        <w:tc>
          <w:tcPr>
            <w:tcW w:w="580" w:type="dxa"/>
            <w:vAlign w:val="bottom"/>
            <w:shd w:val="clear" w:color="auto" w:fill="D1D2D4"/>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8,223</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NAND</w:t>
            </w: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2,065</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4,862</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3,001</w:t>
            </w: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Other (primarily NOR)</w:t>
            </w:r>
          </w:p>
        </w:tc>
        <w:tc>
          <w:tcPr>
            <w:tcW w:w="580" w:type="dxa"/>
            <w:vAlign w:val="bottom"/>
            <w:tcBorders>
              <w:bottom w:val="single" w:sz="8" w:color="auto"/>
            </w:tcBorders>
            <w:shd w:val="clear" w:color="auto" w:fill="D1D2D4"/>
          </w:tcPr>
          <w:p>
            <w:pPr>
              <w:spacing w:after="0"/>
              <w:rPr>
                <w:sz w:val="13"/>
                <w:szCs w:val="13"/>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54</w:t>
            </w:r>
          </w:p>
        </w:tc>
        <w:tc>
          <w:tcPr>
            <w:tcW w:w="600" w:type="dxa"/>
            <w:vAlign w:val="bottom"/>
            <w:tcBorders>
              <w:bottom w:val="single" w:sz="8" w:color="auto"/>
            </w:tcBorders>
            <w:shd w:val="clear" w:color="auto" w:fill="D1D2D4"/>
          </w:tcPr>
          <w:p>
            <w:pPr>
              <w:spacing w:after="0"/>
              <w:rPr>
                <w:sz w:val="13"/>
                <w:szCs w:val="13"/>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67</w:t>
            </w:r>
          </w:p>
        </w:tc>
        <w:tc>
          <w:tcPr>
            <w:tcW w:w="80" w:type="dxa"/>
            <w:vAlign w:val="bottom"/>
            <w:shd w:val="clear" w:color="auto" w:fill="D1D2D4"/>
          </w:tcPr>
          <w:p>
            <w:pPr>
              <w:spacing w:after="0"/>
              <w:rPr>
                <w:sz w:val="13"/>
                <w:szCs w:val="13"/>
                <w:color w:val="auto"/>
              </w:rPr>
            </w:pPr>
          </w:p>
        </w:tc>
        <w:tc>
          <w:tcPr>
            <w:tcW w:w="540" w:type="dxa"/>
            <w:vAlign w:val="bottom"/>
            <w:tcBorders>
              <w:bottom w:val="single" w:sz="8" w:color="auto"/>
            </w:tcBorders>
            <w:shd w:val="clear" w:color="auto" w:fill="D1D2D4"/>
          </w:tcPr>
          <w:p>
            <w:pPr>
              <w:spacing w:after="0"/>
              <w:rPr>
                <w:sz w:val="13"/>
                <w:szCs w:val="13"/>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222</w:t>
            </w:r>
          </w:p>
        </w:tc>
        <w:tc>
          <w:tcPr>
            <w:tcW w:w="580" w:type="dxa"/>
            <w:vAlign w:val="bottom"/>
            <w:tcBorders>
              <w:bottom w:val="single" w:sz="8" w:color="auto"/>
            </w:tcBorders>
            <w:shd w:val="clear" w:color="auto" w:fill="D1D2D4"/>
          </w:tcPr>
          <w:p>
            <w:pPr>
              <w:spacing w:after="0"/>
              <w:rPr>
                <w:sz w:val="13"/>
                <w:szCs w:val="13"/>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306</w:t>
            </w:r>
          </w:p>
        </w:tc>
      </w:tr>
      <w:tr>
        <w:trPr>
          <w:trHeight w:val="142"/>
        </w:trPr>
        <w:tc>
          <w:tcPr>
            <w:tcW w:w="5480" w:type="dxa"/>
            <w:vAlign w:val="bottom"/>
          </w:tcPr>
          <w:p>
            <w:pPr>
              <w:spacing w:after="0"/>
              <w:rPr>
                <w:sz w:val="12"/>
                <w:szCs w:val="12"/>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6,811</w:t>
            </w:r>
          </w:p>
        </w:tc>
        <w:tc>
          <w:tcPr>
            <w:tcW w:w="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3,752</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17,361</w:t>
            </w:r>
          </w:p>
        </w:tc>
        <w:tc>
          <w:tcPr>
            <w:tcW w:w="5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11,530</w:t>
            </w:r>
          </w:p>
        </w:tc>
      </w:tr>
      <w:tr>
        <w:trPr>
          <w:trHeight w:val="20"/>
        </w:trPr>
        <w:tc>
          <w:tcPr>
            <w:tcW w:w="5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See “Segment and Other Information” for disclosure of disaggregated revenue by market segment.</w:t>
      </w:r>
    </w:p>
    <w:p>
      <w:pPr>
        <w:spacing w:after="0" w:line="168"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May 30, 2024, our future performance obligations beyond one year were $141 million, which included customer prepayments and other contract liabilities. Customer prepayments made to secure product supply in future periods and other contract liabilities were $756 million as of May 30, 2024, of which $615 million was reported in other current liabilities and the remainder in other noncurrent liabilities.</w:t>
      </w:r>
    </w:p>
    <w:p>
      <w:pPr>
        <w:spacing w:after="0" w:line="137" w:lineRule="exact"/>
        <w:rPr>
          <w:sz w:val="20"/>
          <w:szCs w:val="20"/>
          <w:color w:val="auto"/>
        </w:rPr>
      </w:pPr>
    </w:p>
    <w:p>
      <w:pPr>
        <w:ind w:right="480"/>
        <w:spacing w:after="0" w:line="286" w:lineRule="auto"/>
        <w:rPr>
          <w:sz w:val="20"/>
          <w:szCs w:val="20"/>
          <w:color w:val="auto"/>
        </w:rPr>
      </w:pPr>
      <w:r>
        <w:rPr>
          <w:rFonts w:ascii="Arial" w:cs="Arial" w:eastAsia="Arial" w:hAnsi="Arial"/>
          <w:sz w:val="12"/>
          <w:szCs w:val="12"/>
          <w:color w:val="auto"/>
        </w:rPr>
        <w:t>As of May 30, 2024 and August 31, 2023, other current liabilities also included $617 million and $453 million, respectively, for estimates of consideration payable to customers including estimates for pricing adjustments and returns.</w:t>
      </w:r>
    </w:p>
    <w:p>
      <w:pPr>
        <w:spacing w:after="0" w:line="28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Restructure and Asset Impairments</w:t>
      </w:r>
    </w:p>
    <w:p>
      <w:pPr>
        <w:sectPr>
          <w:pgSz w:w="11900" w:h="16838" w:orient="portrait"/>
          <w:cols w:equalWidth="0" w:num="1">
            <w:col w:w="11300"/>
          </w:cols>
          <w:pgMar w:left="300" w:top="131" w:right="29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500" w:type="dxa"/>
            <w:vAlign w:val="bottom"/>
          </w:tcPr>
          <w:p>
            <w:pPr>
              <w:spacing w:after="0"/>
              <w:rPr>
                <w:sz w:val="9"/>
                <w:szCs w:val="9"/>
                <w:color w:val="auto"/>
              </w:rPr>
            </w:pPr>
          </w:p>
        </w:tc>
        <w:tc>
          <w:tcPr>
            <w:tcW w:w="9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6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1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4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May 30,</w:t>
            </w:r>
          </w:p>
        </w:tc>
        <w:tc>
          <w:tcPr>
            <w:tcW w:w="14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June 1,</w:t>
            </w:r>
          </w:p>
        </w:tc>
      </w:tr>
      <w:tr>
        <w:trPr>
          <w:trHeight w:val="157"/>
        </w:trPr>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7" w:lineRule="exact"/>
        <w:rPr>
          <w:sz w:val="20"/>
          <w:szCs w:val="20"/>
          <w:color w:val="auto"/>
        </w:rPr>
      </w:pPr>
    </w:p>
    <w:p>
      <w:pPr>
        <w:sectPr>
          <w:pgSz w:w="11900" w:h="16838" w:orient="portrait"/>
          <w:cols w:equalWidth="0" w:num="2">
            <w:col w:w="8360" w:space="80"/>
            <w:col w:w="286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Employee severance</w:t>
            </w:r>
          </w:p>
        </w:tc>
        <w:tc>
          <w:tcPr>
            <w:tcW w:w="660" w:type="dxa"/>
            <w:vAlign w:val="bottom"/>
            <w:shd w:val="clear" w:color="auto" w:fill="D1D2D4"/>
          </w:tcPr>
          <w:p>
            <w:pPr>
              <w:jc w:val="right"/>
              <w:ind w:right="5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D1D2D4"/>
          </w:tcPr>
          <w:p>
            <w:pPr>
              <w:ind w:left="600"/>
              <w:spacing w:after="0"/>
              <w:rPr>
                <w:sz w:val="20"/>
                <w:szCs w:val="20"/>
                <w:color w:val="auto"/>
              </w:rPr>
            </w:pPr>
            <w:r>
              <w:rPr>
                <w:rFonts w:ascii="Arial" w:cs="Arial" w:eastAsia="Arial" w:hAnsi="Arial"/>
                <w:sz w:val="12"/>
                <w:szCs w:val="12"/>
                <w:color w:val="auto"/>
              </w:rPr>
              <w:t>— $</w:t>
            </w:r>
          </w:p>
        </w:tc>
        <w:tc>
          <w:tcPr>
            <w:tcW w:w="7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70</w:t>
            </w:r>
          </w:p>
        </w:tc>
        <w:tc>
          <w:tcPr>
            <w:tcW w:w="80" w:type="dxa"/>
            <w:vAlign w:val="bottom"/>
            <w:shd w:val="clear" w:color="auto" w:fill="D1D2D4"/>
          </w:tcPr>
          <w:p>
            <w:pPr>
              <w:spacing w:after="0"/>
              <w:rPr>
                <w:sz w:val="13"/>
                <w:szCs w:val="13"/>
                <w:color w:val="auto"/>
              </w:rPr>
            </w:pPr>
          </w:p>
        </w:tc>
        <w:tc>
          <w:tcPr>
            <w:tcW w:w="660" w:type="dxa"/>
            <w:vAlign w:val="bottom"/>
            <w:shd w:val="clear" w:color="auto" w:fill="D1D2D4"/>
          </w:tcPr>
          <w:p>
            <w:pPr>
              <w:jc w:val="right"/>
              <w:ind w:right="52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D1D2D4"/>
          </w:tcPr>
          <w:p>
            <w:pPr>
              <w:ind w:left="600"/>
              <w:spacing w:after="0"/>
              <w:rPr>
                <w:sz w:val="20"/>
                <w:szCs w:val="20"/>
                <w:color w:val="auto"/>
              </w:rPr>
            </w:pPr>
            <w:r>
              <w:rPr>
                <w:rFonts w:ascii="Arial" w:cs="Arial" w:eastAsia="Arial" w:hAnsi="Arial"/>
                <w:sz w:val="12"/>
                <w:szCs w:val="12"/>
                <w:color w:val="auto"/>
              </w:rPr>
              <w:t>— $</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163</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Asset impairments and other asset-related costs</w:t>
            </w:r>
          </w:p>
        </w:tc>
        <w:tc>
          <w:tcPr>
            <w:tcW w:w="660" w:type="dxa"/>
            <w:vAlign w:val="bottom"/>
          </w:tcPr>
          <w:p>
            <w:pPr>
              <w:spacing w:after="0"/>
              <w:rPr>
                <w:sz w:val="13"/>
                <w:szCs w:val="13"/>
                <w:color w:val="auto"/>
              </w:rPr>
            </w:pPr>
          </w:p>
        </w:tc>
        <w:tc>
          <w:tcPr>
            <w:tcW w:w="1440" w:type="dxa"/>
            <w:vAlign w:val="bottom"/>
          </w:tcPr>
          <w:p>
            <w:pPr>
              <w:ind w:left="6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ind w:left="6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Other</w:t>
            </w:r>
          </w:p>
        </w:tc>
        <w:tc>
          <w:tcPr>
            <w:tcW w:w="660" w:type="dxa"/>
            <w:vAlign w:val="bottom"/>
            <w:tcBorders>
              <w:bottom w:val="single" w:sz="8" w:color="auto"/>
            </w:tcBorders>
            <w:shd w:val="clear" w:color="auto" w:fill="D1D2D4"/>
          </w:tcPr>
          <w:p>
            <w:pPr>
              <w:spacing w:after="0"/>
              <w:rPr>
                <w:sz w:val="13"/>
                <w:szCs w:val="13"/>
                <w:color w:val="auto"/>
              </w:rPr>
            </w:pPr>
          </w:p>
        </w:tc>
        <w:tc>
          <w:tcPr>
            <w:tcW w:w="1440" w:type="dxa"/>
            <w:vAlign w:val="bottom"/>
            <w:tcBorders>
              <w:bottom w:val="single" w:sz="8" w:color="auto"/>
            </w:tcBorders>
            <w:shd w:val="clear" w:color="auto" w:fill="D1D2D4"/>
          </w:tcPr>
          <w:p>
            <w:pPr>
              <w:ind w:left="60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D1D2D4"/>
          </w:tcPr>
          <w:p>
            <w:pPr>
              <w:spacing w:after="0"/>
              <w:rPr>
                <w:sz w:val="13"/>
                <w:szCs w:val="13"/>
                <w:color w:val="auto"/>
              </w:rPr>
            </w:pPr>
          </w:p>
        </w:tc>
        <w:tc>
          <w:tcPr>
            <w:tcW w:w="660" w:type="dxa"/>
            <w:vAlign w:val="bottom"/>
            <w:tcBorders>
              <w:bottom w:val="single" w:sz="8" w:color="auto"/>
            </w:tcBorders>
            <w:shd w:val="clear" w:color="auto" w:fill="D1D2D4"/>
          </w:tcPr>
          <w:p>
            <w:pPr>
              <w:spacing w:after="0"/>
              <w:rPr>
                <w:sz w:val="13"/>
                <w:szCs w:val="13"/>
                <w:color w:val="auto"/>
              </w:rPr>
            </w:pPr>
          </w:p>
        </w:tc>
        <w:tc>
          <w:tcPr>
            <w:tcW w:w="1400" w:type="dxa"/>
            <w:vAlign w:val="bottom"/>
            <w:tcBorders>
              <w:bottom w:val="single" w:sz="8" w:color="auto"/>
            </w:tcBorders>
            <w:shd w:val="clear" w:color="auto" w:fill="D1D2D4"/>
          </w:tcPr>
          <w:p>
            <w:pPr>
              <w:ind w:left="6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w:t>
            </w:r>
          </w:p>
        </w:tc>
      </w:tr>
      <w:tr>
        <w:trPr>
          <w:trHeight w:val="142"/>
        </w:trPr>
        <w:tc>
          <w:tcPr>
            <w:tcW w:w="550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w:t>
            </w:r>
          </w:p>
        </w:tc>
      </w:tr>
      <w:tr>
        <w:trPr>
          <w:trHeight w:val="20"/>
        </w:trPr>
        <w:tc>
          <w:tcPr>
            <w:tcW w:w="5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In 2023, we initiated a restructure plan in response to challenging industry conditions (the “2023 Restructure Plan”). Under the 2023 Restructure Plan, we reduced our headcount by approximately 15% by the end of calendar 2023, through a combination of voluntary attrition and personnel reductions. The plan was substantially completed in 2023.</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Other Operating (Income) Expense, Net</w:t>
      </w:r>
    </w:p>
    <w:p>
      <w:pPr>
        <w:sectPr>
          <w:pgSz w:w="11900" w:h="16838" w:orient="portrait"/>
          <w:cols w:equalWidth="0" w:num="1">
            <w:col w:w="11300"/>
          </w:cols>
          <w:pgMar w:left="300" w:top="131" w:right="29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500" w:type="dxa"/>
            <w:vAlign w:val="bottom"/>
          </w:tcPr>
          <w:p>
            <w:pPr>
              <w:spacing w:after="0"/>
              <w:rPr>
                <w:sz w:val="9"/>
                <w:szCs w:val="9"/>
                <w:color w:val="auto"/>
              </w:rPr>
            </w:pPr>
          </w:p>
        </w:tc>
        <w:tc>
          <w:tcPr>
            <w:tcW w:w="9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6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1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4445</wp:posOffset>
            </wp:positionV>
            <wp:extent cx="181737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7370" cy="5715"/>
                    </a:xfrm>
                    <a:prstGeom prst="rect">
                      <a:avLst/>
                    </a:prstGeom>
                    <a:noFill/>
                  </pic:spPr>
                </pic:pic>
              </a:graphicData>
            </a:graphic>
          </wp:anchor>
        </w:drawing>
      </w:r>
    </w:p>
    <w:p>
      <w:pPr>
        <w:spacing w:after="0"/>
        <w:tabs>
          <w:tab w:leader="none" w:pos="1420" w:val="left"/>
        </w:tabs>
        <w:rPr>
          <w:sz w:val="20"/>
          <w:szCs w:val="20"/>
          <w:color w:val="auto"/>
        </w:rPr>
      </w:pPr>
      <w:r>
        <w:rPr>
          <w:rFonts w:ascii="Arial" w:cs="Arial" w:eastAsia="Arial" w:hAnsi="Arial"/>
          <w:sz w:val="12"/>
          <w:szCs w:val="12"/>
          <w:b w:val="1"/>
          <w:bCs w:val="1"/>
          <w:color w:val="auto"/>
        </w:rPr>
        <w:t>May 30,</w:t>
      </w:r>
      <w:r>
        <w:rPr>
          <w:sz w:val="20"/>
          <w:szCs w:val="20"/>
          <w:color w:val="auto"/>
        </w:rPr>
        <w:tab/>
      </w:r>
      <w:r>
        <w:rPr>
          <w:rFonts w:ascii="Arial" w:cs="Arial" w:eastAsia="Arial" w:hAnsi="Arial"/>
          <w:sz w:val="11"/>
          <w:szCs w:val="11"/>
          <w:b w:val="1"/>
          <w:bCs w:val="1"/>
          <w:color w:val="auto"/>
        </w:rPr>
        <w:t>June 1,</w:t>
      </w:r>
    </w:p>
    <w:p>
      <w:pPr>
        <w:ind w:left="80"/>
        <w:spacing w:after="0"/>
        <w:tabs>
          <w:tab w:leader="none" w:pos="1480" w:val="left"/>
        </w:tabs>
        <w:rPr>
          <w:sz w:val="20"/>
          <w:szCs w:val="20"/>
          <w:color w:val="auto"/>
        </w:rPr>
      </w:pPr>
      <w:r>
        <w:rPr>
          <w:rFonts w:ascii="Arial" w:cs="Arial" w:eastAsia="Arial" w:hAnsi="Arial"/>
          <w:sz w:val="12"/>
          <w:szCs w:val="12"/>
          <w:b w:val="1"/>
          <w:bCs w:val="1"/>
          <w:color w:val="auto"/>
        </w:rPr>
        <w:t>2024</w:t>
      </w:r>
      <w:r>
        <w:rPr>
          <w:sz w:val="20"/>
          <w:szCs w:val="20"/>
          <w:color w:val="auto"/>
        </w:rPr>
        <w:tab/>
      </w:r>
      <w:r>
        <w:rPr>
          <w:rFonts w:ascii="Arial" w:cs="Arial" w:eastAsia="Arial" w:hAnsi="Arial"/>
          <w:sz w:val="12"/>
          <w:szCs w:val="1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4445</wp:posOffset>
            </wp:positionV>
            <wp:extent cx="18173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7370" cy="571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360" w:space="580"/>
            <w:col w:w="236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(Gain) loss on disposition of property, plant, and equipment</w:t>
            </w:r>
          </w:p>
        </w:tc>
        <w:tc>
          <w:tcPr>
            <w:tcW w:w="640" w:type="dxa"/>
            <w:vAlign w:val="bottom"/>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(38)</w:t>
            </w:r>
          </w:p>
        </w:tc>
        <w:tc>
          <w:tcPr>
            <w:tcW w:w="660" w:type="dxa"/>
            <w:vAlign w:val="bottom"/>
            <w:shd w:val="clear" w:color="auto" w:fill="D1D2D4"/>
          </w:tcPr>
          <w:p>
            <w:pPr>
              <w:jc w:val="right"/>
              <w:ind w:right="52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jc w:val="right"/>
              <w:ind w:right="46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w:t>
            </w:r>
          </w:p>
        </w:tc>
        <w:tc>
          <w:tcPr>
            <w:tcW w:w="640" w:type="dxa"/>
            <w:vAlign w:val="bottom"/>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(46)</w:t>
            </w:r>
          </w:p>
        </w:tc>
      </w:t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Patent cross-license agreement gain</w:t>
            </w:r>
          </w:p>
        </w:tc>
        <w:tc>
          <w:tcPr>
            <w:tcW w:w="6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(200)</w:t>
            </w:r>
          </w:p>
        </w:tc>
        <w:tc>
          <w:tcPr>
            <w:tcW w:w="6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500" w:type="dxa"/>
            <w:vAlign w:val="bottom"/>
            <w:shd w:val="clear" w:color="auto" w:fill="D1D2D4"/>
          </w:tcPr>
          <w:p>
            <w:pPr>
              <w:spacing w:after="0"/>
              <w:rPr>
                <w:sz w:val="20"/>
                <w:szCs w:val="20"/>
                <w:color w:val="auto"/>
              </w:rPr>
            </w:pPr>
            <w:r>
              <w:rPr>
                <w:rFonts w:ascii="Arial" w:cs="Arial" w:eastAsia="Arial" w:hAnsi="Arial"/>
                <w:sz w:val="12"/>
                <w:szCs w:val="12"/>
                <w:color w:val="auto"/>
              </w:rPr>
              <w:t>Litigation settlement</w:t>
            </w:r>
          </w:p>
        </w:tc>
        <w:tc>
          <w:tcPr>
            <w:tcW w:w="640" w:type="dxa"/>
            <w:vAlign w:val="bottom"/>
            <w:shd w:val="clear" w:color="auto" w:fill="D1D2D4"/>
          </w:tcPr>
          <w:p>
            <w:pPr>
              <w:spacing w:after="0"/>
              <w:rPr>
                <w:sz w:val="13"/>
                <w:szCs w:val="13"/>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D1D2D4"/>
          </w:tcPr>
          <w:p>
            <w:pPr>
              <w:spacing w:after="0"/>
              <w:rPr>
                <w:sz w:val="13"/>
                <w:szCs w:val="13"/>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D1D2D4"/>
          </w:tcPr>
          <w:p>
            <w:pPr>
              <w:spacing w:after="0"/>
              <w:rPr>
                <w:sz w:val="13"/>
                <w:szCs w:val="13"/>
                <w:color w:val="auto"/>
              </w:rPr>
            </w:pPr>
          </w:p>
        </w:tc>
        <w:tc>
          <w:tcPr>
            <w:tcW w:w="600" w:type="dxa"/>
            <w:vAlign w:val="bottom"/>
            <w:shd w:val="clear" w:color="auto" w:fill="D1D2D4"/>
          </w:tcPr>
          <w:p>
            <w:pPr>
              <w:spacing w:after="0"/>
              <w:rPr>
                <w:sz w:val="13"/>
                <w:szCs w:val="13"/>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D1D2D4"/>
          </w:tcPr>
          <w:p>
            <w:pPr>
              <w:spacing w:after="0"/>
              <w:rPr>
                <w:sz w:val="13"/>
                <w:szCs w:val="13"/>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r>
      <w:tr>
        <w:trPr>
          <w:trHeight w:val="153"/>
        </w:trPr>
        <w:tc>
          <w:tcPr>
            <w:tcW w:w="550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Other</w:t>
            </w:r>
          </w:p>
        </w:tc>
        <w:tc>
          <w:tcPr>
            <w:tcW w:w="6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6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D1D2D4"/>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6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r>
      <w:tr>
        <w:trPr>
          <w:trHeight w:val="158"/>
        </w:trPr>
        <w:tc>
          <w:tcPr>
            <w:tcW w:w="5500" w:type="dxa"/>
            <w:vAlign w:val="bottom"/>
            <w:tcBorders>
              <w:bottom w:val="single" w:sz="8" w:color="D1D2D4"/>
            </w:tcBorders>
            <w:shd w:val="clear" w:color="auto" w:fill="D1D2D4"/>
          </w:tcPr>
          <w:p>
            <w:pPr>
              <w:spacing w:after="0"/>
              <w:rPr>
                <w:sz w:val="13"/>
                <w:szCs w:val="13"/>
                <w:color w:val="auto"/>
              </w:rPr>
            </w:pPr>
          </w:p>
        </w:tc>
        <w:tc>
          <w:tcPr>
            <w:tcW w:w="640" w:type="dxa"/>
            <w:vAlign w:val="bottom"/>
            <w:tcBorders>
              <w:bottom w:val="single" w:sz="8" w:color="auto"/>
            </w:tcBorders>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(28)</w:t>
            </w:r>
          </w:p>
        </w:tc>
        <w:tc>
          <w:tcPr>
            <w:tcW w:w="660" w:type="dxa"/>
            <w:vAlign w:val="bottom"/>
            <w:tcBorders>
              <w:bottom w:val="single" w:sz="8" w:color="auto"/>
            </w:tcBorders>
            <w:shd w:val="clear" w:color="auto" w:fill="D1D2D4"/>
          </w:tcPr>
          <w:p>
            <w:pPr>
              <w:jc w:val="right"/>
              <w:ind w:right="52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D1D2D4"/>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ind w:right="46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(267)</w:t>
            </w:r>
          </w:p>
        </w:tc>
        <w:tc>
          <w:tcPr>
            <w:tcW w:w="640" w:type="dxa"/>
            <w:vAlign w:val="bottom"/>
            <w:tcBorders>
              <w:bottom w:val="single" w:sz="8" w:color="auto"/>
            </w:tcBorders>
            <w:shd w:val="clear" w:color="auto" w:fill="D1D2D4"/>
          </w:tcPr>
          <w:p>
            <w:pPr>
              <w:jc w:val="right"/>
              <w:ind w:right="5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29</w:t>
            </w:r>
          </w:p>
        </w:tc>
      </w:tr>
    </w:tbl>
    <w:p>
      <w:pPr>
        <w:spacing w:after="0" w:line="37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Our income tax (provision) benefit consisted of the following:</w:t>
      </w:r>
    </w:p>
    <w:p>
      <w:pPr>
        <w:sectPr>
          <w:pgSz w:w="11900" w:h="16838" w:orient="portrait"/>
          <w:cols w:equalWidth="0" w:num="1">
            <w:col w:w="11300"/>
          </w:cols>
          <w:pgMar w:left="300" w:top="131" w:right="299" w:bottom="1440" w:gutter="0" w:footer="0" w:header="0"/>
          <w:type w:val="continuous"/>
        </w:sectPr>
      </w:pPr>
    </w:p>
    <w:p>
      <w:pPr>
        <w:spacing w:after="0" w:line="33" w:lineRule="exact"/>
        <w:rPr>
          <w:sz w:val="20"/>
          <w:szCs w:val="20"/>
          <w:color w:val="auto"/>
        </w:rPr>
      </w:pPr>
    </w:p>
    <w:tbl>
      <w:tblPr>
        <w:tblLayout w:type="fixed"/>
        <w:tblInd w:w="5220" w:type="dxa"/>
        <w:tblCellMar>
          <w:top w:w="0" w:type="dxa"/>
          <w:left w:w="0" w:type="dxa"/>
          <w:bottom w:w="0" w:type="dxa"/>
          <w:right w:w="0" w:type="dxa"/>
        </w:tblCellMar>
      </w:tblPr>
      <w:tr>
        <w:trPr>
          <w:trHeight w:val="157"/>
        </w:trPr>
        <w:tc>
          <w:tcPr>
            <w:tcW w:w="10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Quarter ended</w:t>
            </w:r>
          </w:p>
        </w:tc>
      </w:tr>
      <w:tr>
        <w:trPr>
          <w:trHeight w:val="106"/>
        </w:trPr>
        <w:tc>
          <w:tcPr>
            <w:tcW w:w="1040" w:type="dxa"/>
            <w:vAlign w:val="bottom"/>
          </w:tcPr>
          <w:p>
            <w:pPr>
              <w:jc w:val="center"/>
              <w:ind w:left="420"/>
              <w:spacing w:after="0" w:line="106" w:lineRule="exact"/>
              <w:rPr>
                <w:sz w:val="20"/>
                <w:szCs w:val="20"/>
                <w:color w:val="auto"/>
              </w:rPr>
            </w:pPr>
            <w:r>
              <w:rPr>
                <w:rFonts w:ascii="Arial" w:cs="Arial" w:eastAsia="Arial" w:hAnsi="Arial"/>
                <w:sz w:val="12"/>
                <w:szCs w:val="12"/>
                <w:b w:val="1"/>
                <w:bCs w:val="1"/>
                <w:color w:val="auto"/>
              </w:rPr>
              <w:t>May 30,</w:t>
            </w:r>
          </w:p>
        </w:tc>
        <w:tc>
          <w:tcPr>
            <w:tcW w:w="1960" w:type="dxa"/>
            <w:vAlign w:val="bottom"/>
          </w:tcPr>
          <w:p>
            <w:pPr>
              <w:jc w:val="center"/>
              <w:ind w:left="400"/>
              <w:spacing w:after="0" w:line="106" w:lineRule="exact"/>
              <w:rPr>
                <w:sz w:val="20"/>
                <w:szCs w:val="20"/>
                <w:color w:val="auto"/>
              </w:rPr>
            </w:pPr>
            <w:r>
              <w:rPr>
                <w:rFonts w:ascii="Arial" w:cs="Arial" w:eastAsia="Arial" w:hAnsi="Arial"/>
                <w:sz w:val="12"/>
                <w:szCs w:val="12"/>
                <w:b w:val="1"/>
                <w:bCs w:val="1"/>
                <w:color w:val="auto"/>
              </w:rPr>
              <w:t>June 1,</w:t>
            </w:r>
          </w:p>
        </w:tc>
      </w:tr>
      <w:tr>
        <w:trPr>
          <w:trHeight w:val="165"/>
        </w:trPr>
        <w:tc>
          <w:tcPr>
            <w:tcW w:w="1040" w:type="dxa"/>
            <w:vAlign w:val="bottom"/>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1960" w:type="dxa"/>
            <w:vAlign w:val="bottom"/>
          </w:tcPr>
          <w:p>
            <w:pPr>
              <w:jc w:val="right"/>
              <w:ind w:right="56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52292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2922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5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May 30,</w:t>
            </w:r>
          </w:p>
        </w:tc>
        <w:tc>
          <w:tcPr>
            <w:tcW w:w="15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June 1,</w:t>
            </w:r>
          </w:p>
        </w:tc>
      </w:tr>
      <w:tr>
        <w:trPr>
          <w:trHeight w:val="165"/>
        </w:trPr>
        <w:tc>
          <w:tcPr>
            <w:tcW w:w="1500" w:type="dxa"/>
            <w:vAlign w:val="bottom"/>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1500" w:type="dxa"/>
            <w:vAlign w:val="bottom"/>
          </w:tcPr>
          <w:p>
            <w:pPr>
              <w:jc w:val="right"/>
              <w:ind w:right="56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190309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571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8220" w:space="80"/>
            <w:col w:w="300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3400" w:type="dxa"/>
            <w:vAlign w:val="bottom"/>
            <w:shd w:val="clear" w:color="auto" w:fill="D1D2D4"/>
          </w:tcPr>
          <w:p>
            <w:pPr>
              <w:spacing w:after="0"/>
              <w:rPr>
                <w:sz w:val="20"/>
                <w:szCs w:val="20"/>
                <w:color w:val="auto"/>
              </w:rPr>
            </w:pPr>
            <w:r>
              <w:rPr>
                <w:rFonts w:ascii="Arial" w:cs="Arial" w:eastAsia="Arial" w:hAnsi="Arial"/>
                <w:sz w:val="12"/>
                <w:szCs w:val="12"/>
                <w:color w:val="auto"/>
              </w:rPr>
              <w:t>Income (loss) before taxes</w:t>
            </w:r>
          </w:p>
        </w:tc>
        <w:tc>
          <w:tcPr>
            <w:tcW w:w="2420" w:type="dxa"/>
            <w:vAlign w:val="bottom"/>
            <w:shd w:val="clear" w:color="auto" w:fill="D1D2D4"/>
          </w:tcPr>
          <w:p>
            <w:pPr>
              <w:jc w:val="right"/>
              <w:ind w:right="460"/>
              <w:spacing w:after="0"/>
              <w:rPr>
                <w:sz w:val="20"/>
                <w:szCs w:val="20"/>
                <w:color w:val="auto"/>
              </w:rPr>
            </w:pPr>
            <w:r>
              <w:rPr>
                <w:rFonts w:ascii="Arial" w:cs="Arial" w:eastAsia="Arial" w:hAnsi="Arial"/>
                <w:sz w:val="12"/>
                <w:szCs w:val="12"/>
                <w:color w:val="auto"/>
              </w:rPr>
              <w:t>$</w:t>
            </w:r>
          </w:p>
        </w:tc>
        <w:tc>
          <w:tcPr>
            <w:tcW w:w="90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715</w:t>
            </w:r>
          </w:p>
        </w:tc>
        <w:tc>
          <w:tcPr>
            <w:tcW w:w="540" w:type="dxa"/>
            <w:vAlign w:val="bottom"/>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(1,753)</w:t>
            </w:r>
          </w:p>
        </w:tc>
        <w:tc>
          <w:tcPr>
            <w:tcW w:w="62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rPr>
              <w:t>$</w:t>
            </w:r>
          </w:p>
        </w:tc>
        <w:tc>
          <w:tcPr>
            <w:tcW w:w="9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(270)</w:t>
            </w:r>
          </w:p>
        </w:tc>
        <w:tc>
          <w:tcPr>
            <w:tcW w:w="540" w:type="dxa"/>
            <w:vAlign w:val="bottom"/>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(4,200)</w:t>
            </w:r>
          </w:p>
        </w:tc>
      </w:tr>
      <w:tr>
        <w:trPr>
          <w:trHeight w:val="153"/>
        </w:trPr>
        <w:tc>
          <w:tcPr>
            <w:tcW w:w="3400" w:type="dxa"/>
            <w:vAlign w:val="bottom"/>
          </w:tcPr>
          <w:p>
            <w:pPr>
              <w:spacing w:after="0"/>
              <w:rPr>
                <w:sz w:val="20"/>
                <w:szCs w:val="20"/>
                <w:color w:val="auto"/>
              </w:rPr>
            </w:pPr>
            <w:r>
              <w:rPr>
                <w:rFonts w:ascii="Arial" w:cs="Arial" w:eastAsia="Arial" w:hAnsi="Arial"/>
                <w:sz w:val="12"/>
                <w:szCs w:val="12"/>
                <w:color w:val="auto"/>
              </w:rPr>
              <w:t>Income tax (provision) benefit</w:t>
            </w:r>
          </w:p>
        </w:tc>
        <w:tc>
          <w:tcPr>
            <w:tcW w:w="242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(377)</w:t>
            </w:r>
          </w:p>
        </w:tc>
        <w:tc>
          <w:tcPr>
            <w:tcW w:w="540" w:type="dxa"/>
            <w:vAlign w:val="bottom"/>
          </w:tcPr>
          <w:p>
            <w:pPr>
              <w:spacing w:after="0"/>
              <w:rPr>
                <w:sz w:val="13"/>
                <w:szCs w:val="13"/>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(139)</w:t>
            </w:r>
          </w:p>
        </w:tc>
        <w:tc>
          <w:tcPr>
            <w:tcW w:w="62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172</w:t>
            </w:r>
          </w:p>
        </w:tc>
        <w:tc>
          <w:tcPr>
            <w:tcW w:w="54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(201)</w:t>
            </w:r>
          </w:p>
        </w:tc>
      </w:tr>
      <w:tr>
        <w:trPr>
          <w:trHeight w:val="153"/>
        </w:trPr>
        <w:tc>
          <w:tcPr>
            <w:tcW w:w="3400" w:type="dxa"/>
            <w:vAlign w:val="bottom"/>
            <w:shd w:val="clear" w:color="auto" w:fill="D1D2D4"/>
          </w:tcPr>
          <w:p>
            <w:pPr>
              <w:spacing w:after="0"/>
              <w:rPr>
                <w:sz w:val="20"/>
                <w:szCs w:val="20"/>
                <w:color w:val="auto"/>
              </w:rPr>
            </w:pPr>
            <w:r>
              <w:rPr>
                <w:rFonts w:ascii="Arial" w:cs="Arial" w:eastAsia="Arial" w:hAnsi="Arial"/>
                <w:sz w:val="12"/>
                <w:szCs w:val="12"/>
                <w:color w:val="auto"/>
              </w:rPr>
              <w:t>Effective tax rate</w:t>
            </w:r>
          </w:p>
        </w:tc>
        <w:tc>
          <w:tcPr>
            <w:tcW w:w="242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52.7 %</w:t>
            </w:r>
          </w:p>
        </w:tc>
        <w:tc>
          <w:tcPr>
            <w:tcW w:w="540" w:type="dxa"/>
            <w:vAlign w:val="bottom"/>
            <w:shd w:val="clear" w:color="auto" w:fill="D1D2D4"/>
          </w:tcPr>
          <w:p>
            <w:pPr>
              <w:spacing w:after="0"/>
              <w:rPr>
                <w:sz w:val="13"/>
                <w:szCs w:val="13"/>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w:t>
            </w:r>
          </w:p>
        </w:tc>
        <w:tc>
          <w:tcPr>
            <w:tcW w:w="620" w:type="dxa"/>
            <w:vAlign w:val="bottom"/>
            <w:shd w:val="clear" w:color="auto" w:fill="D1D2D4"/>
          </w:tcPr>
          <w:p>
            <w:pPr>
              <w:spacing w:after="0"/>
              <w:rPr>
                <w:sz w:val="13"/>
                <w:szCs w:val="13"/>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63.7 %</w:t>
            </w:r>
          </w:p>
        </w:tc>
        <w:tc>
          <w:tcPr>
            <w:tcW w:w="540" w:type="dxa"/>
            <w:vAlign w:val="bottom"/>
            <w:shd w:val="clear" w:color="auto" w:fill="D1D2D4"/>
          </w:tcPr>
          <w:p>
            <w:pPr>
              <w:spacing w:after="0"/>
              <w:rPr>
                <w:sz w:val="13"/>
                <w:szCs w:val="13"/>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(4.8)%</w:t>
            </w:r>
          </w:p>
        </w:tc>
      </w:tr>
    </w:tbl>
    <w:p>
      <w:pPr>
        <w:spacing w:after="0" w:line="203" w:lineRule="exact"/>
        <w:rPr>
          <w:sz w:val="20"/>
          <w:szCs w:val="20"/>
          <w:color w:val="auto"/>
        </w:rPr>
      </w:pPr>
    </w:p>
    <w:p>
      <w:pPr>
        <w:ind w:right="440"/>
        <w:spacing w:after="0" w:line="238" w:lineRule="auto"/>
        <w:rPr>
          <w:sz w:val="20"/>
          <w:szCs w:val="20"/>
          <w:color w:val="auto"/>
        </w:rPr>
      </w:pPr>
      <w:r>
        <w:rPr>
          <w:rFonts w:ascii="Arial" w:cs="Arial" w:eastAsia="Arial" w:hAnsi="Arial"/>
          <w:sz w:val="12"/>
          <w:szCs w:val="12"/>
          <w:color w:val="auto"/>
        </w:rPr>
        <w:t>In the first quarter of 2024, our tax expense was based on actual results for jurisdictions where small changes in our projected pre-tax income would have caused significant changes in the estimated annual effective tax rate. With our improved fiscal 2024 outlook, we were able to estimate a more reliable annual effective tax rate and have reverted to a global annual effective tax rate method for all jurisdictions beginning in the second quarter of 2024.</w:t>
      </w:r>
    </w:p>
    <w:p>
      <w:pPr>
        <w:spacing w:after="0" w:line="138"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The changes in our effective tax rate for the third quarter and first nine months of 2024 as compared to the third quarter and first nine months of 2023 were primarily due to changes in profitability and discrete items primarily related to tax return filings.</w:t>
      </w:r>
    </w:p>
    <w:p>
      <w:pPr>
        <w:spacing w:after="0" w:line="112"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the low level of profitability and the geographic mix of income, the benefit from tax incentive arrangements was not material for the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May 30, 2024, other current assets included $539 million related to income taxes.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25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Earnings Per Share</w:t>
      </w:r>
    </w:p>
    <w:p>
      <w:pPr>
        <w:sectPr>
          <w:pgSz w:w="11900" w:h="16838" w:orient="portrait"/>
          <w:cols w:equalWidth="0" w:num="1">
            <w:col w:w="11300"/>
          </w:cols>
          <w:pgMar w:left="300" w:top="131" w:right="29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4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11"/>
        </w:trPr>
        <w:tc>
          <w:tcPr>
            <w:tcW w:w="5480" w:type="dxa"/>
            <w:vAlign w:val="bottom"/>
          </w:tcPr>
          <w:p>
            <w:pPr>
              <w:spacing w:after="0"/>
              <w:rPr>
                <w:sz w:val="9"/>
                <w:szCs w:val="9"/>
                <w:color w:val="auto"/>
              </w:rPr>
            </w:pPr>
          </w:p>
        </w:tc>
        <w:tc>
          <w:tcPr>
            <w:tcW w:w="9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6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1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4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6"/>
              </w:rPr>
              <w:t>May 30,</w:t>
            </w:r>
          </w:p>
        </w:tc>
        <w:tc>
          <w:tcPr>
            <w:tcW w:w="14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June 1,</w:t>
            </w:r>
          </w:p>
        </w:tc>
      </w:tr>
      <w:tr>
        <w:trPr>
          <w:trHeight w:val="157"/>
        </w:trPr>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14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r>
    </w:tbl>
    <w:p>
      <w:pPr>
        <w:spacing w:after="0" w:line="27" w:lineRule="exact"/>
        <w:rPr>
          <w:sz w:val="20"/>
          <w:szCs w:val="20"/>
          <w:color w:val="auto"/>
        </w:rPr>
      </w:pPr>
    </w:p>
    <w:p>
      <w:pPr>
        <w:sectPr>
          <w:pgSz w:w="11900" w:h="16838" w:orient="portrait"/>
          <w:cols w:equalWidth="0" w:num="2">
            <w:col w:w="8340" w:space="80"/>
            <w:col w:w="288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Net income (loss) – Basic and Diluted</w:t>
            </w:r>
          </w:p>
        </w:tc>
        <w:tc>
          <w:tcPr>
            <w:tcW w:w="58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332</w:t>
            </w:r>
          </w:p>
        </w:tc>
        <w:tc>
          <w:tcPr>
            <w:tcW w:w="560" w:type="dxa"/>
            <w:vAlign w:val="bottom"/>
            <w:shd w:val="clear" w:color="auto" w:fill="D1D2D4"/>
          </w:tcPr>
          <w:p>
            <w:pPr>
              <w:jc w:val="right"/>
              <w:ind w:right="400"/>
              <w:spacing w:after="0"/>
              <w:rPr>
                <w:sz w:val="20"/>
                <w:szCs w:val="20"/>
                <w:color w:val="auto"/>
              </w:rPr>
            </w:pPr>
            <w:r>
              <w:rPr>
                <w:rFonts w:ascii="Arial" w:cs="Arial" w:eastAsia="Arial" w:hAnsi="Arial"/>
                <w:sz w:val="12"/>
                <w:szCs w:val="12"/>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(1,896)</w:t>
            </w:r>
          </w:p>
        </w:tc>
        <w:tc>
          <w:tcPr>
            <w:tcW w:w="80" w:type="dxa"/>
            <w:vAlign w:val="bottom"/>
            <w:shd w:val="clear" w:color="auto" w:fill="D1D2D4"/>
          </w:tcPr>
          <w:p>
            <w:pPr>
              <w:spacing w:after="0"/>
              <w:rPr>
                <w:sz w:val="13"/>
                <w:szCs w:val="13"/>
                <w:color w:val="auto"/>
              </w:rPr>
            </w:pPr>
          </w:p>
        </w:tc>
        <w:tc>
          <w:tcPr>
            <w:tcW w:w="58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w:t>
            </w:r>
          </w:p>
        </w:tc>
        <w:tc>
          <w:tcPr>
            <w:tcW w:w="560" w:type="dxa"/>
            <w:vAlign w:val="bottom"/>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(4,403)</w:t>
            </w:r>
          </w:p>
        </w:tc>
      </w:tr>
      <w:tr>
        <w:trPr>
          <w:trHeight w:val="171"/>
        </w:trPr>
        <w:tc>
          <w:tcPr>
            <w:tcW w:w="5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Weighted-average common shares outstanding – Basic</w:t>
            </w:r>
          </w:p>
        </w:tc>
        <w:tc>
          <w:tcPr>
            <w:tcW w:w="580" w:type="dxa"/>
            <w:vAlign w:val="bottom"/>
            <w:shd w:val="clear" w:color="auto" w:fill="D1D2D4"/>
          </w:tcPr>
          <w:p>
            <w:pPr>
              <w:spacing w:after="0"/>
              <w:rPr>
                <w:sz w:val="13"/>
                <w:szCs w:val="13"/>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1,107</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1,094</w:t>
            </w:r>
          </w:p>
        </w:tc>
        <w:tc>
          <w:tcPr>
            <w:tcW w:w="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1,104</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1,092</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Dilutive effect of equity plans</w:t>
            </w: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w:t>
            </w:r>
          </w:p>
        </w:tc>
        <w:tc>
          <w:tcPr>
            <w:tcW w:w="5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5480" w:type="dxa"/>
            <w:vAlign w:val="bottom"/>
            <w:tcBorders>
              <w:top w:val="single" w:sz="8" w:color="D1D2D4"/>
              <w:bottom w:val="single" w:sz="8" w:color="D1D2D4"/>
            </w:tcBorders>
            <w:shd w:val="clear" w:color="auto" w:fill="D1D2D4"/>
          </w:tcPr>
          <w:p>
            <w:pPr>
              <w:spacing w:after="0"/>
              <w:rPr>
                <w:sz w:val="20"/>
                <w:szCs w:val="20"/>
                <w:color w:val="auto"/>
              </w:rPr>
            </w:pPr>
            <w:r>
              <w:rPr>
                <w:rFonts w:ascii="Arial" w:cs="Arial" w:eastAsia="Arial" w:hAnsi="Arial"/>
                <w:sz w:val="12"/>
                <w:szCs w:val="12"/>
                <w:color w:val="auto"/>
              </w:rPr>
              <w:t>Weighted-average common shares outstanding – Diluted</w:t>
            </w:r>
          </w:p>
        </w:tc>
        <w:tc>
          <w:tcPr>
            <w:tcW w:w="580" w:type="dxa"/>
            <w:vAlign w:val="bottom"/>
            <w:tcBorders>
              <w:top w:val="single" w:sz="8" w:color="auto"/>
              <w:bottom w:val="single" w:sz="8" w:color="auto"/>
            </w:tcBorders>
            <w:shd w:val="clear" w:color="auto" w:fill="D1D2D4"/>
          </w:tcPr>
          <w:p>
            <w:pPr>
              <w:spacing w:after="0"/>
              <w:rPr>
                <w:sz w:val="13"/>
                <w:szCs w:val="13"/>
                <w:color w:val="auto"/>
              </w:rPr>
            </w:pPr>
          </w:p>
        </w:tc>
        <w:tc>
          <w:tcPr>
            <w:tcW w:w="8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1,123</w:t>
            </w:r>
          </w:p>
        </w:tc>
        <w:tc>
          <w:tcPr>
            <w:tcW w:w="560" w:type="dxa"/>
            <w:vAlign w:val="bottom"/>
            <w:tcBorders>
              <w:top w:val="single" w:sz="8" w:color="auto"/>
              <w:bottom w:val="single" w:sz="8" w:color="auto"/>
            </w:tcBorders>
            <w:shd w:val="clear" w:color="auto" w:fill="D1D2D4"/>
          </w:tcPr>
          <w:p>
            <w:pPr>
              <w:spacing w:after="0"/>
              <w:rPr>
                <w:sz w:val="13"/>
                <w:szCs w:val="13"/>
                <w:color w:val="auto"/>
              </w:rPr>
            </w:pPr>
          </w:p>
        </w:tc>
        <w:tc>
          <w:tcPr>
            <w:tcW w:w="8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1,094</w:t>
            </w:r>
          </w:p>
        </w:tc>
        <w:tc>
          <w:tcPr>
            <w:tcW w:w="80" w:type="dxa"/>
            <w:vAlign w:val="bottom"/>
            <w:tcBorders>
              <w:top w:val="single" w:sz="8" w:color="D1D2D4"/>
              <w:bottom w:val="single" w:sz="8" w:color="D1D2D4"/>
            </w:tcBorders>
            <w:shd w:val="clear" w:color="auto" w:fill="D1D2D4"/>
          </w:tcPr>
          <w:p>
            <w:pPr>
              <w:spacing w:after="0"/>
              <w:rPr>
                <w:sz w:val="13"/>
                <w:szCs w:val="13"/>
                <w:color w:val="auto"/>
              </w:rPr>
            </w:pPr>
          </w:p>
        </w:tc>
        <w:tc>
          <w:tcPr>
            <w:tcW w:w="580" w:type="dxa"/>
            <w:vAlign w:val="bottom"/>
            <w:tcBorders>
              <w:top w:val="single" w:sz="8" w:color="auto"/>
              <w:bottom w:val="single" w:sz="8" w:color="auto"/>
            </w:tcBorders>
            <w:shd w:val="clear" w:color="auto" w:fill="D1D2D4"/>
          </w:tcPr>
          <w:p>
            <w:pPr>
              <w:spacing w:after="0"/>
              <w:rPr>
                <w:sz w:val="13"/>
                <w:szCs w:val="13"/>
                <w:color w:val="auto"/>
              </w:rPr>
            </w:pPr>
          </w:p>
        </w:tc>
        <w:tc>
          <w:tcPr>
            <w:tcW w:w="8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1,104</w:t>
            </w:r>
          </w:p>
        </w:tc>
        <w:tc>
          <w:tcPr>
            <w:tcW w:w="560" w:type="dxa"/>
            <w:vAlign w:val="bottom"/>
            <w:tcBorders>
              <w:top w:val="single" w:sz="8" w:color="auto"/>
              <w:bottom w:val="single" w:sz="8" w:color="auto"/>
            </w:tcBorders>
            <w:shd w:val="clear" w:color="auto" w:fill="D1D2D4"/>
          </w:tcPr>
          <w:p>
            <w:pPr>
              <w:spacing w:after="0"/>
              <w:rPr>
                <w:sz w:val="13"/>
                <w:szCs w:val="13"/>
                <w:color w:val="auto"/>
              </w:rPr>
            </w:pPr>
          </w:p>
        </w:tc>
        <w:tc>
          <w:tcPr>
            <w:tcW w:w="9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1,092</w:t>
            </w:r>
          </w:p>
        </w:tc>
      </w:tr>
      <w:tr>
        <w:trPr>
          <w:trHeight w:val="153"/>
        </w:trPr>
        <w:tc>
          <w:tcPr>
            <w:tcW w:w="5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Earnings (loss) per share</w:t>
            </w:r>
          </w:p>
        </w:tc>
        <w:tc>
          <w:tcPr>
            <w:tcW w:w="580" w:type="dxa"/>
            <w:vAlign w:val="bottom"/>
            <w:shd w:val="clear" w:color="auto" w:fill="D1D2D4"/>
          </w:tcPr>
          <w:p>
            <w:pPr>
              <w:spacing w:after="0"/>
              <w:rPr>
                <w:sz w:val="13"/>
                <w:szCs w:val="13"/>
                <w:color w:val="auto"/>
              </w:rPr>
            </w:pPr>
          </w:p>
        </w:tc>
        <w:tc>
          <w:tcPr>
            <w:tcW w:w="84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84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5480" w:type="dxa"/>
            <w:vAlign w:val="bottom"/>
          </w:tcPr>
          <w:p>
            <w:pPr>
              <w:ind w:left="200"/>
              <w:spacing w:after="0"/>
              <w:rPr>
                <w:sz w:val="20"/>
                <w:szCs w:val="20"/>
                <w:color w:val="auto"/>
              </w:rPr>
            </w:pPr>
            <w:r>
              <w:rPr>
                <w:rFonts w:ascii="Arial" w:cs="Arial" w:eastAsia="Arial" w:hAnsi="Arial"/>
                <w:sz w:val="12"/>
                <w:szCs w:val="12"/>
                <w:color w:val="auto"/>
              </w:rPr>
              <w:t>Basic</w:t>
            </w: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0.30</w:t>
            </w:r>
          </w:p>
        </w:tc>
        <w:tc>
          <w:tcPr>
            <w:tcW w:w="5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3"/>
                <w:szCs w:val="13"/>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(0.10)</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(4.03)</w:t>
            </w:r>
          </w:p>
        </w:tc>
      </w:tr>
      <w:tr>
        <w:trPr>
          <w:trHeight w:val="153"/>
        </w:trPr>
        <w:tc>
          <w:tcPr>
            <w:tcW w:w="5480" w:type="dxa"/>
            <w:vAlign w:val="bottom"/>
            <w:shd w:val="clear" w:color="auto" w:fill="D1D2D4"/>
          </w:tcPr>
          <w:p>
            <w:pPr>
              <w:ind w:left="200"/>
              <w:spacing w:after="0"/>
              <w:rPr>
                <w:sz w:val="20"/>
                <w:szCs w:val="20"/>
                <w:color w:val="auto"/>
              </w:rPr>
            </w:pPr>
            <w:r>
              <w:rPr>
                <w:rFonts w:ascii="Arial" w:cs="Arial" w:eastAsia="Arial" w:hAnsi="Arial"/>
                <w:sz w:val="12"/>
                <w:szCs w:val="12"/>
                <w:color w:val="auto"/>
              </w:rPr>
              <w:t>Diluted</w:t>
            </w:r>
          </w:p>
        </w:tc>
        <w:tc>
          <w:tcPr>
            <w:tcW w:w="580" w:type="dxa"/>
            <w:vAlign w:val="bottom"/>
            <w:shd w:val="clear" w:color="auto" w:fill="D1D2D4"/>
          </w:tcPr>
          <w:p>
            <w:pPr>
              <w:spacing w:after="0"/>
              <w:rPr>
                <w:sz w:val="13"/>
                <w:szCs w:val="13"/>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0.30</w:t>
            </w:r>
          </w:p>
        </w:tc>
        <w:tc>
          <w:tcPr>
            <w:tcW w:w="56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(1.73)</w:t>
            </w:r>
          </w:p>
        </w:tc>
        <w:tc>
          <w:tcPr>
            <w:tcW w:w="80" w:type="dxa"/>
            <w:vAlign w:val="bottom"/>
            <w:shd w:val="clear" w:color="auto" w:fill="D1D2D4"/>
          </w:tcPr>
          <w:p>
            <w:pPr>
              <w:spacing w:after="0"/>
              <w:rPr>
                <w:sz w:val="13"/>
                <w:szCs w:val="13"/>
                <w:color w:val="auto"/>
              </w:rPr>
            </w:pPr>
          </w:p>
        </w:tc>
        <w:tc>
          <w:tcPr>
            <w:tcW w:w="580" w:type="dxa"/>
            <w:vAlign w:val="bottom"/>
            <w:shd w:val="clear" w:color="auto" w:fill="D1D2D4"/>
          </w:tcPr>
          <w:p>
            <w:pPr>
              <w:spacing w:after="0"/>
              <w:rPr>
                <w:sz w:val="13"/>
                <w:szCs w:val="13"/>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(0.10)</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(4.03)</w:t>
            </w:r>
          </w:p>
        </w:tc>
      </w:tr>
    </w:tbl>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Antidilutive potential common shares excluded from the computation of diluted earnings per share, that could dilute basic earnings per share in the future, were 1 million and 31 million for the third quarter and first nine months of 2024, respectively, and were 31 million and 33 million for the third quarter and first nine months of 2023,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Segment and Other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Segment information reported herein is consistent with how it is reviewed and evaluated by our chief operating decision maker. We have the following four business units, which are our reportable segments: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Compute and Networking Business Unit (“CNBU”)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memory products and solutions sold into the client, cloud server, enterprise, graphics, and networking markets.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Mobile Business Unit (“MBU”)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memory and storage products sold into the smartphone and other mobile-device markets.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Embedded Business Unit (“EBU”)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memory and storage products and solutions sold into the automotive, industrial, and consumer markets.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Storage Business Unit (“SBU”)</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Includes SSDs and component-level solutions sold into the enterprise and cloud, client, and consumer storage markets.</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6" w:name="page27"/>
    <w:bookmarkEnd w:id="26"/>
    <w:p>
      <w:pPr>
        <w:ind w:left="10400"/>
        <w:spacing w:after="0"/>
        <w:rPr>
          <w:sz w:val="20"/>
          <w:szCs w:val="20"/>
          <w:color w:val="auto"/>
        </w:rPr>
      </w:pPr>
      <w:r>
        <w:rPr>
          <w:rFonts w:ascii="Arial" w:cs="Arial" w:eastAsia="Arial" w:hAnsi="Arial"/>
          <w:sz w:val="10"/>
          <w:szCs w:val="10"/>
          <w:b w:val="1"/>
          <w:bCs w:val="1"/>
          <w:u w:val="single" w:color="auto"/>
          <w:color w:val="BD03F7"/>
        </w:rPr>
        <w:t>Table of Contents</w:t>
      </w:r>
    </w:p>
    <w:p>
      <w:pPr>
        <w:sectPr>
          <w:pgSz w:w="11900" w:h="16838" w:orient="portrait"/>
          <w:cols w:equalWidth="0" w:num="1">
            <w:col w:w="11300"/>
          </w:cols>
          <w:pgMar w:left="300" w:top="131" w:right="299" w:bottom="1440" w:gutter="0" w:footer="0" w:header="0"/>
        </w:sectPr>
      </w:pPr>
    </w:p>
    <w:p>
      <w:pPr>
        <w:spacing w:after="0" w:line="200" w:lineRule="exact"/>
        <w:rPr>
          <w:sz w:val="20"/>
          <w:szCs w:val="20"/>
          <w:color w:val="auto"/>
        </w:rPr>
      </w:pPr>
    </w:p>
    <w:p>
      <w:pPr>
        <w:spacing w:after="0" w:line="248" w:lineRule="exact"/>
        <w:rPr>
          <w:sz w:val="20"/>
          <w:szCs w:val="20"/>
          <w:color w:val="auto"/>
        </w:rPr>
      </w:pPr>
    </w:p>
    <w:tbl>
      <w:tblPr>
        <w:tblLayout w:type="fixed"/>
        <w:tblInd w:w="5480" w:type="dxa"/>
        <w:tblCellMar>
          <w:top w:w="0" w:type="dxa"/>
          <w:left w:w="0" w:type="dxa"/>
          <w:bottom w:w="0" w:type="dxa"/>
          <w:right w:w="0" w:type="dxa"/>
        </w:tblCellMar>
      </w:tblPr>
      <w:tr>
        <w:trPr>
          <w:trHeight w:val="157"/>
        </w:trPr>
        <w:tc>
          <w:tcPr>
            <w:tcW w:w="9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Quarter ended</w:t>
            </w:r>
          </w:p>
        </w:tc>
      </w:tr>
      <w:tr>
        <w:trPr>
          <w:trHeight w:val="106"/>
        </w:trPr>
        <w:tc>
          <w:tcPr>
            <w:tcW w:w="980" w:type="dxa"/>
            <w:vAlign w:val="bottom"/>
          </w:tcPr>
          <w:p>
            <w:pPr>
              <w:jc w:val="center"/>
              <w:ind w:left="400"/>
              <w:spacing w:after="0" w:line="106" w:lineRule="exact"/>
              <w:rPr>
                <w:sz w:val="20"/>
                <w:szCs w:val="20"/>
                <w:color w:val="auto"/>
              </w:rPr>
            </w:pPr>
            <w:r>
              <w:rPr>
                <w:rFonts w:ascii="Arial" w:cs="Arial" w:eastAsia="Arial" w:hAnsi="Arial"/>
                <w:sz w:val="12"/>
                <w:szCs w:val="12"/>
                <w:b w:val="1"/>
                <w:bCs w:val="1"/>
                <w:color w:val="auto"/>
              </w:rPr>
              <w:t>May 30,</w:t>
            </w:r>
          </w:p>
        </w:tc>
        <w:tc>
          <w:tcPr>
            <w:tcW w:w="1880" w:type="dxa"/>
            <w:vAlign w:val="bottom"/>
          </w:tcPr>
          <w:p>
            <w:pPr>
              <w:jc w:val="center"/>
              <w:ind w:left="400"/>
              <w:spacing w:after="0" w:line="106" w:lineRule="exact"/>
              <w:rPr>
                <w:sz w:val="20"/>
                <w:szCs w:val="20"/>
                <w:color w:val="auto"/>
              </w:rPr>
            </w:pPr>
            <w:r>
              <w:rPr>
                <w:rFonts w:ascii="Arial" w:cs="Arial" w:eastAsia="Arial" w:hAnsi="Arial"/>
                <w:sz w:val="12"/>
                <w:szCs w:val="12"/>
                <w:b w:val="1"/>
                <w:bCs w:val="1"/>
                <w:color w:val="auto"/>
              </w:rPr>
              <w:t>June 1,</w:t>
            </w:r>
          </w:p>
        </w:tc>
      </w:tr>
      <w:tr>
        <w:trPr>
          <w:trHeight w:val="165"/>
        </w:trPr>
        <w:tc>
          <w:tcPr>
            <w:tcW w:w="980" w:type="dxa"/>
            <w:vAlign w:val="bottom"/>
          </w:tcPr>
          <w:p>
            <w:pPr>
              <w:jc w:val="right"/>
              <w:ind w:right="60"/>
              <w:spacing w:after="0"/>
              <w:rPr>
                <w:sz w:val="20"/>
                <w:szCs w:val="20"/>
                <w:color w:val="auto"/>
              </w:rPr>
            </w:pPr>
            <w:r>
              <w:rPr>
                <w:rFonts w:ascii="Arial" w:cs="Arial" w:eastAsia="Arial" w:hAnsi="Arial"/>
                <w:sz w:val="12"/>
                <w:szCs w:val="12"/>
                <w:b w:val="1"/>
                <w:bCs w:val="1"/>
                <w:color w:val="auto"/>
              </w:rPr>
              <w:t>2024</w:t>
            </w:r>
          </w:p>
        </w:tc>
        <w:tc>
          <w:tcPr>
            <w:tcW w:w="1880" w:type="dxa"/>
            <w:vAlign w:val="bottom"/>
          </w:tcPr>
          <w:p>
            <w:pPr>
              <w:jc w:val="right"/>
              <w:ind w:right="52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530352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035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4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6"/>
              </w:rPr>
              <w:t>May 30,</w:t>
            </w:r>
          </w:p>
        </w:tc>
        <w:tc>
          <w:tcPr>
            <w:tcW w:w="14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June 1,</w:t>
            </w:r>
          </w:p>
        </w:tc>
      </w:tr>
      <w:tr>
        <w:trPr>
          <w:trHeight w:val="165"/>
        </w:trPr>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2024</w:t>
            </w:r>
          </w:p>
        </w:tc>
        <w:tc>
          <w:tcPr>
            <w:tcW w:w="1440" w:type="dxa"/>
            <w:vAlign w:val="bottom"/>
          </w:tcPr>
          <w:p>
            <w:pPr>
              <w:jc w:val="right"/>
              <w:ind w:right="540"/>
              <w:spacing w:after="0"/>
              <w:rPr>
                <w:sz w:val="20"/>
                <w:szCs w:val="20"/>
                <w:color w:val="auto"/>
              </w:rPr>
            </w:pPr>
            <w:r>
              <w:rPr>
                <w:rFonts w:ascii="Arial" w:cs="Arial" w:eastAsia="Arial" w:hAnsi="Arial"/>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18288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8800" cy="571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8340" w:space="80"/>
            <w:col w:w="288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Revenue</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CNBU</w:t>
            </w: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2,573</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1,389</w:t>
            </w:r>
          </w:p>
        </w:tc>
        <w:tc>
          <w:tcPr>
            <w:tcW w:w="8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6,495</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4,510</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MBU</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1,588</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819</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4,479</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2,419</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EBU</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1,294</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912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3,442</w:t>
            </w: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2,777</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SBU</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1,353</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627</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2,911</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1,814</w:t>
            </w:r>
          </w:p>
        </w:tc>
      </w:tr>
      <w:tr>
        <w:trPr>
          <w:trHeight w:val="153"/>
        </w:trPr>
        <w:tc>
          <w:tcPr>
            <w:tcW w:w="5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All Other</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D1D2D4"/>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r>
      <w:tr>
        <w:trPr>
          <w:trHeight w:val="158"/>
        </w:trPr>
        <w:tc>
          <w:tcPr>
            <w:tcW w:w="5480" w:type="dxa"/>
            <w:vAlign w:val="bottom"/>
            <w:tcBorders>
              <w:bottom w:val="single" w:sz="8" w:color="D1D2D4"/>
            </w:tcBorders>
            <w:shd w:val="clear" w:color="auto" w:fill="D1D2D4"/>
          </w:tcPr>
          <w:p>
            <w:pPr>
              <w:spacing w:after="0"/>
              <w:rPr>
                <w:sz w:val="13"/>
                <w:szCs w:val="13"/>
                <w:color w:val="auto"/>
              </w:rPr>
            </w:pPr>
          </w:p>
        </w:tc>
        <w:tc>
          <w:tcPr>
            <w:tcW w:w="580" w:type="dxa"/>
            <w:vAlign w:val="bottom"/>
            <w:tcBorders>
              <w:bottom w:val="single" w:sz="8" w:color="auto"/>
            </w:tcBorders>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6,811</w:t>
            </w:r>
          </w:p>
        </w:tc>
        <w:tc>
          <w:tcPr>
            <w:tcW w:w="540" w:type="dxa"/>
            <w:vAlign w:val="bottom"/>
            <w:tcBorders>
              <w:bottom w:val="single" w:sz="8" w:color="auto"/>
            </w:tcBorders>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3,752</w:t>
            </w:r>
          </w:p>
        </w:tc>
        <w:tc>
          <w:tcPr>
            <w:tcW w:w="80" w:type="dxa"/>
            <w:vAlign w:val="bottom"/>
            <w:tcBorders>
              <w:bottom w:val="single" w:sz="8" w:color="D1D2D4"/>
            </w:tcBorders>
            <w:shd w:val="clear" w:color="auto" w:fill="D1D2D4"/>
          </w:tcPr>
          <w:p>
            <w:pPr>
              <w:spacing w:after="0"/>
              <w:rPr>
                <w:sz w:val="13"/>
                <w:szCs w:val="13"/>
                <w:color w:val="auto"/>
              </w:rPr>
            </w:pPr>
          </w:p>
        </w:tc>
        <w:tc>
          <w:tcPr>
            <w:tcW w:w="540" w:type="dxa"/>
            <w:vAlign w:val="bottom"/>
            <w:tcBorders>
              <w:bottom w:val="single" w:sz="8" w:color="auto"/>
            </w:tcBorders>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17,361</w:t>
            </w:r>
          </w:p>
        </w:tc>
        <w:tc>
          <w:tcPr>
            <w:tcW w:w="560" w:type="dxa"/>
            <w:vAlign w:val="bottom"/>
            <w:tcBorders>
              <w:bottom w:val="single" w:sz="8" w:color="auto"/>
            </w:tcBorders>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11,530</w:t>
            </w:r>
          </w:p>
        </w:tc>
      </w:tr>
      <w:tr>
        <w:trPr>
          <w:trHeight w:val="153"/>
        </w:trPr>
        <w:tc>
          <w:tcPr>
            <w:tcW w:w="5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Operating income (loss)</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CNBU</w:t>
            </w: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442</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(337)</w:t>
            </w:r>
          </w:p>
        </w:tc>
        <w:tc>
          <w:tcPr>
            <w:tcW w:w="8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73</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(182)</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MBU</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301</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(478)</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(395)</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(1,017)</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EBU</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124</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133</w:t>
            </w: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347</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SBU</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76</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(601)</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(631)</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(1,215)</w:t>
            </w:r>
          </w:p>
        </w:tc>
      </w:tr>
      <w:tr>
        <w:trPr>
          <w:trHeight w:val="153"/>
        </w:trPr>
        <w:tc>
          <w:tcPr>
            <w:tcW w:w="5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All Other</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D1D2D4"/>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r>
      <w:tr>
        <w:trPr>
          <w:trHeight w:val="142"/>
        </w:trPr>
        <w:tc>
          <w:tcPr>
            <w:tcW w:w="5480" w:type="dxa"/>
            <w:vAlign w:val="bottom"/>
            <w:shd w:val="clear" w:color="auto" w:fill="D1D2D4"/>
          </w:tcPr>
          <w:p>
            <w:pPr>
              <w:spacing w:after="0"/>
              <w:rPr>
                <w:sz w:val="12"/>
                <w:szCs w:val="12"/>
                <w:color w:val="auto"/>
              </w:rPr>
            </w:pPr>
          </w:p>
        </w:tc>
        <w:tc>
          <w:tcPr>
            <w:tcW w:w="580" w:type="dxa"/>
            <w:vAlign w:val="bottom"/>
            <w:tcBorders>
              <w:bottom w:val="single" w:sz="8" w:color="auto"/>
            </w:tcBorders>
            <w:shd w:val="clear" w:color="auto" w:fill="D1D2D4"/>
          </w:tcPr>
          <w:p>
            <w:pPr>
              <w:spacing w:after="0"/>
              <w:rPr>
                <w:sz w:val="12"/>
                <w:szCs w:val="12"/>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941</w:t>
            </w:r>
          </w:p>
        </w:tc>
        <w:tc>
          <w:tcPr>
            <w:tcW w:w="540" w:type="dxa"/>
            <w:vAlign w:val="bottom"/>
            <w:tcBorders>
              <w:bottom w:val="single" w:sz="8" w:color="auto"/>
            </w:tcBorders>
            <w:shd w:val="clear" w:color="auto" w:fill="D1D2D4"/>
          </w:tcPr>
          <w:p>
            <w:pPr>
              <w:spacing w:after="0"/>
              <w:rPr>
                <w:sz w:val="12"/>
                <w:szCs w:val="12"/>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(1,349)</w:t>
            </w:r>
          </w:p>
        </w:tc>
        <w:tc>
          <w:tcPr>
            <w:tcW w:w="80" w:type="dxa"/>
            <w:vAlign w:val="bottom"/>
            <w:shd w:val="clear" w:color="auto" w:fill="D1D2D4"/>
          </w:tcPr>
          <w:p>
            <w:pPr>
              <w:spacing w:after="0"/>
              <w:rPr>
                <w:sz w:val="12"/>
                <w:szCs w:val="12"/>
                <w:color w:val="auto"/>
              </w:rPr>
            </w:pPr>
          </w:p>
        </w:tc>
        <w:tc>
          <w:tcPr>
            <w:tcW w:w="540" w:type="dxa"/>
            <w:vAlign w:val="bottom"/>
            <w:tcBorders>
              <w:bottom w:val="single" w:sz="8" w:color="auto"/>
            </w:tcBorders>
            <w:shd w:val="clear" w:color="auto" w:fill="D1D2D4"/>
          </w:tcPr>
          <w:p>
            <w:pPr>
              <w:spacing w:after="0"/>
              <w:rPr>
                <w:sz w:val="12"/>
                <w:szCs w:val="12"/>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(797)</w:t>
            </w:r>
          </w:p>
        </w:tc>
        <w:tc>
          <w:tcPr>
            <w:tcW w:w="560" w:type="dxa"/>
            <w:vAlign w:val="bottom"/>
            <w:tcBorders>
              <w:bottom w:val="single" w:sz="8" w:color="auto"/>
            </w:tcBorders>
            <w:shd w:val="clear" w:color="auto" w:fill="D1D2D4"/>
          </w:tcPr>
          <w:p>
            <w:pPr>
              <w:spacing w:after="0"/>
              <w:rPr>
                <w:sz w:val="12"/>
                <w:szCs w:val="12"/>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(2,061)</w:t>
            </w:r>
          </w:p>
        </w:tc>
      </w:tr>
      <w:tr>
        <w:trPr>
          <w:trHeight w:val="151"/>
        </w:trPr>
        <w:tc>
          <w:tcPr>
            <w:tcW w:w="5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5480" w:type="dxa"/>
            <w:vAlign w:val="bottom"/>
            <w:shd w:val="clear" w:color="auto" w:fill="D1D2D4"/>
          </w:tcPr>
          <w:p>
            <w:pPr>
              <w:spacing w:after="0"/>
              <w:rPr>
                <w:sz w:val="20"/>
                <w:szCs w:val="20"/>
                <w:color w:val="auto"/>
              </w:rPr>
            </w:pPr>
            <w:r>
              <w:rPr>
                <w:rFonts w:ascii="Arial" w:cs="Arial" w:eastAsia="Arial" w:hAnsi="Arial"/>
                <w:sz w:val="12"/>
                <w:szCs w:val="12"/>
                <w:color w:val="auto"/>
              </w:rPr>
              <w:t>Unallocated</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spacing w:after="0"/>
              <w:rPr>
                <w:sz w:val="13"/>
                <w:szCs w:val="13"/>
                <w:color w:val="auto"/>
              </w:rPr>
            </w:pP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(217)</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(608)</w:t>
            </w: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(413)</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Restructure and asset impairments</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(167)</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Provision to write-down inventories to net realizable value</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(401)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(1,831)</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Lower costs from sale of inventory written down in prior periods</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281</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987</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281</w:t>
            </w:r>
          </w:p>
        </w:tc>
      </w:tr>
      <w:tr>
        <w:trPr>
          <w:trHeight w:val="153"/>
        </w:trPr>
        <w:tc>
          <w:tcPr>
            <w:tcW w:w="5480" w:type="dxa"/>
            <w:vAlign w:val="bottom"/>
          </w:tcPr>
          <w:p>
            <w:pPr>
              <w:ind w:left="80"/>
              <w:spacing w:after="0"/>
              <w:rPr>
                <w:sz w:val="20"/>
                <w:szCs w:val="20"/>
                <w:color w:val="auto"/>
              </w:rPr>
            </w:pPr>
            <w:r>
              <w:rPr>
                <w:rFonts w:ascii="Arial" w:cs="Arial" w:eastAsia="Arial" w:hAnsi="Arial"/>
                <w:sz w:val="12"/>
                <w:szCs w:val="12"/>
                <w:color w:val="auto"/>
              </w:rPr>
              <w:t>Patent cross-license agreement gain</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200</w:t>
            </w:r>
          </w:p>
        </w:tc>
        <w:tc>
          <w:tcPr>
            <w:tcW w:w="5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480" w:type="dxa"/>
            <w:vAlign w:val="bottom"/>
            <w:shd w:val="clear" w:color="auto" w:fill="D1D2D4"/>
          </w:tcPr>
          <w:p>
            <w:pPr>
              <w:ind w:left="80"/>
              <w:spacing w:after="0"/>
              <w:rPr>
                <w:sz w:val="20"/>
                <w:szCs w:val="20"/>
                <w:color w:val="auto"/>
              </w:rPr>
            </w:pPr>
            <w:r>
              <w:rPr>
                <w:rFonts w:ascii="Arial" w:cs="Arial" w:eastAsia="Arial" w:hAnsi="Arial"/>
                <w:sz w:val="12"/>
                <w:szCs w:val="12"/>
                <w:color w:val="auto"/>
              </w:rPr>
              <w:t>Litigation settlement</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c>
          <w:tcPr>
            <w:tcW w:w="80" w:type="dxa"/>
            <w:vAlign w:val="bottom"/>
            <w:shd w:val="clear" w:color="auto" w:fill="D1D2D4"/>
          </w:tcPr>
          <w:p>
            <w:pPr>
              <w:spacing w:after="0"/>
              <w:rPr>
                <w:sz w:val="13"/>
                <w:szCs w:val="13"/>
                <w:color w:val="auto"/>
              </w:rPr>
            </w:pPr>
          </w:p>
        </w:tc>
        <w:tc>
          <w:tcPr>
            <w:tcW w:w="540" w:type="dxa"/>
            <w:vAlign w:val="bottom"/>
            <w:shd w:val="clear" w:color="auto" w:fill="D1D2D4"/>
          </w:tcPr>
          <w:p>
            <w:pPr>
              <w:spacing w:after="0"/>
              <w:rPr>
                <w:sz w:val="13"/>
                <w:szCs w:val="13"/>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r>
      <w:tr>
        <w:trPr>
          <w:trHeight w:val="153"/>
        </w:trPr>
        <w:tc>
          <w:tcPr>
            <w:tcW w:w="5480" w:type="dxa"/>
            <w:vAlign w:val="bottom"/>
            <w:tcBorders>
              <w:bottom w:val="single" w:sz="8" w:color="D1D2D4"/>
            </w:tcBorders>
          </w:tcPr>
          <w:p>
            <w:pPr>
              <w:ind w:left="80"/>
              <w:spacing w:after="0"/>
              <w:rPr>
                <w:sz w:val="20"/>
                <w:szCs w:val="20"/>
                <w:color w:val="auto"/>
              </w:rPr>
            </w:pPr>
            <w:r>
              <w:rPr>
                <w:rFonts w:ascii="Arial" w:cs="Arial" w:eastAsia="Arial" w:hAnsi="Arial"/>
                <w:sz w:val="12"/>
                <w:szCs w:val="12"/>
                <w:color w:val="auto"/>
              </w:rPr>
              <w:t>Other</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D1D2D4"/>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r>
      <w:tr>
        <w:trPr>
          <w:trHeight w:val="142"/>
        </w:trPr>
        <w:tc>
          <w:tcPr>
            <w:tcW w:w="5480" w:type="dxa"/>
            <w:vAlign w:val="bottom"/>
            <w:shd w:val="clear" w:color="auto" w:fill="D1D2D4"/>
          </w:tcPr>
          <w:p>
            <w:pPr>
              <w:spacing w:after="0"/>
              <w:rPr>
                <w:sz w:val="12"/>
                <w:szCs w:val="12"/>
                <w:color w:val="auto"/>
              </w:rPr>
            </w:pPr>
          </w:p>
        </w:tc>
        <w:tc>
          <w:tcPr>
            <w:tcW w:w="580" w:type="dxa"/>
            <w:vAlign w:val="bottom"/>
            <w:tcBorders>
              <w:bottom w:val="single" w:sz="8" w:color="auto"/>
            </w:tcBorders>
            <w:shd w:val="clear" w:color="auto" w:fill="D1D2D4"/>
          </w:tcPr>
          <w:p>
            <w:pPr>
              <w:spacing w:after="0"/>
              <w:rPr>
                <w:sz w:val="12"/>
                <w:szCs w:val="12"/>
                <w:color w:val="auto"/>
              </w:rPr>
            </w:pP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(222)</w:t>
            </w:r>
          </w:p>
        </w:tc>
        <w:tc>
          <w:tcPr>
            <w:tcW w:w="540" w:type="dxa"/>
            <w:vAlign w:val="bottom"/>
            <w:tcBorders>
              <w:bottom w:val="single" w:sz="8" w:color="auto"/>
            </w:tcBorders>
            <w:shd w:val="clear" w:color="auto" w:fill="D1D2D4"/>
          </w:tcPr>
          <w:p>
            <w:pPr>
              <w:spacing w:after="0"/>
              <w:rPr>
                <w:sz w:val="12"/>
                <w:szCs w:val="12"/>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(412)</w:t>
            </w:r>
          </w:p>
        </w:tc>
        <w:tc>
          <w:tcPr>
            <w:tcW w:w="80" w:type="dxa"/>
            <w:vAlign w:val="bottom"/>
            <w:shd w:val="clear" w:color="auto" w:fill="D1D2D4"/>
          </w:tcPr>
          <w:p>
            <w:pPr>
              <w:spacing w:after="0"/>
              <w:rPr>
                <w:sz w:val="12"/>
                <w:szCs w:val="12"/>
                <w:color w:val="auto"/>
              </w:rPr>
            </w:pPr>
          </w:p>
        </w:tc>
        <w:tc>
          <w:tcPr>
            <w:tcW w:w="540" w:type="dxa"/>
            <w:vAlign w:val="bottom"/>
            <w:tcBorders>
              <w:bottom w:val="single" w:sz="8" w:color="auto"/>
            </w:tcBorders>
            <w:shd w:val="clear" w:color="auto" w:fill="D1D2D4"/>
          </w:tcPr>
          <w:p>
            <w:pPr>
              <w:spacing w:after="0"/>
              <w:rPr>
                <w:sz w:val="12"/>
                <w:szCs w:val="12"/>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579</w:t>
            </w:r>
          </w:p>
        </w:tc>
        <w:tc>
          <w:tcPr>
            <w:tcW w:w="560" w:type="dxa"/>
            <w:vAlign w:val="bottom"/>
            <w:tcBorders>
              <w:bottom w:val="single" w:sz="8" w:color="auto"/>
            </w:tcBorders>
            <w:shd w:val="clear" w:color="auto" w:fill="D1D2D4"/>
          </w:tcPr>
          <w:p>
            <w:pPr>
              <w:spacing w:after="0"/>
              <w:rPr>
                <w:sz w:val="12"/>
                <w:szCs w:val="12"/>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(2,212)</w:t>
            </w:r>
          </w:p>
        </w:tc>
      </w:tr>
      <w:tr>
        <w:trPr>
          <w:trHeight w:val="151"/>
        </w:trPr>
        <w:tc>
          <w:tcPr>
            <w:tcW w:w="5480" w:type="dxa"/>
            <w:vAlign w:val="bottom"/>
            <w:tcBorders>
              <w:bottom w:val="single" w:sz="8" w:color="D1D2D4"/>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D1D2D4"/>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8"/>
        </w:trPr>
        <w:tc>
          <w:tcPr>
            <w:tcW w:w="548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2"/>
                <w:szCs w:val="12"/>
                <w:color w:val="auto"/>
              </w:rPr>
              <w:t>Operating income (loss)</w:t>
            </w:r>
          </w:p>
        </w:tc>
        <w:tc>
          <w:tcPr>
            <w:tcW w:w="580" w:type="dxa"/>
            <w:vAlign w:val="bottom"/>
            <w:tcBorders>
              <w:bottom w:val="single" w:sz="8" w:color="auto"/>
            </w:tcBorders>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719</w:t>
            </w:r>
          </w:p>
        </w:tc>
        <w:tc>
          <w:tcPr>
            <w:tcW w:w="540" w:type="dxa"/>
            <w:vAlign w:val="bottom"/>
            <w:tcBorders>
              <w:bottom w:val="single" w:sz="8" w:color="auto"/>
            </w:tcBorders>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(1,761)</w:t>
            </w:r>
          </w:p>
        </w:tc>
        <w:tc>
          <w:tcPr>
            <w:tcW w:w="80" w:type="dxa"/>
            <w:vAlign w:val="bottom"/>
            <w:tcBorders>
              <w:bottom w:val="single" w:sz="8" w:color="D1D2D4"/>
            </w:tcBorders>
            <w:shd w:val="clear" w:color="auto" w:fill="D1D2D4"/>
          </w:tcPr>
          <w:p>
            <w:pPr>
              <w:spacing w:after="0"/>
              <w:rPr>
                <w:sz w:val="13"/>
                <w:szCs w:val="13"/>
                <w:color w:val="auto"/>
              </w:rPr>
            </w:pPr>
          </w:p>
        </w:tc>
        <w:tc>
          <w:tcPr>
            <w:tcW w:w="540" w:type="dxa"/>
            <w:vAlign w:val="bottom"/>
            <w:tcBorders>
              <w:bottom w:val="single" w:sz="8" w:color="auto"/>
            </w:tcBorders>
            <w:shd w:val="clear" w:color="auto" w:fill="D1D2D4"/>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(218)</w:t>
            </w:r>
          </w:p>
        </w:tc>
        <w:tc>
          <w:tcPr>
            <w:tcW w:w="560" w:type="dxa"/>
            <w:vAlign w:val="bottom"/>
            <w:tcBorders>
              <w:bottom w:val="single" w:sz="8" w:color="auto"/>
            </w:tcBorders>
            <w:shd w:val="clear" w:color="auto" w:fill="D1D2D4"/>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(4,273)</w:t>
            </w:r>
          </w:p>
        </w:tc>
      </w:tr>
    </w:tbl>
    <w:p>
      <w:pPr>
        <w:spacing w:after="0" w:line="37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Certain Concentrations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40" w:type="dxa"/>
            <w:vAlign w:val="bottom"/>
          </w:tcPr>
          <w:p>
            <w:pPr>
              <w:spacing w:after="0"/>
              <w:rPr>
                <w:sz w:val="20"/>
                <w:szCs w:val="20"/>
                <w:color w:val="auto"/>
              </w:rPr>
            </w:pPr>
            <w:r>
              <w:rPr>
                <w:rFonts w:ascii="Arial" w:cs="Arial" w:eastAsia="Arial" w:hAnsi="Arial"/>
                <w:sz w:val="12"/>
                <w:szCs w:val="12"/>
                <w:color w:val="auto"/>
              </w:rPr>
              <w:t>Revenue by end market as an approximate percentage of total revenue is presented in the table below:</w:t>
            </w: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140" w:type="dxa"/>
            <w:vAlign w:val="bottom"/>
            <w:vMerge w:val="restart"/>
          </w:tcPr>
          <w:p>
            <w:pPr>
              <w:spacing w:after="0"/>
              <w:rPr>
                <w:sz w:val="20"/>
                <w:szCs w:val="20"/>
                <w:color w:val="auto"/>
              </w:rPr>
            </w:pPr>
            <w:r>
              <w:rPr>
                <w:rFonts w:ascii="Arial" w:cs="Arial" w:eastAsia="Arial" w:hAnsi="Arial"/>
                <w:sz w:val="12"/>
                <w:szCs w:val="12"/>
                <w:b w:val="1"/>
                <w:bCs w:val="1"/>
                <w:color w:val="auto"/>
              </w:rPr>
              <w:t>Nine months ended</w:t>
            </w:r>
          </w:p>
        </w:tc>
        <w:tc>
          <w:tcPr>
            <w:tcW w:w="2220" w:type="dxa"/>
            <w:vAlign w:val="bottom"/>
          </w:tcPr>
          <w:p>
            <w:pPr>
              <w:jc w:val="center"/>
              <w:ind w:left="1480"/>
              <w:spacing w:after="0" w:line="133" w:lineRule="exact"/>
              <w:rPr>
                <w:sz w:val="20"/>
                <w:szCs w:val="20"/>
                <w:color w:val="auto"/>
              </w:rPr>
            </w:pPr>
            <w:r>
              <w:rPr>
                <w:rFonts w:ascii="Arial" w:cs="Arial" w:eastAsia="Arial" w:hAnsi="Arial"/>
                <w:sz w:val="12"/>
                <w:szCs w:val="12"/>
                <w:b w:val="1"/>
                <w:bCs w:val="1"/>
                <w:color w:val="auto"/>
              </w:rPr>
              <w:t>May 30,</w:t>
            </w:r>
          </w:p>
        </w:tc>
        <w:tc>
          <w:tcPr>
            <w:tcW w:w="680" w:type="dxa"/>
            <w:vAlign w:val="bottom"/>
          </w:tcPr>
          <w:p>
            <w:pPr>
              <w:spacing w:after="0"/>
              <w:rPr>
                <w:sz w:val="11"/>
                <w:szCs w:val="11"/>
                <w:color w:val="auto"/>
              </w:rPr>
            </w:pPr>
          </w:p>
        </w:tc>
        <w:tc>
          <w:tcPr>
            <w:tcW w:w="1260" w:type="dxa"/>
            <w:vAlign w:val="bottom"/>
          </w:tcPr>
          <w:p>
            <w:pPr>
              <w:jc w:val="right"/>
              <w:ind w:right="500"/>
              <w:spacing w:after="0" w:line="133" w:lineRule="exact"/>
              <w:rPr>
                <w:sz w:val="20"/>
                <w:szCs w:val="20"/>
                <w:color w:val="auto"/>
              </w:rPr>
            </w:pPr>
            <w:r>
              <w:rPr>
                <w:rFonts w:ascii="Arial" w:cs="Arial" w:eastAsia="Arial" w:hAnsi="Arial"/>
                <w:sz w:val="12"/>
                <w:szCs w:val="12"/>
                <w:b w:val="1"/>
                <w:bCs w:val="1"/>
                <w:color w:val="auto"/>
              </w:rPr>
              <w:t>June 1,</w:t>
            </w:r>
          </w:p>
        </w:tc>
        <w:tc>
          <w:tcPr>
            <w:tcW w:w="0" w:type="dxa"/>
            <w:vAlign w:val="bottom"/>
          </w:tcPr>
          <w:p>
            <w:pPr>
              <w:spacing w:after="0"/>
              <w:rPr>
                <w:sz w:val="1"/>
                <w:szCs w:val="1"/>
                <w:color w:val="auto"/>
              </w:rPr>
            </w:pPr>
          </w:p>
        </w:tc>
      </w:tr>
      <w:tr>
        <w:trPr>
          <w:trHeight w:val="170"/>
        </w:trPr>
        <w:tc>
          <w:tcPr>
            <w:tcW w:w="7140" w:type="dxa"/>
            <w:vAlign w:val="bottom"/>
            <w:tcBorders>
              <w:bottom w:val="single" w:sz="8" w:color="auto"/>
            </w:tcBorders>
            <w:vMerge w:val="continue"/>
          </w:tcPr>
          <w:p>
            <w:pPr>
              <w:spacing w:after="0"/>
              <w:rPr>
                <w:sz w:val="14"/>
                <w:szCs w:val="14"/>
                <w:color w:val="auto"/>
              </w:rPr>
            </w:pPr>
          </w:p>
        </w:tc>
        <w:tc>
          <w:tcPr>
            <w:tcW w:w="22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2024</w:t>
            </w: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61"/>
        </w:trPr>
        <w:tc>
          <w:tcPr>
            <w:tcW w:w="7140" w:type="dxa"/>
            <w:vAlign w:val="bottom"/>
            <w:shd w:val="clear" w:color="auto" w:fill="D1D2D4"/>
          </w:tcPr>
          <w:p>
            <w:pPr>
              <w:spacing w:after="0"/>
              <w:rPr>
                <w:sz w:val="20"/>
                <w:szCs w:val="20"/>
                <w:color w:val="auto"/>
              </w:rPr>
            </w:pPr>
            <w:r>
              <w:rPr>
                <w:rFonts w:ascii="Arial" w:cs="Arial" w:eastAsia="Arial" w:hAnsi="Arial"/>
                <w:sz w:val="12"/>
                <w:szCs w:val="12"/>
                <w:color w:val="auto"/>
              </w:rPr>
              <w:t>Mobile</w:t>
            </w:r>
          </w:p>
        </w:tc>
        <w:tc>
          <w:tcPr>
            <w:tcW w:w="2220" w:type="dxa"/>
            <w:vAlign w:val="bottom"/>
            <w:shd w:val="clear" w:color="auto" w:fill="D1D2D4"/>
          </w:tcPr>
          <w:p>
            <w:pPr>
              <w:spacing w:after="0"/>
              <w:rPr>
                <w:sz w:val="14"/>
                <w:szCs w:val="14"/>
                <w:color w:val="auto"/>
              </w:rPr>
            </w:pPr>
          </w:p>
        </w:tc>
        <w:tc>
          <w:tcPr>
            <w:tcW w:w="680" w:type="dxa"/>
            <w:vAlign w:val="bottom"/>
            <w:shd w:val="clear" w:color="auto" w:fill="D1D2D4"/>
          </w:tcPr>
          <w:p>
            <w:pPr>
              <w:jc w:val="right"/>
              <w:ind w:right="220"/>
              <w:spacing w:after="0"/>
              <w:rPr>
                <w:sz w:val="20"/>
                <w:szCs w:val="20"/>
                <w:color w:val="auto"/>
              </w:rPr>
            </w:pPr>
            <w:r>
              <w:rPr>
                <w:rFonts w:ascii="Arial" w:cs="Arial" w:eastAsia="Arial" w:hAnsi="Arial"/>
                <w:sz w:val="12"/>
                <w:szCs w:val="12"/>
                <w:color w:val="auto"/>
              </w:rPr>
              <w:t>25 %</w:t>
            </w: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Automotive, industrial, and consumer</w:t>
            </w:r>
          </w:p>
        </w:tc>
        <w:tc>
          <w:tcPr>
            <w:tcW w:w="2220" w:type="dxa"/>
            <w:vAlign w:val="bottom"/>
          </w:tcPr>
          <w:p>
            <w:pPr>
              <w:spacing w:after="0"/>
              <w:rPr>
                <w:sz w:val="13"/>
                <w:szCs w:val="13"/>
                <w:color w:val="auto"/>
              </w:rPr>
            </w:pPr>
          </w:p>
        </w:tc>
        <w:tc>
          <w:tcPr>
            <w:tcW w:w="680" w:type="dxa"/>
            <w:vAlign w:val="bottom"/>
          </w:tcPr>
          <w:p>
            <w:pPr>
              <w:jc w:val="right"/>
              <w:ind w:right="220"/>
              <w:spacing w:after="0"/>
              <w:rPr>
                <w:sz w:val="20"/>
                <w:szCs w:val="20"/>
                <w:color w:val="auto"/>
              </w:rPr>
            </w:pPr>
            <w:r>
              <w:rPr>
                <w:rFonts w:ascii="Arial" w:cs="Arial" w:eastAsia="Arial" w:hAnsi="Arial"/>
                <w:sz w:val="12"/>
                <w:szCs w:val="12"/>
                <w:color w:val="auto"/>
              </w:rPr>
              <w:t>20 %</w:t>
            </w:r>
          </w:p>
        </w:tc>
        <w:tc>
          <w:tcPr>
            <w:tcW w:w="1260" w:type="dxa"/>
            <w:vAlign w:val="bottom"/>
          </w:tcPr>
          <w:p>
            <w:pPr>
              <w:jc w:val="right"/>
              <w:spacing w:after="0"/>
              <w:rPr>
                <w:sz w:val="20"/>
                <w:szCs w:val="20"/>
                <w:color w:val="auto"/>
              </w:rPr>
            </w:pPr>
            <w:r>
              <w:rPr>
                <w:rFonts w:ascii="Arial" w:cs="Arial" w:eastAsia="Arial" w:hAnsi="Arial"/>
                <w:sz w:val="12"/>
                <w:szCs w:val="12"/>
                <w:color w:val="auto"/>
              </w:rPr>
              <w:t>25 %</w:t>
            </w:r>
          </w:p>
        </w:tc>
        <w:tc>
          <w:tcPr>
            <w:tcW w:w="0" w:type="dxa"/>
            <w:vAlign w:val="bottom"/>
          </w:tcPr>
          <w:p>
            <w:pPr>
              <w:spacing w:after="0"/>
              <w:rPr>
                <w:sz w:val="1"/>
                <w:szCs w:val="1"/>
                <w:color w:val="auto"/>
              </w:rPr>
            </w:pPr>
          </w:p>
        </w:tc>
      </w:tr>
      <w:tr>
        <w:trPr>
          <w:trHeight w:val="153"/>
        </w:trPr>
        <w:tc>
          <w:tcPr>
            <w:tcW w:w="7140" w:type="dxa"/>
            <w:vAlign w:val="bottom"/>
            <w:shd w:val="clear" w:color="auto" w:fill="D1D2D4"/>
          </w:tcPr>
          <w:p>
            <w:pPr>
              <w:spacing w:after="0"/>
              <w:rPr>
                <w:sz w:val="20"/>
                <w:szCs w:val="20"/>
                <w:color w:val="auto"/>
              </w:rPr>
            </w:pPr>
            <w:r>
              <w:rPr>
                <w:rFonts w:ascii="Arial" w:cs="Arial" w:eastAsia="Arial" w:hAnsi="Arial"/>
                <w:sz w:val="12"/>
                <w:szCs w:val="12"/>
                <w:color w:val="auto"/>
              </w:rPr>
              <w:t>Enterprise and cloud server</w:t>
            </w:r>
          </w:p>
        </w:tc>
        <w:tc>
          <w:tcPr>
            <w:tcW w:w="2220" w:type="dxa"/>
            <w:vAlign w:val="bottom"/>
            <w:shd w:val="clear" w:color="auto" w:fill="D1D2D4"/>
          </w:tcPr>
          <w:p>
            <w:pPr>
              <w:spacing w:after="0"/>
              <w:rPr>
                <w:sz w:val="13"/>
                <w:szCs w:val="13"/>
                <w:color w:val="auto"/>
              </w:rPr>
            </w:pPr>
          </w:p>
        </w:tc>
        <w:tc>
          <w:tcPr>
            <w:tcW w:w="680" w:type="dxa"/>
            <w:vAlign w:val="bottom"/>
            <w:shd w:val="clear" w:color="auto" w:fill="D1D2D4"/>
          </w:tcPr>
          <w:p>
            <w:pPr>
              <w:jc w:val="right"/>
              <w:ind w:right="220"/>
              <w:spacing w:after="0"/>
              <w:rPr>
                <w:sz w:val="20"/>
                <w:szCs w:val="20"/>
                <w:color w:val="auto"/>
              </w:rPr>
            </w:pPr>
            <w:r>
              <w:rPr>
                <w:rFonts w:ascii="Arial" w:cs="Arial" w:eastAsia="Arial" w:hAnsi="Arial"/>
                <w:sz w:val="12"/>
                <w:szCs w:val="12"/>
                <w:color w:val="auto"/>
              </w:rPr>
              <w:t>20 %</w:t>
            </w: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Client and graphics</w:t>
            </w:r>
          </w:p>
        </w:tc>
        <w:tc>
          <w:tcPr>
            <w:tcW w:w="2220" w:type="dxa"/>
            <w:vAlign w:val="bottom"/>
          </w:tcPr>
          <w:p>
            <w:pPr>
              <w:spacing w:after="0"/>
              <w:rPr>
                <w:sz w:val="13"/>
                <w:szCs w:val="13"/>
                <w:color w:val="auto"/>
              </w:rPr>
            </w:pPr>
          </w:p>
        </w:tc>
        <w:tc>
          <w:tcPr>
            <w:tcW w:w="680" w:type="dxa"/>
            <w:vAlign w:val="bottom"/>
          </w:tcPr>
          <w:p>
            <w:pPr>
              <w:jc w:val="right"/>
              <w:ind w:right="220"/>
              <w:spacing w:after="0"/>
              <w:rPr>
                <w:sz w:val="20"/>
                <w:szCs w:val="20"/>
                <w:color w:val="auto"/>
              </w:rPr>
            </w:pPr>
            <w:r>
              <w:rPr>
                <w:rFonts w:ascii="Arial" w:cs="Arial" w:eastAsia="Arial" w:hAnsi="Arial"/>
                <w:sz w:val="12"/>
                <w:szCs w:val="12"/>
                <w:color w:val="auto"/>
              </w:rPr>
              <w:t>15 %</w:t>
            </w:r>
          </w:p>
        </w:tc>
        <w:tc>
          <w:tcPr>
            <w:tcW w:w="1260" w:type="dxa"/>
            <w:vAlign w:val="bottom"/>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7140" w:type="dxa"/>
            <w:vAlign w:val="bottom"/>
            <w:shd w:val="clear" w:color="auto" w:fill="D1D2D4"/>
          </w:tcPr>
          <w:p>
            <w:pPr>
              <w:spacing w:after="0"/>
              <w:rPr>
                <w:sz w:val="20"/>
                <w:szCs w:val="20"/>
                <w:color w:val="auto"/>
              </w:rPr>
            </w:pPr>
            <w:r>
              <w:rPr>
                <w:rFonts w:ascii="Arial" w:cs="Arial" w:eastAsia="Arial" w:hAnsi="Arial"/>
                <w:sz w:val="12"/>
                <w:szCs w:val="12"/>
                <w:color w:val="auto"/>
              </w:rPr>
              <w:t>SSDs and other storage</w:t>
            </w:r>
          </w:p>
        </w:tc>
        <w:tc>
          <w:tcPr>
            <w:tcW w:w="2220" w:type="dxa"/>
            <w:vAlign w:val="bottom"/>
            <w:shd w:val="clear" w:color="auto" w:fill="D1D2D4"/>
          </w:tcPr>
          <w:p>
            <w:pPr>
              <w:spacing w:after="0"/>
              <w:rPr>
                <w:sz w:val="13"/>
                <w:szCs w:val="13"/>
                <w:color w:val="auto"/>
              </w:rPr>
            </w:pPr>
          </w:p>
        </w:tc>
        <w:tc>
          <w:tcPr>
            <w:tcW w:w="680" w:type="dxa"/>
            <w:vAlign w:val="bottom"/>
            <w:shd w:val="clear" w:color="auto" w:fill="D1D2D4"/>
          </w:tcPr>
          <w:p>
            <w:pPr>
              <w:jc w:val="right"/>
              <w:ind w:right="220"/>
              <w:spacing w:after="0"/>
              <w:rPr>
                <w:sz w:val="20"/>
                <w:szCs w:val="20"/>
                <w:color w:val="auto"/>
              </w:rPr>
            </w:pPr>
            <w:r>
              <w:rPr>
                <w:rFonts w:ascii="Arial" w:cs="Arial" w:eastAsia="Arial" w:hAnsi="Arial"/>
                <w:sz w:val="12"/>
                <w:szCs w:val="12"/>
                <w:color w:val="auto"/>
              </w:rPr>
              <w:t>15 %</w:t>
            </w: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15 %</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Revenue from one customer, which is a distributor, was 11% of total revenue for the first nine months of 2024. No customer accounted for 10% or more of total revenue for the first nine months of 2023.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27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9" w:lineRule="exact"/>
        <w:rPr>
          <w:sz w:val="20"/>
          <w:szCs w:val="20"/>
          <w:color w:val="auto"/>
        </w:rPr>
      </w:pPr>
    </w:p>
    <w:p>
      <w:pPr>
        <w:ind w:right="220"/>
        <w:spacing w:after="0" w:line="266" w:lineRule="auto"/>
        <w:rPr>
          <w:sz w:val="20"/>
          <w:szCs w:val="20"/>
          <w:color w:val="auto"/>
        </w:rPr>
      </w:pPr>
      <w:r>
        <w:rPr>
          <w:rFonts w:ascii="Arial" w:cs="Arial" w:eastAsia="Arial" w:hAnsi="Arial"/>
          <w:sz w:val="12"/>
          <w:szCs w:val="12"/>
          <w:i w:val="1"/>
          <w:iCs w:val="1"/>
          <w:color w:val="auto"/>
        </w:rPr>
        <w:t xml:space="preserve">This discussion should be read in conjunction with the consolidated financial statements and accompanying notes included in our Annual Report on Form 10-K for the year ended August 31, 2023. All period references are to our fiscal periods unless otherwise indicated. Our fiscal year is the 52 or 53-week period ending on the Thursday closest to August 31. Fiscal </w:t>
      </w:r>
      <w:r>
        <w:rPr>
          <w:rFonts w:ascii="Arial" w:cs="Arial" w:eastAsia="Arial" w:hAnsi="Arial"/>
          <w:sz w:val="12"/>
          <w:szCs w:val="12"/>
          <w:color w:val="auto"/>
        </w:rPr>
        <w:t>2024 and 2023</w:t>
      </w:r>
      <w:r>
        <w:rPr>
          <w:rFonts w:ascii="Arial" w:cs="Arial" w:eastAsia="Arial" w:hAnsi="Arial"/>
          <w:sz w:val="12"/>
          <w:szCs w:val="12"/>
          <w:i w:val="1"/>
          <w:iCs w:val="1"/>
          <w:color w:val="auto"/>
        </w:rPr>
        <w:t xml:space="preserve"> each contain 52 weeks. All tabular dollar amounts are in millions, except per share amounts.</w:t>
      </w:r>
    </w:p>
    <w:p>
      <w:pPr>
        <w:spacing w:after="0" w:line="13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Overview</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We are an industry leader in innovative memory and storage solutions transforming how the world uses information to enrich life </w:t>
      </w:r>
      <w:r>
        <w:rPr>
          <w:rFonts w:ascii="Arial" w:cs="Arial" w:eastAsia="Arial" w:hAnsi="Arial"/>
          <w:sz w:val="12"/>
          <w:szCs w:val="12"/>
          <w:i w:val="1"/>
          <w:iCs w:val="1"/>
          <w:color w:val="auto"/>
        </w:rPr>
        <w:t>for all</w:t>
      </w:r>
      <w:r>
        <w:rPr>
          <w:rFonts w:ascii="Arial" w:cs="Arial" w:eastAsia="Arial" w:hAnsi="Arial"/>
          <w:sz w:val="12"/>
          <w:szCs w:val="12"/>
          <w:color w:val="auto"/>
        </w:rPr>
        <w:t>. With a relentless focus on our customers, technology leadership, and</w:t>
      </w:r>
    </w:p>
    <w:p>
      <w:pPr>
        <w:spacing w:after="0" w:line="9" w:lineRule="exact"/>
        <w:rPr>
          <w:sz w:val="20"/>
          <w:szCs w:val="20"/>
          <w:color w:val="auto"/>
        </w:rPr>
      </w:pPr>
    </w:p>
    <w:p>
      <w:pPr>
        <w:ind w:right="60"/>
        <w:spacing w:after="0" w:line="247" w:lineRule="auto"/>
        <w:rPr>
          <w:sz w:val="20"/>
          <w:szCs w:val="20"/>
          <w:color w:val="auto"/>
        </w:rPr>
      </w:pPr>
      <w:r>
        <w:rPr>
          <w:rFonts w:ascii="Arial" w:cs="Arial" w:eastAsia="Arial" w:hAnsi="Arial"/>
          <w:sz w:val="11"/>
          <w:szCs w:val="11"/>
          <w:color w:val="auto"/>
        </w:rPr>
        <w:t>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and across the client and mobile user experience.</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We face intense competition in the semiconductor memory and storage markets.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Technologies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HBM, and wafers. Our system-level solutions, including SSDs and managed NAND, combine NAND, a controller, firmware, and in some cases DRAM.</w:t>
      </w:r>
    </w:p>
    <w:p>
      <w:pPr>
        <w:spacing w:after="0" w:line="132"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b w:val="1"/>
          <w:bCs w:val="1"/>
          <w:i w:val="1"/>
          <w:iCs w:val="1"/>
          <w:color w:val="auto"/>
        </w:rPr>
        <w:t>DRAM</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DRAM products are dynamic random access memory semiconductor devices with low latency that provide high-speed data retrieval with a variety of performance characteristics. DRAM products lose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notebook PCs, and gaming consoles), as well as into the automotive, industrial, consumer, and datacenter markets. HBM is a stacked DRAM technology optimized for memory-bandwidth intensive applications.</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b w:val="1"/>
          <w:bCs w:val="1"/>
          <w:i w:val="1"/>
          <w:iCs w:val="1"/>
          <w:color w:val="auto"/>
        </w:rPr>
        <w:t>NAND</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NAND products are non-volatile, re-writeable semiconductor storage devices that provide high-capacity, low-cost storage with a variety of performance characteristics. NAND is used in SSDs for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enterprise and cloud, client,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NOR</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NOR products are non-volatile, re-writable semiconductor memory devices that provide fast read speeds. NOR is most commonly used for reliable code storage (e.g., boot, application, operating system,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execute-in-place code in an embedded system) and for frequently changing small data storage and is ideal for automotive, industrial, and consumer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Conditions</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memory and storage industry environment deteriorated sharply in the fourth quarter of 2022 and through 2023 due to weak demand in many end markets combined with global and macroeconomic challenges and lower demand resulting from customer actions to reduce inventory levels. This led to significant reductions in average selling prices for both DRAM and NAND and reductions in bit shipments for DRAM, resulting in declines in revenue across all our business segments and nearly all our end markets. For the first nine months of 2024, increasing demand growth, driven in part by deployment of artificial intelligence and mostly normal customer inventories, combined with industry-wide supply discipline, resulted in an improved industry supply and demand balance. As a result, we have experienced improvements in pricing and margins in 2024.</w:t>
      </w:r>
    </w:p>
    <w:p>
      <w:pPr>
        <w:spacing w:after="0" w:line="137" w:lineRule="exact"/>
        <w:rPr>
          <w:sz w:val="20"/>
          <w:szCs w:val="20"/>
          <w:color w:val="auto"/>
        </w:rPr>
      </w:pPr>
    </w:p>
    <w:p>
      <w:pPr>
        <w:ind w:right="20"/>
        <w:spacing w:after="0" w:line="248" w:lineRule="auto"/>
        <w:rPr>
          <w:sz w:val="20"/>
          <w:szCs w:val="20"/>
          <w:color w:val="auto"/>
        </w:rPr>
      </w:pPr>
      <w:r>
        <w:rPr>
          <w:rFonts w:ascii="Arial" w:cs="Arial" w:eastAsia="Arial" w:hAnsi="Arial"/>
          <w:sz w:val="12"/>
          <w:szCs w:val="12"/>
          <w:color w:val="auto"/>
        </w:rPr>
        <w:t>We reduced capital expenditures and wafer starts for both DRAM and NAND in response to challenging market conditions that began in the latter part of 2022 and increased levels of our inventories. In the first quarter of 2024, we recognized $165 million of period costs due to wafer start reductions. In the second and third quarters of 2024, fabrication facility underutilization was reduced and principally related to legacy manufacturing capacity, accordingly period costs were not significant. In addition, to improve capital efficiency, we have redeployed equipment from older technology nodes to support conversions to leading-edge nodes. Since the number of wafer processing steps is higher for leading-edge nodes, this approach has resulted in a meaningful structural reduction in DRAM and NAND wafer capacity. We are now fully utilized on our high-volume manufacturing nodes where we are maximizing output against the structurally lowered capacity. We believe this approach to node migration and consequent wafer capacity reduction is an industry-wide phenomenon.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China Cyberspace Administration Decision</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On March 31, 2023, China’s Cyberspace Administration (the “CAC”) notified us that it was conducting a cybersecurity review of our products sold in China. On May 21, 2023, we received notice that the CAC had concluded its review and decided that our products presented a cybersecurity risk. As such, the CAC determined that critical information infrastructure operators in China may not purchase Micron products. The CAC decision has impacted our business, particularly in the domestic data center and networking markets in China, and we have been working to mitigate that impact. Our goal is to retain our worldwide DRAM and NAND market share.</w:t>
      </w:r>
    </w:p>
    <w:p>
      <w:pPr>
        <w:spacing w:after="0" w:line="3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29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9" w:name="page30"/>
    <w:bookmarkEnd w:id="29"/>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Third Quarter</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Second Quarter</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Third Quarter</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2"/>
                <w:szCs w:val="12"/>
                <w:b w:val="1"/>
                <w:bCs w:val="1"/>
                <w:color w:val="auto"/>
              </w:rPr>
              <w:t>Nine months ended</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2024</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2023</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2023</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Revenue</w:t>
            </w:r>
          </w:p>
        </w:tc>
        <w:tc>
          <w:tcPr>
            <w:tcW w:w="260" w:type="dxa"/>
            <w:vAlign w:val="bottom"/>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6,811</w:t>
            </w:r>
          </w:p>
        </w:tc>
        <w:tc>
          <w:tcPr>
            <w:tcW w:w="44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100 %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5,824</w:t>
            </w:r>
          </w:p>
        </w:tc>
        <w:tc>
          <w:tcPr>
            <w:tcW w:w="48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w w:val="99"/>
              </w:rPr>
              <w:t>100 %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3,752</w:t>
            </w:r>
          </w:p>
        </w:tc>
        <w:tc>
          <w:tcPr>
            <w:tcW w:w="440" w:type="dxa"/>
            <w:vAlign w:val="bottom"/>
            <w:shd w:val="clear" w:color="auto" w:fill="D1D2D4"/>
          </w:tcPr>
          <w:p>
            <w:pPr>
              <w:spacing w:after="0"/>
              <w:rPr>
                <w:sz w:val="14"/>
                <w:szCs w:val="14"/>
                <w:color w:val="auto"/>
              </w:rPr>
            </w:pPr>
          </w:p>
        </w:tc>
        <w:tc>
          <w:tcPr>
            <w:tcW w:w="66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100 %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17,361</w:t>
            </w:r>
          </w:p>
        </w:tc>
        <w:tc>
          <w:tcPr>
            <w:tcW w:w="22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100 %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11,530</w:t>
            </w:r>
          </w:p>
        </w:tc>
        <w:tc>
          <w:tcPr>
            <w:tcW w:w="320" w:type="dxa"/>
            <w:vAlign w:val="bottom"/>
            <w:shd w:val="clear" w:color="auto" w:fill="D1D2D4"/>
          </w:tcPr>
          <w:p>
            <w:pPr>
              <w:spacing w:after="0"/>
              <w:rPr>
                <w:sz w:val="14"/>
                <w:szCs w:val="14"/>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53"/>
        </w:trPr>
        <w:tc>
          <w:tcPr>
            <w:tcW w:w="282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Cost of goods sold</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4,979</w:t>
            </w:r>
          </w:p>
        </w:tc>
        <w:tc>
          <w:tcPr>
            <w:tcW w:w="440" w:type="dxa"/>
            <w:vAlign w:val="bottom"/>
            <w:tcBorders>
              <w:bottom w:val="single" w:sz="8" w:color="D1D2D4"/>
            </w:tcBorders>
          </w:tcPr>
          <w:p>
            <w:pPr>
              <w:spacing w:after="0"/>
              <w:rPr>
                <w:sz w:val="13"/>
                <w:szCs w:val="13"/>
                <w:color w:val="auto"/>
              </w:rPr>
            </w:pPr>
          </w:p>
        </w:tc>
        <w:tc>
          <w:tcPr>
            <w:tcW w:w="40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73 %</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4,745</w:t>
            </w:r>
          </w:p>
        </w:tc>
        <w:tc>
          <w:tcPr>
            <w:tcW w:w="480" w:type="dxa"/>
            <w:vAlign w:val="bottom"/>
            <w:tcBorders>
              <w:bottom w:val="single" w:sz="8" w:color="D1D2D4"/>
            </w:tcBorders>
          </w:tcPr>
          <w:p>
            <w:pPr>
              <w:spacing w:after="0"/>
              <w:rPr>
                <w:sz w:val="13"/>
                <w:szCs w:val="13"/>
                <w:color w:val="auto"/>
              </w:rPr>
            </w:pPr>
          </w:p>
        </w:tc>
        <w:tc>
          <w:tcPr>
            <w:tcW w:w="38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81 %</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4,420</w:t>
            </w:r>
          </w:p>
        </w:tc>
        <w:tc>
          <w:tcPr>
            <w:tcW w:w="440" w:type="dxa"/>
            <w:vAlign w:val="bottom"/>
            <w:tcBorders>
              <w:bottom w:val="single" w:sz="8" w:color="D1D2D4"/>
            </w:tcBorders>
          </w:tcPr>
          <w:p>
            <w:pPr>
              <w:spacing w:after="0"/>
              <w:rPr>
                <w:sz w:val="13"/>
                <w:szCs w:val="13"/>
                <w:color w:val="auto"/>
              </w:rPr>
            </w:pPr>
          </w:p>
        </w:tc>
        <w:tc>
          <w:tcPr>
            <w:tcW w:w="42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118 %</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14,485</w:t>
            </w:r>
          </w:p>
        </w:tc>
        <w:tc>
          <w:tcPr>
            <w:tcW w:w="220" w:type="dxa"/>
            <w:vAlign w:val="bottom"/>
            <w:tcBorders>
              <w:bottom w:val="single" w:sz="8" w:color="D1D2D4"/>
            </w:tcBorders>
          </w:tcPr>
          <w:p>
            <w:pPr>
              <w:spacing w:after="0"/>
              <w:rPr>
                <w:sz w:val="13"/>
                <w:szCs w:val="13"/>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83 %</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12,511</w:t>
            </w:r>
          </w:p>
        </w:tc>
        <w:tc>
          <w:tcPr>
            <w:tcW w:w="320" w:type="dxa"/>
            <w:vAlign w:val="bottom"/>
            <w:tcBorders>
              <w:bottom w:val="single" w:sz="8" w:color="D1D2D4"/>
            </w:tcBorders>
          </w:tcPr>
          <w:p>
            <w:pPr>
              <w:spacing w:after="0"/>
              <w:rPr>
                <w:sz w:val="13"/>
                <w:szCs w:val="13"/>
                <w:color w:val="auto"/>
              </w:rPr>
            </w:pPr>
          </w:p>
        </w:tc>
        <w:tc>
          <w:tcPr>
            <w:tcW w:w="540" w:type="dxa"/>
            <w:vAlign w:val="bottom"/>
            <w:tcBorders>
              <w:bottom w:val="single" w:sz="8" w:color="D1D2D4"/>
            </w:tcBorders>
          </w:tcPr>
          <w:p>
            <w:pPr>
              <w:jc w:val="right"/>
              <w:spacing w:after="0"/>
              <w:rPr>
                <w:sz w:val="20"/>
                <w:szCs w:val="20"/>
                <w:color w:val="auto"/>
              </w:rPr>
            </w:pPr>
            <w:r>
              <w:rPr>
                <w:rFonts w:ascii="Arial" w:cs="Arial" w:eastAsia="Arial" w:hAnsi="Arial"/>
                <w:sz w:val="12"/>
                <w:szCs w:val="12"/>
                <w:color w:val="auto"/>
              </w:rPr>
              <w:t>109 %</w:t>
            </w:r>
          </w:p>
        </w:tc>
        <w:tc>
          <w:tcPr>
            <w:tcW w:w="0" w:type="dxa"/>
            <w:vAlign w:val="bottom"/>
          </w:tcPr>
          <w:p>
            <w:pPr>
              <w:spacing w:after="0"/>
              <w:rPr>
                <w:sz w:val="1"/>
                <w:szCs w:val="1"/>
                <w:color w:val="auto"/>
              </w:rPr>
            </w:pPr>
          </w:p>
        </w:tc>
      </w:tr>
      <w:tr>
        <w:trPr>
          <w:trHeight w:val="142"/>
        </w:trPr>
        <w:tc>
          <w:tcPr>
            <w:tcW w:w="2820" w:type="dxa"/>
            <w:vAlign w:val="bottom"/>
            <w:shd w:val="clear" w:color="auto" w:fill="D1D2D4"/>
          </w:tcPr>
          <w:p>
            <w:pPr>
              <w:ind w:left="220"/>
              <w:spacing w:after="0"/>
              <w:rPr>
                <w:sz w:val="20"/>
                <w:szCs w:val="20"/>
                <w:color w:val="auto"/>
              </w:rPr>
            </w:pPr>
            <w:r>
              <w:rPr>
                <w:rFonts w:ascii="Arial" w:cs="Arial" w:eastAsia="Arial" w:hAnsi="Arial"/>
                <w:sz w:val="12"/>
                <w:szCs w:val="12"/>
                <w:color w:val="auto"/>
              </w:rPr>
              <w:t>Gross margin</w:t>
            </w:r>
          </w:p>
        </w:tc>
        <w:tc>
          <w:tcPr>
            <w:tcW w:w="260" w:type="dxa"/>
            <w:vAlign w:val="bottom"/>
            <w:shd w:val="clear" w:color="auto" w:fill="D1D2D4"/>
          </w:tcPr>
          <w:p>
            <w:pPr>
              <w:spacing w:after="0"/>
              <w:rPr>
                <w:sz w:val="12"/>
                <w:szCs w:val="1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1,832</w:t>
            </w:r>
          </w:p>
        </w:tc>
        <w:tc>
          <w:tcPr>
            <w:tcW w:w="440" w:type="dxa"/>
            <w:vAlign w:val="bottom"/>
            <w:shd w:val="clear" w:color="auto" w:fill="D1D2D4"/>
          </w:tcPr>
          <w:p>
            <w:pPr>
              <w:spacing w:after="0"/>
              <w:rPr>
                <w:sz w:val="12"/>
                <w:szCs w:val="12"/>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27 %</w:t>
            </w:r>
          </w:p>
        </w:tc>
        <w:tc>
          <w:tcPr>
            <w:tcW w:w="240" w:type="dxa"/>
            <w:vAlign w:val="bottom"/>
            <w:shd w:val="clear" w:color="auto" w:fill="D1D2D4"/>
          </w:tcPr>
          <w:p>
            <w:pPr>
              <w:spacing w:after="0"/>
              <w:rPr>
                <w:sz w:val="12"/>
                <w:szCs w:val="1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1,079</w:t>
            </w:r>
          </w:p>
        </w:tc>
        <w:tc>
          <w:tcPr>
            <w:tcW w:w="480" w:type="dxa"/>
            <w:vAlign w:val="bottom"/>
            <w:shd w:val="clear" w:color="auto" w:fill="D1D2D4"/>
          </w:tcPr>
          <w:p>
            <w:pPr>
              <w:spacing w:after="0"/>
              <w:rPr>
                <w:sz w:val="12"/>
                <w:szCs w:val="12"/>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19 %</w:t>
            </w:r>
          </w:p>
        </w:tc>
        <w:tc>
          <w:tcPr>
            <w:tcW w:w="260" w:type="dxa"/>
            <w:vAlign w:val="bottom"/>
            <w:shd w:val="clear" w:color="auto" w:fill="D1D2D4"/>
          </w:tcPr>
          <w:p>
            <w:pPr>
              <w:spacing w:after="0"/>
              <w:rPr>
                <w:sz w:val="12"/>
                <w:szCs w:val="1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(668)</w:t>
            </w:r>
          </w:p>
        </w:tc>
        <w:tc>
          <w:tcPr>
            <w:tcW w:w="440" w:type="dxa"/>
            <w:vAlign w:val="bottom"/>
            <w:shd w:val="clear" w:color="auto" w:fill="D1D2D4"/>
          </w:tcPr>
          <w:p>
            <w:pPr>
              <w:spacing w:after="0"/>
              <w:rPr>
                <w:sz w:val="12"/>
                <w:szCs w:val="12"/>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D1D2D4"/>
          </w:tcPr>
          <w:p>
            <w:pPr>
              <w:spacing w:after="0"/>
              <w:rPr>
                <w:sz w:val="12"/>
                <w:szCs w:val="1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2,876</w:t>
            </w:r>
          </w:p>
        </w:tc>
        <w:tc>
          <w:tcPr>
            <w:tcW w:w="220" w:type="dxa"/>
            <w:vAlign w:val="bottom"/>
            <w:shd w:val="clear" w:color="auto" w:fill="D1D2D4"/>
          </w:tcPr>
          <w:p>
            <w:pPr>
              <w:spacing w:after="0"/>
              <w:rPr>
                <w:sz w:val="12"/>
                <w:szCs w:val="12"/>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17 %</w:t>
            </w:r>
          </w:p>
        </w:tc>
        <w:tc>
          <w:tcPr>
            <w:tcW w:w="260" w:type="dxa"/>
            <w:vAlign w:val="bottom"/>
            <w:shd w:val="clear" w:color="auto" w:fill="D1D2D4"/>
          </w:tcPr>
          <w:p>
            <w:pPr>
              <w:spacing w:after="0"/>
              <w:rPr>
                <w:sz w:val="12"/>
                <w:szCs w:val="12"/>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(981)</w:t>
            </w:r>
          </w:p>
        </w:tc>
        <w:tc>
          <w:tcPr>
            <w:tcW w:w="320" w:type="dxa"/>
            <w:vAlign w:val="bottom"/>
            <w:shd w:val="clear" w:color="auto" w:fill="D1D2D4"/>
          </w:tcPr>
          <w:p>
            <w:pPr>
              <w:spacing w:after="0"/>
              <w:rPr>
                <w:sz w:val="12"/>
                <w:szCs w:val="12"/>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Research and development</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850</w:t>
            </w:r>
          </w:p>
        </w:tc>
        <w:tc>
          <w:tcPr>
            <w:tcW w:w="44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832</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758</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2,527</w:t>
            </w:r>
          </w:p>
        </w:tc>
        <w:tc>
          <w:tcPr>
            <w:tcW w:w="2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15 %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2,395</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21 %</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291</w:t>
            </w:r>
          </w:p>
        </w:tc>
        <w:tc>
          <w:tcPr>
            <w:tcW w:w="4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280</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5 %</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219</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834</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5 %</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701</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Restructure and asset impairments</w:t>
            </w:r>
          </w:p>
        </w:tc>
        <w:tc>
          <w:tcPr>
            <w:tcW w:w="260" w:type="dxa"/>
            <w:vAlign w:val="bottom"/>
            <w:shd w:val="clear" w:color="auto" w:fill="D1D2D4"/>
          </w:tcPr>
          <w:p>
            <w:pPr>
              <w:spacing w:after="0"/>
              <w:rPr>
                <w:sz w:val="13"/>
                <w:szCs w:val="13"/>
                <w:color w:val="auto"/>
              </w:rPr>
            </w:pPr>
          </w:p>
        </w:tc>
        <w:tc>
          <w:tcPr>
            <w:tcW w:w="1020" w:type="dxa"/>
            <w:vAlign w:val="bottom"/>
            <w:gridSpan w:val="2"/>
            <w:shd w:val="clear" w:color="auto" w:fill="D1D2D4"/>
          </w:tcPr>
          <w:p>
            <w:pPr>
              <w:jc w:val="right"/>
              <w:ind w:right="5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1080" w:type="dxa"/>
            <w:vAlign w:val="bottom"/>
            <w:gridSpan w:val="2"/>
            <w:shd w:val="clear" w:color="auto" w:fill="D1D2D4"/>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2 %</w:t>
            </w:r>
          </w:p>
        </w:tc>
        <w:tc>
          <w:tcPr>
            <w:tcW w:w="240" w:type="dxa"/>
            <w:vAlign w:val="bottom"/>
            <w:shd w:val="clear" w:color="auto" w:fill="D1D2D4"/>
          </w:tcPr>
          <w:p>
            <w:pPr>
              <w:spacing w:after="0"/>
              <w:rPr>
                <w:sz w:val="13"/>
                <w:szCs w:val="13"/>
                <w:color w:val="auto"/>
              </w:rPr>
            </w:pPr>
          </w:p>
        </w:tc>
        <w:tc>
          <w:tcPr>
            <w:tcW w:w="820" w:type="dxa"/>
            <w:vAlign w:val="bottom"/>
            <w:gridSpan w:val="2"/>
            <w:shd w:val="clear" w:color="auto" w:fill="D1D2D4"/>
          </w:tcPr>
          <w:p>
            <w:pPr>
              <w:jc w:val="right"/>
              <w:ind w:right="2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167</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Other operating (income) expense, net</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w:t>
            </w:r>
          </w:p>
        </w:tc>
        <w:tc>
          <w:tcPr>
            <w:tcW w:w="44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(224)</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w:t>
            </w:r>
          </w:p>
        </w:tc>
        <w:tc>
          <w:tcPr>
            <w:tcW w:w="4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(267)</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2"/>
        </w:trPr>
        <w:tc>
          <w:tcPr>
            <w:tcW w:w="2820" w:type="dxa"/>
            <w:vAlign w:val="bottom"/>
            <w:tcBorders>
              <w:top w:val="single" w:sz="8" w:color="D1D2D4"/>
            </w:tcBorders>
            <w:shd w:val="clear" w:color="auto" w:fill="D1D2D4"/>
          </w:tcPr>
          <w:p>
            <w:pPr>
              <w:ind w:left="220"/>
              <w:spacing w:after="0"/>
              <w:rPr>
                <w:sz w:val="20"/>
                <w:szCs w:val="20"/>
                <w:color w:val="auto"/>
              </w:rPr>
            </w:pPr>
            <w:r>
              <w:rPr>
                <w:rFonts w:ascii="Arial" w:cs="Arial" w:eastAsia="Arial" w:hAnsi="Arial"/>
                <w:sz w:val="12"/>
                <w:szCs w:val="12"/>
                <w:color w:val="auto"/>
              </w:rPr>
              <w:t>Operating income (loss)</w:t>
            </w:r>
          </w:p>
        </w:tc>
        <w:tc>
          <w:tcPr>
            <w:tcW w:w="260" w:type="dxa"/>
            <w:vAlign w:val="bottom"/>
            <w:tcBorders>
              <w:top w:val="single" w:sz="8" w:color="auto"/>
            </w:tcBorders>
            <w:shd w:val="clear" w:color="auto" w:fill="D1D2D4"/>
          </w:tcPr>
          <w:p>
            <w:pPr>
              <w:spacing w:after="0"/>
              <w:rPr>
                <w:sz w:val="12"/>
                <w:szCs w:val="12"/>
                <w:color w:val="auto"/>
              </w:rPr>
            </w:pPr>
          </w:p>
        </w:tc>
        <w:tc>
          <w:tcPr>
            <w:tcW w:w="5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719</w:t>
            </w:r>
          </w:p>
        </w:tc>
        <w:tc>
          <w:tcPr>
            <w:tcW w:w="440" w:type="dxa"/>
            <w:vAlign w:val="bottom"/>
            <w:tcBorders>
              <w:top w:val="single" w:sz="8" w:color="D1D2D4"/>
            </w:tcBorders>
            <w:shd w:val="clear" w:color="auto" w:fill="D1D2D4"/>
          </w:tcPr>
          <w:p>
            <w:pPr>
              <w:spacing w:after="0"/>
              <w:rPr>
                <w:sz w:val="12"/>
                <w:szCs w:val="12"/>
                <w:color w:val="auto"/>
              </w:rPr>
            </w:pPr>
          </w:p>
        </w:tc>
        <w:tc>
          <w:tcPr>
            <w:tcW w:w="4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11 %</w:t>
            </w:r>
          </w:p>
        </w:tc>
        <w:tc>
          <w:tcPr>
            <w:tcW w:w="240" w:type="dxa"/>
            <w:vAlign w:val="bottom"/>
            <w:tcBorders>
              <w:top w:val="single" w:sz="8" w:color="auto"/>
            </w:tcBorders>
            <w:shd w:val="clear" w:color="auto" w:fill="D1D2D4"/>
          </w:tcPr>
          <w:p>
            <w:pPr>
              <w:spacing w:after="0"/>
              <w:rPr>
                <w:sz w:val="12"/>
                <w:szCs w:val="12"/>
                <w:color w:val="auto"/>
              </w:rPr>
            </w:pPr>
          </w:p>
        </w:tc>
        <w:tc>
          <w:tcPr>
            <w:tcW w:w="6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191</w:t>
            </w:r>
          </w:p>
        </w:tc>
        <w:tc>
          <w:tcPr>
            <w:tcW w:w="480" w:type="dxa"/>
            <w:vAlign w:val="bottom"/>
            <w:tcBorders>
              <w:top w:val="single" w:sz="8" w:color="D1D2D4"/>
            </w:tcBorders>
            <w:shd w:val="clear" w:color="auto" w:fill="D1D2D4"/>
          </w:tcPr>
          <w:p>
            <w:pPr>
              <w:spacing w:after="0"/>
              <w:rPr>
                <w:sz w:val="12"/>
                <w:szCs w:val="12"/>
                <w:color w:val="auto"/>
              </w:rPr>
            </w:pPr>
          </w:p>
        </w:tc>
        <w:tc>
          <w:tcPr>
            <w:tcW w:w="38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3 %</w:t>
            </w:r>
          </w:p>
        </w:tc>
        <w:tc>
          <w:tcPr>
            <w:tcW w:w="260" w:type="dxa"/>
            <w:vAlign w:val="bottom"/>
            <w:tcBorders>
              <w:top w:val="single" w:sz="8" w:color="auto"/>
            </w:tcBorders>
            <w:shd w:val="clear" w:color="auto" w:fill="D1D2D4"/>
          </w:tcPr>
          <w:p>
            <w:pPr>
              <w:spacing w:after="0"/>
              <w:rPr>
                <w:sz w:val="12"/>
                <w:szCs w:val="12"/>
                <w:color w:val="auto"/>
              </w:rPr>
            </w:pPr>
          </w:p>
        </w:tc>
        <w:tc>
          <w:tcPr>
            <w:tcW w:w="5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(1,761)</w:t>
            </w:r>
          </w:p>
        </w:tc>
        <w:tc>
          <w:tcPr>
            <w:tcW w:w="440" w:type="dxa"/>
            <w:vAlign w:val="bottom"/>
            <w:tcBorders>
              <w:top w:val="single" w:sz="8" w:color="D1D2D4"/>
            </w:tcBorders>
            <w:shd w:val="clear" w:color="auto" w:fill="D1D2D4"/>
          </w:tcPr>
          <w:p>
            <w:pPr>
              <w:spacing w:after="0"/>
              <w:rPr>
                <w:sz w:val="12"/>
                <w:szCs w:val="12"/>
                <w:color w:val="auto"/>
              </w:rPr>
            </w:pPr>
          </w:p>
        </w:tc>
        <w:tc>
          <w:tcPr>
            <w:tcW w:w="4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(47)%</w:t>
            </w:r>
          </w:p>
        </w:tc>
        <w:tc>
          <w:tcPr>
            <w:tcW w:w="240" w:type="dxa"/>
            <w:vAlign w:val="bottom"/>
            <w:tcBorders>
              <w:top w:val="single" w:sz="8" w:color="auto"/>
            </w:tcBorders>
            <w:shd w:val="clear" w:color="auto" w:fill="D1D2D4"/>
          </w:tcPr>
          <w:p>
            <w:pPr>
              <w:spacing w:after="0"/>
              <w:rPr>
                <w:sz w:val="12"/>
                <w:szCs w:val="12"/>
                <w:color w:val="auto"/>
              </w:rPr>
            </w:pPr>
          </w:p>
        </w:tc>
        <w:tc>
          <w:tcPr>
            <w:tcW w:w="6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(218)</w:t>
            </w:r>
          </w:p>
        </w:tc>
        <w:tc>
          <w:tcPr>
            <w:tcW w:w="220" w:type="dxa"/>
            <w:vAlign w:val="bottom"/>
            <w:tcBorders>
              <w:top w:val="single" w:sz="8" w:color="D1D2D4"/>
            </w:tcBorders>
            <w:shd w:val="clear" w:color="auto" w:fill="D1D2D4"/>
          </w:tcPr>
          <w:p>
            <w:pPr>
              <w:spacing w:after="0"/>
              <w:rPr>
                <w:sz w:val="12"/>
                <w:szCs w:val="12"/>
                <w:color w:val="auto"/>
              </w:rPr>
            </w:pPr>
          </w:p>
        </w:tc>
        <w:tc>
          <w:tcPr>
            <w:tcW w:w="6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260" w:type="dxa"/>
            <w:vAlign w:val="bottom"/>
            <w:tcBorders>
              <w:top w:val="single" w:sz="8" w:color="auto"/>
            </w:tcBorders>
            <w:shd w:val="clear" w:color="auto" w:fill="D1D2D4"/>
          </w:tcPr>
          <w:p>
            <w:pPr>
              <w:spacing w:after="0"/>
              <w:rPr>
                <w:sz w:val="12"/>
                <w:szCs w:val="12"/>
                <w:color w:val="auto"/>
              </w:rPr>
            </w:pPr>
          </w:p>
        </w:tc>
        <w:tc>
          <w:tcPr>
            <w:tcW w:w="5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(4,273)</w:t>
            </w:r>
          </w:p>
        </w:tc>
        <w:tc>
          <w:tcPr>
            <w:tcW w:w="320" w:type="dxa"/>
            <w:vAlign w:val="bottom"/>
            <w:tcBorders>
              <w:top w:val="single" w:sz="8" w:color="D1D2D4"/>
            </w:tcBorders>
            <w:shd w:val="clear" w:color="auto" w:fill="D1D2D4"/>
          </w:tcPr>
          <w:p>
            <w:pPr>
              <w:spacing w:after="0"/>
              <w:rPr>
                <w:sz w:val="12"/>
                <w:szCs w:val="12"/>
                <w:color w:val="auto"/>
              </w:rPr>
            </w:pPr>
          </w:p>
        </w:tc>
        <w:tc>
          <w:tcPr>
            <w:tcW w:w="5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Interest income (expense), net</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44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(14)</w:t>
            </w:r>
          </w:p>
        </w:tc>
        <w:tc>
          <w:tcPr>
            <w:tcW w:w="48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w:t>
            </w:r>
          </w:p>
        </w:tc>
        <w:tc>
          <w:tcPr>
            <w:tcW w:w="440" w:type="dxa"/>
            <w:vAlign w:val="bottom"/>
            <w:shd w:val="clear" w:color="auto" w:fill="D1D2D4"/>
          </w:tcPr>
          <w:p>
            <w:pPr>
              <w:spacing w:after="0"/>
              <w:rPr>
                <w:sz w:val="13"/>
                <w:szCs w:val="13"/>
                <w:color w:val="auto"/>
              </w:rPr>
            </w:pPr>
          </w:p>
        </w:tc>
        <w:tc>
          <w:tcPr>
            <w:tcW w:w="66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w:t>
            </w:r>
          </w:p>
        </w:tc>
        <w:tc>
          <w:tcPr>
            <w:tcW w:w="220" w:type="dxa"/>
            <w:vAlign w:val="bottom"/>
            <w:shd w:val="clear" w:color="auto" w:fill="D1D2D4"/>
          </w:tcPr>
          <w:p>
            <w:pPr>
              <w:spacing w:after="0"/>
              <w:rPr>
                <w:sz w:val="13"/>
                <w:szCs w:val="13"/>
                <w:color w:val="auto"/>
              </w:rPr>
            </w:pPr>
          </w:p>
        </w:tc>
        <w:tc>
          <w:tcPr>
            <w:tcW w:w="90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75</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Other non-operating income (expense), net</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w:t>
            </w:r>
          </w:p>
        </w:tc>
        <w:tc>
          <w:tcPr>
            <w:tcW w:w="44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(7)</w:t>
            </w:r>
          </w:p>
        </w:tc>
        <w:tc>
          <w:tcPr>
            <w:tcW w:w="4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 %</w:t>
            </w:r>
          </w:p>
        </w:tc>
        <w:tc>
          <w:tcPr>
            <w:tcW w:w="10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tcPr>
          <w:p>
            <w:pPr>
              <w:jc w:val="right"/>
              <w:spacing w:after="0"/>
              <w:rPr>
                <w:sz w:val="20"/>
                <w:szCs w:val="20"/>
                <w:color w:val="auto"/>
              </w:rPr>
            </w:pPr>
            <w:r>
              <w:rPr>
                <w:rFonts w:ascii="Arial" w:cs="Arial" w:eastAsia="Arial" w:hAnsi="Arial"/>
                <w:sz w:val="12"/>
                <w:szCs w:val="12"/>
                <w:color w:val="auto"/>
              </w:rPr>
              <w:t>(24)</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tcPr>
          <w:p>
            <w:pPr>
              <w:jc w:val="right"/>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3"/>
        </w:trPr>
        <w:tc>
          <w:tcPr>
            <w:tcW w:w="2820" w:type="dxa"/>
            <w:vAlign w:val="bottom"/>
            <w:shd w:val="clear" w:color="auto" w:fill="D1D2D4"/>
          </w:tcPr>
          <w:p>
            <w:pPr>
              <w:spacing w:after="0"/>
              <w:rPr>
                <w:sz w:val="20"/>
                <w:szCs w:val="20"/>
                <w:color w:val="auto"/>
              </w:rPr>
            </w:pPr>
            <w:r>
              <w:rPr>
                <w:rFonts w:ascii="Arial" w:cs="Arial" w:eastAsia="Arial" w:hAnsi="Arial"/>
                <w:sz w:val="12"/>
                <w:szCs w:val="12"/>
                <w:color w:val="auto"/>
              </w:rPr>
              <w:t>Income tax (provision) benefit</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(377)</w:t>
            </w:r>
          </w:p>
        </w:tc>
        <w:tc>
          <w:tcPr>
            <w:tcW w:w="44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622</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(139)</w:t>
            </w:r>
          </w:p>
        </w:tc>
        <w:tc>
          <w:tcPr>
            <w:tcW w:w="440" w:type="dxa"/>
            <w:vAlign w:val="bottom"/>
            <w:shd w:val="clear" w:color="auto" w:fill="D1D2D4"/>
          </w:tcPr>
          <w:p>
            <w:pPr>
              <w:spacing w:after="0"/>
              <w:rPr>
                <w:sz w:val="13"/>
                <w:szCs w:val="13"/>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172</w:t>
            </w:r>
          </w:p>
        </w:tc>
        <w:tc>
          <w:tcPr>
            <w:tcW w:w="2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(201)</w:t>
            </w:r>
          </w:p>
        </w:tc>
        <w:tc>
          <w:tcPr>
            <w:tcW w:w="32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Arial" w:cs="Arial" w:eastAsia="Arial" w:hAnsi="Arial"/>
                <w:sz w:val="12"/>
                <w:szCs w:val="12"/>
                <w:color w:val="auto"/>
              </w:rPr>
              <w:t>Equity in net income (loss) of equity method</w:t>
            </w:r>
          </w:p>
        </w:tc>
        <w:tc>
          <w:tcPr>
            <w:tcW w:w="2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44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8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44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57"/>
        </w:trPr>
        <w:tc>
          <w:tcPr>
            <w:tcW w:w="2820" w:type="dxa"/>
            <w:vAlign w:val="bottom"/>
          </w:tcPr>
          <w:p>
            <w:pPr>
              <w:ind w:left="120"/>
              <w:spacing w:after="0"/>
              <w:rPr>
                <w:sz w:val="20"/>
                <w:szCs w:val="20"/>
                <w:color w:val="auto"/>
              </w:rPr>
            </w:pPr>
            <w:r>
              <w:rPr>
                <w:rFonts w:ascii="Arial" w:cs="Arial" w:eastAsia="Arial" w:hAnsi="Arial"/>
                <w:sz w:val="12"/>
                <w:szCs w:val="12"/>
                <w:color w:val="auto"/>
              </w:rPr>
              <w:t>investees</w:t>
            </w:r>
          </w:p>
        </w:tc>
        <w:tc>
          <w:tcPr>
            <w:tcW w:w="2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20" w:type="dxa"/>
            <w:vAlign w:val="bottom"/>
            <w:tcBorders>
              <w:top w:val="single" w:sz="8" w:color="D1D2D4"/>
              <w:bottom w:val="single" w:sz="8" w:color="D1D2D4"/>
            </w:tcBorders>
            <w:shd w:val="clear" w:color="auto" w:fill="D1D2D4"/>
          </w:tcPr>
          <w:p>
            <w:pPr>
              <w:ind w:left="260"/>
              <w:spacing w:after="0"/>
              <w:rPr>
                <w:sz w:val="20"/>
                <w:szCs w:val="20"/>
                <w:color w:val="auto"/>
              </w:rPr>
            </w:pPr>
            <w:r>
              <w:rPr>
                <w:rFonts w:ascii="Arial" w:cs="Arial" w:eastAsia="Arial" w:hAnsi="Arial"/>
                <w:sz w:val="12"/>
                <w:szCs w:val="12"/>
                <w:color w:val="auto"/>
              </w:rPr>
              <w:t>Net income (loss)</w:t>
            </w:r>
          </w:p>
        </w:tc>
        <w:tc>
          <w:tcPr>
            <w:tcW w:w="260" w:type="dxa"/>
            <w:vAlign w:val="bottom"/>
            <w:tcBorders>
              <w:top w:val="single" w:sz="8" w:color="auto"/>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332</w:t>
            </w:r>
          </w:p>
        </w:tc>
        <w:tc>
          <w:tcPr>
            <w:tcW w:w="440" w:type="dxa"/>
            <w:vAlign w:val="bottom"/>
            <w:tcBorders>
              <w:top w:val="single" w:sz="8" w:color="D1D2D4"/>
              <w:bottom w:val="single" w:sz="8" w:color="D1D2D4"/>
            </w:tcBorders>
            <w:shd w:val="clear" w:color="auto" w:fill="D1D2D4"/>
          </w:tcPr>
          <w:p>
            <w:pPr>
              <w:spacing w:after="0"/>
              <w:rPr>
                <w:sz w:val="13"/>
                <w:szCs w:val="13"/>
                <w:color w:val="auto"/>
              </w:rPr>
            </w:pPr>
          </w:p>
        </w:tc>
        <w:tc>
          <w:tcPr>
            <w:tcW w:w="4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5 %</w:t>
            </w:r>
          </w:p>
        </w:tc>
        <w:tc>
          <w:tcPr>
            <w:tcW w:w="240" w:type="dxa"/>
            <w:vAlign w:val="bottom"/>
            <w:tcBorders>
              <w:top w:val="single" w:sz="8" w:color="auto"/>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793</w:t>
            </w:r>
          </w:p>
        </w:tc>
        <w:tc>
          <w:tcPr>
            <w:tcW w:w="480" w:type="dxa"/>
            <w:vAlign w:val="bottom"/>
            <w:tcBorders>
              <w:top w:val="single" w:sz="8" w:color="D1D2D4"/>
              <w:bottom w:val="single" w:sz="8" w:color="D1D2D4"/>
            </w:tcBorders>
            <w:shd w:val="clear" w:color="auto" w:fill="D1D2D4"/>
          </w:tcPr>
          <w:p>
            <w:pPr>
              <w:spacing w:after="0"/>
              <w:rPr>
                <w:sz w:val="13"/>
                <w:szCs w:val="13"/>
                <w:color w:val="auto"/>
              </w:rPr>
            </w:pPr>
          </w:p>
        </w:tc>
        <w:tc>
          <w:tcPr>
            <w:tcW w:w="38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14 %</w:t>
            </w:r>
          </w:p>
        </w:tc>
        <w:tc>
          <w:tcPr>
            <w:tcW w:w="260" w:type="dxa"/>
            <w:vAlign w:val="bottom"/>
            <w:tcBorders>
              <w:top w:val="single" w:sz="8" w:color="auto"/>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(1,896)</w:t>
            </w:r>
          </w:p>
        </w:tc>
        <w:tc>
          <w:tcPr>
            <w:tcW w:w="440" w:type="dxa"/>
            <w:vAlign w:val="bottom"/>
            <w:tcBorders>
              <w:top w:val="single" w:sz="8" w:color="D1D2D4"/>
              <w:bottom w:val="single" w:sz="8" w:color="D1D2D4"/>
            </w:tcBorders>
            <w:shd w:val="clear" w:color="auto" w:fill="D1D2D4"/>
          </w:tcPr>
          <w:p>
            <w:pPr>
              <w:spacing w:after="0"/>
              <w:rPr>
                <w:sz w:val="13"/>
                <w:szCs w:val="13"/>
                <w:color w:val="auto"/>
              </w:rPr>
            </w:pPr>
          </w:p>
        </w:tc>
        <w:tc>
          <w:tcPr>
            <w:tcW w:w="4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(51)%</w:t>
            </w:r>
          </w:p>
        </w:tc>
        <w:tc>
          <w:tcPr>
            <w:tcW w:w="240" w:type="dxa"/>
            <w:vAlign w:val="bottom"/>
            <w:tcBorders>
              <w:top w:val="single" w:sz="8" w:color="auto"/>
              <w:bottom w:val="single" w:sz="8" w:color="auto"/>
            </w:tcBorders>
            <w:shd w:val="clear" w:color="auto" w:fill="D1D2D4"/>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(109)</w:t>
            </w:r>
          </w:p>
        </w:tc>
        <w:tc>
          <w:tcPr>
            <w:tcW w:w="220" w:type="dxa"/>
            <w:vAlign w:val="bottom"/>
            <w:tcBorders>
              <w:top w:val="single" w:sz="8" w:color="D1D2D4"/>
              <w:bottom w:val="single" w:sz="8" w:color="D1D2D4"/>
            </w:tcBorders>
            <w:shd w:val="clear" w:color="auto" w:fill="D1D2D4"/>
          </w:tcPr>
          <w:p>
            <w:pPr>
              <w:spacing w:after="0"/>
              <w:rPr>
                <w:sz w:val="13"/>
                <w:szCs w:val="13"/>
                <w:color w:val="auto"/>
              </w:rPr>
            </w:pPr>
          </w:p>
        </w:tc>
        <w:tc>
          <w:tcPr>
            <w:tcW w:w="64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260" w:type="dxa"/>
            <w:vAlign w:val="bottom"/>
            <w:tcBorders>
              <w:top w:val="single" w:sz="8" w:color="auto"/>
              <w:bottom w:val="single" w:sz="8" w:color="auto"/>
            </w:tcBorders>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(4,403)</w:t>
            </w:r>
          </w:p>
        </w:tc>
        <w:tc>
          <w:tcPr>
            <w:tcW w:w="320" w:type="dxa"/>
            <w:vAlign w:val="bottom"/>
            <w:tcBorders>
              <w:top w:val="single" w:sz="8" w:color="D1D2D4"/>
              <w:bottom w:val="single" w:sz="8" w:color="D1D2D4"/>
            </w:tcBorders>
            <w:shd w:val="clear" w:color="auto" w:fill="D1D2D4"/>
          </w:tcPr>
          <w:p>
            <w:pPr>
              <w:spacing w:after="0"/>
              <w:rPr>
                <w:sz w:val="13"/>
                <w:szCs w:val="13"/>
                <w:color w:val="auto"/>
              </w:rPr>
            </w:pPr>
          </w:p>
        </w:tc>
        <w:tc>
          <w:tcPr>
            <w:tcW w:w="54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b w:val="1"/>
          <w:bCs w:val="1"/>
          <w:i w:val="1"/>
          <w:iCs w:val="1"/>
          <w:color w:val="auto"/>
        </w:rPr>
        <w:t xml:space="preserve">Total Revenue: </w:t>
      </w:r>
      <w:r>
        <w:rPr>
          <w:rFonts w:ascii="Arial" w:cs="Arial" w:eastAsia="Arial" w:hAnsi="Arial"/>
          <w:sz w:val="12"/>
          <w:szCs w:val="12"/>
          <w:color w:val="auto"/>
        </w:rPr>
        <w:t>Total revenue for the third quarter and first nine months of 2024 was impacted by the factors described in the section titled “Industry Conditions” above. These conditions drove significant quarterly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declines in average selling prices throughout 2023 and a subsequent recovery of average selling prices in the first three quarters of 2024.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third quarter of 2024 increased 17% as compared to the second quarter of 2024 due to increases in sales of both DRAM and NAND products.</w:t>
      </w:r>
    </w:p>
    <w:p>
      <w:pPr>
        <w:spacing w:after="0" w:line="168" w:lineRule="exact"/>
        <w:rPr>
          <w:sz w:val="20"/>
          <w:szCs w:val="20"/>
          <w:color w:val="auto"/>
        </w:rPr>
      </w:pPr>
    </w:p>
    <w:p>
      <w:pPr>
        <w:ind w:left="420" w:right="80" w:hanging="212"/>
        <w:spacing w:after="0" w:line="260" w:lineRule="auto"/>
        <w:tabs>
          <w:tab w:leader="none" w:pos="417" w:val="left"/>
        </w:tabs>
        <w:numPr>
          <w:ilvl w:val="0"/>
          <w:numId w:val="9"/>
        </w:numPr>
        <w:rPr>
          <w:rFonts w:ascii="Arial" w:cs="Arial" w:eastAsia="Arial" w:hAnsi="Arial"/>
          <w:sz w:val="12"/>
          <w:szCs w:val="12"/>
          <w:b w:val="1"/>
          <w:bCs w:val="1"/>
          <w:i w:val="1"/>
          <w:iCs w:val="1"/>
          <w:color w:val="auto"/>
        </w:rPr>
      </w:pPr>
      <w:r>
        <w:rPr>
          <w:rFonts w:ascii="Arial" w:cs="Arial" w:eastAsia="Arial" w:hAnsi="Arial"/>
          <w:sz w:val="12"/>
          <w:szCs w:val="12"/>
          <w:color w:val="auto"/>
        </w:rPr>
        <w:t>Sales of DRAM products in the third quarter of 2024 increased 13% as compared to the second quarter of 2024 primarily due to increases in average selling prices by approximately 20%, partially offset by a mid-single-digit percent range decrease in bit shipments.</w:t>
      </w:r>
    </w:p>
    <w:p>
      <w:pPr>
        <w:spacing w:after="0" w:line="1" w:lineRule="exact"/>
        <w:rPr>
          <w:rFonts w:ascii="Arial" w:cs="Arial" w:eastAsia="Arial" w:hAnsi="Arial"/>
          <w:sz w:val="12"/>
          <w:szCs w:val="12"/>
          <w:b w:val="1"/>
          <w:bCs w:val="1"/>
          <w:i w:val="1"/>
          <w:iCs w:val="1"/>
          <w:color w:val="auto"/>
        </w:rPr>
      </w:pPr>
    </w:p>
    <w:p>
      <w:pPr>
        <w:ind w:left="420" w:right="200" w:hanging="212"/>
        <w:spacing w:after="0" w:line="265"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Sales of NAND products in the third quarter of 2024 increased 32% as compared to the second quarter of 2024 primarily due to an approximate 20% increase in average selling prices and a high-single-digit percent range increase in bit shipments.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third quarter of 2024 increased 82% as compared to the third quarter of 2023 due to increases in sales of both DRAM and NAND products.</w:t>
      </w:r>
    </w:p>
    <w:p>
      <w:pPr>
        <w:spacing w:after="0" w:line="168"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color w:val="auto"/>
        </w:rPr>
        <w:t>Sales of DRAM products in the third quarter of 2024 increased 76% as compared to the third quarter of 2023 primarily due to a mid-30% range increase in both average selling prices and bit shipments.</w:t>
      </w:r>
    </w:p>
    <w:p>
      <w:pPr>
        <w:spacing w:after="0" w:line="18" w:lineRule="exact"/>
        <w:rPr>
          <w:rFonts w:ascii="Arial" w:cs="Arial" w:eastAsia="Arial" w:hAnsi="Arial"/>
          <w:sz w:val="12"/>
          <w:szCs w:val="12"/>
          <w:b w:val="1"/>
          <w:bCs w:val="1"/>
          <w:i w:val="1"/>
          <w:iCs w:val="1"/>
          <w:color w:val="auto"/>
        </w:rPr>
      </w:pPr>
    </w:p>
    <w:p>
      <w:pPr>
        <w:ind w:left="420" w:right="260" w:hanging="212"/>
        <w:spacing w:after="0" w:line="265" w:lineRule="auto"/>
        <w:tabs>
          <w:tab w:leader="none" w:pos="417" w:val="left"/>
        </w:tabs>
        <w:numPr>
          <w:ilvl w:val="0"/>
          <w:numId w:val="10"/>
        </w:numPr>
        <w:rPr>
          <w:rFonts w:ascii="Arial" w:cs="Arial" w:eastAsia="Arial" w:hAnsi="Arial"/>
          <w:sz w:val="12"/>
          <w:szCs w:val="12"/>
          <w:b w:val="1"/>
          <w:bCs w:val="1"/>
          <w:i w:val="1"/>
          <w:iCs w:val="1"/>
          <w:color w:val="auto"/>
        </w:rPr>
      </w:pPr>
      <w:r>
        <w:rPr>
          <w:rFonts w:ascii="Arial" w:cs="Arial" w:eastAsia="Arial" w:hAnsi="Arial"/>
          <w:sz w:val="12"/>
          <w:szCs w:val="12"/>
          <w:color w:val="auto"/>
        </w:rPr>
        <w:t>Sales of NAND products in the third quarter of 2024 increased 104% as compared to the third quarter of 2023 primarily due to a low-60% range increase in average selling prices and a high-20% range increase in bit shipments.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first nine months of 2024 increased 51% as compared to the first nine months of 2023 due to increases in both DRAM and NAND sales.</w:t>
      </w:r>
    </w:p>
    <w:p>
      <w:pPr>
        <w:spacing w:after="0" w:line="168" w:lineRule="exact"/>
        <w:rPr>
          <w:sz w:val="20"/>
          <w:szCs w:val="20"/>
          <w:color w:val="auto"/>
        </w:rPr>
      </w:pPr>
    </w:p>
    <w:p>
      <w:pPr>
        <w:ind w:left="420" w:right="180" w:hanging="212"/>
        <w:spacing w:after="0" w:line="260"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Sales of DRAM products in the first nine months of 2024 increased 49% as compared to the first nine months of 2023 primarily due to a mid-50% range increase in bit shipments, partially offset by a low-single-digit percentage range decline in average selling prices.</w:t>
      </w:r>
    </w:p>
    <w:p>
      <w:pPr>
        <w:spacing w:after="0" w:line="1" w:lineRule="exact"/>
        <w:rPr>
          <w:rFonts w:ascii="Arial" w:cs="Arial" w:eastAsia="Arial" w:hAnsi="Arial"/>
          <w:sz w:val="12"/>
          <w:szCs w:val="12"/>
          <w:color w:val="auto"/>
        </w:rPr>
      </w:pPr>
    </w:p>
    <w:p>
      <w:pPr>
        <w:ind w:left="420" w:right="320" w:hanging="212"/>
        <w:spacing w:after="0" w:line="265"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Sales of NAND products in the first nine months of 2024 increased 62% as compared to the first nine months of 2023 primarily due to a low-50% range increase in bit shipments and a high-single-digit percentage range increase in average selling prices.</w:t>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b w:val="1"/>
          <w:bCs w:val="1"/>
          <w:i w:val="1"/>
          <w:iCs w:val="1"/>
          <w:color w:val="auto"/>
        </w:rPr>
        <w:t>Consolidated Gross Margin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consolidated gross margin has been impacted by the factors described in the section titled “Industry Conditions” above and inventory write-downs in 2023 as detailed in the table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below. Our consolidated gross margin percentage improved to 27% for the third quarter of 2024 from 19% for the second quarter of 2024, as a result of improvements in margins for both DRAM and NAND products, primarily due to increases in average selling prices and NAND manufacturing cost reductions, partially offset by a reduction in the benefits from the sale of inventories previously written down to their net realizable value. Our consolidated gross margin percentage improved to 27% for the third quarter of 2024 from negative 18% for the third quarter of 2023 primarily due to increases in average selling prices, manufacturing cost reductions, the effects of charges to write down inventories to their NRV in 2023, and the sale of previously written down inventories. Our consolidated gross margin percentage improved to 17% for the first nine months of 2024 from negative 9% for the first nine months of 2023 primarily due to manufacturing cost reductions, the effects of charges to write down inventories to their NRV in 2023, and the sale of previously written down inventories.</w:t>
      </w:r>
    </w:p>
    <w:p>
      <w:pPr>
        <w:spacing w:after="0" w:line="140"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i w:val="1"/>
          <w:iCs w:val="1"/>
          <w:u w:val="single" w:color="auto"/>
          <w:color w:val="auto"/>
        </w:rPr>
        <w:t>Inventory NRV write-downs:</w:t>
      </w:r>
      <w:r>
        <w:rPr>
          <w:rFonts w:ascii="Arial" w:cs="Arial" w:eastAsia="Arial" w:hAnsi="Arial"/>
          <w:sz w:val="12"/>
          <w:szCs w:val="12"/>
          <w:i w:val="1"/>
          <w:iCs w:val="1"/>
          <w:color w:val="auto"/>
        </w:rPr>
        <w:t xml:space="preserve"> </w:t>
      </w:r>
      <w:r>
        <w:rPr>
          <w:rFonts w:ascii="Arial" w:cs="Arial" w:eastAsia="Arial" w:hAnsi="Arial"/>
          <w:sz w:val="12"/>
          <w:szCs w:val="12"/>
          <w:color w:val="auto"/>
        </w:rPr>
        <w:t>Our consolidated gross margin was impacted by charges in the second and third quarters of 2023 to write inventories down to their estimated NRV as a result of declines in average</w:t>
      </w:r>
      <w:r>
        <w:rPr>
          <w:rFonts w:ascii="Arial" w:cs="Arial" w:eastAsia="Arial" w:hAnsi="Arial"/>
          <w:sz w:val="12"/>
          <w:szCs w:val="12"/>
          <w:i w:val="1"/>
          <w:iCs w:val="1"/>
          <w:color w:val="auto"/>
        </w:rPr>
        <w:t xml:space="preserve"> </w:t>
      </w:r>
      <w:r>
        <w:rPr>
          <w:rFonts w:ascii="Arial" w:cs="Arial" w:eastAsia="Arial" w:hAnsi="Arial"/>
          <w:sz w:val="12"/>
          <w:szCs w:val="12"/>
          <w:color w:val="auto"/>
        </w:rPr>
        <w:t>selling prices for both DRAM and NAND. As charges to write down inventories are recorded in advance of when inventories are sold, costs of goods sold in subsequent periods are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b w:val="1"/>
                <w:bCs w:val="1"/>
                <w:color w:val="auto"/>
              </w:rPr>
              <w:t>Third Quarter</w:t>
            </w:r>
          </w:p>
        </w:tc>
        <w:tc>
          <w:tcPr>
            <w:tcW w:w="220" w:type="dxa"/>
            <w:vAlign w:val="bottom"/>
          </w:tcPr>
          <w:p>
            <w:pPr>
              <w:spacing w:after="0"/>
              <w:rPr>
                <w:sz w:val="13"/>
                <w:szCs w:val="13"/>
                <w:color w:val="auto"/>
              </w:rPr>
            </w:pPr>
          </w:p>
        </w:tc>
        <w:tc>
          <w:tcPr>
            <w:tcW w:w="1220" w:type="dxa"/>
            <w:vAlign w:val="bottom"/>
          </w:tcPr>
          <w:p>
            <w:pPr>
              <w:jc w:val="center"/>
              <w:ind w:left="220"/>
              <w:spacing w:after="0"/>
              <w:rPr>
                <w:sz w:val="20"/>
                <w:szCs w:val="20"/>
                <w:color w:val="auto"/>
              </w:rPr>
            </w:pPr>
            <w:r>
              <w:rPr>
                <w:rFonts w:ascii="Arial" w:cs="Arial" w:eastAsia="Arial" w:hAnsi="Arial"/>
                <w:sz w:val="12"/>
                <w:szCs w:val="12"/>
                <w:b w:val="1"/>
                <w:bCs w:val="1"/>
                <w:color w:val="auto"/>
                <w:w w:val="99"/>
              </w:rPr>
              <w:t>Second Quarter</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Arial" w:cs="Arial" w:eastAsia="Arial" w:hAnsi="Arial"/>
                <w:sz w:val="12"/>
                <w:szCs w:val="12"/>
                <w:b w:val="1"/>
                <w:bCs w:val="1"/>
                <w:color w:val="auto"/>
              </w:rPr>
              <w:t>Third Quarter</w:t>
            </w: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80" w:type="dxa"/>
            <w:vAlign w:val="bottom"/>
            <w:tcBorders>
              <w:bottom w:val="single" w:sz="8" w:color="auto"/>
            </w:tcBorders>
          </w:tcPr>
          <w:p>
            <w:pPr>
              <w:spacing w:after="0"/>
              <w:rPr>
                <w:sz w:val="13"/>
                <w:szCs w:val="13"/>
                <w:color w:val="auto"/>
              </w:rPr>
            </w:pPr>
          </w:p>
        </w:tc>
      </w:tr>
      <w:tr>
        <w:trPr>
          <w:trHeight w:val="150"/>
        </w:trPr>
        <w:tc>
          <w:tcPr>
            <w:tcW w:w="40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1100"/>
              <w:spacing w:after="0"/>
              <w:rPr>
                <w:sz w:val="20"/>
                <w:szCs w:val="20"/>
                <w:color w:val="auto"/>
              </w:rPr>
            </w:pPr>
            <w:r>
              <w:rPr>
                <w:rFonts w:ascii="Arial" w:cs="Arial" w:eastAsia="Arial" w:hAnsi="Arial"/>
                <w:sz w:val="12"/>
                <w:szCs w:val="12"/>
                <w:b w:val="1"/>
                <w:bCs w:val="1"/>
                <w:color w:val="auto"/>
              </w:rPr>
              <w:t>2024</w:t>
            </w: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2023</w:t>
            </w:r>
          </w:p>
        </w:tc>
      </w:tr>
      <w:tr>
        <w:trPr>
          <w:trHeight w:val="161"/>
        </w:trPr>
        <w:tc>
          <w:tcPr>
            <w:tcW w:w="4040" w:type="dxa"/>
            <w:vAlign w:val="bottom"/>
            <w:shd w:val="clear" w:color="auto" w:fill="D1D2D4"/>
          </w:tcPr>
          <w:p>
            <w:pPr>
              <w:spacing w:after="0"/>
              <w:rPr>
                <w:sz w:val="20"/>
                <w:szCs w:val="20"/>
                <w:color w:val="auto"/>
              </w:rPr>
            </w:pPr>
            <w:r>
              <w:rPr>
                <w:rFonts w:ascii="Arial" w:cs="Arial" w:eastAsia="Arial" w:hAnsi="Arial"/>
                <w:sz w:val="12"/>
                <w:szCs w:val="12"/>
                <w:color w:val="auto"/>
              </w:rPr>
              <w:t>Provision to write down inventory to NRV</w:t>
            </w:r>
          </w:p>
        </w:tc>
        <w:tc>
          <w:tcPr>
            <w:tcW w:w="1180" w:type="dxa"/>
            <w:vAlign w:val="bottom"/>
            <w:shd w:val="clear" w:color="auto" w:fill="D1D2D4"/>
          </w:tcPr>
          <w:p>
            <w:pPr>
              <w:jc w:val="right"/>
              <w:ind w:right="1040"/>
              <w:spacing w:after="0"/>
              <w:rPr>
                <w:sz w:val="20"/>
                <w:szCs w:val="20"/>
                <w:color w:val="auto"/>
              </w:rPr>
            </w:pPr>
            <w:r>
              <w:rPr>
                <w:rFonts w:ascii="Arial" w:cs="Arial" w:eastAsia="Arial" w:hAnsi="Arial"/>
                <w:sz w:val="12"/>
                <w:szCs w:val="12"/>
                <w:color w:val="auto"/>
                <w:w w:val="89"/>
              </w:rPr>
              <w:t>$</w:t>
            </w:r>
          </w:p>
        </w:tc>
        <w:tc>
          <w:tcPr>
            <w:tcW w:w="1440" w:type="dxa"/>
            <w:vAlign w:val="bottom"/>
            <w:gridSpan w:val="2"/>
            <w:shd w:val="clear" w:color="auto" w:fill="D1D2D4"/>
          </w:tcPr>
          <w:p>
            <w:pPr>
              <w:ind w:left="80"/>
              <w:spacing w:after="0"/>
              <w:rPr>
                <w:sz w:val="20"/>
                <w:szCs w:val="20"/>
                <w:color w:val="auto"/>
              </w:rPr>
            </w:pPr>
            <w:r>
              <w:rPr>
                <w:rFonts w:ascii="Arial" w:cs="Arial" w:eastAsia="Arial" w:hAnsi="Arial"/>
                <w:sz w:val="12"/>
                <w:szCs w:val="12"/>
                <w:color w:val="auto"/>
              </w:rPr>
              <w:t>— $</w:t>
            </w:r>
          </w:p>
        </w:tc>
        <w:tc>
          <w:tcPr>
            <w:tcW w:w="460" w:type="dxa"/>
            <w:vAlign w:val="bottom"/>
            <w:gridSpan w:val="2"/>
            <w:shd w:val="clear" w:color="auto" w:fill="D1D2D4"/>
          </w:tcPr>
          <w:p>
            <w:pPr>
              <w:jc w:val="right"/>
              <w:ind w:right="60"/>
              <w:spacing w:after="0"/>
              <w:rPr>
                <w:sz w:val="20"/>
                <w:szCs w:val="20"/>
                <w:color w:val="auto"/>
              </w:rPr>
            </w:pPr>
            <w:r>
              <w:rPr>
                <w:rFonts w:ascii="Arial" w:cs="Arial" w:eastAsia="Arial" w:hAnsi="Arial"/>
                <w:sz w:val="12"/>
                <w:szCs w:val="12"/>
                <w:color w:val="auto"/>
              </w:rPr>
              <w:t>— $</w:t>
            </w:r>
          </w:p>
        </w:tc>
        <w:tc>
          <w:tcPr>
            <w:tcW w:w="12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(401)</w:t>
            </w:r>
          </w:p>
        </w:tc>
        <w:tc>
          <w:tcPr>
            <w:tcW w:w="80" w:type="dxa"/>
            <w:vAlign w:val="bottom"/>
            <w:shd w:val="clear" w:color="auto" w:fill="D1D2D4"/>
          </w:tcPr>
          <w:p>
            <w:pPr>
              <w:spacing w:after="0"/>
              <w:rPr>
                <w:sz w:val="14"/>
                <w:szCs w:val="14"/>
                <w:color w:val="auto"/>
              </w:rPr>
            </w:pPr>
          </w:p>
        </w:tc>
        <w:tc>
          <w:tcPr>
            <w:tcW w:w="320" w:type="dxa"/>
            <w:vAlign w:val="bottom"/>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rPr>
              <w:t>— $</w:t>
            </w:r>
          </w:p>
        </w:tc>
        <w:tc>
          <w:tcPr>
            <w:tcW w:w="8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(1,831)</w:t>
            </w:r>
          </w:p>
        </w:tc>
      </w:tr>
      <w:tr>
        <w:trPr>
          <w:trHeight w:val="153"/>
        </w:trPr>
        <w:tc>
          <w:tcPr>
            <w:tcW w:w="40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Lower costs from sale of inventory written down in prior periods</w:t>
            </w: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w w:val="99"/>
              </w:rPr>
              <w:t>—</w:t>
            </w:r>
          </w:p>
        </w:tc>
        <w:tc>
          <w:tcPr>
            <w:tcW w:w="1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382</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w:t>
            </w:r>
          </w:p>
        </w:tc>
        <w:tc>
          <w:tcPr>
            <w:tcW w:w="80" w:type="dxa"/>
            <w:vAlign w:val="bottom"/>
            <w:tcBorders>
              <w:bottom w:val="single" w:sz="8" w:color="D1D2D4"/>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987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w:t>
            </w:r>
          </w:p>
        </w:tc>
      </w:tr>
      <w:tr>
        <w:trPr>
          <w:trHeight w:val="158"/>
        </w:trPr>
        <w:tc>
          <w:tcPr>
            <w:tcW w:w="4040" w:type="dxa"/>
            <w:vAlign w:val="bottom"/>
            <w:tcBorders>
              <w:bottom w:val="single" w:sz="8" w:color="D1D2D4"/>
            </w:tcBorders>
            <w:shd w:val="clear" w:color="auto" w:fill="D1D2D4"/>
          </w:tcPr>
          <w:p>
            <w:pPr>
              <w:spacing w:after="0"/>
              <w:rPr>
                <w:sz w:val="13"/>
                <w:szCs w:val="13"/>
                <w:color w:val="auto"/>
              </w:rPr>
            </w:pPr>
          </w:p>
        </w:tc>
        <w:tc>
          <w:tcPr>
            <w:tcW w:w="1180" w:type="dxa"/>
            <w:vAlign w:val="bottom"/>
            <w:tcBorders>
              <w:bottom w:val="single" w:sz="8" w:color="auto"/>
            </w:tcBorders>
            <w:shd w:val="clear" w:color="auto" w:fill="D1D2D4"/>
          </w:tcPr>
          <w:p>
            <w:pPr>
              <w:jc w:val="right"/>
              <w:ind w:right="1040"/>
              <w:spacing w:after="0"/>
              <w:rPr>
                <w:sz w:val="20"/>
                <w:szCs w:val="20"/>
                <w:color w:val="auto"/>
              </w:rPr>
            </w:pPr>
            <w:r>
              <w:rPr>
                <w:rFonts w:ascii="Arial" w:cs="Arial" w:eastAsia="Arial" w:hAnsi="Arial"/>
                <w:sz w:val="12"/>
                <w:szCs w:val="12"/>
                <w:color w:val="auto"/>
                <w:w w:val="89"/>
              </w:rPr>
              <w:t>$</w:t>
            </w:r>
          </w:p>
        </w:tc>
        <w:tc>
          <w:tcPr>
            <w:tcW w:w="220" w:type="dxa"/>
            <w:vAlign w:val="bottom"/>
            <w:tcBorders>
              <w:bottom w:val="single" w:sz="8" w:color="auto"/>
            </w:tcBorders>
            <w:shd w:val="clear" w:color="auto" w:fill="D1D2D4"/>
          </w:tcPr>
          <w:p>
            <w:pPr>
              <w:ind w:left="80"/>
              <w:spacing w:after="0"/>
              <w:rPr>
                <w:sz w:val="20"/>
                <w:szCs w:val="20"/>
                <w:color w:val="auto"/>
              </w:rPr>
            </w:pPr>
            <w:r>
              <w:rPr>
                <w:rFonts w:ascii="Arial" w:cs="Arial" w:eastAsia="Arial" w:hAnsi="Arial"/>
                <w:sz w:val="12"/>
                <w:szCs w:val="12"/>
                <w:color w:val="auto"/>
                <w:w w:val="99"/>
              </w:rPr>
              <w:t>—</w:t>
            </w:r>
          </w:p>
        </w:tc>
        <w:tc>
          <w:tcPr>
            <w:tcW w:w="1220" w:type="dxa"/>
            <w:vAlign w:val="bottom"/>
            <w:tcBorders>
              <w:bottom w:val="single" w:sz="8" w:color="auto"/>
            </w:tcBorders>
            <w:shd w:val="clear" w:color="auto" w:fill="D1D2D4"/>
          </w:tcPr>
          <w:p>
            <w:pPr>
              <w:jc w:val="right"/>
              <w:ind w:right="10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w w:val="89"/>
              </w:rPr>
              <w:t>382</w:t>
            </w:r>
          </w:p>
        </w:tc>
        <w:tc>
          <w:tcPr>
            <w:tcW w:w="220" w:type="dxa"/>
            <w:vAlign w:val="bottom"/>
            <w:tcBorders>
              <w:bottom w:val="single" w:sz="8" w:color="auto"/>
            </w:tcBorders>
            <w:shd w:val="clear" w:color="auto" w:fill="D1D2D4"/>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(120)</w:t>
            </w:r>
          </w:p>
        </w:tc>
        <w:tc>
          <w:tcPr>
            <w:tcW w:w="80" w:type="dxa"/>
            <w:vAlign w:val="bottom"/>
            <w:tcBorders>
              <w:bottom w:val="single" w:sz="8" w:color="D1D2D4"/>
            </w:tcBorders>
            <w:shd w:val="clear" w:color="auto" w:fill="D1D2D4"/>
          </w:tcPr>
          <w:p>
            <w:pPr>
              <w:spacing w:after="0"/>
              <w:rPr>
                <w:sz w:val="13"/>
                <w:szCs w:val="13"/>
                <w:color w:val="auto"/>
              </w:rPr>
            </w:pPr>
          </w:p>
        </w:tc>
        <w:tc>
          <w:tcPr>
            <w:tcW w:w="320" w:type="dxa"/>
            <w:vAlign w:val="bottom"/>
            <w:tcBorders>
              <w:bottom w:val="single" w:sz="8" w:color="auto"/>
            </w:tcBorders>
            <w:shd w:val="clear" w:color="auto" w:fill="D1D2D4"/>
          </w:tcPr>
          <w:p>
            <w:pPr>
              <w:jc w:val="right"/>
              <w:ind w:right="180"/>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shd w:val="clear" w:color="auto" w:fill="D1D2D4"/>
          </w:tcPr>
          <w:p>
            <w:pPr>
              <w:jc w:val="right"/>
              <w:ind w:right="440"/>
              <w:spacing w:after="0"/>
              <w:rPr>
                <w:sz w:val="20"/>
                <w:szCs w:val="20"/>
                <w:color w:val="auto"/>
              </w:rPr>
            </w:pPr>
            <w:r>
              <w:rPr>
                <w:rFonts w:ascii="Arial" w:cs="Arial" w:eastAsia="Arial" w:hAnsi="Arial"/>
                <w:sz w:val="12"/>
                <w:szCs w:val="12"/>
                <w:color w:val="auto"/>
              </w:rPr>
              <w:t>987 $</w:t>
            </w: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(1,550)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by Business Unit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ind w:left="20"/>
              <w:spacing w:after="0"/>
              <w:rPr>
                <w:sz w:val="20"/>
                <w:szCs w:val="20"/>
                <w:color w:val="auto"/>
              </w:rPr>
            </w:pPr>
            <w:r>
              <w:rPr>
                <w:rFonts w:ascii="Arial" w:cs="Arial" w:eastAsia="Arial" w:hAnsi="Arial"/>
                <w:sz w:val="12"/>
                <w:szCs w:val="12"/>
                <w:b w:val="1"/>
                <w:bCs w:val="1"/>
                <w:color w:val="auto"/>
                <w:w w:val="99"/>
              </w:rPr>
              <w:t>Third Quarter</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9"/>
              </w:rPr>
              <w:t>Second Quarter</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9"/>
              </w:rPr>
              <w:t>Third Quarter</w:t>
            </w:r>
          </w:p>
        </w:tc>
        <w:tc>
          <w:tcPr>
            <w:tcW w:w="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2"/>
                <w:szCs w:val="12"/>
                <w:b w:val="1"/>
                <w:bCs w:val="1"/>
                <w:color w:val="auto"/>
              </w:rPr>
              <w:t>Nine months ended</w:t>
            </w:r>
          </w:p>
        </w:tc>
        <w:tc>
          <w:tcPr>
            <w:tcW w:w="520" w:type="dxa"/>
            <w:vAlign w:val="bottom"/>
            <w:tcBorders>
              <w:bottom w:val="single" w:sz="8" w:color="auto"/>
            </w:tcBorders>
          </w:tcPr>
          <w:p>
            <w:pPr>
              <w:spacing w:after="0"/>
              <w:rPr>
                <w:sz w:val="13"/>
                <w:szCs w:val="13"/>
                <w:color w:val="auto"/>
              </w:rPr>
            </w:pPr>
          </w:p>
        </w:tc>
      </w:tr>
      <w:tr>
        <w:trPr>
          <w:trHeight w:val="150"/>
        </w:trPr>
        <w:tc>
          <w:tcPr>
            <w:tcW w:w="2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rPr>
              <w:t>2024</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520" w:type="dxa"/>
            <w:vAlign w:val="bottom"/>
            <w:tcBorders>
              <w:bottom w:val="single" w:sz="8" w:color="auto"/>
            </w:tcBorders>
          </w:tcPr>
          <w:p>
            <w:pPr>
              <w:spacing w:after="0"/>
              <w:rPr>
                <w:sz w:val="13"/>
                <w:szCs w:val="13"/>
                <w:color w:val="auto"/>
              </w:rPr>
            </w:pPr>
          </w:p>
        </w:tc>
      </w:tr>
      <w:tr>
        <w:trPr>
          <w:trHeight w:val="161"/>
        </w:trPr>
        <w:tc>
          <w:tcPr>
            <w:tcW w:w="2800" w:type="dxa"/>
            <w:vAlign w:val="bottom"/>
            <w:shd w:val="clear" w:color="auto" w:fill="D1D2D4"/>
          </w:tcPr>
          <w:p>
            <w:pPr>
              <w:spacing w:after="0"/>
              <w:rPr>
                <w:sz w:val="20"/>
                <w:szCs w:val="20"/>
                <w:color w:val="auto"/>
              </w:rPr>
            </w:pPr>
            <w:r>
              <w:rPr>
                <w:rFonts w:ascii="Arial" w:cs="Arial" w:eastAsia="Arial" w:hAnsi="Arial"/>
                <w:sz w:val="12"/>
                <w:szCs w:val="12"/>
                <w:color w:val="auto"/>
              </w:rPr>
              <w:t>CNBU</w:t>
            </w:r>
          </w:p>
        </w:tc>
        <w:tc>
          <w:tcPr>
            <w:tcW w:w="280" w:type="dxa"/>
            <w:vAlign w:val="bottom"/>
            <w:shd w:val="clear" w:color="auto" w:fill="D1D2D4"/>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2,573</w:t>
            </w:r>
          </w:p>
        </w:tc>
        <w:tc>
          <w:tcPr>
            <w:tcW w:w="480" w:type="dxa"/>
            <w:vAlign w:val="bottom"/>
            <w:shd w:val="clear" w:color="auto" w:fill="D1D2D4"/>
          </w:tcPr>
          <w:p>
            <w:pPr>
              <w:spacing w:after="0"/>
              <w:rPr>
                <w:sz w:val="14"/>
                <w:szCs w:val="14"/>
                <w:color w:val="auto"/>
              </w:rPr>
            </w:pPr>
          </w:p>
        </w:tc>
        <w:tc>
          <w:tcPr>
            <w:tcW w:w="600" w:type="dxa"/>
            <w:vAlign w:val="bottom"/>
            <w:gridSpan w:val="2"/>
            <w:shd w:val="clear" w:color="auto" w:fill="D1D2D4"/>
          </w:tcPr>
          <w:p>
            <w:pPr>
              <w:jc w:val="right"/>
              <w:ind w:right="80"/>
              <w:spacing w:after="0"/>
              <w:rPr>
                <w:sz w:val="20"/>
                <w:szCs w:val="20"/>
                <w:color w:val="auto"/>
              </w:rPr>
            </w:pPr>
            <w:r>
              <w:rPr>
                <w:rFonts w:ascii="Arial" w:cs="Arial" w:eastAsia="Arial" w:hAnsi="Arial"/>
                <w:sz w:val="12"/>
                <w:szCs w:val="12"/>
                <w:color w:val="auto"/>
              </w:rPr>
              <w:t>38 %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2,185</w:t>
            </w:r>
          </w:p>
        </w:tc>
        <w:tc>
          <w:tcPr>
            <w:tcW w:w="560" w:type="dxa"/>
            <w:vAlign w:val="bottom"/>
            <w:shd w:val="clear" w:color="auto" w:fill="D1D2D4"/>
          </w:tcPr>
          <w:p>
            <w:pPr>
              <w:spacing w:after="0"/>
              <w:rPr>
                <w:sz w:val="14"/>
                <w:szCs w:val="14"/>
                <w:color w:val="auto"/>
              </w:rPr>
            </w:pPr>
          </w:p>
        </w:tc>
        <w:tc>
          <w:tcPr>
            <w:tcW w:w="60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38 %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1,389</w:t>
            </w:r>
          </w:p>
        </w:tc>
        <w:tc>
          <w:tcPr>
            <w:tcW w:w="48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37 %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6,495</w:t>
            </w:r>
          </w:p>
        </w:tc>
        <w:tc>
          <w:tcPr>
            <w:tcW w:w="20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37 %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4,510</w:t>
            </w:r>
          </w:p>
        </w:tc>
        <w:tc>
          <w:tcPr>
            <w:tcW w:w="340" w:type="dxa"/>
            <w:vAlign w:val="bottom"/>
            <w:shd w:val="clear" w:color="auto" w:fill="D1D2D4"/>
          </w:tcPr>
          <w:p>
            <w:pPr>
              <w:spacing w:after="0"/>
              <w:rPr>
                <w:sz w:val="14"/>
                <w:szCs w:val="14"/>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39 %</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MBU</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1,588</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23 %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1,598</w:t>
            </w:r>
          </w:p>
        </w:tc>
        <w:tc>
          <w:tcPr>
            <w:tcW w:w="5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27 %</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819</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22 %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4,479</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2,419</w:t>
            </w: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21 %</w:t>
            </w:r>
          </w:p>
        </w:tc>
      </w:tr>
      <w:tr>
        <w:trPr>
          <w:trHeight w:val="153"/>
        </w:trPr>
        <w:tc>
          <w:tcPr>
            <w:tcW w:w="2800" w:type="dxa"/>
            <w:vAlign w:val="bottom"/>
            <w:shd w:val="clear" w:color="auto" w:fill="D1D2D4"/>
          </w:tcPr>
          <w:p>
            <w:pPr>
              <w:spacing w:after="0"/>
              <w:rPr>
                <w:sz w:val="20"/>
                <w:szCs w:val="20"/>
                <w:color w:val="auto"/>
              </w:rPr>
            </w:pPr>
            <w:r>
              <w:rPr>
                <w:rFonts w:ascii="Arial" w:cs="Arial" w:eastAsia="Arial" w:hAnsi="Arial"/>
                <w:sz w:val="12"/>
                <w:szCs w:val="12"/>
                <w:color w:val="auto"/>
              </w:rPr>
              <w:t>EBU</w:t>
            </w:r>
          </w:p>
        </w:tc>
        <w:tc>
          <w:tcPr>
            <w:tcW w:w="28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1,294</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19 %</w:t>
            </w:r>
          </w:p>
        </w:tc>
        <w:tc>
          <w:tcPr>
            <w:tcW w:w="22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1,111</w:t>
            </w:r>
          </w:p>
        </w:tc>
        <w:tc>
          <w:tcPr>
            <w:tcW w:w="560" w:type="dxa"/>
            <w:vAlign w:val="bottom"/>
            <w:shd w:val="clear" w:color="auto" w:fill="D1D2D4"/>
          </w:tcPr>
          <w:p>
            <w:pPr>
              <w:spacing w:after="0"/>
              <w:rPr>
                <w:sz w:val="13"/>
                <w:szCs w:val="13"/>
                <w:color w:val="auto"/>
              </w:rPr>
            </w:pPr>
          </w:p>
        </w:tc>
        <w:tc>
          <w:tcPr>
            <w:tcW w:w="3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19 %</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912</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24 %</w:t>
            </w:r>
          </w:p>
        </w:tc>
        <w:tc>
          <w:tcPr>
            <w:tcW w:w="2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3,442</w:t>
            </w:r>
          </w:p>
        </w:tc>
        <w:tc>
          <w:tcPr>
            <w:tcW w:w="20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20 %</w:t>
            </w:r>
          </w:p>
        </w:tc>
        <w:tc>
          <w:tcPr>
            <w:tcW w:w="2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2,777</w:t>
            </w:r>
          </w:p>
        </w:tc>
        <w:tc>
          <w:tcPr>
            <w:tcW w:w="340" w:type="dxa"/>
            <w:vAlign w:val="bottom"/>
            <w:shd w:val="clear" w:color="auto" w:fill="D1D2D4"/>
          </w:tcPr>
          <w:p>
            <w:pPr>
              <w:spacing w:after="0"/>
              <w:rPr>
                <w:sz w:val="13"/>
                <w:szCs w:val="13"/>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24 %</w:t>
            </w:r>
          </w:p>
        </w:tc>
      </w:tr>
      <w:tr>
        <w:trPr>
          <w:trHeight w:val="153"/>
        </w:trPr>
        <w:tc>
          <w:tcPr>
            <w:tcW w:w="2800" w:type="dxa"/>
            <w:vAlign w:val="bottom"/>
          </w:tcPr>
          <w:p>
            <w:pPr>
              <w:spacing w:after="0"/>
              <w:rPr>
                <w:sz w:val="20"/>
                <w:szCs w:val="20"/>
                <w:color w:val="auto"/>
              </w:rPr>
            </w:pPr>
            <w:r>
              <w:rPr>
                <w:rFonts w:ascii="Arial" w:cs="Arial" w:eastAsia="Arial" w:hAnsi="Arial"/>
                <w:sz w:val="12"/>
                <w:szCs w:val="12"/>
                <w:color w:val="auto"/>
              </w:rPr>
              <w:t>SBU</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1,353</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905</w:t>
            </w:r>
          </w:p>
        </w:tc>
        <w:tc>
          <w:tcPr>
            <w:tcW w:w="5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16 %</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627</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17 %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2,911</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17 %</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1,814</w:t>
            </w: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2800" w:type="dxa"/>
            <w:vAlign w:val="bottom"/>
            <w:shd w:val="clear" w:color="auto" w:fill="D1D2D4"/>
          </w:tcPr>
          <w:p>
            <w:pPr>
              <w:spacing w:after="0"/>
              <w:rPr>
                <w:sz w:val="20"/>
                <w:szCs w:val="20"/>
                <w:color w:val="auto"/>
              </w:rPr>
            </w:pPr>
            <w:r>
              <w:rPr>
                <w:rFonts w:ascii="Arial" w:cs="Arial" w:eastAsia="Arial" w:hAnsi="Arial"/>
                <w:sz w:val="12"/>
                <w:szCs w:val="12"/>
                <w:color w:val="auto"/>
              </w:rPr>
              <w:t>All Other</w:t>
            </w:r>
          </w:p>
        </w:tc>
        <w:tc>
          <w:tcPr>
            <w:tcW w:w="28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w:t>
            </w:r>
          </w:p>
        </w:tc>
        <w:tc>
          <w:tcPr>
            <w:tcW w:w="480" w:type="dxa"/>
            <w:vAlign w:val="bottom"/>
            <w:shd w:val="clear" w:color="auto" w:fill="D1D2D4"/>
          </w:tcPr>
          <w:p>
            <w:pPr>
              <w:spacing w:after="0"/>
              <w:rPr>
                <w:sz w:val="13"/>
                <w:szCs w:val="13"/>
                <w:color w:val="auto"/>
              </w:rPr>
            </w:pPr>
          </w:p>
        </w:tc>
        <w:tc>
          <w:tcPr>
            <w:tcW w:w="600" w:type="dxa"/>
            <w:vAlign w:val="bottom"/>
            <w:gridSpan w:val="2"/>
            <w:shd w:val="clear" w:color="auto" w:fill="D1D2D4"/>
          </w:tcPr>
          <w:p>
            <w:pPr>
              <w:jc w:val="right"/>
              <w:ind w:right="180"/>
              <w:spacing w:after="0"/>
              <w:rPr>
                <w:sz w:val="20"/>
                <w:szCs w:val="20"/>
                <w:color w:val="auto"/>
              </w:rPr>
            </w:pPr>
            <w:r>
              <w:rPr>
                <w:rFonts w:ascii="Arial" w:cs="Arial" w:eastAsia="Arial" w:hAnsi="Arial"/>
                <w:sz w:val="12"/>
                <w:szCs w:val="12"/>
                <w:color w:val="auto"/>
              </w:rPr>
              <w:t>— %</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25</w:t>
            </w:r>
          </w:p>
        </w:tc>
        <w:tc>
          <w:tcPr>
            <w:tcW w:w="560" w:type="dxa"/>
            <w:vAlign w:val="bottom"/>
            <w:shd w:val="clear" w:color="auto" w:fill="D1D2D4"/>
          </w:tcPr>
          <w:p>
            <w:pPr>
              <w:spacing w:after="0"/>
              <w:rPr>
                <w:sz w:val="13"/>
                <w:szCs w:val="13"/>
                <w:color w:val="auto"/>
              </w:rPr>
            </w:pPr>
          </w:p>
        </w:tc>
        <w:tc>
          <w:tcPr>
            <w:tcW w:w="60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w:t>
            </w:r>
          </w:p>
        </w:tc>
        <w:tc>
          <w:tcPr>
            <w:tcW w:w="48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w:t>
            </w:r>
          </w:p>
        </w:tc>
        <w:tc>
          <w:tcPr>
            <w:tcW w:w="200" w:type="dxa"/>
            <w:vAlign w:val="bottom"/>
            <w:shd w:val="clear" w:color="auto" w:fill="D1D2D4"/>
          </w:tcPr>
          <w:p>
            <w:pPr>
              <w:spacing w:after="0"/>
              <w:rPr>
                <w:sz w:val="13"/>
                <w:szCs w:val="13"/>
                <w:color w:val="auto"/>
              </w:rPr>
            </w:pPr>
          </w:p>
        </w:tc>
        <w:tc>
          <w:tcPr>
            <w:tcW w:w="900" w:type="dxa"/>
            <w:vAlign w:val="bottom"/>
            <w:gridSpan w:val="2"/>
            <w:shd w:val="clear" w:color="auto" w:fill="D1D2D4"/>
          </w:tcPr>
          <w:p>
            <w:pPr>
              <w:jc w:val="right"/>
              <w:ind w:right="200"/>
              <w:spacing w:after="0"/>
              <w:rPr>
                <w:sz w:val="20"/>
                <w:szCs w:val="20"/>
                <w:color w:val="auto"/>
              </w:rPr>
            </w:pPr>
            <w:r>
              <w:rPr>
                <w:rFonts w:ascii="Arial" w:cs="Arial" w:eastAsia="Arial" w:hAnsi="Arial"/>
                <w:sz w:val="12"/>
                <w:szCs w:val="12"/>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w:t>
            </w:r>
          </w:p>
        </w:tc>
        <w:tc>
          <w:tcPr>
            <w:tcW w:w="340" w:type="dxa"/>
            <w:vAlign w:val="bottom"/>
            <w:shd w:val="clear" w:color="auto" w:fill="D1D2D4"/>
          </w:tcPr>
          <w:p>
            <w:pPr>
              <w:spacing w:after="0"/>
              <w:rPr>
                <w:sz w:val="13"/>
                <w:szCs w:val="13"/>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 %</w:t>
            </w:r>
          </w:p>
        </w:tc>
      </w:tr>
      <w:tr>
        <w:trPr>
          <w:trHeight w:val="142"/>
        </w:trPr>
        <w:tc>
          <w:tcPr>
            <w:tcW w:w="28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6,811</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5,824</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3,752</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17,361</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11,530</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Percentages of total revenue may not total 100% due to rounding.</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31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Changes in revenue for each business unit for the third quarter of 2024 as compared to the second quarter of 2024 were as follows:</w:t>
      </w:r>
    </w:p>
    <w:p>
      <w:pPr>
        <w:spacing w:after="0" w:line="168"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CNBU revenue increased 18% primarily due to increases in DRAM average selling prices driven by strong growth in the data center market.</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MBU revenue decreased 1% reflecting decreases in bit shipments, partially offset by increases in average selling prices for both mobile DRAM and NAND.</w:t>
      </w:r>
    </w:p>
    <w:p>
      <w:pPr>
        <w:spacing w:after="0" w:line="8"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2"/>
          <w:szCs w:val="12"/>
          <w:color w:val="auto"/>
        </w:rPr>
        <w:t>EBU revenue increased 16% primarily due to increases in DRAM average selling prices and bit shipments driven by strong demand in automotive markets.</w:t>
      </w:r>
    </w:p>
    <w:p>
      <w:pPr>
        <w:spacing w:after="0" w:line="7"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SBU revenue increased 50% primarily due to increases in NAND average selling prices and bit shipments driven by strong demand in data center markets.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Changes in revenue for each business unit for the third quarter and first nine months of 2024 as compared to the corresponding periods of 2023 were as follows:</w:t>
      </w:r>
    </w:p>
    <w:p>
      <w:pPr>
        <w:spacing w:after="0" w:line="168" w:lineRule="exact"/>
        <w:rPr>
          <w:sz w:val="20"/>
          <w:szCs w:val="20"/>
          <w:color w:val="auto"/>
        </w:rPr>
      </w:pPr>
    </w:p>
    <w:p>
      <w:pPr>
        <w:ind w:left="420" w:right="180" w:hanging="212"/>
        <w:spacing w:after="0" w:line="260"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CNBU revenue increased 85% and 44%, respectively, driven by increases in bit shipments. CNBU DRAM average selling prices increased for the third quarter of 2024 as compared to the third quarter of 2023 and decreased slightly for the first nine months of 2024 as compared to the first nine months of 2023.</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MBU revenue increased 94% and 85%, respectively, primarily due to increases in average selling prices and bit shipments for both mobile DRAM and NAND.</w:t>
      </w:r>
    </w:p>
    <w:p>
      <w:pPr>
        <w:spacing w:after="0" w:line="8"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2"/>
          <w:szCs w:val="12"/>
          <w:color w:val="auto"/>
        </w:rPr>
        <w:t>EBU revenue increased 42% and 24%, respectively, primarily due to increases in bit shipments, partially offset by declines in average selling prices.</w:t>
      </w: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SBU revenue increased 116% and 60%, respectively, primarily due to increases in average selling prices and bit shipments.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Income (Loss) by Business Unit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Third Quarter</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Second Quarter</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99"/>
              </w:rPr>
              <w:t>Third Quarter</w:t>
            </w:r>
          </w:p>
        </w:tc>
        <w:tc>
          <w:tcPr>
            <w:tcW w:w="4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2"/>
                <w:szCs w:val="12"/>
                <w:b w:val="1"/>
                <w:bCs w:val="1"/>
                <w:color w:val="auto"/>
              </w:rPr>
              <w:t>Nine months ended</w:t>
            </w:r>
          </w:p>
        </w:tc>
        <w:tc>
          <w:tcPr>
            <w:tcW w:w="520" w:type="dxa"/>
            <w:vAlign w:val="bottom"/>
            <w:tcBorders>
              <w:bottom w:val="single" w:sz="8" w:color="auto"/>
            </w:tcBorders>
          </w:tcPr>
          <w:p>
            <w:pPr>
              <w:spacing w:after="0"/>
              <w:rPr>
                <w:sz w:val="13"/>
                <w:szCs w:val="13"/>
                <w:color w:val="auto"/>
              </w:rPr>
            </w:pPr>
          </w:p>
        </w:tc>
      </w:tr>
      <w:tr>
        <w:trPr>
          <w:trHeight w:val="150"/>
        </w:trPr>
        <w:tc>
          <w:tcPr>
            <w:tcW w:w="2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2024</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2024</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2023</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2024</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520" w:type="dxa"/>
            <w:vAlign w:val="bottom"/>
            <w:tcBorders>
              <w:bottom w:val="single" w:sz="8" w:color="auto"/>
            </w:tcBorders>
          </w:tcPr>
          <w:p>
            <w:pPr>
              <w:spacing w:after="0"/>
              <w:rPr>
                <w:sz w:val="13"/>
                <w:szCs w:val="13"/>
                <w:color w:val="auto"/>
              </w:rPr>
            </w:pPr>
          </w:p>
        </w:tc>
      </w:tr>
      <w:tr>
        <w:trPr>
          <w:trHeight w:val="161"/>
        </w:trPr>
        <w:tc>
          <w:tcPr>
            <w:tcW w:w="2800" w:type="dxa"/>
            <w:vAlign w:val="bottom"/>
            <w:shd w:val="clear" w:color="auto" w:fill="D1D2D4"/>
          </w:tcPr>
          <w:p>
            <w:pPr>
              <w:ind w:left="20"/>
              <w:spacing w:after="0"/>
              <w:rPr>
                <w:sz w:val="20"/>
                <w:szCs w:val="20"/>
                <w:color w:val="auto"/>
              </w:rPr>
            </w:pPr>
            <w:r>
              <w:rPr>
                <w:rFonts w:ascii="Arial" w:cs="Arial" w:eastAsia="Arial" w:hAnsi="Arial"/>
                <w:sz w:val="12"/>
                <w:szCs w:val="12"/>
                <w:color w:val="auto"/>
              </w:rPr>
              <w:t>CNBU</w:t>
            </w:r>
          </w:p>
        </w:tc>
        <w:tc>
          <w:tcPr>
            <w:tcW w:w="260" w:type="dxa"/>
            <w:vAlign w:val="bottom"/>
            <w:shd w:val="clear" w:color="auto" w:fill="D1D2D4"/>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442</w:t>
            </w:r>
          </w:p>
        </w:tc>
        <w:tc>
          <w:tcPr>
            <w:tcW w:w="44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00"/>
              <w:spacing w:after="0"/>
              <w:rPr>
                <w:sz w:val="20"/>
                <w:szCs w:val="20"/>
                <w:color w:val="auto"/>
              </w:rPr>
            </w:pPr>
            <w:r>
              <w:rPr>
                <w:rFonts w:ascii="Arial" w:cs="Arial" w:eastAsia="Arial" w:hAnsi="Arial"/>
                <w:sz w:val="12"/>
                <w:szCs w:val="12"/>
                <w:color w:val="auto"/>
              </w:rPr>
              <w:t>17 %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28</w:t>
            </w:r>
          </w:p>
        </w:tc>
        <w:tc>
          <w:tcPr>
            <w:tcW w:w="480" w:type="dxa"/>
            <w:vAlign w:val="bottom"/>
            <w:shd w:val="clear" w:color="auto" w:fill="D1D2D4"/>
          </w:tcPr>
          <w:p>
            <w:pPr>
              <w:spacing w:after="0"/>
              <w:rPr>
                <w:sz w:val="14"/>
                <w:szCs w:val="14"/>
                <w:color w:val="auto"/>
              </w:rPr>
            </w:pPr>
          </w:p>
        </w:tc>
        <w:tc>
          <w:tcPr>
            <w:tcW w:w="64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1 %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(337)</w:t>
            </w:r>
          </w:p>
        </w:tc>
        <w:tc>
          <w:tcPr>
            <w:tcW w:w="460" w:type="dxa"/>
            <w:vAlign w:val="bottom"/>
            <w:shd w:val="clear" w:color="auto" w:fill="D1D2D4"/>
          </w:tcPr>
          <w:p>
            <w:pPr>
              <w:spacing w:after="0"/>
              <w:rPr>
                <w:sz w:val="14"/>
                <w:szCs w:val="14"/>
                <w:color w:val="auto"/>
              </w:rPr>
            </w:pPr>
          </w:p>
        </w:tc>
        <w:tc>
          <w:tcPr>
            <w:tcW w:w="700" w:type="dxa"/>
            <w:vAlign w:val="bottom"/>
            <w:gridSpan w:val="2"/>
            <w:shd w:val="clear" w:color="auto" w:fill="D1D2D4"/>
          </w:tcPr>
          <w:p>
            <w:pPr>
              <w:jc w:val="right"/>
              <w:ind w:right="160"/>
              <w:spacing w:after="0"/>
              <w:rPr>
                <w:sz w:val="20"/>
                <w:szCs w:val="20"/>
                <w:color w:val="auto"/>
              </w:rPr>
            </w:pPr>
            <w:r>
              <w:rPr>
                <w:rFonts w:ascii="Arial" w:cs="Arial" w:eastAsia="Arial" w:hAnsi="Arial"/>
                <w:sz w:val="12"/>
                <w:szCs w:val="12"/>
                <w:color w:val="auto"/>
              </w:rPr>
              <w:t>(24)% $</w:t>
            </w: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73</w:t>
            </w:r>
          </w:p>
        </w:tc>
        <w:tc>
          <w:tcPr>
            <w:tcW w:w="22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ind w:right="120"/>
              <w:spacing w:after="0"/>
              <w:rPr>
                <w:sz w:val="20"/>
                <w:szCs w:val="20"/>
                <w:color w:val="auto"/>
              </w:rPr>
            </w:pPr>
            <w:r>
              <w:rPr>
                <w:rFonts w:ascii="Arial" w:cs="Arial" w:eastAsia="Arial" w:hAnsi="Arial"/>
                <w:sz w:val="12"/>
                <w:szCs w:val="12"/>
                <w:color w:val="auto"/>
              </w:rPr>
              <w:t>1 % $</w:t>
            </w: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(182)</w:t>
            </w:r>
          </w:p>
        </w:tc>
        <w:tc>
          <w:tcPr>
            <w:tcW w:w="320" w:type="dxa"/>
            <w:vAlign w:val="bottom"/>
            <w:shd w:val="clear" w:color="auto" w:fill="D1D2D4"/>
          </w:tcPr>
          <w:p>
            <w:pPr>
              <w:spacing w:after="0"/>
              <w:rPr>
                <w:sz w:val="14"/>
                <w:szCs w:val="14"/>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w:t>
            </w:r>
          </w:p>
        </w:tc>
      </w:tr>
      <w:tr>
        <w:trPr>
          <w:trHeight w:val="153"/>
        </w:trPr>
        <w:tc>
          <w:tcPr>
            <w:tcW w:w="2800" w:type="dxa"/>
            <w:vAlign w:val="bottom"/>
          </w:tcPr>
          <w:p>
            <w:pPr>
              <w:ind w:left="20"/>
              <w:spacing w:after="0"/>
              <w:rPr>
                <w:sz w:val="20"/>
                <w:szCs w:val="20"/>
                <w:color w:val="auto"/>
              </w:rPr>
            </w:pPr>
            <w:r>
              <w:rPr>
                <w:rFonts w:ascii="Arial" w:cs="Arial" w:eastAsia="Arial" w:hAnsi="Arial"/>
                <w:sz w:val="12"/>
                <w:szCs w:val="12"/>
                <w:color w:val="auto"/>
              </w:rPr>
              <w:t>MBU</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301</w:t>
            </w:r>
          </w:p>
        </w:tc>
        <w:tc>
          <w:tcPr>
            <w:tcW w:w="4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19 %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(478)</w:t>
            </w:r>
          </w:p>
        </w:tc>
        <w:tc>
          <w:tcPr>
            <w:tcW w:w="4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(58)%</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(395)</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(1,017)</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2800" w:type="dxa"/>
            <w:vAlign w:val="bottom"/>
            <w:shd w:val="clear" w:color="auto" w:fill="D1D2D4"/>
          </w:tcPr>
          <w:p>
            <w:pPr>
              <w:ind w:left="20"/>
              <w:spacing w:after="0"/>
              <w:rPr>
                <w:sz w:val="20"/>
                <w:szCs w:val="20"/>
                <w:color w:val="auto"/>
              </w:rPr>
            </w:pPr>
            <w:r>
              <w:rPr>
                <w:rFonts w:ascii="Arial" w:cs="Arial" w:eastAsia="Arial" w:hAnsi="Arial"/>
                <w:sz w:val="12"/>
                <w:szCs w:val="12"/>
                <w:color w:val="auto"/>
              </w:rPr>
              <w:t>EBU</w:t>
            </w:r>
          </w:p>
        </w:tc>
        <w:tc>
          <w:tcPr>
            <w:tcW w:w="260" w:type="dxa"/>
            <w:vAlign w:val="bottom"/>
            <w:shd w:val="clear" w:color="auto" w:fill="D1D2D4"/>
          </w:tcPr>
          <w:p>
            <w:pPr>
              <w:spacing w:after="0"/>
              <w:rPr>
                <w:sz w:val="13"/>
                <w:szCs w:val="13"/>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124</w:t>
            </w:r>
          </w:p>
        </w:tc>
        <w:tc>
          <w:tcPr>
            <w:tcW w:w="44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10 %</w:t>
            </w:r>
          </w:p>
        </w:tc>
        <w:tc>
          <w:tcPr>
            <w:tcW w:w="24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w:t>
            </w:r>
          </w:p>
        </w:tc>
        <w:tc>
          <w:tcPr>
            <w:tcW w:w="480" w:type="dxa"/>
            <w:vAlign w:val="bottom"/>
            <w:shd w:val="clear" w:color="auto" w:fill="D1D2D4"/>
          </w:tcPr>
          <w:p>
            <w:pPr>
              <w:spacing w:after="0"/>
              <w:rPr>
                <w:sz w:val="13"/>
                <w:szCs w:val="13"/>
                <w:color w:val="auto"/>
              </w:rPr>
            </w:pPr>
          </w:p>
        </w:tc>
        <w:tc>
          <w:tcPr>
            <w:tcW w:w="640" w:type="dxa"/>
            <w:vAlign w:val="bottom"/>
            <w:gridSpan w:val="2"/>
            <w:shd w:val="clear" w:color="auto" w:fill="D1D2D4"/>
          </w:tcPr>
          <w:p>
            <w:pPr>
              <w:jc w:val="right"/>
              <w:ind w:right="220"/>
              <w:spacing w:after="0"/>
              <w:rPr>
                <w:sz w:val="20"/>
                <w:szCs w:val="20"/>
                <w:color w:val="auto"/>
              </w:rPr>
            </w:pPr>
            <w:r>
              <w:rPr>
                <w:rFonts w:ascii="Arial" w:cs="Arial" w:eastAsia="Arial" w:hAnsi="Arial"/>
                <w:sz w:val="12"/>
                <w:szCs w:val="12"/>
                <w:color w:val="auto"/>
              </w:rPr>
              <w:t>— %</w:t>
            </w:r>
          </w:p>
        </w:tc>
        <w:tc>
          <w:tcPr>
            <w:tcW w:w="5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65</w:t>
            </w:r>
          </w:p>
        </w:tc>
        <w:tc>
          <w:tcPr>
            <w:tcW w:w="46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7 %</w:t>
            </w:r>
          </w:p>
        </w:tc>
        <w:tc>
          <w:tcPr>
            <w:tcW w:w="300" w:type="dxa"/>
            <w:vAlign w:val="bottom"/>
            <w:shd w:val="clear" w:color="auto" w:fill="D1D2D4"/>
          </w:tcPr>
          <w:p>
            <w:pPr>
              <w:spacing w:after="0"/>
              <w:rPr>
                <w:sz w:val="13"/>
                <w:szCs w:val="13"/>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133</w:t>
            </w:r>
          </w:p>
        </w:tc>
        <w:tc>
          <w:tcPr>
            <w:tcW w:w="2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4 %</w:t>
            </w:r>
          </w:p>
        </w:tc>
        <w:tc>
          <w:tcPr>
            <w:tcW w:w="260" w:type="dxa"/>
            <w:vAlign w:val="bottom"/>
            <w:shd w:val="clear" w:color="auto" w:fill="D1D2D4"/>
          </w:tcPr>
          <w:p>
            <w:pPr>
              <w:spacing w:after="0"/>
              <w:rPr>
                <w:sz w:val="13"/>
                <w:szCs w:val="13"/>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347</w:t>
            </w:r>
          </w:p>
        </w:tc>
        <w:tc>
          <w:tcPr>
            <w:tcW w:w="320" w:type="dxa"/>
            <w:vAlign w:val="bottom"/>
            <w:shd w:val="clear" w:color="auto" w:fill="D1D2D4"/>
          </w:tcPr>
          <w:p>
            <w:pPr>
              <w:spacing w:after="0"/>
              <w:rPr>
                <w:sz w:val="13"/>
                <w:szCs w:val="13"/>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12 %</w:t>
            </w:r>
          </w:p>
        </w:tc>
      </w:tr>
      <w:tr>
        <w:trPr>
          <w:trHeight w:val="153"/>
        </w:trPr>
        <w:tc>
          <w:tcPr>
            <w:tcW w:w="2800" w:type="dxa"/>
            <w:vAlign w:val="bottom"/>
          </w:tcPr>
          <w:p>
            <w:pPr>
              <w:ind w:left="20"/>
              <w:spacing w:after="0"/>
              <w:rPr>
                <w:sz w:val="20"/>
                <w:szCs w:val="20"/>
                <w:color w:val="auto"/>
              </w:rPr>
            </w:pPr>
            <w:r>
              <w:rPr>
                <w:rFonts w:ascii="Arial" w:cs="Arial" w:eastAsia="Arial" w:hAnsi="Arial"/>
                <w:sz w:val="12"/>
                <w:szCs w:val="12"/>
                <w:color w:val="auto"/>
              </w:rPr>
              <w:t>SBU</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w:t>
            </w:r>
          </w:p>
        </w:tc>
        <w:tc>
          <w:tcPr>
            <w:tcW w:w="4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6 %</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(217)</w:t>
            </w:r>
          </w:p>
        </w:tc>
        <w:tc>
          <w:tcPr>
            <w:tcW w:w="4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(24)%</w:t>
            </w: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(601)</w:t>
            </w:r>
          </w:p>
        </w:tc>
        <w:tc>
          <w:tcPr>
            <w:tcW w:w="4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(96)%</w:t>
            </w:r>
          </w:p>
        </w:tc>
        <w:tc>
          <w:tcPr>
            <w:tcW w:w="3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(631)</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(1,215)</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53"/>
        </w:trPr>
        <w:tc>
          <w:tcPr>
            <w:tcW w:w="2800" w:type="dxa"/>
            <w:vAlign w:val="bottom"/>
            <w:shd w:val="clear" w:color="auto" w:fill="D1D2D4"/>
          </w:tcPr>
          <w:p>
            <w:pPr>
              <w:ind w:left="20"/>
              <w:spacing w:after="0"/>
              <w:rPr>
                <w:sz w:val="20"/>
                <w:szCs w:val="20"/>
                <w:color w:val="auto"/>
              </w:rPr>
            </w:pPr>
            <w:r>
              <w:rPr>
                <w:rFonts w:ascii="Arial" w:cs="Arial" w:eastAsia="Arial" w:hAnsi="Arial"/>
                <w:sz w:val="12"/>
                <w:szCs w:val="12"/>
                <w:color w:val="auto"/>
              </w:rPr>
              <w:t>All Other</w:t>
            </w:r>
          </w:p>
        </w:tc>
        <w:tc>
          <w:tcPr>
            <w:tcW w:w="260" w:type="dxa"/>
            <w:vAlign w:val="bottom"/>
            <w:tcBorders>
              <w:bottom w:val="single" w:sz="8" w:color="auto"/>
            </w:tcBorders>
            <w:shd w:val="clear" w:color="auto" w:fill="D1D2D4"/>
          </w:tcPr>
          <w:p>
            <w:pPr>
              <w:spacing w:after="0"/>
              <w:rPr>
                <w:sz w:val="13"/>
                <w:szCs w:val="13"/>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44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(67)%</w:t>
            </w:r>
          </w:p>
        </w:tc>
        <w:tc>
          <w:tcPr>
            <w:tcW w:w="240" w:type="dxa"/>
            <w:vAlign w:val="bottom"/>
            <w:tcBorders>
              <w:bottom w:val="single" w:sz="8" w:color="auto"/>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21</w:t>
            </w:r>
          </w:p>
        </w:tc>
        <w:tc>
          <w:tcPr>
            <w:tcW w:w="480" w:type="dxa"/>
            <w:vAlign w:val="bottom"/>
            <w:shd w:val="clear" w:color="auto" w:fill="D1D2D4"/>
          </w:tcPr>
          <w:p>
            <w:pPr>
              <w:spacing w:after="0"/>
              <w:rPr>
                <w:sz w:val="13"/>
                <w:szCs w:val="13"/>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84 %</w:t>
            </w:r>
          </w:p>
        </w:tc>
        <w:tc>
          <w:tcPr>
            <w:tcW w:w="260" w:type="dxa"/>
            <w:vAlign w:val="bottom"/>
            <w:tcBorders>
              <w:bottom w:val="single" w:sz="8" w:color="auto"/>
            </w:tcBorders>
            <w:shd w:val="clear" w:color="auto" w:fill="D1D2D4"/>
          </w:tcPr>
          <w:p>
            <w:pPr>
              <w:spacing w:after="0"/>
              <w:rPr>
                <w:sz w:val="13"/>
                <w:szCs w:val="13"/>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w:t>
            </w:r>
          </w:p>
        </w:tc>
        <w:tc>
          <w:tcPr>
            <w:tcW w:w="460" w:type="dxa"/>
            <w:vAlign w:val="bottom"/>
            <w:shd w:val="clear" w:color="auto" w:fill="D1D2D4"/>
          </w:tcPr>
          <w:p>
            <w:pPr>
              <w:spacing w:after="0"/>
              <w:rPr>
                <w:sz w:val="13"/>
                <w:szCs w:val="13"/>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40 %</w:t>
            </w:r>
          </w:p>
        </w:tc>
        <w:tc>
          <w:tcPr>
            <w:tcW w:w="300" w:type="dxa"/>
            <w:vAlign w:val="bottom"/>
            <w:tcBorders>
              <w:bottom w:val="single" w:sz="8" w:color="auto"/>
            </w:tcBorders>
            <w:shd w:val="clear" w:color="auto" w:fill="D1D2D4"/>
          </w:tcPr>
          <w:p>
            <w:pPr>
              <w:spacing w:after="0"/>
              <w:rPr>
                <w:sz w:val="13"/>
                <w:szCs w:val="13"/>
                <w:color w:val="auto"/>
              </w:rPr>
            </w:pPr>
          </w:p>
        </w:tc>
        <w:tc>
          <w:tcPr>
            <w:tcW w:w="5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23</w:t>
            </w:r>
          </w:p>
        </w:tc>
        <w:tc>
          <w:tcPr>
            <w:tcW w:w="220" w:type="dxa"/>
            <w:vAlign w:val="bottom"/>
            <w:shd w:val="clear" w:color="auto" w:fill="D1D2D4"/>
          </w:tcPr>
          <w:p>
            <w:pPr>
              <w:spacing w:after="0"/>
              <w:rPr>
                <w:sz w:val="13"/>
                <w:szCs w:val="13"/>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68 %</w:t>
            </w:r>
          </w:p>
        </w:tc>
        <w:tc>
          <w:tcPr>
            <w:tcW w:w="260" w:type="dxa"/>
            <w:vAlign w:val="bottom"/>
            <w:tcBorders>
              <w:bottom w:val="single" w:sz="8" w:color="auto"/>
            </w:tcBorders>
            <w:shd w:val="clear" w:color="auto" w:fill="D1D2D4"/>
          </w:tcPr>
          <w:p>
            <w:pPr>
              <w:spacing w:after="0"/>
              <w:rPr>
                <w:sz w:val="13"/>
                <w:szCs w:val="13"/>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6</w:t>
            </w:r>
          </w:p>
        </w:tc>
        <w:tc>
          <w:tcPr>
            <w:tcW w:w="320" w:type="dxa"/>
            <w:vAlign w:val="bottom"/>
            <w:shd w:val="clear" w:color="auto" w:fill="D1D2D4"/>
          </w:tcPr>
          <w:p>
            <w:pPr>
              <w:spacing w:after="0"/>
              <w:rPr>
                <w:sz w:val="13"/>
                <w:szCs w:val="13"/>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60 %</w:t>
            </w:r>
          </w:p>
        </w:tc>
      </w:tr>
      <w:tr>
        <w:trPr>
          <w:trHeight w:val="142"/>
        </w:trPr>
        <w:tc>
          <w:tcPr>
            <w:tcW w:w="28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941</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(1,349)</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(2,061)</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Percentages reflect operating income (loss) as a percentage of revenue for each business unit.</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For the third quarter of 2024 as compared to the second quarter of 2024, operating income (loss) improved for all segments primarily due to increases in average selling prices as a result of improving conditions across most markets.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40"/>
        <w:spacing w:after="0" w:line="233" w:lineRule="auto"/>
        <w:rPr>
          <w:sz w:val="20"/>
          <w:szCs w:val="20"/>
          <w:color w:val="auto"/>
        </w:rPr>
      </w:pPr>
      <w:r>
        <w:rPr>
          <w:rFonts w:ascii="Arial" w:cs="Arial" w:eastAsia="Arial" w:hAnsi="Arial"/>
          <w:sz w:val="12"/>
          <w:szCs w:val="12"/>
          <w:color w:val="auto"/>
        </w:rPr>
        <w:t>For the third quarter of 2024 as compared to the third quarter of 2023, CNBU, MBU, and SBU operating income (loss) improved primarily due to increases in average selling prices, manufacturing cost reductions, and increases in bit sales as a result of improving conditions across most markets in 2024. SBU and CNBU experienced higher R&amp;D expenses for the third quarter of 2024 as compared to the third quarter of 2023. For EBU, operating income (loss) for the third quarter of 2024 also improved from the third quarter of 2023 primarily due to increases in bits sold and manufacturing cost reductions, partially offset by lower average selling prices.</w:t>
      </w:r>
    </w:p>
    <w:p>
      <w:pPr>
        <w:spacing w:after="0" w:line="148" w:lineRule="exact"/>
        <w:rPr>
          <w:sz w:val="20"/>
          <w:szCs w:val="20"/>
          <w:color w:val="auto"/>
        </w:rPr>
      </w:pPr>
    </w:p>
    <w:p>
      <w:pPr>
        <w:ind w:right="200"/>
        <w:spacing w:after="0" w:line="262" w:lineRule="auto"/>
        <w:rPr>
          <w:sz w:val="20"/>
          <w:szCs w:val="20"/>
          <w:color w:val="auto"/>
        </w:rPr>
      </w:pPr>
      <w:r>
        <w:rPr>
          <w:rFonts w:ascii="Arial" w:cs="Arial" w:eastAsia="Arial" w:hAnsi="Arial"/>
          <w:sz w:val="12"/>
          <w:szCs w:val="12"/>
          <w:color w:val="auto"/>
        </w:rPr>
        <w:t>For the first nine months of 2024 as compared to the first nine months of 2023, operating income (loss) improved for CNBU, MBU, and SBU primarily due to manufacturing cost reductions, increases in bit sales, and increases in MBU and SBU average selling prices as a result of improving conditions across most markets in 2024. SBU and CNBU experienced higher R&amp;D expenses for the first nine months of 2024 as compared to the first nine months of 2023. For EBU, operating income (loss) for the first nine months of 2024 deteriorated from the first nine months of 2023 primarily due to lower average selling prices, partially offset by manufacturing cost reduction and increases in bit shipments.</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 and Other</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b w:val="1"/>
          <w:bCs w:val="1"/>
          <w:i w:val="1"/>
          <w:iCs w:val="1"/>
          <w:color w:val="auto"/>
        </w:rPr>
        <w:t xml:space="preserve">Research and Development: </w:t>
      </w:r>
      <w:r>
        <w:rPr>
          <w:rFonts w:ascii="Arial" w:cs="Arial" w:eastAsia="Arial" w:hAnsi="Arial"/>
          <w:sz w:val="12"/>
          <w:szCs w:val="12"/>
          <w:color w:val="auto"/>
        </w:rPr>
        <w:t>R&amp;D expenses vary primarily with the number of development and pre-qualification wafers processed, the cost of advanced equipment dedicated to new product and process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132" w:lineRule="exact"/>
        <w:rPr>
          <w:sz w:val="20"/>
          <w:szCs w:val="20"/>
          <w:color w:val="auto"/>
        </w:rPr>
      </w:pPr>
    </w:p>
    <w:p>
      <w:pPr>
        <w:ind w:right="240"/>
        <w:spacing w:after="0" w:line="262" w:lineRule="auto"/>
        <w:rPr>
          <w:sz w:val="20"/>
          <w:szCs w:val="20"/>
          <w:color w:val="auto"/>
        </w:rPr>
      </w:pPr>
      <w:r>
        <w:rPr>
          <w:rFonts w:ascii="Arial" w:cs="Arial" w:eastAsia="Arial" w:hAnsi="Arial"/>
          <w:sz w:val="12"/>
          <w:szCs w:val="12"/>
          <w:color w:val="auto"/>
        </w:rPr>
        <w:t>R&amp;D expenses for the third quarter of 2024 increased 2% as compared to the second quarter of 2024 primarily due to an increase in employee compensation and subcontractor expense. R&amp;D expenses for the third quarter of 2024 increased 12% as compared to the third quarter of 2023 primarily due to an increase in employee compensation and subcontractor expense, partially offset by an increase in government incentives. R&amp;D expenses for the first nine months of 2024 increased 6% as compared to the first nine months of 2023 primarily due to an increase in employee compensation, partially offset by an increase in government incentives.</w:t>
      </w:r>
    </w:p>
    <w:p>
      <w:pPr>
        <w:spacing w:after="0" w:line="135"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i w:val="1"/>
          <w:iCs w:val="1"/>
          <w:color w:val="auto"/>
        </w:rPr>
        <w:t xml:space="preserve">Selling, General, and Administrative: </w:t>
      </w:r>
      <w:r>
        <w:rPr>
          <w:rFonts w:ascii="Arial" w:cs="Arial" w:eastAsia="Arial" w:hAnsi="Arial"/>
          <w:sz w:val="12"/>
          <w:szCs w:val="12"/>
          <w:color w:val="auto"/>
        </w:rPr>
        <w:t>SG&amp;A expenses for the third quarter of 2024 increased 4% as compared to the second quarter of 2024 primarily due to an increase in employee compensation. SG&amp;A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expenses for the third quarter and first nine months of 2024 increased 33% and 19%, respectively, as compared to the corresponding periods of 2023, primarily due to an increase in employee compensation and legal fees.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Restructure and Asset Impairments: </w:t>
      </w:r>
      <w:r>
        <w:rPr>
          <w:rFonts w:ascii="Arial" w:cs="Arial" w:eastAsia="Arial" w:hAnsi="Arial"/>
          <w:sz w:val="12"/>
          <w:szCs w:val="12"/>
          <w:color w:val="auto"/>
        </w:rPr>
        <w:t>See “Item 1. Financial Statements – Notes to Consolidated Financial Statements – Restructure and Asset Impairments.”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Operating (Income) Expense, Net: </w:t>
      </w:r>
      <w:r>
        <w:rPr>
          <w:rFonts w:ascii="Arial" w:cs="Arial" w:eastAsia="Arial" w:hAnsi="Arial"/>
          <w:sz w:val="12"/>
          <w:szCs w:val="12"/>
          <w:color w:val="auto"/>
        </w:rPr>
        <w:t>See “Item 1. Financial Statements – Notes to Consolidated Financial Statements – Other Operating (Income) Expense, Net.”</w:t>
      </w:r>
    </w:p>
    <w:p>
      <w:pPr>
        <w:spacing w:after="0" w:line="168"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i w:val="1"/>
          <w:iCs w:val="1"/>
          <w:color w:val="auto"/>
        </w:rPr>
        <w:t xml:space="preserve">Interest (Income) Expense, Net: </w:t>
      </w:r>
      <w:r>
        <w:rPr>
          <w:rFonts w:ascii="Arial" w:cs="Arial" w:eastAsia="Arial" w:hAnsi="Arial"/>
          <w:sz w:val="12"/>
          <w:szCs w:val="12"/>
          <w:color w:val="auto"/>
        </w:rPr>
        <w:t>Interest income (expense) for the third quarter of 2024 compared to the second quarter of 2024 was unchanged. Interest income (expense) deteriorated for the third quarter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first nine months of 2024 as compared to the corresponding periods of 2023 primarily due to increases in interest expense as a result of higher debt balances and interest rates, partially offset by increases in interest income due to higher interest rates on our cash and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Our income tax (provision) benefit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jc w:val="right"/>
              <w:ind w:right="300"/>
              <w:spacing w:after="0"/>
              <w:rPr>
                <w:sz w:val="20"/>
                <w:szCs w:val="20"/>
                <w:color w:val="auto"/>
              </w:rPr>
            </w:pPr>
            <w:r>
              <w:rPr>
                <w:rFonts w:ascii="Arial" w:cs="Arial" w:eastAsia="Arial" w:hAnsi="Arial"/>
                <w:sz w:val="12"/>
                <w:szCs w:val="12"/>
                <w:b w:val="1"/>
                <w:bCs w:val="1"/>
                <w:color w:val="auto"/>
              </w:rPr>
              <w:t>Third Quarter</w:t>
            </w:r>
          </w:p>
        </w:tc>
        <w:tc>
          <w:tcPr>
            <w:tcW w:w="18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b w:val="1"/>
                <w:bCs w:val="1"/>
                <w:color w:val="auto"/>
              </w:rPr>
              <w:t>Second Quarter</w:t>
            </w:r>
          </w:p>
        </w:tc>
        <w:tc>
          <w:tcPr>
            <w:tcW w:w="22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Arial" w:cs="Arial" w:eastAsia="Arial" w:hAnsi="Arial"/>
                <w:sz w:val="12"/>
                <w:szCs w:val="12"/>
                <w:b w:val="1"/>
                <w:bCs w:val="1"/>
                <w:color w:val="auto"/>
              </w:rPr>
              <w:t>Third Quarter</w:t>
            </w: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Nine months ended</w:t>
            </w:r>
          </w:p>
        </w:tc>
        <w:tc>
          <w:tcPr>
            <w:tcW w:w="900" w:type="dxa"/>
            <w:vAlign w:val="bottom"/>
            <w:tcBorders>
              <w:bottom w:val="single" w:sz="8" w:color="auto"/>
            </w:tcBorders>
          </w:tcPr>
          <w:p>
            <w:pPr>
              <w:spacing w:after="0"/>
              <w:rPr>
                <w:sz w:val="13"/>
                <w:szCs w:val="13"/>
                <w:color w:val="auto"/>
              </w:rPr>
            </w:pPr>
          </w:p>
        </w:tc>
      </w:tr>
      <w:tr>
        <w:trPr>
          <w:trHeight w:val="150"/>
        </w:trPr>
        <w:tc>
          <w:tcPr>
            <w:tcW w:w="26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w w:val="97"/>
              </w:rPr>
              <w:t>2023</w:t>
            </w:r>
          </w:p>
        </w:tc>
      </w:tr>
      <w:tr>
        <w:trPr>
          <w:trHeight w:val="161"/>
        </w:trPr>
        <w:tc>
          <w:tcPr>
            <w:tcW w:w="2680" w:type="dxa"/>
            <w:vAlign w:val="bottom"/>
            <w:shd w:val="clear" w:color="auto" w:fill="D1D2D4"/>
          </w:tcPr>
          <w:p>
            <w:pPr>
              <w:spacing w:after="0"/>
              <w:rPr>
                <w:sz w:val="20"/>
                <w:szCs w:val="20"/>
                <w:color w:val="auto"/>
              </w:rPr>
            </w:pPr>
            <w:r>
              <w:rPr>
                <w:rFonts w:ascii="Arial" w:cs="Arial" w:eastAsia="Arial" w:hAnsi="Arial"/>
                <w:sz w:val="12"/>
                <w:szCs w:val="12"/>
                <w:color w:val="auto"/>
              </w:rPr>
              <w:t>Income (loss) before taxes</w:t>
            </w:r>
          </w:p>
        </w:tc>
        <w:tc>
          <w:tcPr>
            <w:tcW w:w="13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w:t>
            </w:r>
          </w:p>
        </w:tc>
        <w:tc>
          <w:tcPr>
            <w:tcW w:w="128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715</w:t>
            </w:r>
          </w:p>
        </w:tc>
        <w:tc>
          <w:tcPr>
            <w:tcW w:w="180" w:type="dxa"/>
            <w:vAlign w:val="bottom"/>
            <w:shd w:val="clear" w:color="auto" w:fill="D1D2D4"/>
          </w:tcPr>
          <w:p>
            <w:pPr>
              <w:jc w:val="right"/>
              <w:ind w:right="4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D1D2D4"/>
          </w:tcPr>
          <w:p>
            <w:pPr>
              <w:jc w:val="right"/>
              <w:ind w:right="100"/>
              <w:spacing w:after="0"/>
              <w:rPr>
                <w:sz w:val="20"/>
                <w:szCs w:val="20"/>
                <w:color w:val="auto"/>
              </w:rPr>
            </w:pPr>
            <w:r>
              <w:rPr>
                <w:rFonts w:ascii="Arial" w:cs="Arial" w:eastAsia="Arial" w:hAnsi="Arial"/>
                <w:sz w:val="12"/>
                <w:szCs w:val="12"/>
                <w:color w:val="auto"/>
              </w:rPr>
              <w:t>170</w:t>
            </w:r>
          </w:p>
        </w:tc>
        <w:tc>
          <w:tcPr>
            <w:tcW w:w="22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(1,753)</w:t>
            </w:r>
          </w:p>
        </w:tc>
        <w:tc>
          <w:tcPr>
            <w:tcW w:w="80" w:type="dxa"/>
            <w:vAlign w:val="bottom"/>
            <w:shd w:val="clear" w:color="auto" w:fill="D1D2D4"/>
          </w:tcPr>
          <w:p>
            <w:pPr>
              <w:spacing w:after="0"/>
              <w:rPr>
                <w:sz w:val="14"/>
                <w:szCs w:val="14"/>
                <w:color w:val="auto"/>
              </w:rPr>
            </w:pPr>
          </w:p>
        </w:tc>
        <w:tc>
          <w:tcPr>
            <w:tcW w:w="340" w:type="dxa"/>
            <w:vAlign w:val="bottom"/>
            <w:shd w:val="clear" w:color="auto" w:fill="D1D2D4"/>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1D2D4"/>
          </w:tcPr>
          <w:p>
            <w:pPr>
              <w:jc w:val="right"/>
              <w:ind w:right="80"/>
              <w:spacing w:after="0"/>
              <w:rPr>
                <w:sz w:val="20"/>
                <w:szCs w:val="20"/>
                <w:color w:val="auto"/>
              </w:rPr>
            </w:pPr>
            <w:r>
              <w:rPr>
                <w:rFonts w:ascii="Arial" w:cs="Arial" w:eastAsia="Arial" w:hAnsi="Arial"/>
                <w:sz w:val="12"/>
                <w:szCs w:val="12"/>
                <w:color w:val="auto"/>
              </w:rPr>
              <w:t>(270)</w:t>
            </w:r>
          </w:p>
        </w:tc>
        <w:tc>
          <w:tcPr>
            <w:tcW w:w="580" w:type="dxa"/>
            <w:vAlign w:val="bottom"/>
            <w:shd w:val="clear" w:color="auto" w:fill="D1D2D4"/>
          </w:tcPr>
          <w:p>
            <w:pPr>
              <w:jc w:val="right"/>
              <w:ind w:right="4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D1D2D4"/>
          </w:tcPr>
          <w:p>
            <w:pPr>
              <w:jc w:val="right"/>
              <w:ind w:right="60"/>
              <w:spacing w:after="0"/>
              <w:rPr>
                <w:sz w:val="20"/>
                <w:szCs w:val="20"/>
                <w:color w:val="auto"/>
              </w:rPr>
            </w:pPr>
            <w:r>
              <w:rPr>
                <w:rFonts w:ascii="Arial" w:cs="Arial" w:eastAsia="Arial" w:hAnsi="Arial"/>
                <w:sz w:val="12"/>
                <w:szCs w:val="12"/>
                <w:color w:val="auto"/>
              </w:rPr>
              <w:t>(4,200)</w:t>
            </w:r>
          </w:p>
        </w:tc>
      </w:tr>
      <w:tr>
        <w:trPr>
          <w:trHeight w:val="153"/>
        </w:trPr>
        <w:tc>
          <w:tcPr>
            <w:tcW w:w="2680" w:type="dxa"/>
            <w:vAlign w:val="bottom"/>
          </w:tcPr>
          <w:p>
            <w:pPr>
              <w:spacing w:after="0"/>
              <w:rPr>
                <w:sz w:val="20"/>
                <w:szCs w:val="20"/>
                <w:color w:val="auto"/>
              </w:rPr>
            </w:pPr>
            <w:r>
              <w:rPr>
                <w:rFonts w:ascii="Arial" w:cs="Arial" w:eastAsia="Arial" w:hAnsi="Arial"/>
                <w:sz w:val="12"/>
                <w:szCs w:val="12"/>
                <w:color w:val="auto"/>
              </w:rPr>
              <w:t>Income tax (provision) benefit</w:t>
            </w:r>
          </w:p>
        </w:tc>
        <w:tc>
          <w:tcPr>
            <w:tcW w:w="132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Arial" w:cs="Arial" w:eastAsia="Arial" w:hAnsi="Arial"/>
                <w:sz w:val="12"/>
                <w:szCs w:val="12"/>
                <w:color w:val="auto"/>
              </w:rPr>
              <w:t>(377)</w:t>
            </w:r>
          </w:p>
        </w:tc>
        <w:tc>
          <w:tcPr>
            <w:tcW w:w="180" w:type="dxa"/>
            <w:vAlign w:val="bottom"/>
          </w:tcPr>
          <w:p>
            <w:pPr>
              <w:spacing w:after="0"/>
              <w:rPr>
                <w:sz w:val="13"/>
                <w:szCs w:val="13"/>
                <w:color w:val="auto"/>
              </w:rPr>
            </w:pPr>
          </w:p>
        </w:tc>
        <w:tc>
          <w:tcPr>
            <w:tcW w:w="1320" w:type="dxa"/>
            <w:vAlign w:val="bottom"/>
          </w:tcPr>
          <w:p>
            <w:pPr>
              <w:jc w:val="right"/>
              <w:ind w:right="100"/>
              <w:spacing w:after="0"/>
              <w:rPr>
                <w:sz w:val="20"/>
                <w:szCs w:val="20"/>
                <w:color w:val="auto"/>
              </w:rPr>
            </w:pPr>
            <w:r>
              <w:rPr>
                <w:rFonts w:ascii="Arial" w:cs="Arial" w:eastAsia="Arial" w:hAnsi="Arial"/>
                <w:sz w:val="12"/>
                <w:szCs w:val="12"/>
                <w:color w:val="auto"/>
              </w:rPr>
              <w:t>622</w:t>
            </w:r>
          </w:p>
        </w:tc>
        <w:tc>
          <w:tcPr>
            <w:tcW w:w="22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172</w:t>
            </w:r>
          </w:p>
        </w:tc>
        <w:tc>
          <w:tcPr>
            <w:tcW w:w="58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(201)</w:t>
            </w:r>
          </w:p>
        </w:tc>
      </w:tr>
      <w:tr>
        <w:trPr>
          <w:trHeight w:val="153"/>
        </w:trPr>
        <w:tc>
          <w:tcPr>
            <w:tcW w:w="2680" w:type="dxa"/>
            <w:vAlign w:val="bottom"/>
            <w:shd w:val="clear" w:color="auto" w:fill="D1D2D4"/>
          </w:tcPr>
          <w:p>
            <w:pPr>
              <w:spacing w:after="0"/>
              <w:rPr>
                <w:sz w:val="20"/>
                <w:szCs w:val="20"/>
                <w:color w:val="auto"/>
              </w:rPr>
            </w:pPr>
            <w:r>
              <w:rPr>
                <w:rFonts w:ascii="Arial" w:cs="Arial" w:eastAsia="Arial" w:hAnsi="Arial"/>
                <w:sz w:val="12"/>
                <w:szCs w:val="12"/>
                <w:color w:val="auto"/>
              </w:rPr>
              <w:t>Effective tax rate</w:t>
            </w:r>
          </w:p>
        </w:tc>
        <w:tc>
          <w:tcPr>
            <w:tcW w:w="1320" w:type="dxa"/>
            <w:vAlign w:val="bottom"/>
            <w:shd w:val="clear" w:color="auto" w:fill="D1D2D4"/>
          </w:tcPr>
          <w:p>
            <w:pPr>
              <w:spacing w:after="0"/>
              <w:rPr>
                <w:sz w:val="13"/>
                <w:szCs w:val="13"/>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52.7 %</w:t>
            </w:r>
          </w:p>
        </w:tc>
        <w:tc>
          <w:tcPr>
            <w:tcW w:w="180" w:type="dxa"/>
            <w:vAlign w:val="bottom"/>
            <w:shd w:val="clear" w:color="auto" w:fill="D1D2D4"/>
          </w:tcPr>
          <w:p>
            <w:pPr>
              <w:spacing w:after="0"/>
              <w:rPr>
                <w:sz w:val="13"/>
                <w:szCs w:val="13"/>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(365.9)%</w:t>
            </w:r>
          </w:p>
        </w:tc>
        <w:tc>
          <w:tcPr>
            <w:tcW w:w="220" w:type="dxa"/>
            <w:vAlign w:val="bottom"/>
            <w:shd w:val="clear" w:color="auto" w:fill="D1D2D4"/>
          </w:tcPr>
          <w:p>
            <w:pPr>
              <w:spacing w:after="0"/>
              <w:rPr>
                <w:sz w:val="13"/>
                <w:szCs w:val="13"/>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(7.9)%</w:t>
            </w:r>
          </w:p>
        </w:tc>
        <w:tc>
          <w:tcPr>
            <w:tcW w:w="80" w:type="dxa"/>
            <w:vAlign w:val="bottom"/>
            <w:shd w:val="clear" w:color="auto" w:fill="D1D2D4"/>
          </w:tcPr>
          <w:p>
            <w:pPr>
              <w:spacing w:after="0"/>
              <w:rPr>
                <w:sz w:val="13"/>
                <w:szCs w:val="13"/>
                <w:color w:val="auto"/>
              </w:rPr>
            </w:pPr>
          </w:p>
        </w:tc>
        <w:tc>
          <w:tcPr>
            <w:tcW w:w="340" w:type="dxa"/>
            <w:vAlign w:val="bottom"/>
            <w:shd w:val="clear" w:color="auto" w:fill="D1D2D4"/>
          </w:tcPr>
          <w:p>
            <w:pPr>
              <w:spacing w:after="0"/>
              <w:rPr>
                <w:sz w:val="13"/>
                <w:szCs w:val="13"/>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2"/>
                <w:szCs w:val="12"/>
                <w:color w:val="auto"/>
              </w:rPr>
              <w:t>63.7 %</w:t>
            </w:r>
          </w:p>
        </w:tc>
        <w:tc>
          <w:tcPr>
            <w:tcW w:w="580" w:type="dxa"/>
            <w:vAlign w:val="bottom"/>
            <w:shd w:val="clear" w:color="auto" w:fill="D1D2D4"/>
          </w:tcPr>
          <w:p>
            <w:pPr>
              <w:spacing w:after="0"/>
              <w:rPr>
                <w:sz w:val="13"/>
                <w:szCs w:val="13"/>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2"/>
                <w:szCs w:val="12"/>
                <w:color w:val="auto"/>
              </w:rPr>
              <w:t>(4.8)%</w:t>
            </w:r>
          </w:p>
        </w:tc>
      </w:tr>
      <w:tr>
        <w:trPr>
          <w:trHeight w:val="769"/>
        </w:trPr>
        <w:tc>
          <w:tcPr>
            <w:tcW w:w="2680" w:type="dxa"/>
            <w:vAlign w:val="bottom"/>
          </w:tcPr>
          <w:p>
            <w:pPr>
              <w:spacing w:after="0"/>
              <w:rPr>
                <w:sz w:val="20"/>
                <w:szCs w:val="20"/>
                <w:color w:val="auto"/>
              </w:rPr>
            </w:pPr>
            <w:r>
              <w:rPr>
                <w:rFonts w:ascii="Arial" w:cs="Arial" w:eastAsia="Arial" w:hAnsi="Arial"/>
                <w:sz w:val="11"/>
                <w:szCs w:val="11"/>
                <w:b w:val="1"/>
                <w:bCs w:val="1"/>
                <w:color w:val="auto"/>
              </w:rPr>
              <w:t>33 | 2024 Q3 10-Q</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9"/>
        </w:trPr>
        <w:tc>
          <w:tcPr>
            <w:tcW w:w="268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440"/>
        <w:spacing w:after="0" w:line="259" w:lineRule="auto"/>
        <w:rPr>
          <w:sz w:val="20"/>
          <w:szCs w:val="20"/>
          <w:color w:val="auto"/>
        </w:rPr>
      </w:pPr>
      <w:r>
        <w:rPr>
          <w:rFonts w:ascii="Arial" w:cs="Arial" w:eastAsia="Arial" w:hAnsi="Arial"/>
          <w:sz w:val="11"/>
          <w:szCs w:val="11"/>
          <w:color w:val="auto"/>
        </w:rPr>
        <w:t>In the first quarter of 2024, our tax expense was based on actual results for jurisdictions where small changes in our projected pre-tax income would have caused significant changes in the estimated annual effective tax rate. With our improved fiscal 2024 outlook, we were able to estimate a more reliable annual effective tax rate and have reverted to a global annual effective tax rate method for all jurisdictions</w:t>
      </w:r>
    </w:p>
    <w:p>
      <w:pPr>
        <w:spacing w:after="0"/>
        <w:rPr>
          <w:sz w:val="20"/>
          <w:szCs w:val="20"/>
          <w:color w:val="auto"/>
        </w:rPr>
      </w:pPr>
      <w:r>
        <w:rPr>
          <w:rFonts w:ascii="Arial" w:cs="Arial" w:eastAsia="Arial" w:hAnsi="Arial"/>
          <w:sz w:val="12"/>
          <w:szCs w:val="12"/>
          <w:color w:val="auto"/>
        </w:rPr>
        <w:t>beginning in the second quarter of 2024.</w:t>
      </w:r>
    </w:p>
    <w:p>
      <w:pPr>
        <w:spacing w:after="0" w:line="138" w:lineRule="exact"/>
        <w:rPr>
          <w:sz w:val="20"/>
          <w:szCs w:val="20"/>
          <w:color w:val="auto"/>
        </w:rPr>
      </w:pPr>
    </w:p>
    <w:p>
      <w:pPr>
        <w:ind w:right="320"/>
        <w:spacing w:after="0" w:line="238" w:lineRule="auto"/>
        <w:rPr>
          <w:sz w:val="20"/>
          <w:szCs w:val="20"/>
          <w:color w:val="auto"/>
        </w:rPr>
      </w:pPr>
      <w:r>
        <w:rPr>
          <w:rFonts w:ascii="Arial" w:cs="Arial" w:eastAsia="Arial" w:hAnsi="Arial"/>
          <w:sz w:val="12"/>
          <w:szCs w:val="12"/>
          <w:color w:val="auto"/>
        </w:rPr>
        <w:t>The change in our effective tax rate for the third quarter of 2024 as compared to the second quarter of 2024 was primarily due to the change in tax rate methodology applied in the second quarter of 2024. The changes in our effective tax rate for the third quarter and first nine months of 2024 as compared to the corresponding periods of 2023 were primarily due to changes in profitability and discrete items primarily related to tax return filings.</w:t>
      </w:r>
    </w:p>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the low level of profitability and the geographical mix of income, the benefit from tax incentive arrangements was not material for the periods presented.</w:t>
      </w:r>
    </w:p>
    <w:p>
      <w:pPr>
        <w:spacing w:after="0" w:line="132"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w:t>
      </w:r>
      <w:r>
        <w:rPr>
          <w:rFonts w:ascii="Arial" w:cs="Arial" w:eastAsia="Arial" w:hAnsi="Arial"/>
          <w:sz w:val="12"/>
          <w:szCs w:val="12"/>
          <w:color w:val="auto"/>
        </w:rPr>
        <w:t>Further information can be found in “Item 1. Financial Statements – Notes to Consolidated Financial Statements – Equity Plans”.</w:t>
      </w: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Liquidity and Capital Resources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$9.15 billion as of May 30, 2024, and $10.44 billion as of August 31, 2023.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May 30, 2024, $2.51 billion of our cash and marketable investments was held by our foreign subsidiaries.</w:t>
      </w:r>
    </w:p>
    <w:p>
      <w:pPr>
        <w:spacing w:after="0" w:line="137"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continuously evaluate alternatives for efficiently funding our capital expenditures and ongoing operations. From time to time, we expect to engage in a variety of financing transactions for such purposes as well as to refinance our existing indebtedness, including the issuance of securities. As of May 30, 2024, $2.50 billion was available to draw under our Revolving Credit Facility. Funding of certain significant capital projects is also dependent on the receipt of government incentives, which are subject to conditions and may not be obtained.</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2024 for property, plant, and equipment, net of proceeds from government incentives, to be approximately $8.0 billion. Actual amounts for 2024 will vary depending on market conditions and may vary from quarter to quarter due to the timing of expenditures. As of May 30, 2024, we had purchase obligations of approximately $1.31 billion for the acquisition of property, plant, and equipment, of which approximately $1.20 billion is expected to be paid within one year. For a description of other contractual obligations, such as leases and debt, see “Item 1. Financial Statements – Notes to Consolidated Financial Statements – Leases,” and “ – Debt.”</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To support expected memory demand in the second half of the decade, we will need to add new DRAM wafer capacity. Following the enactment of the U.S. CHIPS and Science Act of 2022 (“CHIPS Act”), we announced plans to invest in two leading-edge memory manufacturing fab facilities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early calendar 2026 and first output in mid calendar 2026.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w:t>
      </w:r>
    </w:p>
    <w:p>
      <w:pPr>
        <w:spacing w:after="0" w:line="139" w:lineRule="exact"/>
        <w:rPr>
          <w:sz w:val="20"/>
          <w:szCs w:val="20"/>
          <w:color w:val="auto"/>
        </w:rPr>
      </w:pPr>
    </w:p>
    <w:p>
      <w:pPr>
        <w:jc w:val="both"/>
        <w:ind w:right="60"/>
        <w:spacing w:after="0" w:line="262" w:lineRule="auto"/>
        <w:rPr>
          <w:sz w:val="20"/>
          <w:szCs w:val="20"/>
          <w:color w:val="auto"/>
        </w:rPr>
      </w:pPr>
      <w:r>
        <w:rPr>
          <w:rFonts w:ascii="Arial" w:cs="Arial" w:eastAsia="Arial" w:hAnsi="Arial"/>
          <w:sz w:val="12"/>
          <w:szCs w:val="12"/>
          <w:color w:val="auto"/>
        </w:rPr>
        <w:t>We have signed a non-binding preliminary memorandum of terms with the U.S. Department of Commerce for up to $ 6.1 billion in direct funding under the CHIPS Act for our planned fab in Boise, Idaho and the first two planned fabs in Clay, New York. We are also eligible for federal loans up to $7.5 billion. 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135"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Additionally, we began enablement of cleanroom space within our existing manufacturing fab in Hiroshima, Japan, that will support production of DRAM using EUV lithography. We also continue to advance our global back-end assembly and test network in order to support our product portfolio and extend our ability to deliver on global customer demand in the future. We have started construction to expand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w:t>
      </w:r>
    </w:p>
    <w:p>
      <w:pPr>
        <w:spacing w:after="0" w:line="135"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May 30, 2024, we had repurchased an aggregate of $6.89 billion of the authorized amount. See “Item 1. Financial Statements – Notes to Consolidated Financial Statements – Equity.”</w:t>
      </w:r>
    </w:p>
    <w:p>
      <w:pPr>
        <w:spacing w:after="0" w:line="135"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On June 26, 2024, our Board of Directors declared a quarterly dividend of $0.115 per share, payable in cash on July 23, 2024, to shareholders of record as of the close of business on July 8, 2024.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35"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We expect that our cash and investments, cash flows from operations, expected funding from government incentives, and available financing will be sufficient to meet our requirements at least through the next 12 months and thereafter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Nine months ended</w:t>
            </w:r>
          </w:p>
        </w:tc>
        <w:tc>
          <w:tcPr>
            <w:tcW w:w="860" w:type="dxa"/>
            <w:vAlign w:val="bottom"/>
            <w:tcBorders>
              <w:bottom w:val="single" w:sz="8" w:color="auto"/>
            </w:tcBorders>
          </w:tcPr>
          <w:p>
            <w:pPr>
              <w:spacing w:after="0"/>
              <w:rPr>
                <w:sz w:val="13"/>
                <w:szCs w:val="13"/>
                <w:color w:val="auto"/>
              </w:rPr>
            </w:pPr>
          </w:p>
        </w:tc>
      </w:tr>
      <w:tr>
        <w:trPr>
          <w:trHeight w:val="150"/>
        </w:trPr>
        <w:tc>
          <w:tcPr>
            <w:tcW w:w="8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97"/>
              </w:rPr>
              <w:t>2023</w:t>
            </w:r>
          </w:p>
        </w:tc>
      </w:tr>
      <w:tr>
        <w:trPr>
          <w:trHeight w:val="161"/>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Net cash provided by operating activities</w:t>
            </w:r>
          </w:p>
        </w:tc>
        <w:tc>
          <w:tcPr>
            <w:tcW w:w="860" w:type="dxa"/>
            <w:vAlign w:val="bottom"/>
            <w:shd w:val="clear" w:color="auto" w:fill="D1D2D4"/>
          </w:tcPr>
          <w:p>
            <w:pPr>
              <w:jc w:val="right"/>
              <w:ind w:right="72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5,102</w:t>
            </w:r>
          </w:p>
        </w:tc>
        <w:tc>
          <w:tcPr>
            <w:tcW w:w="580" w:type="dxa"/>
            <w:vAlign w:val="bottom"/>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1,310</w:t>
            </w:r>
          </w:p>
        </w:tc>
      </w:tr>
      <w:tr>
        <w:trPr>
          <w:trHeight w:val="153"/>
        </w:trPr>
        <w:tc>
          <w:tcPr>
            <w:tcW w:w="8440" w:type="dxa"/>
            <w:vAlign w:val="bottom"/>
          </w:tcPr>
          <w:p>
            <w:pPr>
              <w:spacing w:after="0"/>
              <w:rPr>
                <w:sz w:val="20"/>
                <w:szCs w:val="20"/>
                <w:color w:val="auto"/>
              </w:rPr>
            </w:pPr>
            <w:r>
              <w:rPr>
                <w:rFonts w:ascii="Arial" w:cs="Arial" w:eastAsia="Arial" w:hAnsi="Arial"/>
                <w:sz w:val="12"/>
                <w:szCs w:val="12"/>
                <w:color w:val="auto"/>
              </w:rPr>
              <w:t>Net cash provided by (used for) investing activities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(4,711)</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(5,361)</w:t>
            </w:r>
          </w:p>
        </w:tc>
      </w:tr>
      <w:tr>
        <w:trPr>
          <w:trHeight w:val="153"/>
        </w:trPr>
        <w:tc>
          <w:tcPr>
            <w:tcW w:w="8440" w:type="dxa"/>
            <w:vAlign w:val="bottom"/>
            <w:shd w:val="clear" w:color="auto" w:fill="D1D2D4"/>
          </w:tcPr>
          <w:p>
            <w:pPr>
              <w:spacing w:after="0"/>
              <w:rPr>
                <w:sz w:val="20"/>
                <w:szCs w:val="20"/>
                <w:color w:val="auto"/>
              </w:rPr>
            </w:pPr>
            <w:r>
              <w:rPr>
                <w:rFonts w:ascii="Arial" w:cs="Arial" w:eastAsia="Arial" w:hAnsi="Arial"/>
                <w:sz w:val="12"/>
                <w:szCs w:val="12"/>
                <w:color w:val="auto"/>
              </w:rPr>
              <w:t>Net cash provided by (used for) financing activities</w:t>
            </w:r>
          </w:p>
        </w:tc>
        <w:tc>
          <w:tcPr>
            <w:tcW w:w="860" w:type="dxa"/>
            <w:vAlign w:val="bottom"/>
            <w:shd w:val="clear" w:color="auto" w:fill="D1D2D4"/>
          </w:tcPr>
          <w:p>
            <w:pPr>
              <w:spacing w:after="0"/>
              <w:rPr>
                <w:sz w:val="13"/>
                <w:szCs w:val="13"/>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(1,368)</w:t>
            </w:r>
          </w:p>
        </w:tc>
        <w:tc>
          <w:tcPr>
            <w:tcW w:w="580" w:type="dxa"/>
            <w:vAlign w:val="bottom"/>
            <w:shd w:val="clear" w:color="auto" w:fill="D1D2D4"/>
          </w:tcPr>
          <w:p>
            <w:pPr>
              <w:spacing w:after="0"/>
              <w:rPr>
                <w:sz w:val="13"/>
                <w:szCs w:val="13"/>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2"/>
                <w:szCs w:val="12"/>
                <w:color w:val="auto"/>
              </w:rPr>
              <w:t>5,095</w:t>
            </w:r>
          </w:p>
        </w:tc>
      </w:tr>
      <w:tr>
        <w:trPr>
          <w:trHeight w:val="153"/>
        </w:trPr>
        <w:tc>
          <w:tcPr>
            <w:tcW w:w="8440" w:type="dxa"/>
            <w:vAlign w:val="bottom"/>
            <w:tcBorders>
              <w:bottom w:val="single" w:sz="8" w:color="D1D2D4"/>
            </w:tcBorders>
          </w:tcPr>
          <w:p>
            <w:pPr>
              <w:spacing w:after="0"/>
              <w:rPr>
                <w:sz w:val="20"/>
                <w:szCs w:val="20"/>
                <w:color w:val="auto"/>
              </w:rPr>
            </w:pPr>
            <w:r>
              <w:rPr>
                <w:rFonts w:ascii="Arial" w:cs="Arial" w:eastAsia="Arial" w:hAnsi="Arial"/>
                <w:sz w:val="12"/>
                <w:szCs w:val="12"/>
                <w:color w:val="auto"/>
              </w:rPr>
              <w:t>Effect of changes in currency exchange rates on cash, cash equivalents, and restricted cash</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162"/>
        </w:trPr>
        <w:tc>
          <w:tcPr>
            <w:tcW w:w="8440" w:type="dxa"/>
            <w:vAlign w:val="bottom"/>
            <w:tcBorders>
              <w:bottom w:val="single" w:sz="8" w:color="D1D2D4"/>
            </w:tcBorders>
            <w:shd w:val="clear" w:color="auto" w:fill="D1D2D4"/>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860" w:type="dxa"/>
            <w:vAlign w:val="bottom"/>
            <w:tcBorders>
              <w:bottom w:val="single" w:sz="8" w:color="auto"/>
            </w:tcBorders>
            <w:shd w:val="clear" w:color="auto" w:fill="D1D2D4"/>
          </w:tcPr>
          <w:p>
            <w:pPr>
              <w:jc w:val="right"/>
              <w:ind w:right="7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(992)</w:t>
            </w:r>
          </w:p>
        </w:tc>
        <w:tc>
          <w:tcPr>
            <w:tcW w:w="580" w:type="dxa"/>
            <w:vAlign w:val="bottom"/>
            <w:tcBorders>
              <w:bottom w:val="single" w:sz="8" w:color="auto"/>
            </w:tcBorders>
            <w:shd w:val="clear" w:color="auto" w:fill="D1D2D4"/>
          </w:tcPr>
          <w:p>
            <w:pPr>
              <w:jc w:val="right"/>
              <w:ind w:right="4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1,031</w:t>
            </w:r>
          </w:p>
        </w:tc>
      </w:tr>
      <w:tr>
        <w:trPr>
          <w:trHeight w:val="765"/>
        </w:trPr>
        <w:tc>
          <w:tcPr>
            <w:tcW w:w="8440" w:type="dxa"/>
            <w:vAlign w:val="bottom"/>
          </w:tcPr>
          <w:p>
            <w:pPr>
              <w:spacing w:after="0"/>
              <w:rPr>
                <w:sz w:val="20"/>
                <w:szCs w:val="20"/>
                <w:color w:val="auto"/>
              </w:rPr>
            </w:pPr>
            <w:r>
              <w:rPr>
                <w:rFonts w:ascii="Arial" w:cs="Arial" w:eastAsia="Arial" w:hAnsi="Arial"/>
                <w:sz w:val="11"/>
                <w:szCs w:val="11"/>
                <w:b w:val="1"/>
                <w:bCs w:val="1"/>
                <w:color w:val="auto"/>
              </w:rPr>
              <w:t>35 | 2024 Q3 10-Q</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8"/>
        </w:trPr>
        <w:tc>
          <w:tcPr>
            <w:tcW w:w="84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Cash provided by operating activities reflects net income (loss) adjusted for certain non-cash items, including depreciation expense, amortization of intangible assets, stock-based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compensation, and inventory write-downs, and the effects of changes in operating assets and liabilities. The increase in cash provided by operating activities for the first nine months of 2024 as compared to the first nine months of 2023 was primarily due to a smaller net loss in the current year adjusted for non-cash items, the effect of an increase in accounts payable and accrued expenses and an increase in other current liabilities largely due to approximately $600 million of customer prepayments to secure product supply, partially offset by an increase in receivables.</w:t>
      </w:r>
    </w:p>
    <w:p>
      <w:pPr>
        <w:spacing w:after="0" w:line="135"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b w:val="1"/>
          <w:bCs w:val="1"/>
          <w:i w:val="1"/>
          <w:iCs w:val="1"/>
          <w:color w:val="auto"/>
        </w:rPr>
        <w:t xml:space="preserve">Investing Activities: </w:t>
      </w:r>
      <w:r>
        <w:rPr>
          <w:rFonts w:ascii="Arial" w:cs="Arial" w:eastAsia="Arial" w:hAnsi="Arial"/>
          <w:sz w:val="12"/>
          <w:szCs w:val="12"/>
          <w:color w:val="auto"/>
        </w:rPr>
        <w:t>For the first nine months of 2024, net cash used for investing activities consisted primarily of $5.27 billion of expenditures for property, plant, and equipment, partially offset by contributions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$267 million received from government incentives to offset capital expenditures and $323 million of net inflows from maturities, sales, and purchases of available-for-sale securities.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For the first nine months of 2023, net cash used for investing activities consisted primarily of $ 6.22 billion of expenditures for property, plant, and equipment, partially offset by contributions of $248 million received from government incentives to offset capital expenditures and $696 million of net inflows from maturities, sales, and purchases of available-for-sale securities.</w:t>
      </w:r>
    </w:p>
    <w:p>
      <w:pPr>
        <w:spacing w:after="0" w:line="121"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For the first nine months of 2024, net cash used for financing activities consisted primarily of $1.82 billion of repayments of debt, which included the prepayment of the 2024 Term Loan A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2025 Term Loan A borrowings, $384 million for payments of dividends to shareholders, and $ 127 million of payments on equipment purchase contracts, partially offset by approximately $1.00 billion of proceeds from the issuance of the 2031 Notes. See “Item 1. Financial Statements – Notes to Consolidated Financial Statements – Debt.”</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For the first nine months of 2023, net cash provided by financing activities consisted primarily of $3.20 billion of proceeds from our 2025, 2026, and 2027 Term Loan A borrowings, $1.27 billion from the issuance of the 2029 B Notes, $896 million from the issuance of the 2033 B Notes, $749 million from the issuance of the 2033 A Notes, and $ 599 million from the issuance of the 2028 Notes. Cash used for financing activities included $706 million for repayments of debt, $ 425 million for the acquisition of 8.6 million shares of our common stock under our share repurchase authorization, $378 million for payments of dividends to shareholders, and $112 million of payments on equipment purchase contracts.</w:t>
      </w:r>
    </w:p>
    <w:p>
      <w:pPr>
        <w:spacing w:after="0" w:line="29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Critical Accounting Estimates</w:t>
      </w:r>
    </w:p>
    <w:p>
      <w:pPr>
        <w:spacing w:after="0" w:line="178" w:lineRule="exact"/>
        <w:rPr>
          <w:sz w:val="20"/>
          <w:szCs w:val="20"/>
          <w:color w:val="auto"/>
        </w:rPr>
      </w:pPr>
    </w:p>
    <w:p>
      <w:pPr>
        <w:jc w:val="both"/>
        <w:ind w:right="160"/>
        <w:spacing w:after="0" w:line="334" w:lineRule="auto"/>
        <w:rPr>
          <w:sz w:val="20"/>
          <w:szCs w:val="20"/>
          <w:color w:val="auto"/>
        </w:rPr>
      </w:pPr>
      <w:r>
        <w:rPr>
          <w:rFonts w:ascii="Arial" w:cs="Arial" w:eastAsia="Arial" w:hAnsi="Arial"/>
          <w:sz w:val="11"/>
          <w:szCs w:val="11"/>
          <w:color w:val="auto"/>
        </w:rPr>
        <w:t>For a discussion of our critical accounting estimates, see “Part II – Item 7. Management’s Discussion and Analysis of Financial Condition and Results of Operations – Critical Accounting Estimates” of our Annual Report on Form 10-K for the year ended August 31, 2023. There have been no significant changes to our critical accounting estimates since our Annual Report on Form 10-K for the year ended August 31, 2023.</w:t>
      </w:r>
    </w:p>
    <w:p>
      <w:pPr>
        <w:spacing w:after="0" w:line="26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Recently Adopted Accounting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No material items.</w:t>
      </w: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Recently Issued Accounting Standards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No material items.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For further discussion about market risk and sensitivity analysis related to changes in interest rates and currency exchange rates, see “Part II – Item 7A. Quantitative and Qualitative Disclosures About Market Risk” in our Annual Report on Form 10-K for the year ended August 31, 2023.</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137"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color w:val="auto"/>
        </w:rPr>
        <w:t>During the third quarter of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37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7" w:name="page38"/>
    <w:bookmarkEnd w:id="3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OTHER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1"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For a discussion of legal proceedings, see “Part I – Item 3. Legal Proceedings” of our Annual Report on Form 10-K for the year ended August 31, 2023, and the sections titled “Part I. Financial Information – Item 1. Financial Statements – Notes to Consolidated Financial Statements – Contingencies” and “Item 1A. Risk Factors” in this Quarterly Report on Form 10-Q, as well as in our Quarterly Report on Form 10-Q for the first and second quarters of 2024.</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7" w:lineRule="exact"/>
        <w:rPr>
          <w:sz w:val="20"/>
          <w:szCs w:val="20"/>
          <w:color w:val="auto"/>
        </w:rPr>
      </w:pPr>
    </w:p>
    <w:p>
      <w:pPr>
        <w:jc w:val="both"/>
        <w:ind w:right="140"/>
        <w:spacing w:after="0" w:line="268" w:lineRule="auto"/>
        <w:rPr>
          <w:sz w:val="20"/>
          <w:szCs w:val="20"/>
          <w:color w:val="auto"/>
        </w:rPr>
      </w:pPr>
      <w:r>
        <w:rPr>
          <w:rFonts w:ascii="Arial" w:cs="Arial" w:eastAsia="Arial" w:hAnsi="Arial"/>
          <w:sz w:val="12"/>
          <w:szCs w:val="12"/>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 Factor Summary</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Our Business, Operations, and Industry</w:t>
      </w:r>
    </w:p>
    <w:p>
      <w:pPr>
        <w:spacing w:after="0" w:line="166"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volatility in average selling prices of our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range of factors that may adversely affect our gross margins;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international operations, including geopolitical risks;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highly competitive nature of our industry;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develop and produce new and competitive memory and storage technologies and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realizing expected returns from capacity expansions;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achieving or maintaining certain outcomes or compliance with other obligations associated with incentives from various governments;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availability and quality of materials, supplies, and capital equipment and dependency on third-party service providers;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downturn in regional or worldwide economies;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disruptions to our manufacturing process from operational issues, natural disasters, or other events;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dependency on a select number of key customers, including international customers;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products that fail to meet specifications, are defective, or are incompatible with end uses;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breaches of our security systems or products, or those of our customers, suppliers, or business partners;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attracting, retaining, and motivating highly skilled employees;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responsible sourcing requirements and related regulations;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environmental, social, and governance considerations;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acquisitions and/or alliances;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restructure plans may not realize expected savings or other benefits.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Intellectual Property and Litigation</w:t>
      </w:r>
    </w:p>
    <w:p>
      <w:pPr>
        <w:spacing w:after="0" w:line="166"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protecting our intellectual property and retaining key employees who are knowledgeable of and develop our intellectual property;</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legal proceedings and claims;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claims that our products or manufacturing processes infringe or otherwise violate the intellectual property rights of others or failure to obtain or renew license agreements covering such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Laws and Regulations</w:t>
      </w:r>
    </w:p>
    <w:p>
      <w:pPr>
        <w:spacing w:after="0" w:line="166"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impacts of government actions and compliance with tariffs, trade restrictions, and/or trade regulations;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tax expense and tax laws in key jurisdictions;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compliance with laws, regulations, or industry standards, including environmental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Capitalization and Financial Markets</w:t>
      </w:r>
    </w:p>
    <w:p>
      <w:pPr>
        <w:spacing w:after="0" w:line="166"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generate sufficient cash flows or obtain access to external financing;</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debt obligations;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foreign currency exchange rates;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counterparty default risk;</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volatility in the trading price of our common stock;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39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Our Business, Operations, and Industry</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Volatility in average selling prices for our semiconductor memory and storage products may adversely affect our business.</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We have experienced significant volatility in our average selling prices and may continue to experience such volatility in the future. For example, average selling prices for DRAM declined in the high-40s percent range and NAND declined in the low-50s percent range for 2023 as compared to 2022. Since 2017, annual percentage changes in DRAM average selling prices have ranged from plus mid-30s percent range to a minus high-40s percent range. Since 2017, annual percentage changes in NAND average selling prices have ranged from nearly flat to a minus low-50s percent range. In recent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gross margins may be adversely affected by a range of factors.</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21"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strategic product diversification decisions affecting product mix;</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increasing complexity of manufacturing processes;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difficulties in transitioning to smaller line-width process technologies or additional 3D memory layers or NAND cell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process complexity including number of mask layers and fabrication steps;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manufacturing yield;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technological barriers;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process technologies;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new products that may require relatively larger die sizes;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start-up or other costs associated with capacity expansions;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higher costs of goods and services due to inflationary pressures or market conditions;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higher manufacturing costs per gigabit due to fabrication facility underutilization, lower wafer output, and insufficient volume to run new technology nodes to achieve cost optimization.</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 Financial Information – Item 2. Management’s Discussion and Analysis of Financial Condition and Results of Operations – Overview – Industry Conditions” for information regarding our recent underutilization charges. A significant portion of our manufacturing costs are fixed and do not vary proportionally with changes in production output. As a result, lower utilization, lower wafer output, and corresponding increases in our per gigabit manufacturing costs have resulted in higher inventory carrying costs, and have had, and may continue to have, an adverse effect on our gross margins,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139"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Our inability to prevent deterioration of or improve gross margins could have a material adverse effect on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face geopolitical and other risks associated with our international operations that could materially adversely affect our business, results of operations, or financial condition.</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addition to our U.S. operations, a substantial portion of our operations are conducted in Taiwan, Singapore, Japan, Malaysia, China, and India, and many of our customers, suppliers, and vendors also operate internationally. In 2023, nearly half of our revenue was from sales to customers who have headquarters located outside the United States, while over 80% of our revenue in 2023 was from products shipped to customer locations outside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Our international operations are subject to a number of risks, including:</w:t>
      </w:r>
    </w:p>
    <w:p>
      <w:pPr>
        <w:spacing w:after="0" w:line="168"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restrictions on sales of goods or services to one or more of our significant foreign customers;</w:t>
      </w:r>
    </w:p>
    <w:p>
      <w:pPr>
        <w:spacing w:after="0" w:line="18"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ind w:left="420" w:right="100" w:hanging="212"/>
        <w:spacing w:after="0" w:line="250"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theft of intellectual property;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political and economic instability, including instability resulting from domestic and international conflicts;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government actions or civil unrest preventing the flow of products and materials, including delays in shipping and obtaining products and materials, cancellation of orders, or loss or damage of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problems with the transportation or delivery of products and materials;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issues arising from cultural or language differences and labor unrest;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longer payment cycles and greater difficulty in collecting accounts receivable;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compliance with trade, technical standards, and other laws in a variety of jurisdictions;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contractual and regulatory limitations on the ability to maintain flexibility with staffing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disruptions to manufacturing or R&amp;D activities as a result of actions imposed by foreign governments;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economic policies of foreign governments;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difficulties in staffing and managing international operations;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public health issues.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If we or our customers, suppliers, or vendors are impacted by any of these risks, it could have a material adverse effect on our business, results of operations, or financial condition.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41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13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Political, economic, or other actions may adversely affect our operations in Taiwan. A majority of our DRAM production output in 2023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132"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semiconductor memory and storage markets are highly competitive.</w:t>
      </w:r>
    </w:p>
    <w:p>
      <w:pPr>
        <w:spacing w:after="0" w:line="168" w:lineRule="exact"/>
        <w:rPr>
          <w:sz w:val="20"/>
          <w:szCs w:val="20"/>
          <w:color w:val="auto"/>
        </w:rPr>
      </w:pPr>
    </w:p>
    <w:p>
      <w:pPr>
        <w:ind w:right="240"/>
        <w:spacing w:after="0" w:line="259" w:lineRule="auto"/>
        <w:rPr>
          <w:sz w:val="20"/>
          <w:szCs w:val="20"/>
          <w:color w:val="auto"/>
        </w:rPr>
      </w:pPr>
      <w:r>
        <w:rPr>
          <w:rFonts w:ascii="Arial" w:cs="Arial" w:eastAsia="Arial" w:hAnsi="Arial"/>
          <w:sz w:val="12"/>
          <w:szCs w:val="12"/>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137"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impact on our ability to compete effectively in China and elsewhere.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The competitive nature of our industry could have a material adverse effect on our business, results of operations, or financial condition.</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future success depends on our ability to develop and produce new and competitive memory and storage technologies and products.</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There can be no assurance of the following:</w:t>
      </w:r>
    </w:p>
    <w:p>
      <w:pPr>
        <w:spacing w:after="0" w:line="168"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successful in developing competitive new semiconductor memory and storage technologies and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cost-effectively manufacture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successfully market these technologies;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margins generated from sales of these products will allow us to recover costs of development efforts;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establish or maintain key relationships with customers, or that we will not be prohibited from working with certain customers, for specific chip set or design requirements;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accurately predict and design products that meet our customers' specifications;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will be able to introduce new products into the market and qualify them with our customers on a timely basis.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43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not be able to achieve expected returns from capacity expansions.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announced our intent to expand our production capacity and/or make capital investments in the United States and in other regions where we operate.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These expansions involve several risks including the following:</w:t>
      </w:r>
    </w:p>
    <w:p>
      <w:pPr>
        <w:spacing w:after="0" w:line="168"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capital expenditure requirements for capacity expansions during periods of relatively low free cash flow generation, resulting from challenging memory and storage industry conditions;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necessary funding, which may include external sources;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ability to realize expected grants, investment tax credits, and other government incentives, including through the CHIPS Act and other national, international, state, and local grants;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changes in laws or provisions of grants, investment tax credits, and other government incentives;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restrictions or delays related to environmental regulations or permits;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restrictions on expanding in certain geographies;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equipment and construction materials;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ability to complete construction as scheduled and within budget;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the necessary workforce;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ability to timely ramp production in a cost-effective manner;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increases to our cost structure until new production is ramped to adequate scale;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sufficient customer demand to utilize our increased capacity.</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Any of the above factors could have a material adverse effect on our business, results of operations, or financial condition.</w:t>
      </w:r>
    </w:p>
    <w:p>
      <w:pPr>
        <w:spacing w:after="0" w:line="168"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b w:val="1"/>
          <w:bCs w:val="1"/>
          <w:color w:val="auto"/>
        </w:rPr>
        <w:t>Our incentives from various governments are conditional upon achieving or maintaining certain outcomes or compliance with other obligations and are subject to reduction, termination, clawback, or could impose certain limitations on our business.</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These incentives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We also cannot guarantee that we will successfully achieve and maintain outcomes or be able to comply with other obligations required to qualify for these incentives or that the granting agencies will provide or continue to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380"/>
        <w:spacing w:after="0" w:line="296" w:lineRule="auto"/>
        <w:rPr>
          <w:sz w:val="20"/>
          <w:szCs w:val="20"/>
          <w:color w:val="auto"/>
        </w:rPr>
      </w:pPr>
      <w:r>
        <w:rPr>
          <w:rFonts w:ascii="Arial" w:cs="Arial" w:eastAsia="Arial" w:hAnsi="Arial"/>
          <w:sz w:val="12"/>
          <w:szCs w:val="12"/>
          <w:b w:val="1"/>
          <w:bCs w:val="1"/>
          <w:color w:val="auto"/>
        </w:rPr>
        <w:t>Our business, results of operations, or financial condition could be adversely affected by the availability and quality of materials, supplies, and capital equipment, or dependency on third-party service providers.</w:t>
      </w:r>
    </w:p>
    <w:p>
      <w:pPr>
        <w:spacing w:after="0" w:line="110" w:lineRule="exact"/>
        <w:rPr>
          <w:sz w:val="20"/>
          <w:szCs w:val="20"/>
          <w:color w:val="auto"/>
        </w:rPr>
      </w:pPr>
    </w:p>
    <w:p>
      <w:pPr>
        <w:ind w:right="120"/>
        <w:spacing w:after="0" w:line="245" w:lineRule="auto"/>
        <w:rPr>
          <w:sz w:val="20"/>
          <w:szCs w:val="20"/>
          <w:color w:val="auto"/>
        </w:rPr>
      </w:pPr>
      <w:r>
        <w:rPr>
          <w:rFonts w:ascii="Arial" w:cs="Arial" w:eastAsia="Arial" w:hAnsi="Arial"/>
          <w:sz w:val="12"/>
          <w:szCs w:val="12"/>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45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5" w:name="page46"/>
    <w:bookmarkEnd w:id="45"/>
    <w:p>
      <w:pPr>
        <w:ind w:left="10400"/>
        <w:spacing w:after="0"/>
        <w:rPr>
          <w:sz w:val="20"/>
          <w:szCs w:val="20"/>
          <w:color w:val="auto"/>
        </w:rPr>
      </w:pPr>
      <w:r>
        <w:rPr>
          <w:rFonts w:ascii="Arial" w:cs="Arial" w:eastAsia="Arial" w:hAnsi="Arial"/>
          <w:sz w:val="10"/>
          <w:szCs w:val="10"/>
          <w:b w:val="1"/>
          <w:bCs w:val="1"/>
          <w:u w:val="single" w:color="auto"/>
          <w:color w:val="BD03F7"/>
        </w:rPr>
        <w:t>Table of Contents</w:t>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13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32"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Downturns in regional or worldwide economies may harm our business.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regional or worldwide economies could have a material adverse effect on our business, results of operations,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our manufacturing process is disrupted by operational issues, natural disasters, or other events, our business, results of operations, or financial condition could be materially adversely affected.</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0" w:lineRule="exact"/>
        <w:rPr>
          <w:sz w:val="20"/>
          <w:szCs w:val="20"/>
          <w:color w:val="auto"/>
        </w:rPr>
      </w:pPr>
    </w:p>
    <w:p>
      <w:pPr>
        <w:spacing w:after="0" w:line="238" w:lineRule="exact"/>
        <w:rPr>
          <w:sz w:val="20"/>
          <w:szCs w:val="20"/>
          <w:color w:val="auto"/>
        </w:rPr>
      </w:pPr>
    </w:p>
    <w:p>
      <w:pPr>
        <w:ind w:left="10440"/>
        <w:spacing w:after="0"/>
        <w:rPr>
          <w:sz w:val="20"/>
          <w:szCs w:val="20"/>
          <w:color w:val="auto"/>
        </w:rPr>
      </w:pPr>
      <w:r>
        <w:rPr>
          <w:sz w:val="1"/>
          <w:szCs w:val="1"/>
          <w:color w:val="auto"/>
        </w:rPr>
        <w:drawing>
          <wp:inline distT="0" distB="0" distL="0" distR="0">
            <wp:extent cx="440055" cy="12001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9"/>
          <w:szCs w:val="9"/>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60960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significant portion of our revenue is concentrated with a select number of customers.</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Approximately one-half of our total revenue comes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Increases in sales of system solutions may increase our dependency upon specific customers and our costs to develop, qualify, and manufacture our system solutions.</w:t>
      </w:r>
    </w:p>
    <w:p>
      <w:pPr>
        <w:spacing w:after="0" w:line="168"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47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that fail to meet specifications, are defective, or are otherwise incompatible with end uses could impose significant costs on us.</w:t>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140"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may be required or agree to compensate customers for costs incurred or damages caused by defective or incompatible products and to replace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could incur a decrease in revenue or adjustment to pricing commensurate with the reimbursement of such costs or alleged damages;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may encounter adverse publicity, which could cause a decrease in sales of our products or harm our reputation or relationships with existing or potential customers.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Any of the foregoing items could have a material adverse effect on our business,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Breaches of our security systems or products, or those of our customers, suppliers, or business partners, could expose us to losses.</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nation states, or other parties may gain access to our facilities or technology infrastructure and systems through fraudulent means to steal trade secrets or other proprietary information, compromise confidential information, create system disruptions, or cause shutdowns.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open source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Additionally, some actors are using artificial intelligence technology to launch more automated, targeted, and coordinated attacks.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Our products are also targets for cyberattacks, including those products utilized in cloud-based environments. While some of our products contain encryption or security algorithms designed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encryption schemes are compromised, or our suppliers are breached or attacked, this could harm our business by requiring us to employ additional resources to fix the errors or defects, exposing us to litigation, claims, and harm to our reputation.</w:t>
      </w:r>
    </w:p>
    <w:p>
      <w:pPr>
        <w:spacing w:after="0" w:line="137" w:lineRule="exact"/>
        <w:rPr>
          <w:sz w:val="20"/>
          <w:szCs w:val="20"/>
          <w:color w:val="auto"/>
        </w:rPr>
      </w:pPr>
    </w:p>
    <w:p>
      <w:pPr>
        <w:ind w:right="100"/>
        <w:spacing w:after="0" w:line="260" w:lineRule="auto"/>
        <w:rPr>
          <w:sz w:val="20"/>
          <w:szCs w:val="20"/>
          <w:color w:val="auto"/>
        </w:rPr>
      </w:pPr>
      <w:r>
        <w:rPr>
          <w:rFonts w:ascii="Arial" w:cs="Arial" w:eastAsia="Arial" w:hAnsi="Arial"/>
          <w:sz w:val="12"/>
          <w:szCs w:val="12"/>
          <w:color w:val="auto"/>
        </w:rPr>
        <w:t>Additionally, 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must attract, retain, and motivate highly skilled employees.</w:t>
      </w:r>
    </w:p>
    <w:p>
      <w:pPr>
        <w:spacing w:after="0" w:line="168"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To remain competitive, we must attract, retain, and motivate executives and a highly skilled, diverse workforce, as well as effectively manage succession for key roles. Competition for experienced employees in our industry can be intense. Hiring and retaining qualified executives and other skilled talent is critical to our business. If our total compensation programs, employment benefits, and workplace culture are not viewed as competitive and inclusive, our ability to attract, retain, and motivate employees could be compromised.</w:t>
      </w:r>
    </w:p>
    <w:p>
      <w:pPr>
        <w:spacing w:after="0" w:line="132"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Our inability to attract, retain, and motivate executives and other employees or effectively manage succession of key roles may inhibit our ability to maintain or expand our business operations.</w:t>
      </w:r>
    </w:p>
    <w:p>
      <w:pPr>
        <w:spacing w:after="0" w:line="168" w:lineRule="exact"/>
        <w:rPr>
          <w:sz w:val="20"/>
          <w:szCs w:val="20"/>
          <w:color w:val="auto"/>
        </w:rPr>
      </w:pPr>
    </w:p>
    <w:p>
      <w:pPr>
        <w:ind w:right="360"/>
        <w:spacing w:after="0" w:line="296" w:lineRule="auto"/>
        <w:rPr>
          <w:sz w:val="20"/>
          <w:szCs w:val="20"/>
          <w:color w:val="auto"/>
        </w:rPr>
      </w:pPr>
      <w:r>
        <w:rPr>
          <w:rFonts w:ascii="Arial" w:cs="Arial" w:eastAsia="Arial" w:hAnsi="Arial"/>
          <w:sz w:val="12"/>
          <w:szCs w:val="12"/>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49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1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Such risks and uncertainties include:</w:t>
      </w:r>
    </w:p>
    <w:p>
      <w:pPr>
        <w:spacing w:after="0" w:line="168"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reputational harm, including damage to our relationships with customers, suppliers, investors, governments, or other stakeholders;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adverse impacts on our ability to manufacture and sell products and maintain our market share;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success of our collaborations with third parties;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increased risk of litigation, investigations, or regulatory enforcement action;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unfavorable environmental, social, and governance ratings or investor sentiment;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diversion of resources and increased costs to control, assess, and report on environmental, social, and governance metrics;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ability to achieve our goals, commitments, and targets within timeframes announced;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increased costs to achieve our goals, commitments, and targets;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unforeseen operational and technological difficulties;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access to and increased cost of capital;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adverse impacts on our stock price.</w:t>
      </w:r>
    </w:p>
    <w:p>
      <w:pPr>
        <w:spacing w:after="0" w:line="156"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 and/or alliances involve numerous risks.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Acquisitions and the formation or operation of alliances, such as joint ventures and other partnering arrangements, involve numerous risks, including the following:</w:t>
      </w:r>
    </w:p>
    <w:p>
      <w:pPr>
        <w:spacing w:after="0" w:line="168"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integrating the operations, technologies, and products of acquired or newly formed entities into our operations;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increasing capital expenditures to upgrade and maintain facilities;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increased debt levels;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assumption of unknown or underestimated liabilities;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use of cash to finance a transaction, which may reduce the availability of cash to fund working capital, capital expenditures, R&amp;D expenditures, and other business activities;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diverting management’s attention from daily operations;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managing larger or more complex operations and facilities and employees in separate and diverse geographic areas;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hiring and retaining key employees;</w:t>
      </w:r>
    </w:p>
    <w:p>
      <w:pPr>
        <w:spacing w:after="0" w:line="6" w:lineRule="exact"/>
        <w:rPr>
          <w:rFonts w:ascii="Arial" w:cs="Arial" w:eastAsia="Arial" w:hAnsi="Arial"/>
          <w:sz w:val="12"/>
          <w:szCs w:val="12"/>
          <w:color w:val="auto"/>
        </w:rPr>
      </w:pPr>
    </w:p>
    <w:p>
      <w:pPr>
        <w:ind w:left="420" w:right="60" w:hanging="212"/>
        <w:spacing w:after="0" w:line="250"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requirements imposed by government authorities in connection with the regulatory review of a transaction, which may include, among other things, divestitures or restrictions on the conduct of our business or the acquired business;</w:t>
      </w: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underestimating the costs or overestimating the benefits, including product, revenue, cost and other synergies and growth opportunities that we expect to realize, and we may not achieve those benefits;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failure to maintain customer, vendor, and other relationships;</w:t>
      </w: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0" w:lineRule="exact"/>
        <w:rPr>
          <w:sz w:val="20"/>
          <w:szCs w:val="20"/>
          <w:color w:val="auto"/>
        </w:rPr>
      </w:pPr>
    </w:p>
    <w:p>
      <w:pPr>
        <w:ind w:left="420" w:right="380" w:hanging="212"/>
        <w:spacing w:after="0" w:line="260" w:lineRule="auto"/>
        <w:tabs>
          <w:tab w:leader="none" w:pos="4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impairment of acquired intangible assets, goodwill, or other assets as a result of changing business conditions or technological advancements.</w:t>
      </w:r>
    </w:p>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incurred restructure charges and may incur restructure charges in future periods and may not realize expected savings or other benefits from restructure plans.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In 2023, we initiated a restructure plan in response to challenging industry conditions (the “2023 Restructure Plan”). Under the 2023 Restructure Plan, we reduced our headcount by approximately 15% through a combination of voluntary attrition and personnel reductions. The 2023 Restructure Plan was substantially completed in 2023.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132" w:lineRule="exact"/>
        <w:rPr>
          <w:sz w:val="20"/>
          <w:szCs w:val="20"/>
          <w:color w:val="auto"/>
        </w:rPr>
      </w:pPr>
    </w:p>
    <w:p>
      <w:pPr>
        <w:jc w:val="both"/>
        <w:ind w:right="140"/>
        <w:spacing w:after="0" w:line="268" w:lineRule="auto"/>
        <w:rPr>
          <w:sz w:val="20"/>
          <w:szCs w:val="20"/>
          <w:color w:val="auto"/>
        </w:rPr>
      </w:pPr>
      <w:r>
        <w:rPr>
          <w:rFonts w:ascii="Arial" w:cs="Arial" w:eastAsia="Arial" w:hAnsi="Arial"/>
          <w:sz w:val="12"/>
          <w:szCs w:val="12"/>
          <w:color w:val="auto"/>
        </w:rPr>
        <w:t>We may not realize expected savings or other benefits from our 2023 Restructure Plan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Intellectual Property and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protect our intellectual property or retain key employees who are knowledgeable of and develop our intellectual property.</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35" w:lineRule="exact"/>
        <w:rPr>
          <w:sz w:val="20"/>
          <w:szCs w:val="20"/>
          <w:color w:val="auto"/>
        </w:rPr>
      </w:pPr>
    </w:p>
    <w:p>
      <w:pPr>
        <w:jc w:val="both"/>
        <w:ind w:right="220"/>
        <w:spacing w:after="0" w:line="268" w:lineRule="auto"/>
        <w:rPr>
          <w:sz w:val="20"/>
          <w:szCs w:val="20"/>
          <w:color w:val="auto"/>
        </w:rPr>
      </w:pPr>
      <w:r>
        <w:rPr>
          <w:rFonts w:ascii="Arial" w:cs="Arial" w:eastAsia="Arial" w:hAnsi="Arial"/>
          <w:sz w:val="12"/>
          <w:szCs w:val="12"/>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32"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 and claims could have a material adverse effect on our business, results of operations, or financial condition.</w:t>
      </w:r>
    </w:p>
    <w:p>
      <w:pPr>
        <w:spacing w:after="0" w:line="168"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 Financial Information – Item 1. Financial Statements – Notes to Consolidated Financial Statements – Contingencies.”</w:t>
      </w:r>
    </w:p>
    <w:p>
      <w:pPr>
        <w:spacing w:after="0" w:line="3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51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1" w:name="page52"/>
    <w:bookmarkEnd w:id="51"/>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ind w:right="300"/>
        <w:spacing w:after="0" w:line="286" w:lineRule="auto"/>
        <w:rPr>
          <w:sz w:val="20"/>
          <w:szCs w:val="20"/>
          <w:color w:val="auto"/>
        </w:rPr>
      </w:pPr>
      <w:r>
        <w:rPr>
          <w:rFonts w:ascii="Arial" w:cs="Arial" w:eastAsia="Arial" w:hAnsi="Arial"/>
          <w:sz w:val="12"/>
          <w:szCs w:val="12"/>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21"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relationships with vendors or customers, supply agreements, or contractual obligations with our subcontractors or business partners;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actions of our vendors, subcontractors, or business partners;</w:t>
      </w:r>
    </w:p>
    <w:p>
      <w:pPr>
        <w:spacing w:after="0" w:line="6" w:lineRule="exact"/>
        <w:rPr>
          <w:rFonts w:ascii="Arial" w:cs="Arial" w:eastAsia="Arial" w:hAnsi="Arial"/>
          <w:sz w:val="12"/>
          <w:szCs w:val="12"/>
          <w:color w:val="auto"/>
        </w:rPr>
      </w:pPr>
    </w:p>
    <w:p>
      <w:pPr>
        <w:ind w:left="420" w:right="120" w:hanging="212"/>
        <w:spacing w:after="0" w:line="250" w:lineRule="auto"/>
        <w:tabs>
          <w:tab w:leader="none" w:pos="417"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terms of our product warranties or from product liability claims.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37" w:lineRule="exact"/>
        <w:rPr>
          <w:sz w:val="20"/>
          <w:szCs w:val="20"/>
          <w:color w:val="auto"/>
        </w:rPr>
      </w:pPr>
    </w:p>
    <w:p>
      <w:pPr>
        <w:ind w:right="660"/>
        <w:spacing w:after="0" w:line="296" w:lineRule="auto"/>
        <w:rPr>
          <w:sz w:val="20"/>
          <w:szCs w:val="20"/>
          <w:color w:val="auto"/>
        </w:rPr>
      </w:pPr>
      <w:r>
        <w:rPr>
          <w:rFonts w:ascii="Arial" w:cs="Arial" w:eastAsia="Arial" w:hAnsi="Arial"/>
          <w:sz w:val="12"/>
          <w:szCs w:val="12"/>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1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32"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pay significant monetary damages, fines, royalties, or penalties;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enter into license or settlement agreements covering such intellectual property rights;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make material changes to or redesign our products and/or manufacturing processes; and/or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cease manufacturing, having made, selling, offering for sale, importing, marketing, or using products and/or manufacturing processes in certain jurisdictions.</w:t>
      </w:r>
    </w:p>
    <w:p>
      <w:pPr>
        <w:spacing w:after="0" w:line="156"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21"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Laws and Regulations</w:t>
      </w:r>
    </w:p>
    <w:p>
      <w:pPr>
        <w:spacing w:after="0" w:line="178"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139" w:lineRule="exact"/>
        <w:rPr>
          <w:sz w:val="20"/>
          <w:szCs w:val="20"/>
          <w:color w:val="auto"/>
        </w:rPr>
      </w:pPr>
    </w:p>
    <w:p>
      <w:pPr>
        <w:ind w:right="460"/>
        <w:spacing w:after="0" w:line="262" w:lineRule="auto"/>
        <w:rPr>
          <w:sz w:val="20"/>
          <w:szCs w:val="20"/>
          <w:color w:val="auto"/>
        </w:rPr>
      </w:pPr>
      <w:r>
        <w:rPr>
          <w:rFonts w:ascii="Arial" w:cs="Arial" w:eastAsia="Arial" w:hAnsi="Arial"/>
          <w:sz w:val="12"/>
          <w:szCs w:val="12"/>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Tax-related matters could have a material adverse effect on our business, results of operations, or financial condition.</w:t>
      </w:r>
    </w:p>
    <w:p>
      <w:pPr>
        <w:spacing w:after="0" w:line="168"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53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20"/>
        <w:spacing w:after="0"/>
        <w:rPr>
          <w:sz w:val="20"/>
          <w:szCs w:val="20"/>
          <w:color w:val="auto"/>
        </w:rPr>
      </w:pPr>
      <w:r>
        <w:rPr>
          <w:rFonts w:ascii="Arial" w:cs="Arial" w:eastAsia="Arial" w:hAnsi="Arial"/>
          <w:sz w:val="12"/>
          <w:szCs w:val="12"/>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has been enacted or will be enacted retroactively to be in effect as of January 1, 2024 in nearly all EU member states. If similar directives under Pillar Two are adopted by taxing authorities in other countries where we do business, such changes could have a material adverse effect on our business, results of operations, or financial condition.</w:t>
      </w:r>
    </w:p>
    <w:p>
      <w:pPr>
        <w:spacing w:after="0" w:line="141"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The manufacture of our products requires the use of facilities, equipment, chemicals,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2"/>
          <w:szCs w:val="12"/>
          <w:color w:val="auto"/>
        </w:rPr>
        <w:t>New and evolving cybersecurity, data privacy, and artificial intelligence laws and regulations impose requirements for information confidentiality, integrity, availability, personal and proprietary data collection, storage, use, sharing, deletion, and artificial intelligence solutions that must be transparent, fair, secure, human-focused,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the considerations detailed in this risk factor, we could experience the following:</w:t>
      </w:r>
    </w:p>
    <w:p>
      <w:pPr>
        <w:spacing w:after="0" w:line="168"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suspension of production or sales of our products;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limited supplies of chemicals or materials used to make our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remediation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increased compliance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alteration of our manufacturing processes;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regulatory penalties, fines, civil or criminal sanctions, and other legal liabilities;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reputational challenges.</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Risks Related to Capitalization and Financial Markets</w:t>
      </w:r>
    </w:p>
    <w:p>
      <w:pPr>
        <w:spacing w:after="0" w:line="178" w:lineRule="exact"/>
        <w:rPr>
          <w:sz w:val="20"/>
          <w:szCs w:val="20"/>
          <w:color w:val="auto"/>
        </w:rPr>
      </w:pPr>
    </w:p>
    <w:p>
      <w:pPr>
        <w:ind w:right="160"/>
        <w:spacing w:after="0" w:line="296" w:lineRule="auto"/>
        <w:rPr>
          <w:sz w:val="20"/>
          <w:szCs w:val="20"/>
          <w:color w:val="auto"/>
        </w:rPr>
      </w:pPr>
      <w:r>
        <w:rPr>
          <w:rFonts w:ascii="Arial" w:cs="Arial" w:eastAsia="Arial" w:hAnsi="Arial"/>
          <w:sz w:val="12"/>
          <w:szCs w:val="12"/>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10"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2024 for property, plant, and equipment, net of proceeds from government incentives, to be approximately $8.0 billion.</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obligations could adversely affect our financial condition.</w:t>
      </w:r>
    </w:p>
    <w:p>
      <w:pPr>
        <w:spacing w:after="0" w:line="168"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We have incurred in the past, and expect to incur in the future, debt to finance our capital investments, business acquisitions, and to realign our capital structure. As of May 30, 2024, we had debt with a carrying value of $13.26 billion and may incur additional debt, including under our $2.50 billion Revolving Credit Facility. Our debt obligations could adversely impact us as follows:</w:t>
      </w:r>
    </w:p>
    <w:p>
      <w:pPr>
        <w:spacing w:after="0" w:line="121" w:lineRule="exact"/>
        <w:rPr>
          <w:sz w:val="20"/>
          <w:szCs w:val="20"/>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require us to use a large portion of our cash flow to pay principal and interest on debt, which will reduce the amount of cash flow available to fund our business activities;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adversely impact our credit rating, which could increase borrowing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limit our future ability to raise funds for capital expenditures, strategic acquisitions or business opportunities, R&amp;D, and other general corporate requirements;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restrict our ability to incur specified indebtedness, create or incur certain liens, and enter into sale-leaseback financing transactions;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increase our vulnerability to adverse economic and industry conditions;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increase our exposure to rising interest rates from variable rate indebtedness;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result in certain of our debt instruments becoming immediately due and payable or being deemed to be in default if applicable cross default, cross-acceleration and/or similar provisions are triggered.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55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1" w:lineRule="exact"/>
        <w:rPr>
          <w:sz w:val="20"/>
          <w:szCs w:val="20"/>
          <w:color w:val="auto"/>
        </w:rPr>
      </w:pPr>
    </w:p>
    <w:p>
      <w:pPr>
        <w:ind w:right="80"/>
        <w:spacing w:after="0" w:line="238" w:lineRule="auto"/>
        <w:rPr>
          <w:sz w:val="20"/>
          <w:szCs w:val="20"/>
          <w:color w:val="auto"/>
        </w:rPr>
      </w:pPr>
      <w:r>
        <w:rPr>
          <w:rFonts w:ascii="Arial" w:cs="Arial" w:eastAsia="Arial" w:hAnsi="Arial"/>
          <w:sz w:val="12"/>
          <w:szCs w:val="12"/>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industry conditions, in 2023, we amended the financial covenants in our Revolving Credit Facility and term loan agreements. See “Part I. Financial Information – Item 2. Management’s Discussion and Analysis of Financial Condition and Results of Operations – Overview” and “Part I. Financial Information - Item 1. Financial Statements – Notes to Consolidated Financial Statements – Debt.” If we are unable to generate sufficient cash flows to service our debt payment obligations or satisfy our debt</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foreign currency exchange rates could materially adversely affect our business, results of operations, or financial condition.</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Across our global operations, significant transactions and balances are denominated in currencies other than the U.S. dollar (our reporting currency), primarily the Chinese yuan, euro, Indian rupee, Japanese yen, Malaysian ringgit, New Taiwan dollar, and Singapore dollar.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are subject to counterparty default risks.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trading price of our common stock has been and may continue to be volatile.</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13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70"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372" w:lineRule="exact"/>
        <w:rPr>
          <w:sz w:val="20"/>
          <w:szCs w:val="20"/>
          <w:color w:val="auto"/>
        </w:rPr>
      </w:pPr>
    </w:p>
    <w:p>
      <w:pPr>
        <w:ind w:right="340"/>
        <w:spacing w:after="0" w:line="296" w:lineRule="auto"/>
        <w:rPr>
          <w:sz w:val="20"/>
          <w:szCs w:val="20"/>
          <w:color w:val="auto"/>
        </w:rPr>
      </w:pPr>
      <w:r>
        <w:rPr>
          <w:rFonts w:ascii="Arial" w:cs="Arial" w:eastAsia="Arial" w:hAnsi="Arial"/>
          <w:sz w:val="12"/>
          <w:szCs w:val="12"/>
          <w:b w:val="1"/>
          <w:b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The amount, frequency, and execution of our share repurchases pursuant to our share repurchase authorization may fluctuate based on our operating results, cash flows, and priorities for the use of cash for other purposes. Our expenditures for share repurchases were $425 million in 2023, $2.43 billion in 2022, $1.20 billion in 2021, $ 176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135" w:lineRule="exact"/>
        <w:rPr>
          <w:sz w:val="20"/>
          <w:szCs w:val="20"/>
          <w:color w:val="auto"/>
        </w:rPr>
      </w:pPr>
    </w:p>
    <w:p>
      <w:pPr>
        <w:ind w:right="140"/>
        <w:spacing w:after="0" w:line="334" w:lineRule="auto"/>
        <w:rPr>
          <w:sz w:val="20"/>
          <w:szCs w:val="20"/>
          <w:color w:val="auto"/>
        </w:rPr>
      </w:pPr>
      <w:r>
        <w:rPr>
          <w:rFonts w:ascii="Arial" w:cs="Arial" w:eastAsia="Arial" w:hAnsi="Arial"/>
          <w:sz w:val="11"/>
          <w:szCs w:val="11"/>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There can be no assurance that we will continue to declare cash dividends in any particular amounts or at all.</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21"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57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7" w:name="page58"/>
    <w:bookmarkEnd w:id="57"/>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In May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May 30, 2024, we did not repurchase any common stock under the authorization and as of May 30, 2024, $3.11 billion of the authorization remained available for the repurchase of our common stock.</w:t>
      </w:r>
    </w:p>
    <w:p>
      <w:pPr>
        <w:spacing w:after="0" w:line="126" w:lineRule="exact"/>
        <w:rPr>
          <w:sz w:val="20"/>
          <w:szCs w:val="20"/>
          <w:color w:val="auto"/>
        </w:rPr>
      </w:pPr>
    </w:p>
    <w:p>
      <w:pPr>
        <w:ind w:right="200"/>
        <w:spacing w:after="0" w:line="270" w:lineRule="auto"/>
        <w:rPr>
          <w:sz w:val="20"/>
          <w:szCs w:val="20"/>
          <w:color w:val="auto"/>
        </w:rPr>
      </w:pPr>
      <w:r>
        <w:rPr>
          <w:rFonts w:ascii="Arial" w:cs="Arial" w:eastAsia="Arial" w:hAnsi="Arial"/>
          <w:sz w:val="12"/>
          <w:szCs w:val="12"/>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In the third quarter of 2024, shares withheld as payment upon the vesting of restricted stock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2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Total number of</w:t>
            </w:r>
          </w:p>
        </w:tc>
        <w:tc>
          <w:tcPr>
            <w:tcW w:w="80" w:type="dxa"/>
            <w:vAlign w:val="bottom"/>
          </w:tcPr>
          <w:p>
            <w:pPr>
              <w:spacing w:after="0"/>
              <w:rPr>
                <w:sz w:val="12"/>
                <w:szCs w:val="12"/>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Average price</w:t>
            </w: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99"/>
              </w:rPr>
              <w:t>Total number of shares purchased as</w:t>
            </w:r>
          </w:p>
        </w:tc>
        <w:tc>
          <w:tcPr>
            <w:tcW w:w="3160" w:type="dxa"/>
            <w:vAlign w:val="bottom"/>
          </w:tcPr>
          <w:p>
            <w:pPr>
              <w:jc w:val="center"/>
              <w:spacing w:after="0"/>
              <w:rPr>
                <w:sz w:val="20"/>
                <w:szCs w:val="20"/>
                <w:color w:val="auto"/>
              </w:rPr>
            </w:pPr>
            <w:r>
              <w:rPr>
                <w:rFonts w:ascii="Arial" w:cs="Arial" w:eastAsia="Arial" w:hAnsi="Arial"/>
                <w:sz w:val="12"/>
                <w:szCs w:val="12"/>
                <w:b w:val="1"/>
                <w:bCs w:val="1"/>
                <w:color w:val="auto"/>
                <w:w w:val="99"/>
              </w:rPr>
              <w:t>Approximate dollar value of shares that may yet be</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236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Period</w:t>
            </w:r>
          </w:p>
        </w:tc>
        <w:tc>
          <w:tcPr>
            <w:tcW w:w="1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part of publicly announced plans or</w:t>
            </w:r>
          </w:p>
        </w:tc>
        <w:tc>
          <w:tcPr>
            <w:tcW w:w="31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purchased under publicly announced plans or</w:t>
            </w:r>
          </w:p>
        </w:tc>
        <w:tc>
          <w:tcPr>
            <w:tcW w:w="0" w:type="dxa"/>
            <w:vAlign w:val="bottom"/>
          </w:tcPr>
          <w:p>
            <w:pPr>
              <w:spacing w:after="0"/>
              <w:rPr>
                <w:sz w:val="1"/>
                <w:szCs w:val="1"/>
                <w:color w:val="auto"/>
              </w:rPr>
            </w:pPr>
          </w:p>
        </w:tc>
      </w:tr>
      <w:tr>
        <w:trPr>
          <w:trHeight w:val="170"/>
        </w:trPr>
        <w:tc>
          <w:tcPr>
            <w:tcW w:w="1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shares purchased</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9"/>
              </w:rPr>
              <w:t>paid per share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programs</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12"/>
                <w:szCs w:val="12"/>
                <w:color w:val="auto"/>
              </w:rPr>
              <w:t>(in millions)</w:t>
            </w:r>
          </w:p>
        </w:tc>
        <w:tc>
          <w:tcPr>
            <w:tcW w:w="0" w:type="dxa"/>
            <w:vAlign w:val="bottom"/>
          </w:tcPr>
          <w:p>
            <w:pPr>
              <w:spacing w:after="0"/>
              <w:rPr>
                <w:sz w:val="1"/>
                <w:szCs w:val="1"/>
                <w:color w:val="auto"/>
              </w:rPr>
            </w:pPr>
          </w:p>
        </w:tc>
      </w:tr>
      <w:tr>
        <w:trPr>
          <w:trHeight w:val="161"/>
        </w:trPr>
        <w:tc>
          <w:tcPr>
            <w:tcW w:w="1220" w:type="dxa"/>
            <w:vAlign w:val="bottom"/>
            <w:shd w:val="clear" w:color="auto" w:fill="D1D2D4"/>
          </w:tcPr>
          <w:p>
            <w:pPr>
              <w:spacing w:after="0"/>
              <w:rPr>
                <w:sz w:val="20"/>
                <w:szCs w:val="20"/>
                <w:color w:val="auto"/>
              </w:rPr>
            </w:pPr>
            <w:r>
              <w:rPr>
                <w:rFonts w:ascii="Arial" w:cs="Arial" w:eastAsia="Arial" w:hAnsi="Arial"/>
                <w:sz w:val="12"/>
                <w:szCs w:val="12"/>
                <w:color w:val="auto"/>
              </w:rPr>
              <w:t>March 1, 2024</w:t>
            </w:r>
          </w:p>
        </w:tc>
        <w:tc>
          <w:tcPr>
            <w:tcW w:w="2360" w:type="dxa"/>
            <w:vAlign w:val="bottom"/>
            <w:shd w:val="clear" w:color="auto" w:fill="D1D2D4"/>
          </w:tcPr>
          <w:p>
            <w:pPr>
              <w:ind w:left="500"/>
              <w:spacing w:after="0"/>
              <w:rPr>
                <w:sz w:val="20"/>
                <w:szCs w:val="20"/>
                <w:color w:val="auto"/>
              </w:rPr>
            </w:pPr>
            <w:r>
              <w:rPr>
                <w:rFonts w:ascii="Arial" w:cs="Arial" w:eastAsia="Arial" w:hAnsi="Arial"/>
                <w:sz w:val="12"/>
                <w:szCs w:val="12"/>
                <w:color w:val="auto"/>
              </w:rPr>
              <w:t>– March 28, 2024</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2"/>
                <w:szCs w:val="12"/>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240" w:type="dxa"/>
            <w:vAlign w:val="bottom"/>
            <w:shd w:val="clear" w:color="auto" w:fill="D1D2D4"/>
          </w:tcPr>
          <w:p>
            <w:pPr>
              <w:ind w:left="2060"/>
              <w:spacing w:after="0"/>
              <w:rPr>
                <w:sz w:val="20"/>
                <w:szCs w:val="20"/>
                <w:color w:val="auto"/>
              </w:rPr>
            </w:pPr>
            <w:r>
              <w:rPr>
                <w:rFonts w:ascii="Arial" w:cs="Arial" w:eastAsia="Arial" w:hAnsi="Arial"/>
                <w:sz w:val="12"/>
                <w:szCs w:val="12"/>
                <w:color w:val="auto"/>
              </w:rPr>
              <w:t>—</w:t>
            </w:r>
          </w:p>
        </w:tc>
        <w:tc>
          <w:tcPr>
            <w:tcW w:w="31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20"/>
                <w:szCs w:val="20"/>
                <w:color w:val="auto"/>
              </w:rPr>
            </w:pPr>
            <w:r>
              <w:rPr>
                <w:rFonts w:ascii="Arial" w:cs="Arial" w:eastAsia="Arial" w:hAnsi="Arial"/>
                <w:sz w:val="12"/>
                <w:szCs w:val="12"/>
                <w:color w:val="auto"/>
              </w:rPr>
              <w:t>March 29, 2024</w:t>
            </w:r>
          </w:p>
        </w:tc>
        <w:tc>
          <w:tcPr>
            <w:tcW w:w="2360" w:type="dxa"/>
            <w:vAlign w:val="bottom"/>
          </w:tcPr>
          <w:p>
            <w:pPr>
              <w:ind w:left="500"/>
              <w:spacing w:after="0"/>
              <w:rPr>
                <w:sz w:val="20"/>
                <w:szCs w:val="20"/>
                <w:color w:val="auto"/>
              </w:rPr>
            </w:pPr>
            <w:r>
              <w:rPr>
                <w:rFonts w:ascii="Arial" w:cs="Arial" w:eastAsia="Arial" w:hAnsi="Arial"/>
                <w:sz w:val="12"/>
                <w:szCs w:val="12"/>
                <w:color w:val="auto"/>
              </w:rPr>
              <w:t>– April 25, 2024</w:t>
            </w:r>
          </w:p>
        </w:tc>
        <w:tc>
          <w:tcPr>
            <w:tcW w:w="1320" w:type="dxa"/>
            <w:vAlign w:val="bottom"/>
          </w:tcPr>
          <w:p>
            <w:pPr>
              <w:jc w:val="right"/>
              <w:spacing w:after="0"/>
              <w:rPr>
                <w:sz w:val="20"/>
                <w:szCs w:val="20"/>
                <w:color w:val="auto"/>
              </w:rPr>
            </w:pPr>
            <w:r>
              <w:rPr>
                <w:rFonts w:ascii="Arial" w:cs="Arial" w:eastAsia="Arial" w:hAnsi="Arial"/>
                <w:sz w:val="12"/>
                <w:szCs w:val="12"/>
                <w:color w:val="auto"/>
              </w:rPr>
              <w:t>37,402</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120.32</w:t>
            </w:r>
          </w:p>
        </w:tc>
        <w:tc>
          <w:tcPr>
            <w:tcW w:w="2240" w:type="dxa"/>
            <w:vAlign w:val="bottom"/>
          </w:tcPr>
          <w:p>
            <w:pPr>
              <w:ind w:left="2060"/>
              <w:spacing w:after="0"/>
              <w:rPr>
                <w:sz w:val="20"/>
                <w:szCs w:val="20"/>
                <w:color w:val="auto"/>
              </w:rPr>
            </w:pPr>
            <w:r>
              <w:rPr>
                <w:rFonts w:ascii="Arial" w:cs="Arial" w:eastAsia="Arial" w:hAnsi="Arial"/>
                <w:sz w:val="12"/>
                <w:szCs w:val="12"/>
                <w:color w:val="auto"/>
              </w:rPr>
              <w:t>—</w:t>
            </w: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20" w:type="dxa"/>
            <w:vAlign w:val="bottom"/>
            <w:shd w:val="clear" w:color="auto" w:fill="D1D2D4"/>
          </w:tcPr>
          <w:p>
            <w:pPr>
              <w:spacing w:after="0"/>
              <w:rPr>
                <w:sz w:val="20"/>
                <w:szCs w:val="20"/>
                <w:color w:val="auto"/>
              </w:rPr>
            </w:pPr>
            <w:r>
              <w:rPr>
                <w:rFonts w:ascii="Arial" w:cs="Arial" w:eastAsia="Arial" w:hAnsi="Arial"/>
                <w:sz w:val="12"/>
                <w:szCs w:val="12"/>
                <w:color w:val="auto"/>
              </w:rPr>
              <w:t>April 26, 2024</w:t>
            </w:r>
          </w:p>
        </w:tc>
        <w:tc>
          <w:tcPr>
            <w:tcW w:w="2360" w:type="dxa"/>
            <w:vAlign w:val="bottom"/>
            <w:shd w:val="clear" w:color="auto" w:fill="D1D2D4"/>
          </w:tcPr>
          <w:p>
            <w:pPr>
              <w:ind w:left="500"/>
              <w:spacing w:after="0"/>
              <w:rPr>
                <w:sz w:val="20"/>
                <w:szCs w:val="20"/>
                <w:color w:val="auto"/>
              </w:rPr>
            </w:pPr>
            <w:r>
              <w:rPr>
                <w:rFonts w:ascii="Arial" w:cs="Arial" w:eastAsia="Arial" w:hAnsi="Arial"/>
                <w:sz w:val="12"/>
                <w:szCs w:val="12"/>
                <w:color w:val="auto"/>
              </w:rPr>
              <w:t>– May 30, 2024</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D1D2D4"/>
          </w:tcPr>
          <w:p>
            <w:pPr>
              <w:spacing w:after="0"/>
              <w:rPr>
                <w:sz w:val="13"/>
                <w:szCs w:val="13"/>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2"/>
                <w:szCs w:val="12"/>
                <w:color w:val="auto"/>
              </w:rPr>
              <w:t>—</w:t>
            </w:r>
          </w:p>
        </w:tc>
        <w:tc>
          <w:tcPr>
            <w:tcW w:w="2240" w:type="dxa"/>
            <w:vAlign w:val="bottom"/>
            <w:tcBorders>
              <w:bottom w:val="single" w:sz="8" w:color="auto"/>
            </w:tcBorders>
            <w:shd w:val="clear" w:color="auto" w:fill="D1D2D4"/>
          </w:tcPr>
          <w:p>
            <w:pPr>
              <w:ind w:left="2060"/>
              <w:spacing w:after="0"/>
              <w:rPr>
                <w:sz w:val="20"/>
                <w:szCs w:val="20"/>
                <w:color w:val="auto"/>
              </w:rPr>
            </w:pPr>
            <w:r>
              <w:rPr>
                <w:rFonts w:ascii="Arial" w:cs="Arial" w:eastAsia="Arial" w:hAnsi="Arial"/>
                <w:sz w:val="12"/>
                <w:szCs w:val="12"/>
                <w:color w:val="auto"/>
              </w:rPr>
              <w:t>—</w:t>
            </w:r>
          </w:p>
        </w:tc>
        <w:tc>
          <w:tcPr>
            <w:tcW w:w="31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37,402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120.32</w:t>
            </w:r>
          </w:p>
        </w:tc>
        <w:tc>
          <w:tcPr>
            <w:tcW w:w="2240" w:type="dxa"/>
            <w:vAlign w:val="bottom"/>
            <w:tcBorders>
              <w:bottom w:val="single" w:sz="8" w:color="auto"/>
            </w:tcBorders>
          </w:tcPr>
          <w:p>
            <w:pPr>
              <w:ind w:left="2060"/>
              <w:spacing w:after="0"/>
              <w:rPr>
                <w:sz w:val="20"/>
                <w:szCs w:val="20"/>
                <w:color w:val="auto"/>
              </w:rPr>
            </w:pPr>
            <w:r>
              <w:rPr>
                <w:rFonts w:ascii="Arial" w:cs="Arial" w:eastAsia="Arial" w:hAnsi="Arial"/>
                <w:sz w:val="12"/>
                <w:szCs w:val="12"/>
                <w:color w:val="auto"/>
              </w:rPr>
              <w:t>—</w:t>
            </w:r>
          </w:p>
        </w:tc>
        <w:tc>
          <w:tcPr>
            <w:tcW w:w="3160" w:type="dxa"/>
            <w:vAlign w:val="bottom"/>
          </w:tcPr>
          <w:p>
            <w:pPr>
              <w:jc w:val="right"/>
              <w:spacing w:after="0"/>
              <w:rPr>
                <w:sz w:val="20"/>
                <w:szCs w:val="20"/>
                <w:color w:val="auto"/>
              </w:rPr>
            </w:pPr>
            <w:r>
              <w:rPr>
                <w:rFonts w:ascii="Arial" w:cs="Arial" w:eastAsia="Arial" w:hAnsi="Arial"/>
                <w:sz w:val="12"/>
                <w:szCs w:val="12"/>
                <w:color w:val="auto"/>
              </w:rPr>
              <w:t>$3,106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1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58</w:t>
            </w:r>
          </w:p>
        </w:tc>
        <w:tc>
          <w:tcPr>
            <w:tcW w:w="0" w:type="dxa"/>
            <w:vAlign w:val="bottom"/>
          </w:tcPr>
          <w:p>
            <w:pPr>
              <w:spacing w:after="0" w:line="20" w:lineRule="exact"/>
              <w:rPr>
                <w:sz w:val="1"/>
                <w:szCs w:val="1"/>
                <w:color w:val="auto"/>
              </w:rPr>
            </w:pPr>
          </w:p>
        </w:tc>
      </w:tr>
      <w:tr>
        <w:trPr>
          <w:trHeight w:val="745"/>
        </w:trPr>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20" w:type="dxa"/>
            <w:vAlign w:val="bottom"/>
            <w:tcBorders>
              <w:bottom w:val="single" w:sz="8" w:color="9A9A9A"/>
            </w:tcBorders>
          </w:tcPr>
          <w:p>
            <w:pPr>
              <w:spacing w:after="0"/>
              <w:rPr>
                <w:sz w:val="5"/>
                <w:szCs w:val="5"/>
                <w:color w:val="auto"/>
              </w:rPr>
            </w:pPr>
          </w:p>
        </w:tc>
        <w:tc>
          <w:tcPr>
            <w:tcW w:w="236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240" w:type="dxa"/>
            <w:vAlign w:val="bottom"/>
            <w:tcBorders>
              <w:bottom w:val="single" w:sz="8" w:color="9A9A9A"/>
            </w:tcBorders>
          </w:tcPr>
          <w:p>
            <w:pPr>
              <w:spacing w:after="0"/>
              <w:rPr>
                <w:sz w:val="5"/>
                <w:szCs w:val="5"/>
                <w:color w:val="auto"/>
              </w:rPr>
            </w:pPr>
          </w:p>
        </w:tc>
        <w:tc>
          <w:tcPr>
            <w:tcW w:w="31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-216535</wp:posOffset>
            </wp:positionV>
            <wp:extent cx="440055"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0055" cy="12001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Trading Plans of Directors and Executive Officers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During the quarter ended May 30, 2024, no officers or directors, as defined in Rule 16a-1(f), adopted and/or terminated a “Rule 10b5-1 trading arrangement” or a “non-Rule 10b5-1 trading arrangement,” as defined in Item 408 of Regulation S-K.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59 | 2024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BD03F7"/>
                <w:w w:val="94"/>
              </w:rPr>
              <w:t>Table of Contents</w:t>
            </w:r>
          </w:p>
        </w:tc>
      </w:tr>
      <w:tr>
        <w:trPr>
          <w:trHeight w:val="624"/>
        </w:trPr>
        <w:tc>
          <w:tcPr>
            <w:tcW w:w="6460" w:type="dxa"/>
            <w:vAlign w:val="bottom"/>
            <w:gridSpan w:val="8"/>
          </w:tcPr>
          <w:p>
            <w:pPr>
              <w:spacing w:after="0"/>
              <w:rPr>
                <w:sz w:val="20"/>
                <w:szCs w:val="20"/>
                <w:color w:val="auto"/>
              </w:rPr>
            </w:pPr>
            <w:r>
              <w:rPr>
                <w:rFonts w:ascii="Arial" w:cs="Arial" w:eastAsia="Arial" w:hAnsi="Arial"/>
                <w:sz w:val="17"/>
                <w:szCs w:val="17"/>
                <w:b w:val="1"/>
                <w:bCs w:val="1"/>
                <w:color w:val="auto"/>
              </w:rPr>
              <w:t>ITEM 6. EXHIBITS</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Borders>
              <w:top w:val="single" w:sz="8" w:color="BD03F7"/>
            </w:tcBorders>
          </w:tcPr>
          <w:p>
            <w:pPr>
              <w:spacing w:after="0"/>
              <w:rPr>
                <w:sz w:val="24"/>
                <w:szCs w:val="24"/>
                <w:color w:val="auto"/>
              </w:rPr>
            </w:pPr>
          </w:p>
        </w:tc>
      </w:tr>
      <w:tr>
        <w:trPr>
          <w:trHeight w:val="157"/>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548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rPr>
              <w:t>Description of Exhibit</w:t>
            </w:r>
          </w:p>
        </w:tc>
        <w:tc>
          <w:tcPr>
            <w:tcW w:w="168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Filed Herewith   Form</w:t>
            </w:r>
          </w:p>
        </w:tc>
        <w:tc>
          <w:tcPr>
            <w:tcW w:w="316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Period Ending  Exhibit/ Appendix Filing Date</w:t>
            </w:r>
          </w:p>
        </w:tc>
      </w:tr>
      <w:tr>
        <w:trPr>
          <w:trHeight w:val="122"/>
        </w:trPr>
        <w:tc>
          <w:tcPr>
            <w:tcW w:w="980" w:type="dxa"/>
            <w:vAlign w:val="bottom"/>
            <w:shd w:val="clear" w:color="auto" w:fill="D1D2D4"/>
          </w:tcPr>
          <w:p>
            <w:pPr>
              <w:spacing w:after="0" w:line="115" w:lineRule="exact"/>
              <w:rPr>
                <w:sz w:val="20"/>
                <w:szCs w:val="20"/>
                <w:color w:val="auto"/>
              </w:rPr>
            </w:pPr>
            <w:r>
              <w:rPr>
                <w:rFonts w:ascii="Arial" w:cs="Arial" w:eastAsia="Arial" w:hAnsi="Arial"/>
                <w:sz w:val="12"/>
                <w:szCs w:val="12"/>
                <w:color w:val="auto"/>
              </w:rPr>
              <w:t>3.1</w:t>
            </w:r>
          </w:p>
        </w:tc>
        <w:tc>
          <w:tcPr>
            <w:tcW w:w="5480" w:type="dxa"/>
            <w:vAlign w:val="bottom"/>
            <w:gridSpan w:val="7"/>
            <w:shd w:val="clear" w:color="auto" w:fill="D1D2D4"/>
          </w:tcPr>
          <w:p>
            <w:pPr>
              <w:spacing w:after="0" w:line="115" w:lineRule="exact"/>
              <w:rPr>
                <w:rFonts w:ascii="Arial" w:cs="Arial" w:eastAsia="Arial" w:hAnsi="Arial"/>
                <w:sz w:val="12"/>
                <w:szCs w:val="12"/>
                <w:color w:val="auto"/>
              </w:rPr>
            </w:pPr>
            <w:hyperlink r:id="rId116">
              <w:r>
                <w:rPr>
                  <w:rFonts w:ascii="Arial" w:cs="Arial" w:eastAsia="Arial" w:hAnsi="Arial"/>
                  <w:sz w:val="12"/>
                  <w:szCs w:val="12"/>
                  <w:color w:val="auto"/>
                </w:rPr>
                <w:t>Restated Certificate of Incorporation of the Registrant</w:t>
              </w:r>
            </w:hyperlink>
          </w:p>
        </w:tc>
        <w:tc>
          <w:tcPr>
            <w:tcW w:w="1680" w:type="dxa"/>
            <w:vAlign w:val="bottom"/>
            <w:shd w:val="clear" w:color="auto" w:fill="D1D2D4"/>
          </w:tcPr>
          <w:p>
            <w:pPr>
              <w:ind w:left="1140"/>
              <w:spacing w:after="0" w:line="115" w:lineRule="exact"/>
              <w:rPr>
                <w:sz w:val="20"/>
                <w:szCs w:val="20"/>
                <w:color w:val="auto"/>
              </w:rPr>
            </w:pPr>
            <w:r>
              <w:rPr>
                <w:rFonts w:ascii="Arial" w:cs="Arial" w:eastAsia="Arial" w:hAnsi="Arial"/>
                <w:sz w:val="12"/>
                <w:szCs w:val="12"/>
                <w:color w:val="auto"/>
              </w:rPr>
              <w:t>8-K</w:t>
            </w:r>
          </w:p>
        </w:tc>
        <w:tc>
          <w:tcPr>
            <w:tcW w:w="1820" w:type="dxa"/>
            <w:vAlign w:val="bottom"/>
            <w:shd w:val="clear" w:color="auto" w:fill="D1D2D4"/>
          </w:tcPr>
          <w:p>
            <w:pPr>
              <w:ind w:left="1180"/>
              <w:spacing w:after="0" w:line="115" w:lineRule="exact"/>
              <w:rPr>
                <w:sz w:val="20"/>
                <w:szCs w:val="20"/>
                <w:color w:val="auto"/>
              </w:rPr>
            </w:pPr>
            <w:r>
              <w:rPr>
                <w:rFonts w:ascii="Arial" w:cs="Arial" w:eastAsia="Arial" w:hAnsi="Arial"/>
                <w:sz w:val="12"/>
                <w:szCs w:val="12"/>
                <w:color w:val="auto"/>
              </w:rPr>
              <w:t>99.2</w:t>
            </w:r>
          </w:p>
        </w:tc>
        <w:tc>
          <w:tcPr>
            <w:tcW w:w="1340" w:type="dxa"/>
            <w:vAlign w:val="bottom"/>
            <w:gridSpan w:val="2"/>
            <w:shd w:val="clear" w:color="auto" w:fill="D1D2D4"/>
          </w:tcPr>
          <w:p>
            <w:pPr>
              <w:ind w:left="420"/>
              <w:spacing w:after="0" w:line="115" w:lineRule="exact"/>
              <w:rPr>
                <w:sz w:val="20"/>
                <w:szCs w:val="20"/>
                <w:color w:val="auto"/>
              </w:rPr>
            </w:pPr>
            <w:r>
              <w:rPr>
                <w:rFonts w:ascii="Arial" w:cs="Arial" w:eastAsia="Arial" w:hAnsi="Arial"/>
                <w:sz w:val="12"/>
                <w:szCs w:val="12"/>
                <w:color w:val="auto"/>
              </w:rPr>
              <w:t>1/26/15</w:t>
            </w:r>
          </w:p>
        </w:tc>
      </w:tr>
      <w:tr>
        <w:trPr>
          <w:trHeight w:val="126"/>
        </w:trPr>
        <w:tc>
          <w:tcPr>
            <w:tcW w:w="980" w:type="dxa"/>
            <w:vAlign w:val="bottom"/>
            <w:tcBorders>
              <w:top w:val="single" w:sz="8" w:color="D1D2D4"/>
            </w:tcBorders>
          </w:tcPr>
          <w:p>
            <w:pPr>
              <w:spacing w:after="0" w:line="126" w:lineRule="exact"/>
              <w:rPr>
                <w:sz w:val="20"/>
                <w:szCs w:val="20"/>
                <w:color w:val="auto"/>
              </w:rPr>
            </w:pPr>
            <w:r>
              <w:rPr>
                <w:rFonts w:ascii="Arial" w:cs="Arial" w:eastAsia="Arial" w:hAnsi="Arial"/>
                <w:sz w:val="12"/>
                <w:szCs w:val="12"/>
                <w:color w:val="auto"/>
              </w:rPr>
              <w:t>3.2</w:t>
            </w:r>
          </w:p>
        </w:tc>
        <w:tc>
          <w:tcPr>
            <w:tcW w:w="2820" w:type="dxa"/>
            <w:vAlign w:val="bottom"/>
            <w:tcBorders>
              <w:top w:val="single" w:sz="8" w:color="auto"/>
            </w:tcBorders>
            <w:gridSpan w:val="3"/>
          </w:tcPr>
          <w:p>
            <w:pPr>
              <w:spacing w:after="0" w:line="126" w:lineRule="exact"/>
              <w:rPr>
                <w:rFonts w:ascii="Arial" w:cs="Arial" w:eastAsia="Arial" w:hAnsi="Arial"/>
                <w:sz w:val="12"/>
                <w:szCs w:val="12"/>
                <w:color w:val="auto"/>
              </w:rPr>
            </w:pPr>
            <w:hyperlink r:id="rId117">
              <w:r>
                <w:rPr>
                  <w:rFonts w:ascii="Arial" w:cs="Arial" w:eastAsia="Arial" w:hAnsi="Arial"/>
                  <w:sz w:val="12"/>
                  <w:szCs w:val="12"/>
                  <w:color w:val="auto"/>
                </w:rPr>
                <w:t>Amended and Restated Bylaws of the Registrant</w:t>
              </w:r>
            </w:hyperlink>
          </w:p>
        </w:tc>
        <w:tc>
          <w:tcPr>
            <w:tcW w:w="2660" w:type="dxa"/>
            <w:vAlign w:val="bottom"/>
            <w:tcBorders>
              <w:top w:val="single" w:sz="8" w:color="D1D2D4"/>
            </w:tcBorders>
            <w:gridSpan w:val="4"/>
          </w:tcPr>
          <w:p>
            <w:pPr>
              <w:spacing w:after="0"/>
              <w:rPr>
                <w:sz w:val="10"/>
                <w:szCs w:val="10"/>
                <w:color w:val="auto"/>
              </w:rPr>
            </w:pPr>
          </w:p>
        </w:tc>
        <w:tc>
          <w:tcPr>
            <w:tcW w:w="1680" w:type="dxa"/>
            <w:vAlign w:val="bottom"/>
            <w:tcBorders>
              <w:top w:val="single" w:sz="8" w:color="D1D2D4"/>
            </w:tcBorders>
          </w:tcPr>
          <w:p>
            <w:pPr>
              <w:ind w:left="1140"/>
              <w:spacing w:after="0" w:line="126" w:lineRule="exact"/>
              <w:rPr>
                <w:sz w:val="20"/>
                <w:szCs w:val="20"/>
                <w:color w:val="auto"/>
              </w:rPr>
            </w:pPr>
            <w:r>
              <w:rPr>
                <w:rFonts w:ascii="Arial" w:cs="Arial" w:eastAsia="Arial" w:hAnsi="Arial"/>
                <w:sz w:val="12"/>
                <w:szCs w:val="12"/>
                <w:color w:val="auto"/>
              </w:rPr>
              <w:t>8-K</w:t>
            </w:r>
          </w:p>
        </w:tc>
        <w:tc>
          <w:tcPr>
            <w:tcW w:w="1820" w:type="dxa"/>
            <w:vAlign w:val="bottom"/>
            <w:tcBorders>
              <w:top w:val="single" w:sz="8" w:color="D1D2D4"/>
            </w:tcBorders>
          </w:tcPr>
          <w:p>
            <w:pPr>
              <w:ind w:left="1180"/>
              <w:spacing w:after="0" w:line="126" w:lineRule="exact"/>
              <w:rPr>
                <w:sz w:val="20"/>
                <w:szCs w:val="20"/>
                <w:color w:val="auto"/>
              </w:rPr>
            </w:pPr>
            <w:r>
              <w:rPr>
                <w:rFonts w:ascii="Arial" w:cs="Arial" w:eastAsia="Arial" w:hAnsi="Arial"/>
                <w:sz w:val="12"/>
                <w:szCs w:val="12"/>
                <w:color w:val="auto"/>
              </w:rPr>
              <w:t>3.1</w:t>
            </w:r>
          </w:p>
        </w:tc>
        <w:tc>
          <w:tcPr>
            <w:tcW w:w="1340" w:type="dxa"/>
            <w:vAlign w:val="bottom"/>
            <w:tcBorders>
              <w:top w:val="single" w:sz="8" w:color="D1D2D4"/>
            </w:tcBorders>
            <w:gridSpan w:val="2"/>
          </w:tcPr>
          <w:p>
            <w:pPr>
              <w:ind w:left="420"/>
              <w:spacing w:after="0" w:line="126" w:lineRule="exact"/>
              <w:rPr>
                <w:sz w:val="20"/>
                <w:szCs w:val="20"/>
                <w:color w:val="auto"/>
              </w:rPr>
            </w:pPr>
            <w:r>
              <w:rPr>
                <w:rFonts w:ascii="Arial" w:cs="Arial" w:eastAsia="Arial" w:hAnsi="Arial"/>
                <w:sz w:val="12"/>
                <w:szCs w:val="12"/>
                <w:color w:val="auto"/>
              </w:rPr>
              <w:t>3/11/24</w:t>
            </w:r>
          </w:p>
        </w:tc>
      </w:tr>
      <w:tr>
        <w:trPr>
          <w:trHeight w:val="27"/>
        </w:trPr>
        <w:tc>
          <w:tcPr>
            <w:tcW w:w="98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3"/>
        </w:trPr>
        <w:tc>
          <w:tcPr>
            <w:tcW w:w="980" w:type="dxa"/>
            <w:vAlign w:val="bottom"/>
            <w:shd w:val="clear" w:color="auto" w:fill="D1D2D4"/>
          </w:tcPr>
          <w:p>
            <w:pPr>
              <w:spacing w:after="0" w:line="126" w:lineRule="exact"/>
              <w:rPr>
                <w:sz w:val="20"/>
                <w:szCs w:val="20"/>
                <w:color w:val="auto"/>
              </w:rPr>
            </w:pPr>
            <w:r>
              <w:rPr>
                <w:rFonts w:ascii="Arial" w:cs="Arial" w:eastAsia="Arial" w:hAnsi="Arial"/>
                <w:sz w:val="12"/>
                <w:szCs w:val="12"/>
                <w:color w:val="auto"/>
              </w:rPr>
              <w:t>31.1</w:t>
            </w:r>
          </w:p>
        </w:tc>
        <w:tc>
          <w:tcPr>
            <w:tcW w:w="5480" w:type="dxa"/>
            <w:vAlign w:val="bottom"/>
            <w:gridSpan w:val="7"/>
            <w:shd w:val="clear" w:color="auto" w:fill="D1D2D4"/>
          </w:tcPr>
          <w:p>
            <w:pPr>
              <w:spacing w:after="0" w:line="126" w:lineRule="exact"/>
              <w:rPr>
                <w:sz w:val="20"/>
                <w:szCs w:val="20"/>
                <w:color w:val="auto"/>
              </w:rPr>
            </w:pPr>
            <w:r>
              <w:rPr>
                <w:rFonts w:ascii="Arial" w:cs="Arial" w:eastAsia="Arial" w:hAnsi="Arial"/>
                <w:sz w:val="12"/>
                <w:szCs w:val="12"/>
                <w:color w:val="auto"/>
              </w:rPr>
              <w:t>Rule 13a-14(a) Certification of Chief Executive Officer</w:t>
            </w:r>
          </w:p>
        </w:tc>
        <w:tc>
          <w:tcPr>
            <w:tcW w:w="1680" w:type="dxa"/>
            <w:vAlign w:val="bottom"/>
            <w:shd w:val="clear" w:color="auto" w:fill="D1D2D4"/>
          </w:tcPr>
          <w:p>
            <w:pPr>
              <w:ind w:left="140"/>
              <w:spacing w:after="0" w:line="126" w:lineRule="exact"/>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1"/>
                <w:szCs w:val="11"/>
                <w:color w:val="auto"/>
              </w:rPr>
            </w:pPr>
          </w:p>
        </w:tc>
        <w:tc>
          <w:tcPr>
            <w:tcW w:w="440" w:type="dxa"/>
            <w:vAlign w:val="bottom"/>
            <w:shd w:val="clear" w:color="auto" w:fill="D1D2D4"/>
          </w:tcPr>
          <w:p>
            <w:pPr>
              <w:spacing w:after="0"/>
              <w:rPr>
                <w:sz w:val="11"/>
                <w:szCs w:val="11"/>
                <w:color w:val="auto"/>
              </w:rPr>
            </w:pPr>
          </w:p>
        </w:tc>
        <w:tc>
          <w:tcPr>
            <w:tcW w:w="900" w:type="dxa"/>
            <w:vAlign w:val="bottom"/>
            <w:shd w:val="clear" w:color="auto" w:fill="D1D2D4"/>
          </w:tcPr>
          <w:p>
            <w:pPr>
              <w:spacing w:after="0"/>
              <w:rPr>
                <w:sz w:val="11"/>
                <w:szCs w:val="11"/>
                <w:color w:val="auto"/>
              </w:rPr>
            </w:pPr>
          </w:p>
        </w:tc>
      </w:tr>
      <w:tr>
        <w:trPr>
          <w:trHeight w:val="126"/>
        </w:trPr>
        <w:tc>
          <w:tcPr>
            <w:tcW w:w="980" w:type="dxa"/>
            <w:vAlign w:val="bottom"/>
            <w:tcBorders>
              <w:top w:val="single" w:sz="8" w:color="D1D2D4"/>
            </w:tcBorders>
          </w:tcPr>
          <w:p>
            <w:pPr>
              <w:spacing w:after="0" w:line="126" w:lineRule="exact"/>
              <w:rPr>
                <w:sz w:val="20"/>
                <w:szCs w:val="20"/>
                <w:color w:val="auto"/>
              </w:rPr>
            </w:pPr>
            <w:r>
              <w:rPr>
                <w:rFonts w:ascii="Arial" w:cs="Arial" w:eastAsia="Arial" w:hAnsi="Arial"/>
                <w:sz w:val="12"/>
                <w:szCs w:val="12"/>
                <w:color w:val="auto"/>
              </w:rPr>
              <w:t>31.2</w:t>
            </w:r>
          </w:p>
        </w:tc>
        <w:tc>
          <w:tcPr>
            <w:tcW w:w="2840" w:type="dxa"/>
            <w:vAlign w:val="bottom"/>
            <w:tcBorders>
              <w:top w:val="single" w:sz="8" w:color="auto"/>
            </w:tcBorders>
            <w:gridSpan w:val="4"/>
          </w:tcPr>
          <w:p>
            <w:pPr>
              <w:spacing w:after="0" w:line="126" w:lineRule="exact"/>
              <w:rPr>
                <w:sz w:val="20"/>
                <w:szCs w:val="20"/>
                <w:color w:val="auto"/>
              </w:rPr>
            </w:pPr>
            <w:r>
              <w:rPr>
                <w:rFonts w:ascii="Arial" w:cs="Arial" w:eastAsia="Arial" w:hAnsi="Arial"/>
                <w:sz w:val="12"/>
                <w:szCs w:val="12"/>
                <w:color w:val="auto"/>
              </w:rPr>
              <w:t>Rule 13a-14(a) Certification of Chief Financial Officer</w:t>
            </w:r>
          </w:p>
        </w:tc>
        <w:tc>
          <w:tcPr>
            <w:tcW w:w="2640" w:type="dxa"/>
            <w:vAlign w:val="bottom"/>
            <w:tcBorders>
              <w:top w:val="single" w:sz="8" w:color="D1D2D4"/>
            </w:tcBorders>
            <w:gridSpan w:val="3"/>
          </w:tcPr>
          <w:p>
            <w:pPr>
              <w:spacing w:after="0"/>
              <w:rPr>
                <w:sz w:val="10"/>
                <w:szCs w:val="10"/>
                <w:color w:val="auto"/>
              </w:rPr>
            </w:pPr>
          </w:p>
        </w:tc>
        <w:tc>
          <w:tcPr>
            <w:tcW w:w="1680" w:type="dxa"/>
            <w:vAlign w:val="bottom"/>
            <w:tcBorders>
              <w:top w:val="single" w:sz="8" w:color="D1D2D4"/>
            </w:tcBorders>
          </w:tcPr>
          <w:p>
            <w:pPr>
              <w:ind w:left="140"/>
              <w:spacing w:after="0" w:line="126" w:lineRule="exact"/>
              <w:rPr>
                <w:sz w:val="20"/>
                <w:szCs w:val="20"/>
                <w:color w:val="auto"/>
              </w:rPr>
            </w:pPr>
            <w:r>
              <w:rPr>
                <w:rFonts w:ascii="Arial" w:cs="Arial" w:eastAsia="Arial" w:hAnsi="Arial"/>
                <w:sz w:val="12"/>
                <w:szCs w:val="12"/>
                <w:color w:val="auto"/>
              </w:rPr>
              <w:t>X</w:t>
            </w:r>
          </w:p>
        </w:tc>
        <w:tc>
          <w:tcPr>
            <w:tcW w:w="1820" w:type="dxa"/>
            <w:vAlign w:val="bottom"/>
            <w:tcBorders>
              <w:top w:val="single" w:sz="8" w:color="D1D2D4"/>
            </w:tcBorders>
          </w:tcPr>
          <w:p>
            <w:pPr>
              <w:spacing w:after="0"/>
              <w:rPr>
                <w:sz w:val="10"/>
                <w:szCs w:val="10"/>
                <w:color w:val="auto"/>
              </w:rPr>
            </w:pPr>
          </w:p>
        </w:tc>
        <w:tc>
          <w:tcPr>
            <w:tcW w:w="440" w:type="dxa"/>
            <w:vAlign w:val="bottom"/>
            <w:tcBorders>
              <w:top w:val="single" w:sz="8" w:color="D1D2D4"/>
            </w:tcBorders>
          </w:tcPr>
          <w:p>
            <w:pPr>
              <w:spacing w:after="0"/>
              <w:rPr>
                <w:sz w:val="10"/>
                <w:szCs w:val="10"/>
                <w:color w:val="auto"/>
              </w:rPr>
            </w:pPr>
          </w:p>
        </w:tc>
        <w:tc>
          <w:tcPr>
            <w:tcW w:w="900" w:type="dxa"/>
            <w:vAlign w:val="bottom"/>
            <w:tcBorders>
              <w:top w:val="single" w:sz="8" w:color="D1D2D4"/>
            </w:tcBorders>
          </w:tcPr>
          <w:p>
            <w:pPr>
              <w:spacing w:after="0"/>
              <w:rPr>
                <w:sz w:val="10"/>
                <w:szCs w:val="10"/>
                <w:color w:val="auto"/>
              </w:rPr>
            </w:pPr>
          </w:p>
        </w:tc>
      </w:tr>
      <w:tr>
        <w:trPr>
          <w:trHeight w:val="27"/>
        </w:trPr>
        <w:tc>
          <w:tcPr>
            <w:tcW w:w="98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3"/>
        </w:trPr>
        <w:tc>
          <w:tcPr>
            <w:tcW w:w="980" w:type="dxa"/>
            <w:vAlign w:val="bottom"/>
            <w:tcBorders>
              <w:bottom w:val="single" w:sz="8" w:color="D1D2D4"/>
            </w:tcBorders>
            <w:shd w:val="clear" w:color="auto" w:fill="D1D2D4"/>
          </w:tcPr>
          <w:p>
            <w:pPr>
              <w:spacing w:after="0" w:line="126" w:lineRule="exact"/>
              <w:rPr>
                <w:sz w:val="20"/>
                <w:szCs w:val="20"/>
                <w:color w:val="auto"/>
              </w:rPr>
            </w:pPr>
            <w:r>
              <w:rPr>
                <w:rFonts w:ascii="Arial" w:cs="Arial" w:eastAsia="Arial" w:hAnsi="Arial"/>
                <w:sz w:val="12"/>
                <w:szCs w:val="12"/>
                <w:color w:val="auto"/>
              </w:rPr>
              <w:t>32.1</w:t>
            </w:r>
          </w:p>
        </w:tc>
        <w:tc>
          <w:tcPr>
            <w:tcW w:w="3520" w:type="dxa"/>
            <w:vAlign w:val="bottom"/>
            <w:tcBorders>
              <w:bottom w:val="single" w:sz="8" w:color="auto"/>
            </w:tcBorders>
            <w:gridSpan w:val="6"/>
            <w:shd w:val="clear" w:color="auto" w:fill="D1D2D4"/>
          </w:tcPr>
          <w:p>
            <w:pPr>
              <w:spacing w:after="0" w:line="126" w:lineRule="exact"/>
              <w:rPr>
                <w:sz w:val="20"/>
                <w:szCs w:val="20"/>
                <w:color w:val="auto"/>
              </w:rPr>
            </w:pPr>
            <w:r>
              <w:rPr>
                <w:rFonts w:ascii="Arial" w:cs="Arial" w:eastAsia="Arial" w:hAnsi="Arial"/>
                <w:sz w:val="12"/>
                <w:szCs w:val="12"/>
                <w:color w:val="auto"/>
                <w:w w:val="99"/>
              </w:rPr>
              <w:t>Certification of Chief Executive Officer Pursuant to 18 U.S.C. 1350</w:t>
            </w:r>
          </w:p>
        </w:tc>
        <w:tc>
          <w:tcPr>
            <w:tcW w:w="1960" w:type="dxa"/>
            <w:vAlign w:val="bottom"/>
            <w:tcBorders>
              <w:bottom w:val="single" w:sz="8" w:color="D1D2D4"/>
            </w:tcBorders>
            <w:shd w:val="clear" w:color="auto" w:fill="D1D2D4"/>
          </w:tcPr>
          <w:p>
            <w:pPr>
              <w:spacing w:after="0"/>
              <w:rPr>
                <w:sz w:val="11"/>
                <w:szCs w:val="11"/>
                <w:color w:val="auto"/>
              </w:rPr>
            </w:pPr>
          </w:p>
        </w:tc>
        <w:tc>
          <w:tcPr>
            <w:tcW w:w="1680" w:type="dxa"/>
            <w:vAlign w:val="bottom"/>
            <w:tcBorders>
              <w:bottom w:val="single" w:sz="8" w:color="D1D2D4"/>
            </w:tcBorders>
            <w:shd w:val="clear" w:color="auto" w:fill="D1D2D4"/>
          </w:tcPr>
          <w:p>
            <w:pPr>
              <w:ind w:left="140"/>
              <w:spacing w:after="0" w:line="126" w:lineRule="exact"/>
              <w:rPr>
                <w:sz w:val="20"/>
                <w:szCs w:val="20"/>
                <w:color w:val="auto"/>
              </w:rPr>
            </w:pPr>
            <w:r>
              <w:rPr>
                <w:rFonts w:ascii="Arial" w:cs="Arial" w:eastAsia="Arial" w:hAnsi="Arial"/>
                <w:sz w:val="12"/>
                <w:szCs w:val="12"/>
                <w:color w:val="auto"/>
              </w:rPr>
              <w:t>X</w:t>
            </w:r>
          </w:p>
        </w:tc>
        <w:tc>
          <w:tcPr>
            <w:tcW w:w="1820" w:type="dxa"/>
            <w:vAlign w:val="bottom"/>
            <w:tcBorders>
              <w:bottom w:val="single" w:sz="8" w:color="D1D2D4"/>
            </w:tcBorders>
            <w:shd w:val="clear" w:color="auto" w:fill="D1D2D4"/>
          </w:tcPr>
          <w:p>
            <w:pPr>
              <w:spacing w:after="0"/>
              <w:rPr>
                <w:sz w:val="11"/>
                <w:szCs w:val="11"/>
                <w:color w:val="auto"/>
              </w:rPr>
            </w:pPr>
          </w:p>
        </w:tc>
        <w:tc>
          <w:tcPr>
            <w:tcW w:w="440" w:type="dxa"/>
            <w:vAlign w:val="bottom"/>
            <w:tcBorders>
              <w:bottom w:val="single" w:sz="8" w:color="D1D2D4"/>
            </w:tcBorders>
            <w:shd w:val="clear" w:color="auto" w:fill="D1D2D4"/>
          </w:tcPr>
          <w:p>
            <w:pPr>
              <w:spacing w:after="0"/>
              <w:rPr>
                <w:sz w:val="11"/>
                <w:szCs w:val="11"/>
                <w:color w:val="auto"/>
              </w:rPr>
            </w:pPr>
          </w:p>
        </w:tc>
        <w:tc>
          <w:tcPr>
            <w:tcW w:w="900" w:type="dxa"/>
            <w:vAlign w:val="bottom"/>
            <w:tcBorders>
              <w:bottom w:val="single" w:sz="8" w:color="D1D2D4"/>
            </w:tcBorders>
            <w:shd w:val="clear" w:color="auto" w:fill="D1D2D4"/>
          </w:tcPr>
          <w:p>
            <w:pPr>
              <w:spacing w:after="0"/>
              <w:rPr>
                <w:sz w:val="11"/>
                <w:szCs w:val="11"/>
                <w:color w:val="auto"/>
              </w:rPr>
            </w:pPr>
          </w:p>
        </w:tc>
      </w:tr>
      <w:tr>
        <w:trPr>
          <w:trHeight w:val="133"/>
        </w:trPr>
        <w:tc>
          <w:tcPr>
            <w:tcW w:w="980" w:type="dxa"/>
            <w:vAlign w:val="bottom"/>
          </w:tcPr>
          <w:p>
            <w:pPr>
              <w:spacing w:after="0" w:line="126" w:lineRule="exact"/>
              <w:rPr>
                <w:sz w:val="20"/>
                <w:szCs w:val="20"/>
                <w:color w:val="auto"/>
              </w:rPr>
            </w:pPr>
            <w:r>
              <w:rPr>
                <w:rFonts w:ascii="Arial" w:cs="Arial" w:eastAsia="Arial" w:hAnsi="Arial"/>
                <w:sz w:val="12"/>
                <w:szCs w:val="12"/>
                <w:color w:val="auto"/>
              </w:rPr>
              <w:t>32.2</w:t>
            </w:r>
          </w:p>
        </w:tc>
        <w:tc>
          <w:tcPr>
            <w:tcW w:w="3480" w:type="dxa"/>
            <w:vAlign w:val="bottom"/>
            <w:tcBorders>
              <w:bottom w:val="single" w:sz="8" w:color="auto"/>
            </w:tcBorders>
            <w:gridSpan w:val="5"/>
          </w:tcPr>
          <w:p>
            <w:pPr>
              <w:spacing w:after="0" w:line="126" w:lineRule="exact"/>
              <w:rPr>
                <w:sz w:val="20"/>
                <w:szCs w:val="20"/>
                <w:color w:val="auto"/>
              </w:rPr>
            </w:pPr>
            <w:r>
              <w:rPr>
                <w:rFonts w:ascii="Arial" w:cs="Arial" w:eastAsia="Arial" w:hAnsi="Arial"/>
                <w:sz w:val="12"/>
                <w:szCs w:val="12"/>
                <w:color w:val="auto"/>
                <w:w w:val="99"/>
              </w:rPr>
              <w:t>Certification of Chief Financial Officer Pursuant to 18 U.S.C. 1350</w:t>
            </w:r>
          </w:p>
        </w:tc>
        <w:tc>
          <w:tcPr>
            <w:tcW w:w="2000" w:type="dxa"/>
            <w:vAlign w:val="bottom"/>
            <w:gridSpan w:val="2"/>
          </w:tcPr>
          <w:p>
            <w:pPr>
              <w:spacing w:after="0"/>
              <w:rPr>
                <w:sz w:val="11"/>
                <w:szCs w:val="11"/>
                <w:color w:val="auto"/>
              </w:rPr>
            </w:pPr>
          </w:p>
        </w:tc>
        <w:tc>
          <w:tcPr>
            <w:tcW w:w="1680" w:type="dxa"/>
            <w:vAlign w:val="bottom"/>
          </w:tcPr>
          <w:p>
            <w:pPr>
              <w:ind w:left="140"/>
              <w:spacing w:after="0" w:line="126" w:lineRule="exact"/>
              <w:rPr>
                <w:sz w:val="20"/>
                <w:szCs w:val="20"/>
                <w:color w:val="auto"/>
              </w:rPr>
            </w:pPr>
            <w:r>
              <w:rPr>
                <w:rFonts w:ascii="Arial" w:cs="Arial" w:eastAsia="Arial" w:hAnsi="Arial"/>
                <w:sz w:val="12"/>
                <w:szCs w:val="12"/>
                <w:color w:val="auto"/>
              </w:rPr>
              <w:t>X</w:t>
            </w: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2"/>
        </w:trPr>
        <w:tc>
          <w:tcPr>
            <w:tcW w:w="980" w:type="dxa"/>
            <w:vAlign w:val="bottom"/>
            <w:shd w:val="clear" w:color="auto" w:fill="D1D2D4"/>
          </w:tcPr>
          <w:p>
            <w:pPr>
              <w:spacing w:after="0" w:line="122" w:lineRule="exact"/>
              <w:rPr>
                <w:sz w:val="20"/>
                <w:szCs w:val="20"/>
                <w:color w:val="auto"/>
              </w:rPr>
            </w:pPr>
            <w:r>
              <w:rPr>
                <w:rFonts w:ascii="Arial" w:cs="Arial" w:eastAsia="Arial" w:hAnsi="Arial"/>
                <w:sz w:val="12"/>
                <w:szCs w:val="12"/>
                <w:color w:val="auto"/>
              </w:rPr>
              <w:t>101.INS</w:t>
            </w:r>
          </w:p>
        </w:tc>
        <w:tc>
          <w:tcPr>
            <w:tcW w:w="5480" w:type="dxa"/>
            <w:vAlign w:val="bottom"/>
            <w:gridSpan w:val="7"/>
            <w:shd w:val="clear" w:color="auto" w:fill="D1D2D4"/>
          </w:tcPr>
          <w:p>
            <w:pPr>
              <w:spacing w:after="0" w:line="122" w:lineRule="exact"/>
              <w:rPr>
                <w:sz w:val="20"/>
                <w:szCs w:val="20"/>
                <w:color w:val="auto"/>
              </w:rPr>
            </w:pPr>
            <w:r>
              <w:rPr>
                <w:rFonts w:ascii="Arial" w:cs="Arial" w:eastAsia="Arial" w:hAnsi="Arial"/>
                <w:sz w:val="12"/>
                <w:szCs w:val="12"/>
                <w:color w:val="auto"/>
              </w:rPr>
              <w:t>Inline XBRL Instance Document - the instance document does not appear in the Interactive Data File</w:t>
            </w:r>
          </w:p>
        </w:tc>
        <w:tc>
          <w:tcPr>
            <w:tcW w:w="1680" w:type="dxa"/>
            <w:vAlign w:val="bottom"/>
            <w:shd w:val="clear" w:color="auto" w:fill="D1D2D4"/>
          </w:tcPr>
          <w:p>
            <w:pPr>
              <w:ind w:left="140"/>
              <w:spacing w:after="0" w:line="122" w:lineRule="exact"/>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0"/>
                <w:szCs w:val="10"/>
                <w:color w:val="auto"/>
              </w:rPr>
            </w:pPr>
          </w:p>
        </w:tc>
        <w:tc>
          <w:tcPr>
            <w:tcW w:w="44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r>
      <w:tr>
        <w:trPr>
          <w:trHeight w:val="157"/>
        </w:trPr>
        <w:tc>
          <w:tcPr>
            <w:tcW w:w="980" w:type="dxa"/>
            <w:vAlign w:val="bottom"/>
            <w:shd w:val="clear" w:color="auto" w:fill="D1D2D4"/>
          </w:tcPr>
          <w:p>
            <w:pPr>
              <w:spacing w:after="0"/>
              <w:rPr>
                <w:sz w:val="13"/>
                <w:szCs w:val="13"/>
                <w:color w:val="auto"/>
              </w:rPr>
            </w:pPr>
          </w:p>
        </w:tc>
        <w:tc>
          <w:tcPr>
            <w:tcW w:w="5480" w:type="dxa"/>
            <w:vAlign w:val="bottom"/>
            <w:gridSpan w:val="7"/>
            <w:shd w:val="clear" w:color="auto" w:fill="D1D2D4"/>
          </w:tcPr>
          <w:p>
            <w:pPr>
              <w:spacing w:after="0"/>
              <w:rPr>
                <w:sz w:val="20"/>
                <w:szCs w:val="20"/>
                <w:color w:val="auto"/>
              </w:rPr>
            </w:pPr>
            <w:r>
              <w:rPr>
                <w:rFonts w:ascii="Arial" w:cs="Arial" w:eastAsia="Arial" w:hAnsi="Arial"/>
                <w:sz w:val="12"/>
                <w:szCs w:val="12"/>
                <w:color w:val="auto"/>
              </w:rPr>
              <w:t>because its XBRL tags are embedded within the Inline XBRL document</w:t>
            </w:r>
          </w:p>
        </w:tc>
        <w:tc>
          <w:tcPr>
            <w:tcW w:w="1680" w:type="dxa"/>
            <w:vAlign w:val="bottom"/>
            <w:shd w:val="clear" w:color="auto" w:fill="D1D2D4"/>
          </w:tcPr>
          <w:p>
            <w:pPr>
              <w:spacing w:after="0"/>
              <w:rPr>
                <w:sz w:val="13"/>
                <w:szCs w:val="13"/>
                <w:color w:val="auto"/>
              </w:rPr>
            </w:pP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101.SCH</w:t>
            </w:r>
          </w:p>
        </w:tc>
        <w:tc>
          <w:tcPr>
            <w:tcW w:w="5480" w:type="dxa"/>
            <w:vAlign w:val="bottom"/>
            <w:gridSpan w:val="7"/>
          </w:tcPr>
          <w:p>
            <w:pPr>
              <w:spacing w:after="0"/>
              <w:rPr>
                <w:sz w:val="20"/>
                <w:szCs w:val="20"/>
                <w:color w:val="auto"/>
              </w:rPr>
            </w:pPr>
            <w:r>
              <w:rPr>
                <w:rFonts w:ascii="Arial" w:cs="Arial" w:eastAsia="Arial" w:hAnsi="Arial"/>
                <w:sz w:val="12"/>
                <w:szCs w:val="12"/>
                <w:color w:val="auto"/>
              </w:rPr>
              <w:t>Inline XBRL Taxonomy Extension Schema Document</w:t>
            </w:r>
          </w:p>
        </w:tc>
        <w:tc>
          <w:tcPr>
            <w:tcW w:w="1680" w:type="dxa"/>
            <w:vAlign w:val="bottom"/>
          </w:tcPr>
          <w:p>
            <w:pPr>
              <w:ind w:left="140"/>
              <w:spacing w:after="0"/>
              <w:rPr>
                <w:sz w:val="20"/>
                <w:szCs w:val="20"/>
                <w:color w:val="auto"/>
              </w:rPr>
            </w:pPr>
            <w:r>
              <w:rPr>
                <w:rFonts w:ascii="Arial" w:cs="Arial" w:eastAsia="Arial" w:hAnsi="Arial"/>
                <w:sz w:val="12"/>
                <w:szCs w:val="12"/>
                <w:color w:val="auto"/>
              </w:rPr>
              <w:t>X</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980" w:type="dxa"/>
            <w:vAlign w:val="bottom"/>
            <w:shd w:val="clear" w:color="auto" w:fill="D1D2D4"/>
          </w:tcPr>
          <w:p>
            <w:pPr>
              <w:spacing w:after="0"/>
              <w:rPr>
                <w:sz w:val="20"/>
                <w:szCs w:val="20"/>
                <w:color w:val="auto"/>
              </w:rPr>
            </w:pPr>
            <w:r>
              <w:rPr>
                <w:rFonts w:ascii="Arial" w:cs="Arial" w:eastAsia="Arial" w:hAnsi="Arial"/>
                <w:sz w:val="12"/>
                <w:szCs w:val="12"/>
                <w:color w:val="auto"/>
              </w:rPr>
              <w:t>101.CAL</w:t>
            </w:r>
          </w:p>
        </w:tc>
        <w:tc>
          <w:tcPr>
            <w:tcW w:w="5480" w:type="dxa"/>
            <w:vAlign w:val="bottom"/>
            <w:gridSpan w:val="7"/>
            <w:shd w:val="clear" w:color="auto" w:fill="D1D2D4"/>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16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101.DEF</w:t>
            </w:r>
          </w:p>
        </w:tc>
        <w:tc>
          <w:tcPr>
            <w:tcW w:w="5480" w:type="dxa"/>
            <w:vAlign w:val="bottom"/>
            <w:gridSpan w:val="7"/>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1680" w:type="dxa"/>
            <w:vAlign w:val="bottom"/>
          </w:tcPr>
          <w:p>
            <w:pPr>
              <w:ind w:left="140"/>
              <w:spacing w:after="0"/>
              <w:rPr>
                <w:sz w:val="20"/>
                <w:szCs w:val="20"/>
                <w:color w:val="auto"/>
              </w:rPr>
            </w:pPr>
            <w:r>
              <w:rPr>
                <w:rFonts w:ascii="Arial" w:cs="Arial" w:eastAsia="Arial" w:hAnsi="Arial"/>
                <w:sz w:val="12"/>
                <w:szCs w:val="12"/>
                <w:color w:val="auto"/>
              </w:rPr>
              <w:t>X</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980" w:type="dxa"/>
            <w:vAlign w:val="bottom"/>
            <w:shd w:val="clear" w:color="auto" w:fill="D1D2D4"/>
          </w:tcPr>
          <w:p>
            <w:pPr>
              <w:spacing w:after="0"/>
              <w:rPr>
                <w:sz w:val="20"/>
                <w:szCs w:val="20"/>
                <w:color w:val="auto"/>
              </w:rPr>
            </w:pPr>
            <w:r>
              <w:rPr>
                <w:rFonts w:ascii="Arial" w:cs="Arial" w:eastAsia="Arial" w:hAnsi="Arial"/>
                <w:sz w:val="12"/>
                <w:szCs w:val="12"/>
                <w:color w:val="auto"/>
              </w:rPr>
              <w:t>101.LAB</w:t>
            </w:r>
          </w:p>
        </w:tc>
        <w:tc>
          <w:tcPr>
            <w:tcW w:w="5480" w:type="dxa"/>
            <w:vAlign w:val="bottom"/>
            <w:gridSpan w:val="7"/>
            <w:shd w:val="clear" w:color="auto" w:fill="D1D2D4"/>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16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101.PRE</w:t>
            </w:r>
          </w:p>
        </w:tc>
        <w:tc>
          <w:tcPr>
            <w:tcW w:w="5480" w:type="dxa"/>
            <w:vAlign w:val="bottom"/>
            <w:gridSpan w:val="7"/>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1680" w:type="dxa"/>
            <w:vAlign w:val="bottom"/>
          </w:tcPr>
          <w:p>
            <w:pPr>
              <w:ind w:left="140"/>
              <w:spacing w:after="0"/>
              <w:rPr>
                <w:sz w:val="20"/>
                <w:szCs w:val="20"/>
                <w:color w:val="auto"/>
              </w:rPr>
            </w:pPr>
            <w:r>
              <w:rPr>
                <w:rFonts w:ascii="Arial" w:cs="Arial" w:eastAsia="Arial" w:hAnsi="Arial"/>
                <w:sz w:val="12"/>
                <w:szCs w:val="12"/>
                <w:color w:val="auto"/>
              </w:rPr>
              <w:t>X</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980" w:type="dxa"/>
            <w:vAlign w:val="bottom"/>
            <w:shd w:val="clear" w:color="auto" w:fill="D1D2D4"/>
          </w:tcPr>
          <w:p>
            <w:pPr>
              <w:spacing w:after="0"/>
              <w:rPr>
                <w:sz w:val="20"/>
                <w:szCs w:val="20"/>
                <w:color w:val="auto"/>
              </w:rPr>
            </w:pPr>
            <w:r>
              <w:rPr>
                <w:rFonts w:ascii="Arial" w:cs="Arial" w:eastAsia="Arial" w:hAnsi="Arial"/>
                <w:sz w:val="12"/>
                <w:szCs w:val="12"/>
                <w:color w:val="auto"/>
              </w:rPr>
              <w:t>104</w:t>
            </w:r>
          </w:p>
        </w:tc>
        <w:tc>
          <w:tcPr>
            <w:tcW w:w="5480" w:type="dxa"/>
            <w:vAlign w:val="bottom"/>
            <w:gridSpan w:val="7"/>
            <w:shd w:val="clear" w:color="auto" w:fill="D1D2D4"/>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1680" w:type="dxa"/>
            <w:vAlign w:val="bottom"/>
            <w:shd w:val="clear" w:color="auto" w:fill="D1D2D4"/>
          </w:tcPr>
          <w:p>
            <w:pPr>
              <w:ind w:left="140"/>
              <w:spacing w:after="0"/>
              <w:rPr>
                <w:sz w:val="20"/>
                <w:szCs w:val="20"/>
                <w:color w:val="auto"/>
              </w:rPr>
            </w:pPr>
            <w:r>
              <w:rPr>
                <w:rFonts w:ascii="Arial" w:cs="Arial" w:eastAsia="Arial" w:hAnsi="Arial"/>
                <w:sz w:val="12"/>
                <w:szCs w:val="12"/>
                <w:color w:val="auto"/>
              </w:rPr>
              <w:t>X</w:t>
            </w:r>
          </w:p>
        </w:tc>
        <w:tc>
          <w:tcPr>
            <w:tcW w:w="1820" w:type="dxa"/>
            <w:vAlign w:val="bottom"/>
            <w:shd w:val="clear" w:color="auto" w:fill="D1D2D4"/>
          </w:tcPr>
          <w:p>
            <w:pPr>
              <w:spacing w:after="0"/>
              <w:rPr>
                <w:sz w:val="13"/>
                <w:szCs w:val="13"/>
                <w:color w:val="auto"/>
              </w:rPr>
            </w:pPr>
          </w:p>
        </w:tc>
        <w:tc>
          <w:tcPr>
            <w:tcW w:w="440" w:type="dxa"/>
            <w:vAlign w:val="bottom"/>
            <w:shd w:val="clear" w:color="auto" w:fill="D1D2D4"/>
          </w:tcPr>
          <w:p>
            <w:pPr>
              <w:spacing w:after="0"/>
              <w:rPr>
                <w:sz w:val="13"/>
                <w:szCs w:val="13"/>
                <w:color w:val="auto"/>
              </w:rPr>
            </w:pPr>
          </w:p>
        </w:tc>
        <w:tc>
          <w:tcPr>
            <w:tcW w:w="900" w:type="dxa"/>
            <w:vAlign w:val="bottom"/>
            <w:shd w:val="clear" w:color="auto" w:fill="D1D2D4"/>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055" cy="12001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440055" cy="120015"/>
                    </a:xfrm>
                    <a:prstGeom prst="rect">
                      <a:avLst/>
                    </a:prstGeom>
                    <a:noFill/>
                    <a:ln>
                      <a:noFill/>
                    </a:ln>
                  </pic:spPr>
                </pic:pic>
              </a:graphicData>
            </a:graphic>
          </wp:inline>
        </w:drawing>
      </w:r>
      <w:r>
        <w:rPr>
          <w:rFonts w:ascii="Arial" w:cs="Arial" w:eastAsia="Arial" w:hAnsi="Arial"/>
          <w:sz w:val="11"/>
          <w:szCs w:val="11"/>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58420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11"/>
          <w:szCs w:val="11"/>
          <w:b w:val="1"/>
          <w:bCs w:val="1"/>
          <w:u w:val="single" w:color="auto"/>
          <w:color w:val="BD03F7"/>
        </w:rPr>
        <w:t>Table of Contents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361759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617595" cy="5715"/>
                    </a:xfrm>
                    <a:prstGeom prst="rect">
                      <a:avLst/>
                    </a:prstGeom>
                    <a:noFill/>
                  </pic:spPr>
                </pic:pic>
              </a:graphicData>
            </a:graphic>
          </wp:anchor>
        </w:drawing>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2"/>
          <w:szCs w:val="12"/>
          <w:color w:val="auto"/>
        </w:rPr>
        <w:t>(Registrant)</w:t>
      </w:r>
    </w:p>
    <w:p>
      <w:pPr>
        <w:spacing w:after="0" w:line="357" w:lineRule="exact"/>
        <w:rPr>
          <w:sz w:val="20"/>
          <w:szCs w:val="20"/>
          <w:color w:val="auto"/>
        </w:rPr>
      </w:pPr>
    </w:p>
    <w:p>
      <w:pPr>
        <w:spacing w:after="0"/>
        <w:tabs>
          <w:tab w:leader="none" w:pos="780" w:val="left"/>
          <w:tab w:leader="none" w:pos="5140" w:val="left"/>
          <w:tab w:leader="none" w:pos="56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June 27, 2024</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361759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617595" cy="5715"/>
                    </a:xfrm>
                    <a:prstGeom prst="rect">
                      <a:avLst/>
                    </a:prstGeom>
                    <a:noFill/>
                  </pic:spPr>
                </pic:pic>
              </a:graphicData>
            </a:graphic>
          </wp:anchor>
        </w:drawing>
      </w:r>
    </w:p>
    <w:p>
      <w:pPr>
        <w:spacing w:after="0" w:line="4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Mark Murphy</w:t>
      </w:r>
    </w:p>
    <w:p>
      <w:pPr>
        <w:spacing w:after="0" w:line="5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Executive Vice President and Chief Financial Officer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Financial Officer)</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2"/>
          <w:szCs w:val="12"/>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10795</wp:posOffset>
            </wp:positionV>
            <wp:extent cx="361759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617595" cy="571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Scott Allen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Corporate Vice President and Chief Accounting Officer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61 | 2024 Q3 10-Q</w:t>
      </w:r>
    </w:p>
    <w:p>
      <w:pPr>
        <w:sectPr>
          <w:pgSz w:w="11900" w:h="16838" w:orient="portrait"/>
          <w:cols w:equalWidth="0" w:num="1">
            <w:col w:w="11300"/>
          </w:cols>
          <w:pgMar w:left="300" w:top="131"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auto"/>
        </w:rPr>
        <w:t>EXHIBIT 31.1</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RULE 13a-14(a) CERTIFICATION OF</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CHIEF EXECUTIVE OFFICER</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Sanjay Mehrotra, certify that:</w:t>
      </w:r>
    </w:p>
    <w:p>
      <w:pPr>
        <w:spacing w:after="0" w:line="114"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Micron Technology, Inc.;</w:t>
      </w:r>
    </w:p>
    <w:p>
      <w:pPr>
        <w:spacing w:after="0" w:line="114" w:lineRule="exact"/>
        <w:rPr>
          <w:rFonts w:ascii="Arial" w:cs="Arial" w:eastAsia="Arial" w:hAnsi="Arial"/>
          <w:sz w:val="12"/>
          <w:szCs w:val="12"/>
          <w:color w:val="auto"/>
        </w:rPr>
      </w:pPr>
    </w:p>
    <w:p>
      <w:pPr>
        <w:ind w:left="208" w:right="16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2"/>
          <w:szCs w:val="12"/>
          <w:color w:val="auto"/>
        </w:rPr>
      </w:pPr>
    </w:p>
    <w:p>
      <w:pPr>
        <w:ind w:left="208" w:right="12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2"/>
          <w:szCs w:val="12"/>
          <w:color w:val="auto"/>
        </w:rPr>
      </w:pPr>
    </w:p>
    <w:p>
      <w:pPr>
        <w:ind w:left="208" w:right="28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2"/>
          <w:szCs w:val="12"/>
          <w:color w:val="auto"/>
        </w:rPr>
      </w:pPr>
    </w:p>
    <w:p>
      <w:pPr>
        <w:ind w:left="428" w:right="2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2"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2"/>
          <w:szCs w:val="12"/>
          <w:color w:val="auto"/>
        </w:rPr>
      </w:pPr>
    </w:p>
    <w:p>
      <w:pPr>
        <w:ind w:left="428" w:right="4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208" w:right="540" w:hanging="208"/>
        <w:spacing w:after="0" w:line="286" w:lineRule="auto"/>
        <w:tabs>
          <w:tab w:leader="none" w:pos="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428" w:right="380" w:hanging="212"/>
        <w:spacing w:after="0" w:line="286" w:lineRule="auto"/>
        <w:tabs>
          <w:tab w:leader="none" w:pos="420" w:val="left"/>
        </w:tabs>
        <w:numPr>
          <w:ilvl w:val="1"/>
          <w:numId w:val="3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2"/>
          <w:szCs w:val="12"/>
          <w:color w:val="auto"/>
        </w:rPr>
      </w:pPr>
    </w:p>
    <w:p>
      <w:pPr>
        <w:ind w:left="428" w:hanging="212"/>
        <w:spacing w:after="0"/>
        <w:tabs>
          <w:tab w:leader="none" w:pos="428" w:val="left"/>
        </w:tabs>
        <w:numPr>
          <w:ilvl w:val="1"/>
          <w:numId w:val="3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468"/>
        <w:spacing w:after="0"/>
        <w:tabs>
          <w:tab w:leader="none" w:pos="1188" w:val="left"/>
          <w:tab w:leader="none" w:pos="556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June 27, 2024</w:t>
      </w:r>
      <w:r>
        <w:rPr>
          <w:sz w:val="20"/>
          <w:szCs w:val="20"/>
          <w:color w:val="auto"/>
        </w:rPr>
        <w:tab/>
      </w:r>
      <w:r>
        <w:rPr>
          <w:rFonts w:ascii="Arial" w:cs="Arial" w:eastAsia="Arial" w:hAnsi="Arial"/>
          <w:sz w:val="11"/>
          <w:szCs w:val="1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12065</wp:posOffset>
            </wp:positionV>
            <wp:extent cx="33489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spacing w:after="0" w:line="31"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Sanjay Mehrotra</w:t>
      </w:r>
    </w:p>
    <w:p>
      <w:pPr>
        <w:ind w:left="5588"/>
        <w:spacing w:after="0"/>
        <w:rPr>
          <w:sz w:val="20"/>
          <w:szCs w:val="20"/>
          <w:color w:val="auto"/>
        </w:rPr>
      </w:pPr>
      <w:r>
        <w:rPr>
          <w:rFonts w:ascii="Arial" w:cs="Arial" w:eastAsia="Arial" w:hAnsi="Arial"/>
          <w:sz w:val="12"/>
          <w:szCs w:val="12"/>
          <w:color w:val="auto"/>
        </w:rPr>
        <w:t>President and Chief Executive Officer and Director</w:t>
      </w:r>
    </w:p>
    <w:p>
      <w:pPr>
        <w:sectPr>
          <w:pgSz w:w="11900" w:h="16838" w:orient="portrait"/>
          <w:cols w:equalWidth="0" w:num="1">
            <w:col w:w="11308"/>
          </w:cols>
          <w:pgMar w:left="292" w:top="706"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b w:val="1"/>
          <w:bCs w:val="1"/>
          <w:color w:val="auto"/>
        </w:rPr>
        <w:t>EXHIBIT 31.2</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RULE 13a-14(a) CERTIFICATION OF</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CHIEF FINANCIAL OFFICER</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Mark Murphy, certify that:</w:t>
      </w:r>
    </w:p>
    <w:p>
      <w:pPr>
        <w:spacing w:after="0" w:line="114"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Micron Technology, Inc.;</w:t>
      </w:r>
    </w:p>
    <w:p>
      <w:pPr>
        <w:spacing w:after="0" w:line="114" w:lineRule="exact"/>
        <w:rPr>
          <w:rFonts w:ascii="Arial" w:cs="Arial" w:eastAsia="Arial" w:hAnsi="Arial"/>
          <w:sz w:val="12"/>
          <w:szCs w:val="12"/>
          <w:color w:val="auto"/>
        </w:rPr>
      </w:pPr>
    </w:p>
    <w:p>
      <w:pPr>
        <w:ind w:left="208" w:right="16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2"/>
          <w:szCs w:val="12"/>
          <w:color w:val="auto"/>
        </w:rPr>
      </w:pPr>
    </w:p>
    <w:p>
      <w:pPr>
        <w:ind w:left="208" w:right="12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2"/>
          <w:szCs w:val="12"/>
          <w:color w:val="auto"/>
        </w:rPr>
      </w:pPr>
    </w:p>
    <w:p>
      <w:pPr>
        <w:ind w:left="208" w:right="28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2"/>
          <w:szCs w:val="12"/>
          <w:color w:val="auto"/>
        </w:rPr>
      </w:pPr>
    </w:p>
    <w:p>
      <w:pPr>
        <w:ind w:left="428" w:right="2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2"/>
          <w:szCs w:val="12"/>
          <w:color w:val="auto"/>
        </w:rPr>
      </w:pPr>
    </w:p>
    <w:p>
      <w:pPr>
        <w:ind w:left="428" w:right="200" w:hanging="212"/>
        <w:spacing w:after="0" w:line="286" w:lineRule="auto"/>
        <w:tabs>
          <w:tab w:leader="none" w:pos="422"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2"/>
          <w:szCs w:val="12"/>
          <w:color w:val="auto"/>
        </w:rPr>
      </w:pPr>
    </w:p>
    <w:p>
      <w:pPr>
        <w:ind w:left="428" w:right="4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208" w:right="540" w:hanging="208"/>
        <w:spacing w:after="0" w:line="286"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428" w:right="380" w:hanging="212"/>
        <w:spacing w:after="0" w:line="286" w:lineRule="auto"/>
        <w:tabs>
          <w:tab w:leader="none" w:pos="42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2"/>
          <w:szCs w:val="12"/>
          <w:color w:val="auto"/>
        </w:rPr>
      </w:pPr>
    </w:p>
    <w:p>
      <w:pPr>
        <w:ind w:left="428" w:hanging="212"/>
        <w:spacing w:after="0"/>
        <w:tabs>
          <w:tab w:leader="none" w:pos="428"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28"/>
        <w:spacing w:after="0"/>
        <w:tabs>
          <w:tab w:leader="none" w:pos="668" w:val="left"/>
          <w:tab w:leader="none" w:pos="5648"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June 27, 2024</w:t>
      </w:r>
      <w:r>
        <w:rPr>
          <w:sz w:val="20"/>
          <w:szCs w:val="20"/>
          <w:color w:val="auto"/>
        </w:rPr>
        <w:tab/>
      </w:r>
      <w:r>
        <w:rPr>
          <w:rFonts w:ascii="Arial" w:cs="Arial" w:eastAsia="Arial" w:hAnsi="Arial"/>
          <w:sz w:val="11"/>
          <w:szCs w:val="1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12065</wp:posOffset>
            </wp:positionV>
            <wp:extent cx="35775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0" w:lineRule="exact"/>
        <w:rPr>
          <w:sz w:val="20"/>
          <w:szCs w:val="20"/>
          <w:color w:val="auto"/>
        </w:rPr>
      </w:pPr>
    </w:p>
    <w:p>
      <w:pPr>
        <w:ind w:left="5668"/>
        <w:spacing w:after="0"/>
        <w:rPr>
          <w:sz w:val="20"/>
          <w:szCs w:val="20"/>
          <w:color w:val="auto"/>
        </w:rPr>
      </w:pPr>
      <w:r>
        <w:rPr>
          <w:rFonts w:ascii="Arial" w:cs="Arial" w:eastAsia="Arial" w:hAnsi="Arial"/>
          <w:sz w:val="12"/>
          <w:szCs w:val="12"/>
          <w:color w:val="auto"/>
        </w:rPr>
        <w:t>Mark Murphy</w:t>
      </w:r>
    </w:p>
    <w:p>
      <w:pPr>
        <w:spacing w:after="0" w:line="21" w:lineRule="exact"/>
        <w:rPr>
          <w:sz w:val="20"/>
          <w:szCs w:val="20"/>
          <w:color w:val="auto"/>
        </w:rPr>
      </w:pPr>
    </w:p>
    <w:p>
      <w:pPr>
        <w:ind w:left="5668"/>
        <w:spacing w:after="0"/>
        <w:rPr>
          <w:sz w:val="20"/>
          <w:szCs w:val="20"/>
          <w:color w:val="auto"/>
        </w:rPr>
      </w:pPr>
      <w:r>
        <w:rPr>
          <w:rFonts w:ascii="Arial" w:cs="Arial" w:eastAsia="Arial" w:hAnsi="Arial"/>
          <w:sz w:val="12"/>
          <w:szCs w:val="12"/>
          <w:color w:val="auto"/>
        </w:rPr>
        <w:t>Executive Vice President and Chief Financial Officer</w:t>
      </w:r>
    </w:p>
    <w:p>
      <w:pPr>
        <w:sectPr>
          <w:pgSz w:w="11900" w:h="16838" w:orient="portrait"/>
          <w:cols w:equalWidth="0" w:num="1">
            <w:col w:w="11308"/>
          </w:cols>
          <w:pgMar w:left="292" w:top="706"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auto"/>
        </w:rPr>
        <w:t>EXHIBIT 32.1</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18 U.S.C. 1350</w:t>
      </w:r>
    </w:p>
    <w:p>
      <w:pPr>
        <w:spacing w:after="0" w:line="11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 Sanjay Mehrotra, certify, pursuant to 18 U.S.C. 1350, as adopted pursuant to Section 906 of the Sarbanes-Oxley Act of 2002, that the Quarterly Report of Micron Technology, Inc. on Form 10-Q for the period ended May 30, 2024,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05" w:lineRule="exact"/>
        <w:rPr>
          <w:sz w:val="20"/>
          <w:szCs w:val="20"/>
          <w:color w:val="auto"/>
        </w:rPr>
      </w:pPr>
    </w:p>
    <w:p>
      <w:pPr>
        <w:spacing w:after="0"/>
        <w:tabs>
          <w:tab w:leader="none" w:pos="640" w:val="left"/>
          <w:tab w:leader="none" w:pos="55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June 27, 2024</w:t>
      </w:r>
      <w:r>
        <w:rPr>
          <w:sz w:val="20"/>
          <w:szCs w:val="20"/>
          <w:color w:val="auto"/>
        </w:rPr>
        <w:tab/>
      </w:r>
      <w:r>
        <w:rPr>
          <w:rFonts w:ascii="Arial" w:cs="Arial" w:eastAsia="Arial" w:hAnsi="Arial"/>
          <w:sz w:val="11"/>
          <w:szCs w:val="1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12065</wp:posOffset>
            </wp:positionV>
            <wp:extent cx="35775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0"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Sanjay Mehrotra</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President and Chief Executive Officer and Director</w:t>
      </w:r>
    </w:p>
    <w:p>
      <w:pPr>
        <w:sectPr>
          <w:pgSz w:w="11900" w:h="16838" w:orient="portrait"/>
          <w:cols w:equalWidth="0" w:num="1">
            <w:col w:w="11300"/>
          </w:cols>
          <w:pgMar w:left="300" w:top="706"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b w:val="1"/>
          <w:bCs w:val="1"/>
          <w:color w:val="auto"/>
        </w:rPr>
        <w:t>EXHIBIT 32.2</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18 U.S.C. 1350</w:t>
      </w:r>
    </w:p>
    <w:p>
      <w:pPr>
        <w:spacing w:after="0" w:line="110"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I, Mark Murphy, certify, pursuant to 18 U.S.C. 1350, as adopted pursuant to Section 906 of the Sarbanes-Oxley Act of 2002, that the Quarterly Report of Micron Technology, Inc. on Form 10-Q for the period ended May 30, 2024,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05" w:lineRule="exact"/>
        <w:rPr>
          <w:sz w:val="20"/>
          <w:szCs w:val="20"/>
          <w:color w:val="auto"/>
        </w:rPr>
      </w:pPr>
    </w:p>
    <w:p>
      <w:pPr>
        <w:spacing w:after="0"/>
        <w:tabs>
          <w:tab w:leader="none" w:pos="660" w:val="left"/>
          <w:tab w:leader="none" w:pos="56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June 27, 2024</w:t>
      </w:r>
      <w:r>
        <w:rPr>
          <w:sz w:val="20"/>
          <w:szCs w:val="20"/>
          <w:color w:val="auto"/>
        </w:rPr>
        <w:tab/>
      </w:r>
      <w:r>
        <w:rPr>
          <w:rFonts w:ascii="Arial" w:cs="Arial" w:eastAsia="Arial" w:hAnsi="Arial"/>
          <w:sz w:val="11"/>
          <w:szCs w:val="1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12065</wp:posOffset>
            </wp:positionV>
            <wp:extent cx="35775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Mark Murphy</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Executive Vice President and Chief Financial Officer</w:t>
      </w:r>
    </w:p>
    <w:sectPr>
      <w:pgSz w:w="11900" w:h="16838" w:orient="portrait"/>
      <w:cols w:equalWidth="0" w:num="1">
        <w:col w:w="11300"/>
      </w:cols>
      <w:pgMar w:left="300" w:top="70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16" Type="http://schemas.openxmlformats.org/officeDocument/2006/relationships/hyperlink" Target="https://www.sec.gov/Archives/edgar/data/723125/000110465915004447/a15-3005_2ex99d2.htm" TargetMode="External"/><Relationship Id="rId117" Type="http://schemas.openxmlformats.org/officeDocument/2006/relationships/hyperlink" Target="https://www.sec.gov/Archives/edgar/data/723125/000110465924033011/tm248305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2024-06-27T12:27:39Z</dcterms:created>
  <dcterms:modified xsi:type="dcterms:W3CDTF">2024-06-27T12:27:39Z</dcterms:modified>
</cp:coreProperties>
</file>