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595112103</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59133763</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59133763</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59133763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5.94%</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 PO Box 6</w:t>
      </w:r>
    </w:p>
    <w:p>
      <w:pPr>
        <w:spacing w:after="0" w:line="238" w:lineRule="auto"/>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59133763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59133763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59133763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one person's interest in the common stock of</w:t>
      </w:r>
    </w:p>
    <w:p>
      <w:pPr>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750" w:right="1440" w:bottom="537"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38" w:lineRule="auto"/>
        <w:rPr>
          <w:sz w:val="20"/>
          <w:szCs w:val="20"/>
          <w:color w:val="auto"/>
        </w:rPr>
      </w:pPr>
      <w:r>
        <w:rPr>
          <w:rFonts w:ascii="Courier New" w:cs="Courier New" w:eastAsia="Courier New" w:hAnsi="Courier New"/>
          <w:sz w:val="18"/>
          <w:szCs w:val="18"/>
          <w:color w:val="auto"/>
        </w:rPr>
        <w:t>State Street Research &amp; Management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7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2019-12-10T06:26:55Z</dcterms:created>
  <dcterms:modified xsi:type="dcterms:W3CDTF">2019-12-10T06:26:55Z</dcterms:modified>
</cp:coreProperties>
</file>