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6993890" cy="5513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 w:right="640" w:hanging="9"/>
        <w:spacing w:after="0" w:line="23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8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60" w:space="571"/>
            <w:col w:w="334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9,036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3,821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-2792730</wp:posOffset>
            </wp:positionV>
            <wp:extent cx="29210" cy="2797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9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6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January 4, 2022),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301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January 4, 2022), and certification of such performance by the Compensation Committee.</w:t>
      </w:r>
    </w:p>
    <w:p>
      <w:pPr>
        <w:ind w:left="40" w:right="200" w:firstLine="2"/>
        <w:spacing w:after="0" w:line="26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January 4, 2022), and certification of such performance by the Compensation Committee.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01/06/2022</w:t>
            </w:r>
          </w:p>
        </w:tc>
      </w:tr>
      <w:tr>
        <w:trPr>
          <w:trHeight w:val="224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2022-01-06T17:26:04Z</dcterms:created>
  <dcterms:modified xsi:type="dcterms:W3CDTF">2022-01-06T17:26:04Z</dcterms:modified>
</cp:coreProperties>
</file>