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311150</wp:posOffset>
            </wp:positionH>
            <wp:positionV relativeFrom="page">
              <wp:posOffset>680720</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706120</wp:posOffset>
            </wp:positionV>
            <wp:extent cx="6926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890"/>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June 25, 2025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6350</wp:posOffset>
            </wp:positionV>
            <wp:extent cx="1645920" cy="3429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342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24130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312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1-10658</w:t>
            </w:r>
          </w:p>
        </w:tc>
        <w:tc>
          <w:tcPr>
            <w:tcW w:w="392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75-1618004</w:t>
            </w:r>
          </w:p>
        </w:tc>
      </w:tr>
      <w:tr>
        <w:trPr>
          <w:trHeight w:val="232"/>
        </w:trPr>
        <w:tc>
          <w:tcPr>
            <w:tcW w:w="4200" w:type="dxa"/>
            <w:vAlign w:val="bottom"/>
          </w:tcPr>
          <w:p>
            <w:pPr>
              <w:jc w:val="center"/>
              <w:spacing w:after="0"/>
              <w:rPr>
                <w:sz w:val="20"/>
                <w:szCs w:val="20"/>
                <w:color w:val="auto"/>
              </w:rPr>
            </w:pPr>
            <w:r>
              <w:rPr>
                <w:rFonts w:ascii="Arial" w:cs="Arial" w:eastAsia="Arial" w:hAnsi="Arial"/>
                <w:sz w:val="18"/>
                <w:szCs w:val="18"/>
                <w:color w:val="auto"/>
                <w:w w:val="99"/>
              </w:rPr>
              <w:t>(State or other jurisdiction of incorporation)</w:t>
            </w:r>
          </w:p>
        </w:tc>
        <w:tc>
          <w:tcPr>
            <w:tcW w:w="3120" w:type="dxa"/>
            <w:vAlign w:val="bottom"/>
          </w:tcPr>
          <w:p>
            <w:pPr>
              <w:jc w:val="center"/>
              <w:ind w:right="90"/>
              <w:spacing w:after="0"/>
              <w:rPr>
                <w:sz w:val="20"/>
                <w:szCs w:val="20"/>
                <w:color w:val="auto"/>
              </w:rPr>
            </w:pPr>
            <w:r>
              <w:rPr>
                <w:rFonts w:ascii="Arial" w:cs="Arial" w:eastAsia="Arial" w:hAnsi="Arial"/>
                <w:sz w:val="18"/>
                <w:szCs w:val="18"/>
                <w:color w:val="auto"/>
                <w:w w:val="99"/>
              </w:rPr>
              <w:t>(Commission File Number)</w:t>
            </w:r>
          </w:p>
        </w:tc>
        <w:tc>
          <w:tcPr>
            <w:tcW w:w="3920" w:type="dxa"/>
            <w:vAlign w:val="bottom"/>
          </w:tcPr>
          <w:p>
            <w:pPr>
              <w:jc w:val="center"/>
              <w:ind w:right="50"/>
              <w:spacing w:after="0"/>
              <w:rPr>
                <w:sz w:val="20"/>
                <w:szCs w:val="20"/>
                <w:color w:val="auto"/>
              </w:rPr>
            </w:pPr>
            <w:r>
              <w:rPr>
                <w:rFonts w:ascii="Arial" w:cs="Arial" w:eastAsia="Arial" w:hAnsi="Arial"/>
                <w:sz w:val="18"/>
                <w:szCs w:val="18"/>
                <w:color w:val="auto"/>
                <w:w w:val="99"/>
              </w:rPr>
              <w:t>(IRS Employer Identification No.)</w:t>
            </w:r>
          </w:p>
        </w:tc>
      </w:tr>
    </w:tbl>
    <w:p>
      <w:pPr>
        <w:spacing w:after="0" w:line="107"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8000 South Federal Way</w:t>
      </w:r>
    </w:p>
    <w:p>
      <w:pPr>
        <w:spacing w:after="0" w:line="40"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6985</wp:posOffset>
            </wp:positionV>
            <wp:extent cx="32486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3"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(Address of principal executive offices and Zip Code)</w:t>
      </w:r>
    </w:p>
    <w:p>
      <w:pPr>
        <w:spacing w:after="0" w:line="127"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17780</wp:posOffset>
            </wp:positionV>
            <wp:extent cx="32404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43" w:lineRule="exact"/>
        <w:rPr>
          <w:sz w:val="24"/>
          <w:szCs w:val="24"/>
          <w:color w:val="auto"/>
        </w:rPr>
      </w:pPr>
    </w:p>
    <w:p>
      <w:pPr>
        <w:ind w:right="140"/>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660" w:type="dxa"/>
            <w:vAlign w:val="bottom"/>
            <w:gridSpan w:val="2"/>
          </w:tcPr>
          <w:p>
            <w:pPr>
              <w:jc w:val="center"/>
              <w:ind w:right="80"/>
              <w:spacing w:after="0"/>
              <w:rPr>
                <w:sz w:val="20"/>
                <w:szCs w:val="20"/>
                <w:color w:val="auto"/>
              </w:rPr>
            </w:pPr>
            <w:r>
              <w:rPr>
                <w:rFonts w:ascii="Arial" w:cs="Arial" w:eastAsia="Arial" w:hAnsi="Arial"/>
                <w:sz w:val="18"/>
                <w:szCs w:val="18"/>
                <w:color w:val="auto"/>
              </w:rPr>
              <w:t>Securities registered pursuant to Section 12(b) of the Act:</w:t>
            </w: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80" w:type="dxa"/>
            <w:vAlign w:val="bottom"/>
          </w:tcPr>
          <w:p>
            <w:pPr>
              <w:spacing w:after="0"/>
              <w:rPr>
                <w:sz w:val="20"/>
                <w:szCs w:val="20"/>
                <w:color w:val="auto"/>
              </w:rPr>
            </w:pPr>
          </w:p>
        </w:tc>
      </w:tr>
      <w:tr>
        <w:trPr>
          <w:trHeight w:val="253"/>
        </w:trPr>
        <w:tc>
          <w:tcPr>
            <w:tcW w:w="4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Title of each class</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Trading symbol</w:t>
            </w:r>
          </w:p>
        </w:tc>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32"/>
        </w:trPr>
        <w:tc>
          <w:tcPr>
            <w:tcW w:w="4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$0.10 per share</w:t>
            </w:r>
          </w:p>
        </w:tc>
        <w:tc>
          <w:tcPr>
            <w:tcW w:w="100" w:type="dxa"/>
            <w:vAlign w:val="bottom"/>
          </w:tcPr>
          <w:p>
            <w:pPr>
              <w:spacing w:after="0"/>
              <w:rPr>
                <w:sz w:val="20"/>
                <w:szCs w:val="20"/>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MU</w:t>
            </w:r>
          </w:p>
        </w:tc>
        <w:tc>
          <w:tcPr>
            <w:tcW w:w="100" w:type="dxa"/>
            <w:vAlign w:val="bottom"/>
          </w:tcPr>
          <w:p>
            <w:pPr>
              <w:spacing w:after="0"/>
              <w:rPr>
                <w:sz w:val="20"/>
                <w:szCs w:val="20"/>
                <w:color w:val="auto"/>
              </w:rPr>
            </w:pPr>
          </w:p>
        </w:tc>
        <w:tc>
          <w:tcPr>
            <w:tcW w:w="4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66"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 w:lineRule="exact"/>
        <w:rPr>
          <w:sz w:val="24"/>
          <w:szCs w:val="24"/>
          <w:color w:val="auto"/>
        </w:rPr>
      </w:pPr>
    </w:p>
    <w:p>
      <w:pPr>
        <w:ind w:right="200"/>
        <w:spacing w:after="0" w:line="23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801370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6926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6926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ectPr>
          <w:pgSz w:w="11900" w:h="16838" w:orient="portrait"/>
          <w:cols w:equalWidth="0" w:num="1">
            <w:col w:w="11240"/>
          </w:cols>
          <w:pgMar w:left="320" w:top="1428" w:right="339" w:bottom="1440" w:gutter="0" w:footer="0" w:header="0"/>
        </w:sectPr>
      </w:pPr>
    </w:p>
    <w:bookmarkStart w:id="1" w:name="page2"/>
    <w:bookmarkEnd w:id="1"/>
    <w:p>
      <w:pPr>
        <w:ind w:left="20"/>
        <w:spacing w:after="0"/>
        <w:tabs>
          <w:tab w:leader="none" w:pos="13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8"/>
          <w:szCs w:val="18"/>
          <w:b w:val="1"/>
          <w:bCs w:val="1"/>
          <w:color w:val="auto"/>
        </w:rPr>
        <w:t>Results of Operations and Financial Condition.</w:t>
      </w:r>
    </w:p>
    <w:p>
      <w:pPr>
        <w:spacing w:after="0" w:line="200" w:lineRule="exact"/>
        <w:rPr>
          <w:sz w:val="20"/>
          <w:szCs w:val="20"/>
          <w:color w:val="auto"/>
        </w:rPr>
      </w:pPr>
    </w:p>
    <w:p>
      <w:pPr>
        <w:spacing w:after="0" w:line="22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June 25, 2025, Micron Technology, Inc. (the "Company", "we" or "our") announced the financial results for our third quarter of fiscal 2025 ended May 29, 2025. The full text of the press release issued in connection with the announcement is attached as Exhibit 99.1 to this Current Report on Form 8-K.</w:t>
      </w:r>
    </w:p>
    <w:p>
      <w:pPr>
        <w:spacing w:after="0" w:line="2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in Item 2.02 and Exhibit 99.1 of this Current Report on Form 8-K shall not be deemed "filed" for the purposes of Section 18 of the Securities Exchange Act of 1934, as amended (the "Exchange Act"), or otherwise subject to the liabilities of that section. The information in Item 2.02 and Exhibit 99.1 of this Current Report on Form 8-K shall not be incorporated by reference into any filing or other document pursuant to the Securities Act of 1933, as amended, or the Exchange Act, except as shall be expressly set forth by specific reference in such filing or document.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340" w:type="dxa"/>
            <w:vAlign w:val="bottom"/>
          </w:tcPr>
          <w:p>
            <w:pPr>
              <w:ind w:left="20"/>
              <w:spacing w:after="0"/>
              <w:rPr>
                <w:sz w:val="20"/>
                <w:szCs w:val="20"/>
                <w:color w:val="auto"/>
              </w:rPr>
            </w:pPr>
            <w:r>
              <w:rPr>
                <w:rFonts w:ascii="Arial" w:cs="Arial" w:eastAsia="Arial" w:hAnsi="Arial"/>
                <w:sz w:val="18"/>
                <w:szCs w:val="18"/>
                <w:b w:val="1"/>
                <w:bCs w:val="1"/>
                <w:color w:val="auto"/>
              </w:rPr>
              <w:t>Item 9.01.</w:t>
            </w:r>
          </w:p>
        </w:tc>
        <w:tc>
          <w:tcPr>
            <w:tcW w:w="9900" w:type="dxa"/>
            <w:vAlign w:val="bottom"/>
            <w:gridSpan w:val="5"/>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78"/>
        </w:trPr>
        <w:tc>
          <w:tcPr>
            <w:tcW w:w="1340" w:type="dxa"/>
            <w:vAlign w:val="bottom"/>
          </w:tcPr>
          <w:p>
            <w:pPr>
              <w:spacing w:after="0"/>
              <w:rPr>
                <w:sz w:val="24"/>
                <w:szCs w:val="24"/>
                <w:color w:val="auto"/>
              </w:rPr>
            </w:pPr>
          </w:p>
        </w:tc>
        <w:tc>
          <w:tcPr>
            <w:tcW w:w="9900" w:type="dxa"/>
            <w:vAlign w:val="bottom"/>
            <w:gridSpan w:val="5"/>
          </w:tcPr>
          <w:p>
            <w:pPr>
              <w:spacing w:after="0"/>
              <w:rPr>
                <w:sz w:val="20"/>
                <w:szCs w:val="20"/>
                <w:color w:val="auto"/>
              </w:rPr>
            </w:pPr>
            <w:r>
              <w:rPr>
                <w:rFonts w:ascii="Arial" w:cs="Arial" w:eastAsia="Arial" w:hAnsi="Arial"/>
                <w:sz w:val="18"/>
                <w:szCs w:val="18"/>
                <w:color w:val="auto"/>
              </w:rPr>
              <w:t>(d) Exhibits.</w:t>
            </w:r>
          </w:p>
        </w:tc>
      </w:tr>
      <w:tr>
        <w:trPr>
          <w:trHeight w:val="671"/>
        </w:trPr>
        <w:tc>
          <w:tcPr>
            <w:tcW w:w="1340" w:type="dxa"/>
            <w:vAlign w:val="bottom"/>
          </w:tcPr>
          <w:p>
            <w:pPr>
              <w:ind w:left="20"/>
              <w:spacing w:after="0"/>
              <w:rPr>
                <w:sz w:val="20"/>
                <w:szCs w:val="20"/>
                <w:color w:val="auto"/>
              </w:rPr>
            </w:pPr>
            <w:r>
              <w:rPr>
                <w:rFonts w:ascii="Arial" w:cs="Arial" w:eastAsia="Arial" w:hAnsi="Arial"/>
                <w:sz w:val="18"/>
                <w:szCs w:val="18"/>
                <w:b w:val="1"/>
                <w:bCs w:val="1"/>
                <w:color w:val="auto"/>
              </w:rPr>
              <w:t>Exhibit No.</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183"/>
        </w:trPr>
        <w:tc>
          <w:tcPr>
            <w:tcW w:w="1340" w:type="dxa"/>
            <w:vAlign w:val="bottom"/>
            <w:tcBorders>
              <w:top w:val="single" w:sz="8" w:color="auto"/>
            </w:tcBorders>
          </w:tcPr>
          <w:p>
            <w:pPr>
              <w:jc w:val="right"/>
              <w:ind w:right="410"/>
              <w:spacing w:after="0" w:line="182" w:lineRule="exact"/>
              <w:rPr>
                <w:sz w:val="20"/>
                <w:szCs w:val="20"/>
                <w:color w:val="auto"/>
              </w:rPr>
            </w:pPr>
            <w:r>
              <w:rPr>
                <w:rFonts w:ascii="Arial" w:cs="Arial" w:eastAsia="Arial" w:hAnsi="Arial"/>
                <w:sz w:val="18"/>
                <w:szCs w:val="18"/>
                <w:color w:val="auto"/>
              </w:rPr>
              <w:t>99.1</w:t>
            </w:r>
          </w:p>
        </w:tc>
        <w:tc>
          <w:tcPr>
            <w:tcW w:w="2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180" w:type="dxa"/>
            <w:vAlign w:val="bottom"/>
            <w:tcBorders>
              <w:top w:val="single" w:sz="8" w:color="auto"/>
              <w:bottom w:val="single" w:sz="8" w:color="BD03F7"/>
            </w:tcBorders>
          </w:tcPr>
          <w:p>
            <w:pPr>
              <w:spacing w:after="0" w:line="182" w:lineRule="exact"/>
              <w:rPr>
                <w:sz w:val="20"/>
                <w:szCs w:val="20"/>
                <w:color w:val="auto"/>
              </w:rPr>
            </w:pPr>
            <w:r>
              <w:rPr>
                <w:rFonts w:ascii="Arial" w:cs="Arial" w:eastAsia="Arial" w:hAnsi="Arial"/>
                <w:sz w:val="18"/>
                <w:szCs w:val="18"/>
                <w:color w:val="BD03F7"/>
                <w:w w:val="99"/>
              </w:rPr>
              <w:t>Press Release issued on June 25, 2025</w:t>
            </w:r>
          </w:p>
        </w:tc>
        <w:tc>
          <w:tcPr>
            <w:tcW w:w="64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54"/>
        </w:trPr>
        <w:tc>
          <w:tcPr>
            <w:tcW w:w="1340" w:type="dxa"/>
            <w:vAlign w:val="bottom"/>
          </w:tcPr>
          <w:p>
            <w:pPr>
              <w:jc w:val="right"/>
              <w:ind w:right="43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2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461"/>
        </w:trPr>
        <w:tc>
          <w:tcPr>
            <w:tcW w:w="1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6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680" w:type="dxa"/>
            <w:vAlign w:val="bottom"/>
          </w:tcPr>
          <w:p>
            <w:pPr>
              <w:spacing w:after="0"/>
              <w:rPr>
                <w:sz w:val="21"/>
                <w:szCs w:val="21"/>
                <w:color w:val="auto"/>
              </w:rPr>
            </w:pPr>
          </w:p>
        </w:tc>
        <w:tc>
          <w:tcPr>
            <w:tcW w:w="7540" w:type="dxa"/>
            <w:vAlign w:val="bottom"/>
            <w:gridSpan w:val="2"/>
          </w:tcPr>
          <w:p>
            <w:pPr>
              <w:ind w:left="1780"/>
              <w:spacing w:after="0"/>
              <w:rPr>
                <w:sz w:val="20"/>
                <w:szCs w:val="20"/>
                <w:color w:val="auto"/>
              </w:rPr>
            </w:pPr>
            <w:r>
              <w:rPr>
                <w:rFonts w:ascii="Arial" w:cs="Arial" w:eastAsia="Arial" w:hAnsi="Arial"/>
                <w:sz w:val="18"/>
                <w:szCs w:val="18"/>
                <w:b w:val="1"/>
                <w:bCs w:val="1"/>
                <w:color w:val="auto"/>
              </w:rPr>
              <w:t>MICRON TECHNOLOGY, INC.</w:t>
            </w:r>
          </w:p>
        </w:tc>
      </w:tr>
      <w:tr>
        <w:trPr>
          <w:trHeight w:val="731"/>
        </w:trPr>
        <w:tc>
          <w:tcPr>
            <w:tcW w:w="3680" w:type="dxa"/>
            <w:vAlign w:val="bottom"/>
          </w:tcPr>
          <w:p>
            <w:pPr>
              <w:spacing w:after="0"/>
              <w:rPr>
                <w:sz w:val="20"/>
                <w:szCs w:val="20"/>
                <w:color w:val="auto"/>
              </w:rPr>
            </w:pPr>
            <w:r>
              <w:rPr>
                <w:rFonts w:ascii="Arial" w:cs="Arial" w:eastAsia="Arial" w:hAnsi="Arial"/>
                <w:sz w:val="18"/>
                <w:szCs w:val="18"/>
                <w:color w:val="auto"/>
              </w:rPr>
              <w:t>Date:   June 25, 2025</w:t>
            </w:r>
          </w:p>
        </w:tc>
        <w:tc>
          <w:tcPr>
            <w:tcW w:w="2680" w:type="dxa"/>
            <w:vAlign w:val="bottom"/>
          </w:tcPr>
          <w:p>
            <w:pPr>
              <w:ind w:left="178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Mark Murphy</w:t>
            </w:r>
          </w:p>
        </w:tc>
      </w:tr>
      <w:tr>
        <w:trPr>
          <w:trHeight w:val="218"/>
        </w:trPr>
        <w:tc>
          <w:tcPr>
            <w:tcW w:w="3680" w:type="dxa"/>
            <w:vAlign w:val="bottom"/>
          </w:tcPr>
          <w:p>
            <w:pPr>
              <w:spacing w:after="0"/>
              <w:rPr>
                <w:sz w:val="18"/>
                <w:szCs w:val="18"/>
                <w:color w:val="auto"/>
              </w:rPr>
            </w:pPr>
          </w:p>
        </w:tc>
        <w:tc>
          <w:tcPr>
            <w:tcW w:w="2680" w:type="dxa"/>
            <w:vAlign w:val="bottom"/>
          </w:tcPr>
          <w:p>
            <w:pPr>
              <w:ind w:left="1780"/>
              <w:spacing w:after="0"/>
              <w:rPr>
                <w:sz w:val="20"/>
                <w:szCs w:val="20"/>
                <w:color w:val="auto"/>
              </w:rPr>
            </w:pPr>
            <w:r>
              <w:rPr>
                <w:rFonts w:ascii="Arial" w:cs="Arial" w:eastAsia="Arial" w:hAnsi="Arial"/>
                <w:sz w:val="18"/>
                <w:szCs w:val="18"/>
                <w:color w:val="auto"/>
              </w:rPr>
              <w:t>Name:</w:t>
            </w:r>
          </w:p>
        </w:tc>
        <w:tc>
          <w:tcPr>
            <w:tcW w:w="4860" w:type="dxa"/>
            <w:vAlign w:val="bottom"/>
          </w:tcPr>
          <w:p>
            <w:pPr>
              <w:ind w:left="20"/>
              <w:spacing w:after="0"/>
              <w:rPr>
                <w:sz w:val="20"/>
                <w:szCs w:val="20"/>
                <w:color w:val="auto"/>
              </w:rPr>
            </w:pPr>
            <w:r>
              <w:rPr>
                <w:rFonts w:ascii="Arial" w:cs="Arial" w:eastAsia="Arial" w:hAnsi="Arial"/>
                <w:sz w:val="18"/>
                <w:szCs w:val="18"/>
                <w:color w:val="auto"/>
              </w:rPr>
              <w:t>Mark Murphy</w:t>
            </w:r>
          </w:p>
        </w:tc>
      </w:tr>
      <w:tr>
        <w:trPr>
          <w:trHeight w:val="239"/>
        </w:trPr>
        <w:tc>
          <w:tcPr>
            <w:tcW w:w="3680" w:type="dxa"/>
            <w:vAlign w:val="bottom"/>
          </w:tcPr>
          <w:p>
            <w:pPr>
              <w:spacing w:after="0"/>
              <w:rPr>
                <w:sz w:val="20"/>
                <w:szCs w:val="20"/>
                <w:color w:val="auto"/>
              </w:rPr>
            </w:pPr>
          </w:p>
        </w:tc>
        <w:tc>
          <w:tcPr>
            <w:tcW w:w="2680" w:type="dxa"/>
            <w:vAlign w:val="bottom"/>
          </w:tcPr>
          <w:p>
            <w:pPr>
              <w:ind w:left="1780"/>
              <w:spacing w:after="0"/>
              <w:rPr>
                <w:sz w:val="20"/>
                <w:szCs w:val="20"/>
                <w:color w:val="auto"/>
              </w:rPr>
            </w:pPr>
            <w:r>
              <w:rPr>
                <w:rFonts w:ascii="Arial" w:cs="Arial" w:eastAsia="Arial" w:hAnsi="Arial"/>
                <w:sz w:val="18"/>
                <w:szCs w:val="18"/>
                <w:color w:val="auto"/>
              </w:rPr>
              <w:t>Title:</w:t>
            </w:r>
          </w:p>
        </w:tc>
        <w:tc>
          <w:tcPr>
            <w:tcW w:w="48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240"/>
          </w:cols>
          <w:pgMar w:left="320" w:top="1133"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3" w:lineRule="exact"/>
        <w:rPr>
          <w:sz w:val="20"/>
          <w:szCs w:val="20"/>
          <w:color w:val="auto"/>
        </w:rPr>
      </w:pPr>
    </w:p>
    <w:tbl>
      <w:tblPr>
        <w:tblLayout w:type="fixed"/>
        <w:tblInd w:w="260" w:type="dxa"/>
        <w:tblCellMar>
          <w:top w:w="0" w:type="dxa"/>
          <w:left w:w="0" w:type="dxa"/>
          <w:bottom w:w="0" w:type="dxa"/>
          <w:right w:w="0" w:type="dxa"/>
        </w:tblCellMar>
      </w:tblPr>
      <w:tr>
        <w:trPr>
          <w:trHeight w:val="225"/>
        </w:trPr>
        <w:tc>
          <w:tcPr>
            <w:tcW w:w="1500" w:type="dxa"/>
            <w:vAlign w:val="bottom"/>
          </w:tcPr>
          <w:p>
            <w:pPr>
              <w:spacing w:after="0"/>
              <w:rPr>
                <w:sz w:val="20"/>
                <w:szCs w:val="20"/>
                <w:color w:val="auto"/>
              </w:rPr>
            </w:pPr>
            <w:r>
              <w:rPr>
                <w:rFonts w:ascii="Arial" w:cs="Arial" w:eastAsia="Arial" w:hAnsi="Arial"/>
                <w:sz w:val="18"/>
                <w:szCs w:val="18"/>
                <w:color w:val="auto"/>
              </w:rPr>
              <w:t>Contacts:</w:t>
            </w:r>
          </w:p>
        </w:tc>
        <w:tc>
          <w:tcPr>
            <w:tcW w:w="3100" w:type="dxa"/>
            <w:vAlign w:val="bottom"/>
            <w:gridSpan w:val="2"/>
          </w:tcPr>
          <w:p>
            <w:pPr>
              <w:spacing w:after="0"/>
              <w:rPr>
                <w:sz w:val="20"/>
                <w:szCs w:val="20"/>
                <w:color w:val="auto"/>
              </w:rPr>
            </w:pPr>
            <w:r>
              <w:rPr>
                <w:rFonts w:ascii="Arial" w:cs="Arial" w:eastAsia="Arial" w:hAnsi="Arial"/>
                <w:sz w:val="18"/>
                <w:szCs w:val="18"/>
                <w:color w:val="auto"/>
              </w:rPr>
              <w:t>Satya Kumar</w:t>
            </w:r>
          </w:p>
        </w:tc>
        <w:tc>
          <w:tcPr>
            <w:tcW w:w="1780" w:type="dxa"/>
            <w:vAlign w:val="bottom"/>
          </w:tcPr>
          <w:p>
            <w:pPr>
              <w:spacing w:after="0"/>
              <w:rPr>
                <w:sz w:val="20"/>
                <w:szCs w:val="20"/>
                <w:color w:val="auto"/>
              </w:rPr>
            </w:pPr>
            <w:r>
              <w:rPr>
                <w:rFonts w:ascii="Arial" w:cs="Arial" w:eastAsia="Arial" w:hAnsi="Arial"/>
                <w:sz w:val="18"/>
                <w:szCs w:val="18"/>
                <w:color w:val="auto"/>
              </w:rPr>
              <w:t>Mark Plungy</w:t>
            </w:r>
          </w:p>
        </w:tc>
      </w:tr>
      <w:tr>
        <w:trPr>
          <w:trHeight w:val="230"/>
        </w:trPr>
        <w:tc>
          <w:tcPr>
            <w:tcW w:w="150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1780" w:type="dxa"/>
            <w:vAlign w:val="bottom"/>
          </w:tcPr>
          <w:p>
            <w:pPr>
              <w:spacing w:after="0"/>
              <w:rPr>
                <w:sz w:val="20"/>
                <w:szCs w:val="20"/>
                <w:color w:val="auto"/>
              </w:rPr>
            </w:pPr>
            <w:r>
              <w:rPr>
                <w:rFonts w:ascii="Arial" w:cs="Arial" w:eastAsia="Arial" w:hAnsi="Arial"/>
                <w:sz w:val="18"/>
                <w:szCs w:val="18"/>
                <w:color w:val="auto"/>
              </w:rPr>
              <w:t>Media Relations</w:t>
            </w:r>
          </w:p>
        </w:tc>
      </w:tr>
      <w:tr>
        <w:trPr>
          <w:trHeight w:val="194"/>
        </w:trPr>
        <w:tc>
          <w:tcPr>
            <w:tcW w:w="1500" w:type="dxa"/>
            <w:vAlign w:val="bottom"/>
          </w:tcPr>
          <w:p>
            <w:pPr>
              <w:spacing w:after="0"/>
              <w:rPr>
                <w:sz w:val="16"/>
                <w:szCs w:val="16"/>
                <w:color w:val="auto"/>
              </w:rPr>
            </w:pPr>
          </w:p>
        </w:tc>
        <w:tc>
          <w:tcPr>
            <w:tcW w:w="3100" w:type="dxa"/>
            <w:vAlign w:val="bottom"/>
            <w:gridSpan w:val="2"/>
          </w:tcPr>
          <w:p>
            <w:pPr>
              <w:spacing w:after="0" w:line="195" w:lineRule="exact"/>
              <w:rPr>
                <w:sz w:val="20"/>
                <w:szCs w:val="20"/>
                <w:color w:val="auto"/>
              </w:rPr>
            </w:pPr>
            <w:r>
              <w:rPr>
                <w:rFonts w:ascii="Arial" w:cs="Arial" w:eastAsia="Arial" w:hAnsi="Arial"/>
                <w:sz w:val="18"/>
                <w:szCs w:val="18"/>
                <w:color w:val="BD03F7"/>
              </w:rPr>
              <w:t>satyakumar@micron.com</w:t>
            </w:r>
          </w:p>
        </w:tc>
        <w:tc>
          <w:tcPr>
            <w:tcW w:w="1780" w:type="dxa"/>
            <w:vAlign w:val="bottom"/>
          </w:tcPr>
          <w:p>
            <w:pPr>
              <w:spacing w:after="0" w:line="195" w:lineRule="exact"/>
              <w:rPr>
                <w:sz w:val="20"/>
                <w:szCs w:val="20"/>
                <w:color w:val="auto"/>
              </w:rPr>
            </w:pPr>
            <w:r>
              <w:rPr>
                <w:rFonts w:ascii="Arial" w:cs="Arial" w:eastAsia="Arial" w:hAnsi="Arial"/>
                <w:sz w:val="18"/>
                <w:szCs w:val="18"/>
                <w:color w:val="BD03F7"/>
                <w:w w:val="98"/>
              </w:rPr>
              <w:t>mplungy@micron.com</w:t>
            </w:r>
          </w:p>
        </w:tc>
      </w:tr>
      <w:tr>
        <w:trPr>
          <w:trHeight w:val="254"/>
        </w:trPr>
        <w:tc>
          <w:tcPr>
            <w:tcW w:w="1500" w:type="dxa"/>
            <w:vAlign w:val="bottom"/>
          </w:tcPr>
          <w:p>
            <w:pPr>
              <w:spacing w:after="0"/>
              <w:rPr>
                <w:sz w:val="22"/>
                <w:szCs w:val="22"/>
                <w:color w:val="auto"/>
              </w:rPr>
            </w:pPr>
          </w:p>
        </w:tc>
        <w:tc>
          <w:tcPr>
            <w:tcW w:w="2040" w:type="dxa"/>
            <w:vAlign w:val="bottom"/>
            <w:tcBorders>
              <w:top w:val="single" w:sz="8" w:color="BD03F7"/>
            </w:tcBorders>
          </w:tcPr>
          <w:p>
            <w:pPr>
              <w:spacing w:after="0"/>
              <w:rPr>
                <w:sz w:val="20"/>
                <w:szCs w:val="20"/>
                <w:color w:val="auto"/>
              </w:rPr>
            </w:pPr>
            <w:r>
              <w:rPr>
                <w:rFonts w:ascii="Arial" w:cs="Arial" w:eastAsia="Arial" w:hAnsi="Arial"/>
                <w:sz w:val="18"/>
                <w:szCs w:val="18"/>
                <w:color w:val="auto"/>
              </w:rPr>
              <w:t>(408) 450-6199</w:t>
            </w:r>
          </w:p>
        </w:tc>
        <w:tc>
          <w:tcPr>
            <w:tcW w:w="1060" w:type="dxa"/>
            <w:vAlign w:val="bottom"/>
          </w:tcPr>
          <w:p>
            <w:pPr>
              <w:spacing w:after="0"/>
              <w:rPr>
                <w:sz w:val="22"/>
                <w:szCs w:val="22"/>
                <w:color w:val="auto"/>
              </w:rPr>
            </w:pPr>
          </w:p>
        </w:tc>
        <w:tc>
          <w:tcPr>
            <w:tcW w:w="1780" w:type="dxa"/>
            <w:vAlign w:val="bottom"/>
            <w:tcBorders>
              <w:top w:val="single" w:sz="8" w:color="BD03F7"/>
            </w:tcBorders>
          </w:tcPr>
          <w:p>
            <w:pPr>
              <w:spacing w:after="0"/>
              <w:rPr>
                <w:sz w:val="20"/>
                <w:szCs w:val="20"/>
                <w:color w:val="auto"/>
              </w:rPr>
            </w:pPr>
            <w:r>
              <w:rPr>
                <w:rFonts w:ascii="Arial" w:cs="Arial" w:eastAsia="Arial" w:hAnsi="Arial"/>
                <w:sz w:val="18"/>
                <w:szCs w:val="18"/>
                <w:color w:val="auto"/>
              </w:rPr>
              <w:t>(408) 203-2910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MICRON TECHNOLOGY, INC. REPORTS RESULTS FOR THE</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QUARTER OF FISCAL 2025</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Record revenue in fiscal Q3 with growth across end markets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Fiscal Q4 revenue projected to grow another 15% sequentially</w:t>
      </w:r>
    </w:p>
    <w:p>
      <w:pPr>
        <w:spacing w:after="0" w:line="221"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color w:val="auto"/>
        </w:rPr>
        <w:t xml:space="preserve">BOISE, Idaho, </w:t>
      </w:r>
      <w:r>
        <w:rPr>
          <w:rFonts w:ascii="Arial" w:cs="Arial" w:eastAsia="Arial" w:hAnsi="Arial"/>
          <w:sz w:val="18"/>
          <w:szCs w:val="18"/>
          <w:color w:val="auto"/>
        </w:rPr>
        <w:t>June 25, 2025 – Micron Technology, Inc. (Nasdaq: MU) today announced results for its third quarter of fiscal 2025, which</w:t>
      </w:r>
      <w:r>
        <w:rPr>
          <w:rFonts w:ascii="Arial" w:cs="Arial" w:eastAsia="Arial" w:hAnsi="Arial"/>
          <w:sz w:val="18"/>
          <w:szCs w:val="18"/>
          <w:b w:val="1"/>
          <w:bCs w:val="1"/>
          <w:color w:val="auto"/>
        </w:rPr>
        <w:t xml:space="preserve"> </w:t>
      </w:r>
      <w:r>
        <w:rPr>
          <w:rFonts w:ascii="Arial" w:cs="Arial" w:eastAsia="Arial" w:hAnsi="Arial"/>
          <w:sz w:val="18"/>
          <w:szCs w:val="18"/>
          <w:color w:val="auto"/>
        </w:rPr>
        <w:t>ended May 29, 2025.</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Fiscal Q3 2025 highlights</w:t>
      </w:r>
    </w:p>
    <w:p>
      <w:pPr>
        <w:spacing w:after="0" w:line="27" w:lineRule="exact"/>
        <w:rPr>
          <w:sz w:val="20"/>
          <w:szCs w:val="20"/>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of $9.30 billion versus $8.05 billion for the prior quarter and $6.81 billion for the same period last year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net income of $1.89 billion, or $1.68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Non-GAAP net income of $2.18 billion, or $1.91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cash flow of $4.61 billion versus $3.94 billion for the prior quarter and $2.48 billion for the same period last year</w:t>
      </w:r>
    </w:p>
    <w:p>
      <w:pPr>
        <w:spacing w:after="0" w:line="221"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“Micron delivered record revenue in fiscal Q3, driven by all-time-high DRAM revenue including nearly 50% sequential growth in HBM revenue. Data center revenue more than doubled year-over-year and reached a quarterly record, and consumer-oriented end markets had strong sequential growth,” said Sanjay Mehrotra, Chairman, President and CEO of Micron Technology. “We are on track to deliver record revenue with solid profitability and free cash flow in fiscal 2025, while we make disciplined investments to build on our technology leadership and manufacturing excellence to satisfy growing AI-driven memory demand.”</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Quarterly Financial Results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2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GAAP</w:t>
            </w:r>
            <w:r>
              <w:rPr>
                <w:rFonts w:ascii="Arial" w:cs="Arial" w:eastAsia="Arial" w:hAnsi="Arial"/>
                <w:sz w:val="23"/>
                <w:szCs w:val="23"/>
                <w:b w:val="1"/>
                <w:bCs w:val="1"/>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6"/>
              </w:rPr>
              <w:t>Non-GAAP</w:t>
            </w:r>
            <w:r>
              <w:rPr>
                <w:rFonts w:ascii="Arial" w:cs="Arial" w:eastAsia="Arial" w:hAnsi="Arial"/>
                <w:sz w:val="23"/>
                <w:szCs w:val="23"/>
                <w:b w:val="1"/>
                <w:bCs w:val="1"/>
                <w:color w:val="auto"/>
                <w:w w:val="96"/>
                <w:vertAlign w:val="superscript"/>
              </w:rPr>
              <w:t>(2)</w:t>
            </w: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r>
      <w:tr>
        <w:trPr>
          <w:trHeight w:val="250"/>
        </w:trPr>
        <w:tc>
          <w:tcPr>
            <w:tcW w:w="4260" w:type="dxa"/>
            <w:vAlign w:val="bottom"/>
          </w:tcPr>
          <w:p>
            <w:pPr>
              <w:ind w:left="20"/>
              <w:spacing w:after="0"/>
              <w:rPr>
                <w:sz w:val="20"/>
                <w:szCs w:val="20"/>
                <w:color w:val="auto"/>
              </w:rPr>
            </w:pPr>
            <w:r>
              <w:rPr>
                <w:rFonts w:ascii="Arial" w:cs="Arial" w:eastAsia="Arial" w:hAnsi="Arial"/>
                <w:sz w:val="18"/>
                <w:szCs w:val="18"/>
                <w:i w:val="1"/>
                <w:iCs w:val="1"/>
                <w:color w:val="auto"/>
              </w:rPr>
              <w:t>(in millions, except per share amounts)</w:t>
            </w:r>
          </w:p>
        </w:tc>
        <w:tc>
          <w:tcPr>
            <w:tcW w:w="200" w:type="dxa"/>
            <w:vAlign w:val="bottom"/>
          </w:tcPr>
          <w:p>
            <w:pPr>
              <w:spacing w:after="0"/>
              <w:rPr>
                <w:sz w:val="21"/>
                <w:szCs w:val="21"/>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b w:val="1"/>
                <w:bCs w:val="1"/>
                <w:color w:val="auto"/>
              </w:rPr>
              <w:t>FQ3-25</w:t>
            </w:r>
          </w:p>
        </w:tc>
        <w:tc>
          <w:tcPr>
            <w:tcW w:w="180" w:type="dxa"/>
            <w:vAlign w:val="bottom"/>
          </w:tcPr>
          <w:p>
            <w:pPr>
              <w:spacing w:after="0"/>
              <w:rPr>
                <w:sz w:val="21"/>
                <w:szCs w:val="21"/>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rPr>
              <w:t>FQ2-25</w:t>
            </w:r>
          </w:p>
        </w:tc>
        <w:tc>
          <w:tcPr>
            <w:tcW w:w="200" w:type="dxa"/>
            <w:vAlign w:val="bottom"/>
          </w:tcPr>
          <w:p>
            <w:pPr>
              <w:spacing w:after="0"/>
              <w:rPr>
                <w:sz w:val="21"/>
                <w:szCs w:val="21"/>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FQ3-24</w:t>
            </w:r>
          </w:p>
        </w:tc>
        <w:tc>
          <w:tcPr>
            <w:tcW w:w="200" w:type="dxa"/>
            <w:vAlign w:val="bottom"/>
          </w:tcPr>
          <w:p>
            <w:pPr>
              <w:spacing w:after="0"/>
              <w:rPr>
                <w:sz w:val="21"/>
                <w:szCs w:val="21"/>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b w:val="1"/>
                <w:bCs w:val="1"/>
                <w:color w:val="auto"/>
              </w:rPr>
              <w:t>FQ3-25</w:t>
            </w:r>
          </w:p>
        </w:tc>
        <w:tc>
          <w:tcPr>
            <w:tcW w:w="200" w:type="dxa"/>
            <w:vAlign w:val="bottom"/>
          </w:tcPr>
          <w:p>
            <w:pPr>
              <w:spacing w:after="0"/>
              <w:rPr>
                <w:sz w:val="21"/>
                <w:szCs w:val="21"/>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b w:val="1"/>
                <w:bCs w:val="1"/>
                <w:color w:val="auto"/>
              </w:rPr>
              <w:t>FQ2-25</w:t>
            </w:r>
          </w:p>
        </w:tc>
        <w:tc>
          <w:tcPr>
            <w:tcW w:w="200" w:type="dxa"/>
            <w:vAlign w:val="bottom"/>
          </w:tcPr>
          <w:p>
            <w:pPr>
              <w:spacing w:after="0"/>
              <w:rPr>
                <w:sz w:val="21"/>
                <w:szCs w:val="21"/>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rPr>
              <w:t>FQ3-24</w:t>
            </w:r>
          </w:p>
        </w:tc>
      </w:tr>
      <w:tr>
        <w:trPr>
          <w:trHeight w:val="34"/>
        </w:trPr>
        <w:tc>
          <w:tcPr>
            <w:tcW w:w="42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r>
      <w:tr>
        <w:trPr>
          <w:trHeight w:val="230"/>
        </w:trPr>
        <w:tc>
          <w:tcPr>
            <w:tcW w:w="4260" w:type="dxa"/>
            <w:vAlign w:val="bottom"/>
            <w:shd w:val="clear" w:color="auto" w:fill="DDDDDD"/>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9,301</w:t>
            </w:r>
          </w:p>
        </w:tc>
        <w:tc>
          <w:tcPr>
            <w:tcW w:w="18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8,053</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6,811</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9,301</w:t>
            </w:r>
          </w:p>
        </w:tc>
        <w:tc>
          <w:tcPr>
            <w:tcW w:w="200" w:type="dxa"/>
            <w:vAlign w:val="bottom"/>
            <w:shd w:val="clear" w:color="auto" w:fill="DDDDDD"/>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8,053</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6,811</w:t>
            </w: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3,508</w:t>
            </w:r>
          </w:p>
        </w:tc>
        <w:tc>
          <w:tcPr>
            <w:tcW w:w="18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2,963</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1,832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3,623</w:t>
            </w:r>
          </w:p>
        </w:tc>
        <w:tc>
          <w:tcPr>
            <w:tcW w:w="2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3,053</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1,917</w:t>
            </w:r>
          </w:p>
        </w:tc>
      </w:tr>
      <w:tr>
        <w:trPr>
          <w:trHeight w:val="230"/>
        </w:trPr>
        <w:tc>
          <w:tcPr>
            <w:tcW w:w="4260" w:type="dxa"/>
            <w:vAlign w:val="bottom"/>
            <w:shd w:val="clear" w:color="auto" w:fill="DDDDDD"/>
          </w:tcPr>
          <w:p>
            <w:pPr>
              <w:ind w:left="20"/>
              <w:spacing w:after="0"/>
              <w:rPr>
                <w:sz w:val="20"/>
                <w:szCs w:val="20"/>
                <w:color w:val="auto"/>
              </w:rPr>
            </w:pPr>
            <w:r>
              <w:rPr>
                <w:rFonts w:ascii="Arial" w:cs="Arial" w:eastAsia="Arial" w:hAnsi="Arial"/>
                <w:sz w:val="18"/>
                <w:szCs w:val="18"/>
                <w:i w:val="1"/>
                <w:iCs w:val="1"/>
                <w:color w:val="auto"/>
              </w:rPr>
              <w:t>percent of revenue</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37.7 %</w:t>
            </w:r>
          </w:p>
        </w:tc>
        <w:tc>
          <w:tcPr>
            <w:tcW w:w="18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36.8 %</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26.9 %</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39.0 %</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37.9 %</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28.1 %</w:t>
            </w: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1,339</w:t>
            </w:r>
          </w:p>
        </w:tc>
        <w:tc>
          <w:tcPr>
            <w:tcW w:w="18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1,190</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1,113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1,133</w:t>
            </w:r>
          </w:p>
        </w:tc>
        <w:tc>
          <w:tcPr>
            <w:tcW w:w="2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1,046</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976</w:t>
            </w:r>
          </w:p>
        </w:tc>
      </w:tr>
      <w:tr>
        <w:trPr>
          <w:trHeight w:val="230"/>
        </w:trPr>
        <w:tc>
          <w:tcPr>
            <w:tcW w:w="4260" w:type="dxa"/>
            <w:vAlign w:val="bottom"/>
            <w:shd w:val="clear" w:color="auto" w:fill="DDDDDD"/>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2,169</w:t>
            </w:r>
          </w:p>
        </w:tc>
        <w:tc>
          <w:tcPr>
            <w:tcW w:w="18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1,773</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2,490</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2,007</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941</w:t>
            </w: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i w:val="1"/>
                <w:iCs w:val="1"/>
                <w:color w:val="auto"/>
              </w:rPr>
              <w:t>percent of revenue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23.3 %</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22.0 %</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10.6 %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26.8 %</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24.9 %</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13.8 %</w:t>
            </w:r>
          </w:p>
        </w:tc>
      </w:tr>
      <w:tr>
        <w:trPr>
          <w:trHeight w:val="230"/>
        </w:trPr>
        <w:tc>
          <w:tcPr>
            <w:tcW w:w="4260" w:type="dxa"/>
            <w:vAlign w:val="bottom"/>
            <w:shd w:val="clear" w:color="auto" w:fill="DDDDDD"/>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1,885</w:t>
            </w:r>
          </w:p>
        </w:tc>
        <w:tc>
          <w:tcPr>
            <w:tcW w:w="18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1,583</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2,181</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1,783</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702</w:t>
            </w:r>
          </w:p>
        </w:tc>
      </w:tr>
      <w:tr>
        <w:trPr>
          <w:trHeight w:val="239"/>
        </w:trPr>
        <w:tc>
          <w:tcPr>
            <w:tcW w:w="426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200" w:type="dxa"/>
            <w:vAlign w:val="bottom"/>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1.68</w:t>
            </w:r>
          </w:p>
        </w:tc>
        <w:tc>
          <w:tcPr>
            <w:tcW w:w="180" w:type="dxa"/>
            <w:vAlign w:val="bottom"/>
          </w:tcPr>
          <w:p>
            <w:pPr>
              <w:spacing w:after="0"/>
              <w:rPr>
                <w:sz w:val="20"/>
                <w:szCs w:val="20"/>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1.41</w:t>
            </w:r>
          </w:p>
        </w:tc>
        <w:tc>
          <w:tcPr>
            <w:tcW w:w="20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1.91</w:t>
            </w:r>
          </w:p>
        </w:tc>
        <w:tc>
          <w:tcPr>
            <w:tcW w:w="20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1.56</w:t>
            </w:r>
          </w:p>
        </w:tc>
        <w:tc>
          <w:tcPr>
            <w:tcW w:w="20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0.62</w:t>
            </w:r>
          </w:p>
        </w:tc>
      </w:tr>
    </w:tbl>
    <w:p>
      <w:pPr>
        <w:spacing w:after="0" w:line="200" w:lineRule="exact"/>
        <w:rPr>
          <w:sz w:val="20"/>
          <w:szCs w:val="20"/>
          <w:color w:val="auto"/>
        </w:rPr>
      </w:pPr>
    </w:p>
    <w:p>
      <w:pPr>
        <w:spacing w:after="0" w:line="350" w:lineRule="exact"/>
        <w:rPr>
          <w:sz w:val="20"/>
          <w:szCs w:val="20"/>
          <w:color w:val="auto"/>
        </w:rPr>
      </w:pPr>
    </w:p>
    <w:p>
      <w:pPr>
        <w:ind w:right="320"/>
        <w:spacing w:after="0" w:line="241" w:lineRule="auto"/>
        <w:rPr>
          <w:sz w:val="20"/>
          <w:szCs w:val="20"/>
          <w:color w:val="auto"/>
        </w:rPr>
      </w:pPr>
      <w:r>
        <w:rPr>
          <w:rFonts w:ascii="Arial" w:cs="Arial" w:eastAsia="Arial" w:hAnsi="Arial"/>
          <w:sz w:val="18"/>
          <w:szCs w:val="18"/>
          <w:color w:val="auto"/>
        </w:rPr>
        <w:t>For the third quarter of 2025, investments in capital expenditures, net</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were $2.66 billion and adjusted free cash flow</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was $1.95 billion. Micron ended the quarter with cash, marketable investments, and restricted cash of $12.22 billion. On June 25, 2025, Micron’s Board of Directors declared a quarterly dividend of $0.115 per share, payable in cash on July 22, 2025, to shareholders of record as of the close of business on July 7, 2025.</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4"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47"/>
        </w:trPr>
        <w:tc>
          <w:tcPr>
            <w:tcW w:w="6460" w:type="dxa"/>
            <w:vAlign w:val="bottom"/>
          </w:tcPr>
          <w:p>
            <w:pPr>
              <w:spacing w:after="0"/>
              <w:rPr>
                <w:sz w:val="20"/>
                <w:szCs w:val="20"/>
                <w:color w:val="auto"/>
              </w:rPr>
            </w:pPr>
            <w:r>
              <w:rPr>
                <w:rFonts w:ascii="Arial" w:cs="Arial" w:eastAsia="Arial" w:hAnsi="Arial"/>
                <w:sz w:val="18"/>
                <w:szCs w:val="18"/>
                <w:b w:val="1"/>
                <w:bCs w:val="1"/>
                <w:color w:val="auto"/>
              </w:rPr>
              <w:t>Business Outlook</w:t>
            </w:r>
          </w:p>
        </w:tc>
        <w:tc>
          <w:tcPr>
            <w:tcW w:w="254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451"/>
        </w:trPr>
        <w:tc>
          <w:tcPr>
            <w:tcW w:w="6460" w:type="dxa"/>
            <w:vAlign w:val="bottom"/>
          </w:tcPr>
          <w:p>
            <w:pPr>
              <w:spacing w:after="0"/>
              <w:rPr>
                <w:sz w:val="20"/>
                <w:szCs w:val="20"/>
                <w:color w:val="auto"/>
              </w:rPr>
            </w:pPr>
            <w:r>
              <w:rPr>
                <w:rFonts w:ascii="Arial" w:cs="Arial" w:eastAsia="Arial" w:hAnsi="Arial"/>
                <w:sz w:val="18"/>
                <w:szCs w:val="18"/>
                <w:color w:val="auto"/>
              </w:rPr>
              <w:t>The following table presents Micron’s guidance for the fourth quarter of 2025:</w:t>
            </w:r>
          </w:p>
        </w:tc>
        <w:tc>
          <w:tcPr>
            <w:tcW w:w="25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52"/>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FQ4-25</w:t>
            </w:r>
          </w:p>
        </w:tc>
        <w:tc>
          <w:tcPr>
            <w:tcW w:w="2540" w:type="dxa"/>
            <w:vAlign w:val="bottom"/>
            <w:tcBorders>
              <w:bottom w:val="single" w:sz="8" w:color="auto"/>
            </w:tcBorders>
          </w:tcPr>
          <w:p>
            <w:pPr>
              <w:jc w:val="right"/>
              <w:ind w:right="430"/>
              <w:spacing w:after="0" w:line="253" w:lineRule="exact"/>
              <w:rPr>
                <w:sz w:val="20"/>
                <w:szCs w:val="20"/>
                <w:color w:val="auto"/>
              </w:rPr>
            </w:pPr>
            <w:r>
              <w:rPr>
                <w:rFonts w:ascii="Arial" w:cs="Arial" w:eastAsia="Arial" w:hAnsi="Arial"/>
                <w:sz w:val="18"/>
                <w:szCs w:val="18"/>
                <w:b w:val="1"/>
                <w:bCs w:val="1"/>
                <w:color w:val="auto"/>
              </w:rPr>
              <w:t>GAAP</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Outlook</w:t>
            </w:r>
          </w:p>
        </w:tc>
        <w:tc>
          <w:tcPr>
            <w:tcW w:w="2240" w:type="dxa"/>
            <w:vAlign w:val="bottom"/>
            <w:tcBorders>
              <w:bottom w:val="single" w:sz="8" w:color="auto"/>
            </w:tcBorders>
          </w:tcPr>
          <w:p>
            <w:pPr>
              <w:jc w:val="right"/>
              <w:ind w:right="170"/>
              <w:spacing w:after="0" w:line="253" w:lineRule="exact"/>
              <w:rPr>
                <w:sz w:val="20"/>
                <w:szCs w:val="20"/>
                <w:color w:val="auto"/>
              </w:rPr>
            </w:pPr>
            <w:r>
              <w:rPr>
                <w:rFonts w:ascii="Arial" w:cs="Arial" w:eastAsia="Arial" w:hAnsi="Arial"/>
                <w:sz w:val="18"/>
                <w:szCs w:val="18"/>
                <w:b w:val="1"/>
                <w:bCs w:val="1"/>
                <w:color w:val="auto"/>
              </w:rPr>
              <w:t>Non-GAAP</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 xml:space="preserve"> Outlook</w:t>
            </w:r>
          </w:p>
        </w:tc>
      </w:tr>
      <w:tr>
        <w:trPr>
          <w:trHeight w:val="34"/>
        </w:trPr>
        <w:tc>
          <w:tcPr>
            <w:tcW w:w="64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30"/>
        </w:trPr>
        <w:tc>
          <w:tcPr>
            <w:tcW w:w="6460" w:type="dxa"/>
            <w:vAlign w:val="bottom"/>
            <w:shd w:val="clear" w:color="auto" w:fill="DDDDDD"/>
          </w:tcPr>
          <w:p>
            <w:pPr>
              <w:ind w:left="20"/>
              <w:spacing w:after="0"/>
              <w:rPr>
                <w:sz w:val="20"/>
                <w:szCs w:val="20"/>
                <w:color w:val="auto"/>
              </w:rPr>
            </w:pPr>
            <w:r>
              <w:rPr>
                <w:rFonts w:ascii="Arial" w:cs="Arial" w:eastAsia="Arial" w:hAnsi="Arial"/>
                <w:sz w:val="18"/>
                <w:szCs w:val="18"/>
                <w:color w:val="auto"/>
              </w:rPr>
              <w:t>Revenue</w:t>
            </w:r>
          </w:p>
        </w:tc>
        <w:tc>
          <w:tcPr>
            <w:tcW w:w="25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$10.7 billion ± $300 million</w:t>
            </w:r>
          </w:p>
        </w:tc>
        <w:tc>
          <w:tcPr>
            <w:tcW w:w="22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$10.7 billion ± $300 million</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540" w:type="dxa"/>
            <w:vAlign w:val="bottom"/>
          </w:tcPr>
          <w:p>
            <w:pPr>
              <w:jc w:val="right"/>
              <w:spacing w:after="0"/>
              <w:rPr>
                <w:sz w:val="20"/>
                <w:szCs w:val="20"/>
                <w:color w:val="auto"/>
              </w:rPr>
            </w:pPr>
            <w:r>
              <w:rPr>
                <w:rFonts w:ascii="Arial" w:cs="Arial" w:eastAsia="Arial" w:hAnsi="Arial"/>
                <w:sz w:val="18"/>
                <w:szCs w:val="18"/>
                <w:color w:val="auto"/>
              </w:rPr>
              <w:t>41.0% ± 1.0%</w:t>
            </w:r>
          </w:p>
        </w:tc>
        <w:tc>
          <w:tcPr>
            <w:tcW w:w="2240" w:type="dxa"/>
            <w:vAlign w:val="bottom"/>
          </w:tcPr>
          <w:p>
            <w:pPr>
              <w:jc w:val="right"/>
              <w:spacing w:after="0"/>
              <w:rPr>
                <w:sz w:val="20"/>
                <w:szCs w:val="20"/>
                <w:color w:val="auto"/>
              </w:rPr>
            </w:pPr>
            <w:r>
              <w:rPr>
                <w:rFonts w:ascii="Arial" w:cs="Arial" w:eastAsia="Arial" w:hAnsi="Arial"/>
                <w:sz w:val="18"/>
                <w:szCs w:val="18"/>
                <w:color w:val="auto"/>
              </w:rPr>
              <w:t>42.0% ± 1.0%</w:t>
            </w:r>
          </w:p>
        </w:tc>
      </w:tr>
      <w:tr>
        <w:trPr>
          <w:trHeight w:val="229"/>
        </w:trPr>
        <w:tc>
          <w:tcPr>
            <w:tcW w:w="6460" w:type="dxa"/>
            <w:vAlign w:val="bottom"/>
            <w:shd w:val="clear" w:color="auto" w:fill="DDDDDD"/>
          </w:tcPr>
          <w:p>
            <w:pPr>
              <w:ind w:left="20"/>
              <w:spacing w:after="0"/>
              <w:rPr>
                <w:sz w:val="20"/>
                <w:szCs w:val="20"/>
                <w:color w:val="auto"/>
              </w:rPr>
            </w:pPr>
            <w:r>
              <w:rPr>
                <w:rFonts w:ascii="Arial" w:cs="Arial" w:eastAsia="Arial" w:hAnsi="Arial"/>
                <w:sz w:val="18"/>
                <w:szCs w:val="18"/>
                <w:color w:val="auto"/>
              </w:rPr>
              <w:t>Operating expenses</w:t>
            </w:r>
          </w:p>
        </w:tc>
        <w:tc>
          <w:tcPr>
            <w:tcW w:w="25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$1.35 billion ± $20 million</w:t>
            </w:r>
          </w:p>
        </w:tc>
        <w:tc>
          <w:tcPr>
            <w:tcW w:w="22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$1.20 billion ± $20 million</w:t>
            </w:r>
          </w:p>
        </w:tc>
      </w:tr>
      <w:tr>
        <w:trPr>
          <w:trHeight w:val="239"/>
        </w:trPr>
        <w:tc>
          <w:tcPr>
            <w:tcW w:w="646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2540" w:type="dxa"/>
            <w:vAlign w:val="bottom"/>
          </w:tcPr>
          <w:p>
            <w:pPr>
              <w:jc w:val="right"/>
              <w:spacing w:after="0"/>
              <w:rPr>
                <w:sz w:val="20"/>
                <w:szCs w:val="20"/>
                <w:color w:val="auto"/>
              </w:rPr>
            </w:pPr>
            <w:r>
              <w:rPr>
                <w:rFonts w:ascii="Arial" w:cs="Arial" w:eastAsia="Arial" w:hAnsi="Arial"/>
                <w:sz w:val="18"/>
                <w:szCs w:val="18"/>
                <w:color w:val="auto"/>
              </w:rPr>
              <w:t>$2.29 ± $0.15</w:t>
            </w:r>
          </w:p>
        </w:tc>
        <w:tc>
          <w:tcPr>
            <w:tcW w:w="2240" w:type="dxa"/>
            <w:vAlign w:val="bottom"/>
          </w:tcPr>
          <w:p>
            <w:pPr>
              <w:jc w:val="right"/>
              <w:spacing w:after="0"/>
              <w:rPr>
                <w:sz w:val="20"/>
                <w:szCs w:val="20"/>
                <w:color w:val="auto"/>
              </w:rPr>
            </w:pPr>
            <w:r>
              <w:rPr>
                <w:rFonts w:ascii="Arial" w:cs="Arial" w:eastAsia="Arial" w:hAnsi="Arial"/>
                <w:sz w:val="18"/>
                <w:szCs w:val="18"/>
                <w:color w:val="auto"/>
              </w:rPr>
              <w:t>$2.50 ± $0.15</w:t>
            </w:r>
          </w:p>
        </w:tc>
      </w:tr>
    </w:tbl>
    <w:p>
      <w:pPr>
        <w:spacing w:after="0" w:line="309"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color w:val="auto"/>
        </w:rPr>
        <w:t xml:space="preserve">Further information regarding Micron’s business outlook is included in the prepared remarks and slides, which have been posted at </w:t>
      </w:r>
      <w:r>
        <w:rPr>
          <w:rFonts w:ascii="Arial" w:cs="Arial" w:eastAsia="Arial" w:hAnsi="Arial"/>
          <w:sz w:val="18"/>
          <w:szCs w:val="18"/>
          <w:u w:val="single" w:color="auto"/>
          <w:color w:val="BD03F7"/>
        </w:rPr>
        <w:t>investors.micron.com</w:t>
      </w:r>
      <w:r>
        <w:rPr>
          <w:rFonts w:ascii="Arial" w:cs="Arial" w:eastAsia="Arial" w:hAnsi="Arial"/>
          <w:sz w:val="18"/>
          <w:szCs w:val="18"/>
          <w:color w:val="000000"/>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Webcast</w:t>
      </w:r>
    </w:p>
    <w:p>
      <w:pPr>
        <w:spacing w:after="0" w:line="252" w:lineRule="exact"/>
        <w:rPr>
          <w:sz w:val="20"/>
          <w:szCs w:val="20"/>
          <w:color w:val="auto"/>
        </w:rPr>
      </w:pPr>
    </w:p>
    <w:p>
      <w:pPr>
        <w:jc w:val="both"/>
        <w:ind w:right="140"/>
        <w:spacing w:after="0" w:line="291" w:lineRule="auto"/>
        <w:rPr>
          <w:sz w:val="20"/>
          <w:szCs w:val="20"/>
          <w:color w:val="auto"/>
        </w:rPr>
      </w:pPr>
      <w:r>
        <w:rPr>
          <w:rFonts w:ascii="Arial" w:cs="Arial" w:eastAsia="Arial" w:hAnsi="Arial"/>
          <w:sz w:val="17"/>
          <w:szCs w:val="17"/>
          <w:color w:val="auto"/>
        </w:rPr>
        <w:t xml:space="preserve">Micron will host a conference call on Wednesday, June 25, 2025 at 2:30 p.m. Mountain Time to discuss its third quarter financial results and provide forward-looking guidance for its fourth quarter. A live webcast of the call will be available online at </w:t>
      </w:r>
      <w:r>
        <w:rPr>
          <w:rFonts w:ascii="Arial" w:cs="Arial" w:eastAsia="Arial" w:hAnsi="Arial"/>
          <w:sz w:val="17"/>
          <w:szCs w:val="17"/>
          <w:u w:val="single" w:color="auto"/>
          <w:color w:val="BD03F7"/>
        </w:rPr>
        <w:t>investors.micron.com</w:t>
      </w:r>
      <w:r>
        <w:rPr>
          <w:rFonts w:ascii="Arial" w:cs="Arial" w:eastAsia="Arial" w:hAnsi="Arial"/>
          <w:sz w:val="17"/>
          <w:szCs w:val="17"/>
          <w:color w:val="auto"/>
        </w:rPr>
        <w:t>. A webcast replay will be available for one year after the call. For Investor Relations and other company updates, follow us on X @MicronTech.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Micron Technology, Inc.</w:t>
      </w:r>
    </w:p>
    <w:p>
      <w:pPr>
        <w:spacing w:after="0" w:line="252"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 xml:space="preserve">We are an industry leader in innovative memory and storage solutions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xml:space="preserve">. With a relentless focus on our customers, technology leadership,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(AI) and compute-intensive applications that unleash opportunities — from the data center to the intelligent edge and across the client and mobile user experience. To learn more about Micron Technology, Inc. (Nasdaq: MU), visit </w:t>
      </w:r>
      <w:r>
        <w:rPr>
          <w:rFonts w:ascii="Arial" w:cs="Arial" w:eastAsia="Arial" w:hAnsi="Arial"/>
          <w:sz w:val="18"/>
          <w:szCs w:val="18"/>
          <w:u w:val="single" w:color="auto"/>
          <w:color w:val="BD03F7"/>
        </w:rPr>
        <w:t>micron.com</w:t>
      </w:r>
      <w:r>
        <w:rPr>
          <w:rFonts w:ascii="Arial" w:cs="Arial" w:eastAsia="Arial" w:hAnsi="Arial"/>
          <w:sz w:val="18"/>
          <w:szCs w:val="18"/>
          <w:color w:val="auto"/>
        </w:rPr>
        <w:t>.</w:t>
      </w:r>
    </w:p>
    <w:p>
      <w:pPr>
        <w:spacing w:after="0" w:line="219" w:lineRule="exact"/>
        <w:rPr>
          <w:sz w:val="20"/>
          <w:szCs w:val="20"/>
          <w:color w:val="auto"/>
        </w:rPr>
      </w:pPr>
    </w:p>
    <w:p>
      <w:pPr>
        <w:ind w:right="520" w:firstLine="8"/>
        <w:spacing w:after="0" w:line="269" w:lineRule="auto"/>
        <w:tabs>
          <w:tab w:leader="none" w:pos="183"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2025 Micron Technology, Inc. All rights reserved. Micron, the Micron logo, and all other Micron trademarks are the property of Micron Technology, Inc. All other trademarks are the property of their respective owners.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This press release contains forward-looking statements regarding our technologies, demand for our products, our investments, our industry and our financial and operating results, including our expectations and guidance for the fourth quarter of 2025 and full fiscal year. These forward-looking statements are subject to a number of risks and uncertainties that could cause actual results to differ materially. Please refer to the documents we file with the Securities and Exchange Commission, including our most recent Form 10-K and our upcoming Form 10-Q. These documents contain and identify important factors that could cause our actual results to differ materially from those contained in these forward-looking statements. These certain factors can be found at </w:t>
      </w:r>
      <w:r>
        <w:rPr>
          <w:rFonts w:ascii="Arial" w:cs="Arial" w:eastAsia="Arial" w:hAnsi="Arial"/>
          <w:sz w:val="18"/>
          <w:szCs w:val="18"/>
          <w:u w:val="single" w:color="auto"/>
          <w:color w:val="BD03F7"/>
        </w:rPr>
        <w:t>investors.micron.com/risk-factor</w:t>
      </w:r>
      <w:r>
        <w:rPr>
          <w:rFonts w:ascii="Arial" w:cs="Arial" w:eastAsia="Arial" w:hAnsi="Arial"/>
          <w:sz w:val="18"/>
          <w:szCs w:val="18"/>
          <w:color w:val="auto"/>
        </w:rPr>
        <w:t>. Although we believe that the expectations reflected in the forward-looking statements are reasonable, we cannot guarantee future results, levels of activity, performance, or achievements. We are under no duty to update any of the forward-looking statements to conform these statements to actual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20" w:hanging="312"/>
        <w:spacing w:after="0"/>
        <w:tabs>
          <w:tab w:leader="none" w:pos="32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GAAP represents U.S. Generally Accepted Accounting Principles.</w:t>
      </w:r>
    </w:p>
    <w:p>
      <w:pPr>
        <w:jc w:val="both"/>
        <w:ind w:left="340" w:right="220" w:hanging="332"/>
        <w:spacing w:after="0" w:line="230" w:lineRule="auto"/>
        <w:tabs>
          <w:tab w:leader="none" w:pos="334"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Non-GAAP represents GAAP excluding the impact of certain activities, which management excludes in analyzing our operating results and understanding trends in our earnings, adjusted free cash flow, and business outlook. Further information regarding Micron’s use of non-GAAP measures and reconciliations between GAAP and non-GAAP measures are included within this press release.</w:t>
      </w: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89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3rd Qtr.</w:t>
            </w:r>
          </w:p>
        </w:tc>
        <w:tc>
          <w:tcPr>
            <w:tcW w:w="14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2nd Qtr.</w:t>
            </w:r>
          </w:p>
        </w:tc>
        <w:tc>
          <w:tcPr>
            <w:tcW w:w="240" w:type="dxa"/>
            <w:vAlign w:val="bottom"/>
          </w:tcPr>
          <w:p>
            <w:pPr>
              <w:spacing w:after="0"/>
              <w:rPr>
                <w:sz w:val="20"/>
                <w:szCs w:val="20"/>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3rd Qtr.</w:t>
            </w:r>
          </w:p>
        </w:tc>
        <w:tc>
          <w:tcPr>
            <w:tcW w:w="2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Nine Months Ended</w:t>
            </w:r>
          </w:p>
        </w:tc>
      </w:tr>
      <w:tr>
        <w:trPr>
          <w:trHeight w:val="169"/>
        </w:trPr>
        <w:tc>
          <w:tcPr>
            <w:tcW w:w="4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center"/>
              <w:ind w:right="130"/>
              <w:spacing w:after="0" w:line="169" w:lineRule="exact"/>
              <w:rPr>
                <w:sz w:val="20"/>
                <w:szCs w:val="20"/>
                <w:color w:val="auto"/>
              </w:rPr>
            </w:pPr>
            <w:r>
              <w:rPr>
                <w:rFonts w:ascii="Arial" w:cs="Arial" w:eastAsia="Arial" w:hAnsi="Arial"/>
                <w:sz w:val="18"/>
                <w:szCs w:val="18"/>
                <w:b w:val="1"/>
                <w:bCs w:val="1"/>
                <w:color w:val="auto"/>
              </w:rPr>
              <w:t>May 29,</w:t>
            </w:r>
          </w:p>
        </w:tc>
        <w:tc>
          <w:tcPr>
            <w:tcW w:w="140" w:type="dxa"/>
            <w:vAlign w:val="bottom"/>
          </w:tcPr>
          <w:p>
            <w:pPr>
              <w:spacing w:after="0"/>
              <w:rPr>
                <w:sz w:val="14"/>
                <w:szCs w:val="14"/>
                <w:color w:val="auto"/>
              </w:rPr>
            </w:pPr>
          </w:p>
        </w:tc>
        <w:tc>
          <w:tcPr>
            <w:tcW w:w="1200" w:type="dxa"/>
            <w:vAlign w:val="bottom"/>
          </w:tcPr>
          <w:p>
            <w:pPr>
              <w:jc w:val="center"/>
              <w:ind w:right="30"/>
              <w:spacing w:after="0" w:line="169" w:lineRule="exact"/>
              <w:rPr>
                <w:sz w:val="20"/>
                <w:szCs w:val="20"/>
                <w:color w:val="auto"/>
              </w:rPr>
            </w:pPr>
            <w:r>
              <w:rPr>
                <w:rFonts w:ascii="Arial" w:cs="Arial" w:eastAsia="Arial" w:hAnsi="Arial"/>
                <w:sz w:val="18"/>
                <w:szCs w:val="18"/>
                <w:b w:val="1"/>
                <w:bCs w:val="1"/>
                <w:color w:val="auto"/>
              </w:rPr>
              <w:t>February 27,</w:t>
            </w:r>
          </w:p>
        </w:tc>
        <w:tc>
          <w:tcPr>
            <w:tcW w:w="240" w:type="dxa"/>
            <w:vAlign w:val="bottom"/>
          </w:tcPr>
          <w:p>
            <w:pPr>
              <w:spacing w:after="0"/>
              <w:rPr>
                <w:sz w:val="14"/>
                <w:szCs w:val="14"/>
                <w:color w:val="auto"/>
              </w:rPr>
            </w:pPr>
          </w:p>
        </w:tc>
        <w:tc>
          <w:tcPr>
            <w:tcW w:w="1080" w:type="dxa"/>
            <w:vAlign w:val="bottom"/>
          </w:tcPr>
          <w:p>
            <w:pPr>
              <w:jc w:val="center"/>
              <w:ind w:right="130"/>
              <w:spacing w:after="0" w:line="169" w:lineRule="exact"/>
              <w:rPr>
                <w:sz w:val="20"/>
                <w:szCs w:val="20"/>
                <w:color w:val="auto"/>
              </w:rPr>
            </w:pPr>
            <w:r>
              <w:rPr>
                <w:rFonts w:ascii="Arial" w:cs="Arial" w:eastAsia="Arial" w:hAnsi="Arial"/>
                <w:sz w:val="18"/>
                <w:szCs w:val="18"/>
                <w:b w:val="1"/>
                <w:bCs w:val="1"/>
                <w:color w:val="auto"/>
              </w:rPr>
              <w:t>May 30,</w:t>
            </w:r>
          </w:p>
        </w:tc>
        <w:tc>
          <w:tcPr>
            <w:tcW w:w="240" w:type="dxa"/>
            <w:vAlign w:val="bottom"/>
          </w:tcPr>
          <w:p>
            <w:pPr>
              <w:spacing w:after="0"/>
              <w:rPr>
                <w:sz w:val="14"/>
                <w:szCs w:val="14"/>
                <w:color w:val="auto"/>
              </w:rPr>
            </w:pPr>
          </w:p>
        </w:tc>
        <w:tc>
          <w:tcPr>
            <w:tcW w:w="1100" w:type="dxa"/>
            <w:vAlign w:val="bottom"/>
          </w:tcPr>
          <w:p>
            <w:pPr>
              <w:jc w:val="right"/>
              <w:ind w:right="250"/>
              <w:spacing w:after="0" w:line="169" w:lineRule="exact"/>
              <w:rPr>
                <w:sz w:val="20"/>
                <w:szCs w:val="20"/>
                <w:color w:val="auto"/>
              </w:rPr>
            </w:pPr>
            <w:r>
              <w:rPr>
                <w:rFonts w:ascii="Arial" w:cs="Arial" w:eastAsia="Arial" w:hAnsi="Arial"/>
                <w:sz w:val="18"/>
                <w:szCs w:val="18"/>
                <w:b w:val="1"/>
                <w:bCs w:val="1"/>
                <w:color w:val="auto"/>
              </w:rPr>
              <w:t>May 29,</w:t>
            </w:r>
          </w:p>
        </w:tc>
        <w:tc>
          <w:tcPr>
            <w:tcW w:w="240" w:type="dxa"/>
            <w:vAlign w:val="bottom"/>
          </w:tcPr>
          <w:p>
            <w:pPr>
              <w:spacing w:after="0"/>
              <w:rPr>
                <w:sz w:val="14"/>
                <w:szCs w:val="14"/>
                <w:color w:val="auto"/>
              </w:rPr>
            </w:pPr>
          </w:p>
        </w:tc>
        <w:tc>
          <w:tcPr>
            <w:tcW w:w="1100" w:type="dxa"/>
            <w:vAlign w:val="bottom"/>
          </w:tcPr>
          <w:p>
            <w:pPr>
              <w:jc w:val="right"/>
              <w:ind w:right="250"/>
              <w:spacing w:after="0" w:line="169" w:lineRule="exact"/>
              <w:rPr>
                <w:sz w:val="20"/>
                <w:szCs w:val="20"/>
                <w:color w:val="auto"/>
              </w:rPr>
            </w:pPr>
            <w:r>
              <w:rPr>
                <w:rFonts w:ascii="Arial" w:cs="Arial" w:eastAsia="Arial" w:hAnsi="Arial"/>
                <w:sz w:val="18"/>
                <w:szCs w:val="18"/>
                <w:b w:val="1"/>
                <w:bCs w:val="1"/>
                <w:color w:val="auto"/>
              </w:rPr>
              <w:t>May 30,</w:t>
            </w:r>
          </w:p>
        </w:tc>
      </w:tr>
      <w:tr>
        <w:trPr>
          <w:trHeight w:val="243"/>
        </w:trPr>
        <w:tc>
          <w:tcPr>
            <w:tcW w:w="45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2025</w:t>
            </w: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2025</w:t>
            </w: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2024</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r>
      <w:tr>
        <w:trPr>
          <w:trHeight w:val="34"/>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9,301</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8,053</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6,811</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26,063</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17,361</w:t>
            </w:r>
          </w:p>
        </w:tc>
      </w:tr>
      <w:tr>
        <w:trPr>
          <w:trHeight w:val="229"/>
        </w:trPr>
        <w:tc>
          <w:tcPr>
            <w:tcW w:w="45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5,793</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5,090</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4,979</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16,244</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14,485</w:t>
            </w:r>
          </w:p>
        </w:tc>
      </w:tr>
      <w:tr>
        <w:trPr>
          <w:trHeight w:val="223"/>
        </w:trPr>
        <w:tc>
          <w:tcPr>
            <w:tcW w:w="45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3,508</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2,963</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1,832</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9,819</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2,876</w:t>
            </w:r>
          </w:p>
        </w:tc>
      </w:tr>
      <w:tr>
        <w:trPr>
          <w:trHeight w:val="257"/>
        </w:trPr>
        <w:tc>
          <w:tcPr>
            <w:tcW w:w="4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29"/>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965</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898</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850</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2,751</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2,527</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318</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285</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291</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891</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834</w:t>
            </w:r>
          </w:p>
        </w:tc>
      </w:tr>
      <w:tr>
        <w:trPr>
          <w:trHeight w:val="230"/>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operating (income) expense, net</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56</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(28)</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61</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(267)</w:t>
            </w:r>
          </w:p>
        </w:tc>
      </w:tr>
      <w:tr>
        <w:trPr>
          <w:trHeight w:val="223"/>
        </w:trPr>
        <w:tc>
          <w:tcPr>
            <w:tcW w:w="4580" w:type="dxa"/>
            <w:vAlign w:val="bottom"/>
          </w:tcPr>
          <w:p>
            <w:pPr>
              <w:ind w:left="220"/>
              <w:spacing w:after="0"/>
              <w:rPr>
                <w:sz w:val="20"/>
                <w:szCs w:val="20"/>
                <w:color w:val="auto"/>
              </w:rPr>
            </w:pPr>
            <w:r>
              <w:rPr>
                <w:rFonts w:ascii="Arial" w:cs="Arial" w:eastAsia="Arial" w:hAnsi="Arial"/>
                <w:sz w:val="18"/>
                <w:szCs w:val="18"/>
                <w:color w:val="auto"/>
              </w:rPr>
              <w:t>Operating income (loss)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2,169</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1,773</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719</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6,116</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57"/>
        </w:trPr>
        <w:tc>
          <w:tcPr>
            <w:tcW w:w="458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08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20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08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350</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398</w:t>
            </w:r>
          </w:p>
        </w:tc>
      </w:tr>
      <w:tr>
        <w:trPr>
          <w:trHeight w:val="229"/>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(150)</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(353)</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(426)</w:t>
            </w:r>
          </w:p>
        </w:tc>
      </w:tr>
      <w:tr>
        <w:trPr>
          <w:trHeight w:val="229"/>
        </w:trPr>
        <w:tc>
          <w:tcPr>
            <w:tcW w:w="45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non-operating income (expense), net</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45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2,113</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1,758</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715</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6,023</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(270)</w:t>
            </w:r>
          </w:p>
        </w:tc>
      </w:tr>
      <w:tr>
        <w:trPr>
          <w:trHeight w:val="257"/>
        </w:trPr>
        <w:tc>
          <w:tcPr>
            <w:tcW w:w="4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29"/>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tax (provision) benefit</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(235)</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(177)</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(377)</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(695)</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172</w:t>
            </w:r>
          </w:p>
        </w:tc>
      </w:tr>
      <w:tr>
        <w:trPr>
          <w:trHeight w:val="230"/>
        </w:trPr>
        <w:tc>
          <w:tcPr>
            <w:tcW w:w="45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Equity in net income (loss) of equity method investees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48"/>
        </w:trPr>
        <w:tc>
          <w:tcPr>
            <w:tcW w:w="4580" w:type="dxa"/>
            <w:vAlign w:val="bottom"/>
            <w:tcBorders>
              <w:bottom w:val="single" w:sz="8" w:color="D1D2D4"/>
            </w:tcBorders>
            <w:shd w:val="clear" w:color="auto" w:fill="D1D2D4"/>
          </w:tcPr>
          <w:p>
            <w:pPr>
              <w:ind w:left="22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1,885</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1,583</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332</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5,338</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(109)</w:t>
            </w:r>
          </w:p>
        </w:tc>
      </w:tr>
      <w:tr>
        <w:trPr>
          <w:trHeight w:val="20"/>
        </w:trPr>
        <w:tc>
          <w:tcPr>
            <w:tcW w:w="4580" w:type="dxa"/>
            <w:vAlign w:val="bottom"/>
            <w:tcBorders>
              <w:top w:val="single" w:sz="8" w:color="D1D2D4"/>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08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08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r>
      <w:tr>
        <w:trPr>
          <w:trHeight w:val="203"/>
        </w:trPr>
        <w:tc>
          <w:tcPr>
            <w:tcW w:w="4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Earnings (loss) per share</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r>
      <w:tr>
        <w:trPr>
          <w:trHeight w:val="230"/>
        </w:trPr>
        <w:tc>
          <w:tcPr>
            <w:tcW w:w="4580" w:type="dxa"/>
            <w:vAlign w:val="bottom"/>
          </w:tcPr>
          <w:p>
            <w:pPr>
              <w:ind w:left="22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1.69</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0.30</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4.79</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(0.10)</w:t>
            </w:r>
          </w:p>
        </w:tc>
      </w:tr>
      <w:tr>
        <w:trPr>
          <w:trHeight w:val="230"/>
        </w:trPr>
        <w:tc>
          <w:tcPr>
            <w:tcW w:w="45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1.68</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1.41</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0.30</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4.75</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(0.10)</w:t>
            </w:r>
          </w:p>
        </w:tc>
      </w:tr>
      <w:tr>
        <w:trPr>
          <w:trHeight w:val="256"/>
        </w:trPr>
        <w:tc>
          <w:tcPr>
            <w:tcW w:w="4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30"/>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Number of shares used in per share calculations</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r>
      <w:tr>
        <w:trPr>
          <w:trHeight w:val="230"/>
        </w:trPr>
        <w:tc>
          <w:tcPr>
            <w:tcW w:w="4580" w:type="dxa"/>
            <w:vAlign w:val="bottom"/>
          </w:tcPr>
          <w:p>
            <w:pPr>
              <w:ind w:left="22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1,118</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1,115</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1,107</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1,114</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1,104</w:t>
            </w:r>
          </w:p>
        </w:tc>
      </w:tr>
      <w:tr>
        <w:trPr>
          <w:trHeight w:val="229"/>
        </w:trPr>
        <w:tc>
          <w:tcPr>
            <w:tcW w:w="45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1,125</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1,123</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1,123</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1,123</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13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20" w:type="dxa"/>
            <w:vAlign w:val="bottom"/>
          </w:tcPr>
          <w:p>
            <w:pPr>
              <w:spacing w:after="0"/>
              <w:rPr>
                <w:sz w:val="17"/>
                <w:szCs w:val="17"/>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b w:val="1"/>
                <w:bCs w:val="1"/>
                <w:color w:val="auto"/>
              </w:rPr>
              <w:t>May 29,</w:t>
            </w:r>
          </w:p>
        </w:tc>
        <w:tc>
          <w:tcPr>
            <w:tcW w:w="140" w:type="dxa"/>
            <w:vAlign w:val="bottom"/>
          </w:tcPr>
          <w:p>
            <w:pPr>
              <w:spacing w:after="0"/>
              <w:rPr>
                <w:sz w:val="17"/>
                <w:szCs w:val="17"/>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w w:val="98"/>
              </w:rPr>
              <w:t>February 27,</w:t>
            </w:r>
          </w:p>
        </w:tc>
        <w:tc>
          <w:tcPr>
            <w:tcW w:w="160" w:type="dxa"/>
            <w:vAlign w:val="bottom"/>
          </w:tcPr>
          <w:p>
            <w:pPr>
              <w:spacing w:after="0"/>
              <w:rPr>
                <w:sz w:val="17"/>
                <w:szCs w:val="17"/>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rPr>
              <w:t>August 29,</w:t>
            </w:r>
          </w:p>
        </w:tc>
        <w:tc>
          <w:tcPr>
            <w:tcW w:w="0" w:type="dxa"/>
            <w:vAlign w:val="bottom"/>
          </w:tcPr>
          <w:p>
            <w:pPr>
              <w:spacing w:after="0"/>
              <w:rPr>
                <w:sz w:val="1"/>
                <w:szCs w:val="1"/>
                <w:color w:val="auto"/>
              </w:rPr>
            </w:pPr>
          </w:p>
        </w:tc>
      </w:tr>
      <w:tr>
        <w:trPr>
          <w:trHeight w:val="243"/>
        </w:trPr>
        <w:tc>
          <w:tcPr>
            <w:tcW w:w="724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34"/>
        </w:trPr>
        <w:tc>
          <w:tcPr>
            <w:tcW w:w="7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10,163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7,552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7,041</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Short-term investments</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648</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663</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7,436</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6,504</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6,615</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8,727</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9,007</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8,875</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23"/>
        </w:trPr>
        <w:tc>
          <w:tcPr>
            <w:tcW w:w="72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27,919</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24,689</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24,372</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Long-term marketable investments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1,402</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1,375</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Property, plant, and equipment</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44,773</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42,528</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39,749</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628</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637</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Intangible assets</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426</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423</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483</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552</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1,150</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1,150</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29"/>
        </w:trPr>
        <w:tc>
          <w:tcPr>
            <w:tcW w:w="72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D1D2D4"/>
            </w:tcBorders>
            <w:shd w:val="clear" w:color="auto" w:fill="D1D2D4"/>
          </w:tcPr>
          <w:p>
            <w:pPr>
              <w:ind w:left="5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78,397</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73,053</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69,416</w:t>
            </w:r>
          </w:p>
        </w:tc>
        <w:tc>
          <w:tcPr>
            <w:tcW w:w="0" w:type="dxa"/>
            <w:vAlign w:val="bottom"/>
          </w:tcPr>
          <w:p>
            <w:pPr>
              <w:spacing w:after="0"/>
              <w:rPr>
                <w:sz w:val="1"/>
                <w:szCs w:val="1"/>
                <w:color w:val="auto"/>
              </w:rPr>
            </w:pPr>
          </w:p>
        </w:tc>
      </w:tr>
      <w:tr>
        <w:trPr>
          <w:trHeight w:val="20"/>
        </w:trPr>
        <w:tc>
          <w:tcPr>
            <w:tcW w:w="724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8,761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6,176</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7,299</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Current debt</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538</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504</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29"/>
        </w:trPr>
        <w:tc>
          <w:tcPr>
            <w:tcW w:w="72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23"/>
        </w:trPr>
        <w:tc>
          <w:tcPr>
            <w:tcW w:w="72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10,135</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7,877</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9,248</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15,003</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13,851</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12,966</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Noncurrent operating lease liabilities</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600</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599</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Noncurrent unearned government incentives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603</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836</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1,308</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1,257</w:t>
            </w:r>
          </w:p>
        </w:tc>
        <w:tc>
          <w:tcPr>
            <w:tcW w:w="1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D1D2D4"/>
            </w:tcBorders>
          </w:tcPr>
          <w:p>
            <w:pPr>
              <w:ind w:left="36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27,649</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24,420</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24,285</w:t>
            </w:r>
          </w:p>
        </w:tc>
        <w:tc>
          <w:tcPr>
            <w:tcW w:w="0" w:type="dxa"/>
            <w:vAlign w:val="bottom"/>
          </w:tcPr>
          <w:p>
            <w:pPr>
              <w:spacing w:after="0"/>
              <w:rPr>
                <w:sz w:val="1"/>
                <w:szCs w:val="1"/>
                <w:color w:val="auto"/>
              </w:rPr>
            </w:pPr>
          </w:p>
        </w:tc>
      </w:tr>
      <w:tr>
        <w:trPr>
          <w:trHeight w:val="196"/>
        </w:trPr>
        <w:tc>
          <w:tcPr>
            <w:tcW w:w="7240" w:type="dxa"/>
            <w:vAlign w:val="bottom"/>
            <w:shd w:val="clear" w:color="auto" w:fill="D1D2D4"/>
          </w:tcPr>
          <w:p>
            <w:pPr>
              <w:spacing w:after="0"/>
              <w:rPr>
                <w:sz w:val="17"/>
                <w:szCs w:val="17"/>
                <w:color w:val="auto"/>
              </w:rPr>
            </w:pPr>
          </w:p>
        </w:tc>
        <w:tc>
          <w:tcPr>
            <w:tcW w:w="220" w:type="dxa"/>
            <w:vAlign w:val="bottom"/>
            <w:shd w:val="clear" w:color="auto" w:fill="D1D2D4"/>
          </w:tcPr>
          <w:p>
            <w:pPr>
              <w:spacing w:after="0"/>
              <w:rPr>
                <w:sz w:val="17"/>
                <w:szCs w:val="17"/>
                <w:color w:val="auto"/>
              </w:rPr>
            </w:pPr>
          </w:p>
        </w:tc>
        <w:tc>
          <w:tcPr>
            <w:tcW w:w="1100" w:type="dxa"/>
            <w:vAlign w:val="bottom"/>
            <w:shd w:val="clear" w:color="auto" w:fill="D1D2D4"/>
          </w:tcPr>
          <w:p>
            <w:pPr>
              <w:spacing w:after="0"/>
              <w:rPr>
                <w:sz w:val="17"/>
                <w:szCs w:val="17"/>
                <w:color w:val="auto"/>
              </w:rPr>
            </w:pPr>
          </w:p>
        </w:tc>
        <w:tc>
          <w:tcPr>
            <w:tcW w:w="140" w:type="dxa"/>
            <w:vAlign w:val="bottom"/>
            <w:shd w:val="clear" w:color="auto" w:fill="D1D2D4"/>
          </w:tcPr>
          <w:p>
            <w:pPr>
              <w:spacing w:after="0"/>
              <w:rPr>
                <w:sz w:val="17"/>
                <w:szCs w:val="17"/>
                <w:color w:val="auto"/>
              </w:rPr>
            </w:pPr>
          </w:p>
        </w:tc>
        <w:tc>
          <w:tcPr>
            <w:tcW w:w="1200" w:type="dxa"/>
            <w:vAlign w:val="bottom"/>
            <w:shd w:val="clear" w:color="auto" w:fill="D1D2D4"/>
          </w:tcPr>
          <w:p>
            <w:pPr>
              <w:spacing w:after="0"/>
              <w:rPr>
                <w:sz w:val="17"/>
                <w:szCs w:val="17"/>
                <w:color w:val="auto"/>
              </w:rPr>
            </w:pPr>
          </w:p>
        </w:tc>
        <w:tc>
          <w:tcPr>
            <w:tcW w:w="160" w:type="dxa"/>
            <w:vAlign w:val="bottom"/>
            <w:shd w:val="clear" w:color="auto" w:fill="D1D2D4"/>
          </w:tcPr>
          <w:p>
            <w:pPr>
              <w:spacing w:after="0"/>
              <w:rPr>
                <w:sz w:val="17"/>
                <w:szCs w:val="17"/>
                <w:color w:val="auto"/>
              </w:rPr>
            </w:pPr>
          </w:p>
        </w:tc>
        <w:tc>
          <w:tcPr>
            <w:tcW w:w="118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D1D2D4"/>
          </w:tcPr>
          <w:p>
            <w:pPr>
              <w:spacing w:after="0"/>
              <w:rPr>
                <w:sz w:val="18"/>
                <w:szCs w:val="18"/>
                <w:color w:val="auto"/>
              </w:rPr>
            </w:pPr>
          </w:p>
        </w:tc>
        <w:tc>
          <w:tcPr>
            <w:tcW w:w="220" w:type="dxa"/>
            <w:vAlign w:val="bottom"/>
            <w:shd w:val="clear" w:color="auto" w:fill="D1D2D4"/>
          </w:tcPr>
          <w:p>
            <w:pPr>
              <w:spacing w:after="0"/>
              <w:rPr>
                <w:sz w:val="18"/>
                <w:szCs w:val="18"/>
                <w:color w:val="auto"/>
              </w:rPr>
            </w:pPr>
          </w:p>
        </w:tc>
        <w:tc>
          <w:tcPr>
            <w:tcW w:w="1100" w:type="dxa"/>
            <w:vAlign w:val="bottom"/>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1200" w:type="dxa"/>
            <w:vAlign w:val="bottom"/>
            <w:shd w:val="clear" w:color="auto" w:fill="D1D2D4"/>
          </w:tcPr>
          <w:p>
            <w:pPr>
              <w:spacing w:after="0"/>
              <w:rPr>
                <w:sz w:val="18"/>
                <w:szCs w:val="18"/>
                <w:color w:val="auto"/>
              </w:rPr>
            </w:pPr>
          </w:p>
        </w:tc>
        <w:tc>
          <w:tcPr>
            <w:tcW w:w="160" w:type="dxa"/>
            <w:vAlign w:val="bottom"/>
            <w:shd w:val="clear" w:color="auto" w:fill="D1D2D4"/>
          </w:tcPr>
          <w:p>
            <w:pPr>
              <w:spacing w:after="0"/>
              <w:rPr>
                <w:sz w:val="18"/>
                <w:szCs w:val="18"/>
                <w:color w:val="auto"/>
              </w:rPr>
            </w:pPr>
          </w:p>
        </w:tc>
        <w:tc>
          <w:tcPr>
            <w:tcW w:w="118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100"/>
              <w:spacing w:after="0"/>
              <w:rPr>
                <w:sz w:val="20"/>
                <w:szCs w:val="20"/>
                <w:color w:val="auto"/>
              </w:rPr>
            </w:pPr>
            <w:r>
              <w:rPr>
                <w:rFonts w:ascii="Arial" w:cs="Arial" w:eastAsia="Arial" w:hAnsi="Arial"/>
                <w:sz w:val="18"/>
                <w:szCs w:val="18"/>
                <w:color w:val="auto"/>
              </w:rPr>
              <w:t>Common stock</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126</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126</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9"/>
        </w:trPr>
        <w:tc>
          <w:tcPr>
            <w:tcW w:w="7240" w:type="dxa"/>
            <w:vAlign w:val="bottom"/>
          </w:tcPr>
          <w:p>
            <w:pPr>
              <w:ind w:left="100"/>
              <w:spacing w:after="0"/>
              <w:rPr>
                <w:sz w:val="20"/>
                <w:szCs w:val="20"/>
                <w:color w:val="auto"/>
              </w:rPr>
            </w:pPr>
            <w:r>
              <w:rPr>
                <w:rFonts w:ascii="Arial" w:cs="Arial" w:eastAsia="Arial" w:hAnsi="Arial"/>
                <w:sz w:val="18"/>
                <w:szCs w:val="18"/>
                <w:color w:val="auto"/>
              </w:rPr>
              <w:t>Additional capital</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12,960</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12,711</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12,115</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10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45,559</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43,839</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40,877</w:t>
            </w:r>
          </w:p>
        </w:tc>
        <w:tc>
          <w:tcPr>
            <w:tcW w:w="0" w:type="dxa"/>
            <w:vAlign w:val="bottom"/>
          </w:tcPr>
          <w:p>
            <w:pPr>
              <w:spacing w:after="0"/>
              <w:rPr>
                <w:sz w:val="1"/>
                <w:szCs w:val="1"/>
                <w:color w:val="auto"/>
              </w:rPr>
            </w:pPr>
          </w:p>
        </w:tc>
      </w:tr>
      <w:tr>
        <w:trPr>
          <w:trHeight w:val="230"/>
        </w:trPr>
        <w:tc>
          <w:tcPr>
            <w:tcW w:w="7240" w:type="dxa"/>
            <w:vAlign w:val="bottom"/>
          </w:tcPr>
          <w:p>
            <w:pPr>
              <w:ind w:left="100"/>
              <w:spacing w:after="0"/>
              <w:rPr>
                <w:sz w:val="20"/>
                <w:szCs w:val="20"/>
                <w:color w:val="auto"/>
              </w:rPr>
            </w:pPr>
            <w:r>
              <w:rPr>
                <w:rFonts w:ascii="Arial" w:cs="Arial" w:eastAsia="Arial" w:hAnsi="Arial"/>
                <w:sz w:val="18"/>
                <w:szCs w:val="18"/>
                <w:color w:val="auto"/>
              </w:rPr>
              <w:t>Treasury stock</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(7,852)</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(7,852)</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(7,852)</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100"/>
              <w:spacing w:after="0"/>
              <w:rPr>
                <w:sz w:val="20"/>
                <w:szCs w:val="20"/>
                <w:color w:val="auto"/>
              </w:rPr>
            </w:pPr>
            <w:r>
              <w:rPr>
                <w:rFonts w:ascii="Arial" w:cs="Arial" w:eastAsia="Arial" w:hAnsi="Arial"/>
                <w:sz w:val="18"/>
                <w:szCs w:val="18"/>
                <w:color w:val="auto"/>
              </w:rPr>
              <w:t>Accumulated other comprehensive income (loss)</w:t>
            </w:r>
          </w:p>
        </w:tc>
        <w:tc>
          <w:tcPr>
            <w:tcW w:w="22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(45)</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(191)</w:t>
            </w:r>
          </w:p>
        </w:tc>
        <w:tc>
          <w:tcPr>
            <w:tcW w:w="1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D1D2D4"/>
            </w:tcBorders>
          </w:tcPr>
          <w:p>
            <w:pPr>
              <w:ind w:left="360"/>
              <w:spacing w:after="0"/>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50,748</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48,633</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45,131</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D1D2D4"/>
            </w:tcBorders>
            <w:shd w:val="clear" w:color="auto" w:fill="D1D2D4"/>
          </w:tcPr>
          <w:p>
            <w:pPr>
              <w:ind w:left="520"/>
              <w:spacing w:after="0"/>
              <w:rPr>
                <w:sz w:val="20"/>
                <w:szCs w:val="20"/>
                <w:color w:val="auto"/>
              </w:rPr>
            </w:pPr>
            <w:r>
              <w:rPr>
                <w:rFonts w:ascii="Arial" w:cs="Arial" w:eastAsia="Arial" w:hAnsi="Arial"/>
                <w:sz w:val="18"/>
                <w:szCs w:val="18"/>
                <w:color w:val="auto"/>
              </w:rPr>
              <w:t>Total liabilities and equity</w:t>
            </w:r>
          </w:p>
        </w:tc>
        <w:tc>
          <w:tcPr>
            <w:tcW w:w="2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78,397</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73,053</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69,416</w:t>
            </w:r>
          </w:p>
        </w:tc>
        <w:tc>
          <w:tcPr>
            <w:tcW w:w="0" w:type="dxa"/>
            <w:vAlign w:val="bottom"/>
          </w:tcPr>
          <w:p>
            <w:pPr>
              <w:spacing w:after="0"/>
              <w:rPr>
                <w:sz w:val="1"/>
                <w:szCs w:val="1"/>
                <w:color w:val="auto"/>
              </w:rPr>
            </w:pPr>
          </w:p>
        </w:tc>
      </w:tr>
      <w:tr>
        <w:trPr>
          <w:trHeight w:val="20"/>
        </w:trPr>
        <w:tc>
          <w:tcPr>
            <w:tcW w:w="724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89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Nine Months Ended</w:t>
            </w:r>
          </w:p>
        </w:tc>
        <w:tc>
          <w:tcPr>
            <w:tcW w:w="240" w:type="dxa"/>
            <w:vAlign w:val="bottom"/>
          </w:tcPr>
          <w:p>
            <w:pPr>
              <w:spacing w:after="0"/>
              <w:rPr>
                <w:sz w:val="17"/>
                <w:szCs w:val="17"/>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rPr>
              <w:t>May 29,</w:t>
            </w:r>
          </w:p>
        </w:tc>
        <w:tc>
          <w:tcPr>
            <w:tcW w:w="260" w:type="dxa"/>
            <w:vAlign w:val="bottom"/>
          </w:tcPr>
          <w:p>
            <w:pPr>
              <w:spacing w:after="0"/>
              <w:rPr>
                <w:sz w:val="17"/>
                <w:szCs w:val="17"/>
                <w:color w:val="auto"/>
              </w:rPr>
            </w:pPr>
          </w:p>
        </w:tc>
        <w:tc>
          <w:tcPr>
            <w:tcW w:w="1180" w:type="dxa"/>
            <w:vAlign w:val="bottom"/>
          </w:tcPr>
          <w:p>
            <w:pPr>
              <w:jc w:val="right"/>
              <w:ind w:right="310"/>
              <w:spacing w:after="0"/>
              <w:rPr>
                <w:sz w:val="20"/>
                <w:szCs w:val="20"/>
                <w:color w:val="auto"/>
              </w:rPr>
            </w:pPr>
            <w:r>
              <w:rPr>
                <w:rFonts w:ascii="Arial" w:cs="Arial" w:eastAsia="Arial" w:hAnsi="Arial"/>
                <w:sz w:val="18"/>
                <w:szCs w:val="18"/>
                <w:b w:val="1"/>
                <w:bCs w:val="1"/>
                <w:color w:val="auto"/>
              </w:rPr>
              <w:t>May 30,</w:t>
            </w:r>
          </w:p>
        </w:tc>
        <w:tc>
          <w:tcPr>
            <w:tcW w:w="0" w:type="dxa"/>
            <w:vAlign w:val="bottom"/>
          </w:tcPr>
          <w:p>
            <w:pPr>
              <w:spacing w:after="0"/>
              <w:rPr>
                <w:sz w:val="1"/>
                <w:szCs w:val="1"/>
                <w:color w:val="auto"/>
              </w:rPr>
            </w:pPr>
          </w:p>
        </w:tc>
      </w:tr>
      <w:tr>
        <w:trPr>
          <w:trHeight w:val="243"/>
        </w:trPr>
        <w:tc>
          <w:tcPr>
            <w:tcW w:w="836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5,338</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Depreciation expense and amortization of intangible assets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6,203</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5,794</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722</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Change in operating assets and liabilities: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480"/>
              <w:spacing w:after="0"/>
              <w:rPr>
                <w:sz w:val="20"/>
                <w:szCs w:val="20"/>
                <w:color w:val="auto"/>
              </w:rPr>
            </w:pPr>
            <w:r>
              <w:rPr>
                <w:rFonts w:ascii="Arial" w:cs="Arial" w:eastAsia="Arial" w:hAnsi="Arial"/>
                <w:sz w:val="18"/>
                <w:szCs w:val="18"/>
                <w:color w:val="auto"/>
              </w:rPr>
              <w:t>Receivables</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(123)</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(2,562)</w:t>
            </w:r>
          </w:p>
        </w:tc>
        <w:tc>
          <w:tcPr>
            <w:tcW w:w="0" w:type="dxa"/>
            <w:vAlign w:val="bottom"/>
          </w:tcPr>
          <w:p>
            <w:pPr>
              <w:spacing w:after="0"/>
              <w:rPr>
                <w:sz w:val="1"/>
                <w:szCs w:val="1"/>
                <w:color w:val="auto"/>
              </w:rPr>
            </w:pPr>
          </w:p>
        </w:tc>
      </w:tr>
      <w:tr>
        <w:trPr>
          <w:trHeight w:val="230"/>
        </w:trPr>
        <w:tc>
          <w:tcPr>
            <w:tcW w:w="836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480"/>
              <w:spacing w:after="0"/>
              <w:rPr>
                <w:sz w:val="20"/>
                <w:szCs w:val="20"/>
                <w:color w:val="auto"/>
              </w:rPr>
            </w:pPr>
            <w:r>
              <w:rPr>
                <w:rFonts w:ascii="Arial" w:cs="Arial" w:eastAsia="Arial" w:hAnsi="Arial"/>
                <w:sz w:val="18"/>
                <w:szCs w:val="18"/>
                <w:color w:val="auto"/>
              </w:rPr>
              <w:t>Other current assets</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(206)</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29"/>
        </w:trPr>
        <w:tc>
          <w:tcPr>
            <w:tcW w:w="8360" w:type="dxa"/>
            <w:vAlign w:val="bottom"/>
          </w:tcPr>
          <w:p>
            <w:pPr>
              <w:ind w:left="48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460"/>
              <w:spacing w:after="0"/>
              <w:rPr>
                <w:sz w:val="20"/>
                <w:szCs w:val="20"/>
                <w:color w:val="auto"/>
              </w:rPr>
            </w:pPr>
            <w:r>
              <w:rPr>
                <w:rFonts w:ascii="Arial" w:cs="Arial" w:eastAsia="Arial" w:hAnsi="Arial"/>
                <w:sz w:val="18"/>
                <w:szCs w:val="18"/>
                <w:color w:val="auto"/>
              </w:rPr>
              <w:t>Other current liabilities</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(681)</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D1D2D4"/>
            </w:tcBorders>
          </w:tcPr>
          <w:p>
            <w:pPr>
              <w:ind w:left="2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11,795</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5,102</w:t>
            </w:r>
          </w:p>
        </w:tc>
        <w:tc>
          <w:tcPr>
            <w:tcW w:w="0" w:type="dxa"/>
            <w:vAlign w:val="bottom"/>
          </w:tcPr>
          <w:p>
            <w:pPr>
              <w:spacing w:after="0"/>
              <w:rPr>
                <w:sz w:val="1"/>
                <w:szCs w:val="1"/>
                <w:color w:val="auto"/>
              </w:rPr>
            </w:pPr>
          </w:p>
        </w:tc>
      </w:tr>
      <w:tr>
        <w:trPr>
          <w:trHeight w:val="236"/>
        </w:trPr>
        <w:tc>
          <w:tcPr>
            <w:tcW w:w="8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(10,199)</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(5,266)</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Purchases of available-for-sale securities</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(1,203)</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government incentives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1,294</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maturities and sales of available-for-sale securities</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1,249</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used for investing activities</w:t>
            </w:r>
          </w:p>
        </w:tc>
        <w:tc>
          <w:tcPr>
            <w:tcW w:w="2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(8,889)</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(4,711)</w:t>
            </w:r>
          </w:p>
        </w:tc>
        <w:tc>
          <w:tcPr>
            <w:tcW w:w="0" w:type="dxa"/>
            <w:vAlign w:val="bottom"/>
          </w:tcPr>
          <w:p>
            <w:pPr>
              <w:spacing w:after="0"/>
              <w:rPr>
                <w:sz w:val="1"/>
                <w:szCs w:val="1"/>
                <w:color w:val="auto"/>
              </w:rPr>
            </w:pPr>
          </w:p>
        </w:tc>
      </w:tr>
      <w:tr>
        <w:trPr>
          <w:trHeight w:val="236"/>
        </w:trPr>
        <w:tc>
          <w:tcPr>
            <w:tcW w:w="8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issuance of debt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4,430</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Repayments of debt</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(3,604)</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(1,816)</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Payments of dividends to shareholders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(392)</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Payments on equipment purchase contracts</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provided by (used for) financing activities</w:t>
            </w:r>
          </w:p>
        </w:tc>
        <w:tc>
          <w:tcPr>
            <w:tcW w:w="2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214</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36"/>
        </w:trPr>
        <w:tc>
          <w:tcPr>
            <w:tcW w:w="8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Effect of changes in currency exchange rates on cash, cash equivalents, and restricted cash</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7"/>
        </w:trPr>
        <w:tc>
          <w:tcPr>
            <w:tcW w:w="8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3,117</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7,052</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8,656</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24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10,169</w:t>
            </w:r>
          </w:p>
        </w:tc>
        <w:tc>
          <w:tcPr>
            <w:tcW w:w="26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7,664</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890" w:right="339" w:bottom="1440" w:gutter="0" w:footer="0" w:header="0"/>
        </w:sectPr>
      </w:pPr>
    </w:p>
    <w:bookmarkStart w:id="8" w:name="page9"/>
    <w:bookmarkEnd w:id="8"/>
    <w:p>
      <w:pPr>
        <w:ind w:left="4340"/>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RECONCILIATION OF GAAP TO NON-GAAP MEASURES</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(In millions, except per share amounts)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3rd Qtr.</w:t>
            </w:r>
          </w:p>
        </w:tc>
        <w:tc>
          <w:tcPr>
            <w:tcW w:w="120" w:type="dxa"/>
            <w:vAlign w:val="bottom"/>
          </w:tcPr>
          <w:p>
            <w:pPr>
              <w:spacing w:after="0"/>
              <w:rPr>
                <w:sz w:val="19"/>
                <w:szCs w:val="19"/>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b w:val="1"/>
                <w:bCs w:val="1"/>
                <w:color w:val="auto"/>
                <w:w w:val="98"/>
              </w:rPr>
              <w:t>2nd Qtr.</w:t>
            </w:r>
          </w:p>
        </w:tc>
        <w:tc>
          <w:tcPr>
            <w:tcW w:w="24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3rd Qtr.</w:t>
            </w:r>
          </w:p>
        </w:tc>
      </w:tr>
      <w:tr>
        <w:trPr>
          <w:trHeight w:val="181"/>
        </w:trPr>
        <w:tc>
          <w:tcPr>
            <w:tcW w:w="7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center"/>
              <w:ind w:right="130"/>
              <w:spacing w:after="0" w:line="181" w:lineRule="exact"/>
              <w:rPr>
                <w:sz w:val="20"/>
                <w:szCs w:val="20"/>
                <w:color w:val="auto"/>
              </w:rPr>
            </w:pPr>
            <w:r>
              <w:rPr>
                <w:rFonts w:ascii="Arial" w:cs="Arial" w:eastAsia="Arial" w:hAnsi="Arial"/>
                <w:sz w:val="18"/>
                <w:szCs w:val="18"/>
                <w:b w:val="1"/>
                <w:bCs w:val="1"/>
                <w:color w:val="auto"/>
              </w:rPr>
              <w:t>May 29,</w:t>
            </w:r>
          </w:p>
        </w:tc>
        <w:tc>
          <w:tcPr>
            <w:tcW w:w="120" w:type="dxa"/>
            <w:vAlign w:val="bottom"/>
          </w:tcPr>
          <w:p>
            <w:pPr>
              <w:spacing w:after="0"/>
              <w:rPr>
                <w:sz w:val="15"/>
                <w:szCs w:val="15"/>
                <w:color w:val="auto"/>
              </w:rPr>
            </w:pPr>
          </w:p>
        </w:tc>
        <w:tc>
          <w:tcPr>
            <w:tcW w:w="1180" w:type="dxa"/>
            <w:vAlign w:val="bottom"/>
          </w:tcPr>
          <w:p>
            <w:pPr>
              <w:jc w:val="center"/>
              <w:ind w:right="10"/>
              <w:spacing w:after="0" w:line="181" w:lineRule="exact"/>
              <w:rPr>
                <w:sz w:val="20"/>
                <w:szCs w:val="20"/>
                <w:color w:val="auto"/>
              </w:rPr>
            </w:pPr>
            <w:r>
              <w:rPr>
                <w:rFonts w:ascii="Arial" w:cs="Arial" w:eastAsia="Arial" w:hAnsi="Arial"/>
                <w:sz w:val="18"/>
                <w:szCs w:val="18"/>
                <w:b w:val="1"/>
                <w:bCs w:val="1"/>
                <w:color w:val="auto"/>
              </w:rPr>
              <w:t>February 27,</w:t>
            </w:r>
          </w:p>
        </w:tc>
        <w:tc>
          <w:tcPr>
            <w:tcW w:w="240" w:type="dxa"/>
            <w:vAlign w:val="bottom"/>
          </w:tcPr>
          <w:p>
            <w:pPr>
              <w:spacing w:after="0"/>
              <w:rPr>
                <w:sz w:val="15"/>
                <w:szCs w:val="15"/>
                <w:color w:val="auto"/>
              </w:rPr>
            </w:pPr>
          </w:p>
        </w:tc>
        <w:tc>
          <w:tcPr>
            <w:tcW w:w="1100" w:type="dxa"/>
            <w:vAlign w:val="bottom"/>
            <w:gridSpan w:val="2"/>
          </w:tcPr>
          <w:p>
            <w:pPr>
              <w:jc w:val="center"/>
              <w:ind w:right="240"/>
              <w:spacing w:after="0" w:line="181" w:lineRule="exact"/>
              <w:rPr>
                <w:sz w:val="20"/>
                <w:szCs w:val="20"/>
                <w:color w:val="auto"/>
              </w:rPr>
            </w:pPr>
            <w:r>
              <w:rPr>
                <w:rFonts w:ascii="Arial" w:cs="Arial" w:eastAsia="Arial" w:hAnsi="Arial"/>
                <w:sz w:val="18"/>
                <w:szCs w:val="18"/>
                <w:b w:val="1"/>
                <w:bCs w:val="1"/>
                <w:color w:val="auto"/>
              </w:rPr>
              <w:t>May 30,</w:t>
            </w:r>
          </w:p>
        </w:tc>
      </w:tr>
      <w:tr>
        <w:trPr>
          <w:trHeight w:val="243"/>
        </w:trPr>
        <w:tc>
          <w:tcPr>
            <w:tcW w:w="72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2025</w:t>
            </w: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2025</w:t>
            </w: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2024</w:t>
            </w:r>
          </w:p>
        </w:tc>
        <w:tc>
          <w:tcPr>
            <w:tcW w:w="20" w:type="dxa"/>
            <w:vAlign w:val="bottom"/>
          </w:tcPr>
          <w:p>
            <w:pPr>
              <w:spacing w:after="0"/>
              <w:rPr>
                <w:sz w:val="21"/>
                <w:szCs w:val="21"/>
                <w:color w:val="auto"/>
              </w:rPr>
            </w:pPr>
          </w:p>
        </w:tc>
      </w:tr>
      <w:tr>
        <w:trPr>
          <w:trHeight w:val="34"/>
        </w:trPr>
        <w:tc>
          <w:tcPr>
            <w:tcW w:w="7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7260" w:type="dxa"/>
            <w:vAlign w:val="bottom"/>
            <w:shd w:val="clear" w:color="auto" w:fill="D1D2D4"/>
          </w:tcPr>
          <w:p>
            <w:pPr>
              <w:spacing w:after="0"/>
              <w:rPr>
                <w:sz w:val="20"/>
                <w:szCs w:val="20"/>
                <w:color w:val="auto"/>
              </w:rPr>
            </w:pPr>
            <w:r>
              <w:rPr>
                <w:rFonts w:ascii="Arial" w:cs="Arial" w:eastAsia="Arial" w:hAnsi="Arial"/>
                <w:sz w:val="18"/>
                <w:szCs w:val="18"/>
                <w:b w:val="1"/>
                <w:bCs w:val="1"/>
                <w:color w:val="auto"/>
              </w:rPr>
              <w:t>GAAP gross margin</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3,508</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2,963</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1,832</w:t>
            </w:r>
          </w:p>
        </w:tc>
        <w:tc>
          <w:tcPr>
            <w:tcW w:w="20" w:type="dxa"/>
            <w:vAlign w:val="bottom"/>
          </w:tcPr>
          <w:p>
            <w:pPr>
              <w:spacing w:after="0"/>
              <w:rPr>
                <w:sz w:val="19"/>
                <w:szCs w:val="19"/>
                <w:color w:val="auto"/>
              </w:rPr>
            </w:pPr>
          </w:p>
        </w:tc>
      </w:tr>
      <w:tr>
        <w:trPr>
          <w:trHeight w:val="229"/>
        </w:trPr>
        <w:tc>
          <w:tcPr>
            <w:tcW w:w="726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9"/>
                <w:szCs w:val="19"/>
                <w:color w:val="auto"/>
              </w:rPr>
            </w:pPr>
          </w:p>
        </w:tc>
      </w:tr>
      <w:tr>
        <w:trPr>
          <w:trHeight w:val="229"/>
        </w:trPr>
        <w:tc>
          <w:tcPr>
            <w:tcW w:w="72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b w:val="1"/>
                <w:bCs w:val="1"/>
                <w:color w:val="auto"/>
              </w:rPr>
              <w:t>Non-GAAP gross margin</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3,053</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w:t>
            </w:r>
          </w:p>
        </w:tc>
        <w:tc>
          <w:tcPr>
            <w:tcW w:w="20" w:type="dxa"/>
            <w:vAlign w:val="bottom"/>
          </w:tcPr>
          <w:p>
            <w:pPr>
              <w:spacing w:after="0"/>
              <w:rPr>
                <w:sz w:val="19"/>
                <w:szCs w:val="19"/>
                <w:color w:val="auto"/>
              </w:rPr>
            </w:pPr>
          </w:p>
        </w:tc>
      </w:tr>
      <w:tr>
        <w:trPr>
          <w:trHeight w:val="20"/>
        </w:trPr>
        <w:tc>
          <w:tcPr>
            <w:tcW w:w="7260" w:type="dxa"/>
            <w:vAlign w:val="bottom"/>
            <w:tcBorders>
              <w:bottom w:val="single" w:sz="8" w:color="D1D2D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726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260" w:type="dxa"/>
            <w:vAlign w:val="bottom"/>
          </w:tcPr>
          <w:p>
            <w:pPr>
              <w:spacing w:after="0"/>
              <w:rPr>
                <w:sz w:val="20"/>
                <w:szCs w:val="20"/>
                <w:color w:val="auto"/>
              </w:rPr>
            </w:pPr>
            <w:r>
              <w:rPr>
                <w:rFonts w:ascii="Arial" w:cs="Arial" w:eastAsia="Arial" w:hAnsi="Arial"/>
                <w:sz w:val="18"/>
                <w:szCs w:val="18"/>
                <w:b w:val="1"/>
                <w:bCs w:val="1"/>
                <w:color w:val="auto"/>
              </w:rPr>
              <w:t>GAAP operating expenses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1,339</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1,190</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1,113</w:t>
            </w:r>
          </w:p>
        </w:tc>
        <w:tc>
          <w:tcPr>
            <w:tcW w:w="20" w:type="dxa"/>
            <w:vAlign w:val="bottom"/>
          </w:tcPr>
          <w:p>
            <w:pPr>
              <w:spacing w:after="0"/>
              <w:rPr>
                <w:sz w:val="19"/>
                <w:szCs w:val="19"/>
                <w:color w:val="auto"/>
              </w:rPr>
            </w:pPr>
          </w:p>
        </w:tc>
      </w:tr>
      <w:tr>
        <w:trPr>
          <w:trHeight w:val="230"/>
        </w:trPr>
        <w:tc>
          <w:tcPr>
            <w:tcW w:w="72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(144)</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9"/>
                <w:szCs w:val="19"/>
                <w:color w:val="auto"/>
              </w:rPr>
            </w:pPr>
          </w:p>
        </w:tc>
      </w:tr>
      <w:tr>
        <w:trPr>
          <w:trHeight w:val="229"/>
        </w:trPr>
        <w:tc>
          <w:tcPr>
            <w:tcW w:w="7260" w:type="dxa"/>
            <w:vAlign w:val="bottom"/>
          </w:tcPr>
          <w:p>
            <w:pPr>
              <w:ind w:left="120"/>
              <w:spacing w:after="0"/>
              <w:rPr>
                <w:sz w:val="20"/>
                <w:szCs w:val="20"/>
                <w:color w:val="auto"/>
              </w:rPr>
            </w:pPr>
            <w:r>
              <w:rPr>
                <w:rFonts w:ascii="Arial" w:cs="Arial" w:eastAsia="Arial" w:hAnsi="Arial"/>
                <w:sz w:val="18"/>
                <w:szCs w:val="18"/>
                <w:color w:val="auto"/>
              </w:rPr>
              <w:t>Patent license charges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72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7260" w:type="dxa"/>
            <w:vAlign w:val="bottom"/>
          </w:tcPr>
          <w:p>
            <w:pPr>
              <w:ind w:left="20"/>
              <w:spacing w:after="0"/>
              <w:rPr>
                <w:sz w:val="20"/>
                <w:szCs w:val="20"/>
                <w:color w:val="auto"/>
              </w:rPr>
            </w:pPr>
            <w:r>
              <w:rPr>
                <w:rFonts w:ascii="Arial" w:cs="Arial" w:eastAsia="Arial" w:hAnsi="Arial"/>
                <w:sz w:val="18"/>
                <w:szCs w:val="18"/>
                <w:b w:val="1"/>
                <w:bCs w:val="1"/>
                <w:color w:val="auto"/>
              </w:rPr>
              <w:t>Non-GAAP operating expenses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w:t>
            </w:r>
          </w:p>
        </w:tc>
        <w:tc>
          <w:tcPr>
            <w:tcW w:w="20" w:type="dxa"/>
            <w:vAlign w:val="bottom"/>
          </w:tcPr>
          <w:p>
            <w:pPr>
              <w:spacing w:after="0"/>
              <w:rPr>
                <w:sz w:val="19"/>
                <w:szCs w:val="19"/>
                <w:color w:val="auto"/>
              </w:rPr>
            </w:pPr>
          </w:p>
        </w:tc>
      </w:tr>
      <w:tr>
        <w:trPr>
          <w:trHeight w:val="20"/>
        </w:trPr>
        <w:tc>
          <w:tcPr>
            <w:tcW w:w="7260" w:type="dxa"/>
            <w:vAlign w:val="bottom"/>
            <w:tcBorders>
              <w:bottom w:val="single" w:sz="8" w:color="D1D2D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726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b w:val="1"/>
                <w:bCs w:val="1"/>
                <w:color w:val="auto"/>
              </w:rPr>
              <w:t>GAAP operating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2,169</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1,773</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719</w:t>
            </w:r>
          </w:p>
        </w:tc>
        <w:tc>
          <w:tcPr>
            <w:tcW w:w="20" w:type="dxa"/>
            <w:vAlign w:val="bottom"/>
          </w:tcPr>
          <w:p>
            <w:pPr>
              <w:spacing w:after="0"/>
              <w:rPr>
                <w:sz w:val="19"/>
                <w:szCs w:val="19"/>
                <w:color w:val="auto"/>
              </w:rPr>
            </w:pPr>
          </w:p>
        </w:tc>
      </w:tr>
      <w:tr>
        <w:trPr>
          <w:trHeight w:val="229"/>
        </w:trPr>
        <w:tc>
          <w:tcPr>
            <w:tcW w:w="72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263</w:t>
            </w:r>
          </w:p>
        </w:tc>
        <w:tc>
          <w:tcPr>
            <w:tcW w:w="1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233</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217</w:t>
            </w:r>
          </w:p>
        </w:tc>
        <w:tc>
          <w:tcPr>
            <w:tcW w:w="20" w:type="dxa"/>
            <w:vAlign w:val="bottom"/>
          </w:tcPr>
          <w:p>
            <w:pPr>
              <w:spacing w:after="0"/>
              <w:rPr>
                <w:sz w:val="19"/>
                <w:szCs w:val="19"/>
                <w:color w:val="auto"/>
              </w:rPr>
            </w:pPr>
          </w:p>
        </w:tc>
      </w:tr>
      <w:tr>
        <w:trPr>
          <w:trHeight w:val="229"/>
        </w:trPr>
        <w:tc>
          <w:tcPr>
            <w:tcW w:w="7260" w:type="dxa"/>
            <w:vAlign w:val="bottom"/>
          </w:tcPr>
          <w:p>
            <w:pPr>
              <w:ind w:left="120"/>
              <w:spacing w:after="0"/>
              <w:rPr>
                <w:sz w:val="20"/>
                <w:szCs w:val="20"/>
                <w:color w:val="auto"/>
              </w:rPr>
            </w:pPr>
            <w:r>
              <w:rPr>
                <w:rFonts w:ascii="Arial" w:cs="Arial" w:eastAsia="Arial" w:hAnsi="Arial"/>
                <w:sz w:val="18"/>
                <w:szCs w:val="18"/>
                <w:color w:val="auto"/>
              </w:rPr>
              <w:t>Patent license charges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72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b w:val="1"/>
                <w:bCs w:val="1"/>
                <w:color w:val="auto"/>
              </w:rPr>
              <w:t>Non-GAAP operating income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20" w:type="dxa"/>
            <w:vAlign w:val="bottom"/>
          </w:tcPr>
          <w:p>
            <w:pPr>
              <w:spacing w:after="0"/>
              <w:rPr>
                <w:sz w:val="19"/>
                <w:szCs w:val="19"/>
                <w:color w:val="auto"/>
              </w:rPr>
            </w:pPr>
          </w:p>
        </w:tc>
      </w:tr>
      <w:tr>
        <w:trPr>
          <w:trHeight w:val="20"/>
        </w:trPr>
        <w:tc>
          <w:tcPr>
            <w:tcW w:w="7260" w:type="dxa"/>
            <w:vAlign w:val="bottom"/>
            <w:tcBorders>
              <w:bottom w:val="single" w:sz="8" w:color="D1D2D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4"/>
        </w:trPr>
        <w:tc>
          <w:tcPr>
            <w:tcW w:w="726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260" w:type="dxa"/>
            <w:vAlign w:val="bottom"/>
          </w:tcPr>
          <w:p>
            <w:pPr>
              <w:spacing w:after="0"/>
              <w:rPr>
                <w:sz w:val="20"/>
                <w:szCs w:val="20"/>
                <w:color w:val="auto"/>
              </w:rPr>
            </w:pPr>
            <w:r>
              <w:rPr>
                <w:rFonts w:ascii="Arial" w:cs="Arial" w:eastAsia="Arial" w:hAnsi="Arial"/>
                <w:sz w:val="18"/>
                <w:szCs w:val="18"/>
                <w:b w:val="1"/>
                <w:bCs w:val="1"/>
                <w:color w:val="auto"/>
              </w:rPr>
              <w:t>GAAP 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1,885</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1,583</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332</w:t>
            </w:r>
          </w:p>
        </w:tc>
        <w:tc>
          <w:tcPr>
            <w:tcW w:w="20" w:type="dxa"/>
            <w:vAlign w:val="bottom"/>
          </w:tcPr>
          <w:p>
            <w:pPr>
              <w:spacing w:after="0"/>
              <w:rPr>
                <w:sz w:val="19"/>
                <w:szCs w:val="19"/>
                <w:color w:val="auto"/>
              </w:rPr>
            </w:pPr>
          </w:p>
        </w:tc>
      </w:tr>
      <w:tr>
        <w:trPr>
          <w:trHeight w:val="230"/>
        </w:trPr>
        <w:tc>
          <w:tcPr>
            <w:tcW w:w="72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263</w:t>
            </w:r>
          </w:p>
        </w:tc>
        <w:tc>
          <w:tcPr>
            <w:tcW w:w="1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233</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217</w:t>
            </w:r>
          </w:p>
        </w:tc>
        <w:tc>
          <w:tcPr>
            <w:tcW w:w="20" w:type="dxa"/>
            <w:vAlign w:val="bottom"/>
          </w:tcPr>
          <w:p>
            <w:pPr>
              <w:spacing w:after="0"/>
              <w:rPr>
                <w:sz w:val="19"/>
                <w:szCs w:val="19"/>
                <w:color w:val="auto"/>
              </w:rPr>
            </w:pPr>
          </w:p>
        </w:tc>
      </w:tr>
      <w:tr>
        <w:trPr>
          <w:trHeight w:val="229"/>
        </w:trPr>
        <w:tc>
          <w:tcPr>
            <w:tcW w:w="7260" w:type="dxa"/>
            <w:vAlign w:val="bottom"/>
          </w:tcPr>
          <w:p>
            <w:pPr>
              <w:ind w:left="120"/>
              <w:spacing w:after="0"/>
              <w:rPr>
                <w:sz w:val="20"/>
                <w:szCs w:val="20"/>
                <w:color w:val="auto"/>
              </w:rPr>
            </w:pPr>
            <w:r>
              <w:rPr>
                <w:rFonts w:ascii="Arial" w:cs="Arial" w:eastAsia="Arial" w:hAnsi="Arial"/>
                <w:sz w:val="18"/>
                <w:szCs w:val="18"/>
                <w:color w:val="auto"/>
              </w:rPr>
              <w:t>Patent license charges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72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Loss on debt prepayments</w:t>
            </w: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7260" w:type="dxa"/>
            <w:vAlign w:val="bottom"/>
          </w:tcPr>
          <w:p>
            <w:pPr>
              <w:ind w:left="1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r>
      <w:tr>
        <w:trPr>
          <w:trHeight w:val="230"/>
        </w:trPr>
        <w:tc>
          <w:tcPr>
            <w:tcW w:w="72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Estimated tax effects of above and other tax adjustments</w:t>
            </w:r>
          </w:p>
        </w:tc>
        <w:tc>
          <w:tcPr>
            <w:tcW w:w="22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(37)</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9"/>
                <w:szCs w:val="19"/>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b w:val="1"/>
                <w:bCs w:val="1"/>
                <w:color w:val="auto"/>
              </w:rPr>
              <w:t>Non-GAAP net income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20" w:type="dxa"/>
            <w:vAlign w:val="bottom"/>
          </w:tcPr>
          <w:p>
            <w:pPr>
              <w:spacing w:after="0"/>
              <w:rPr>
                <w:sz w:val="19"/>
                <w:szCs w:val="19"/>
                <w:color w:val="auto"/>
              </w:rPr>
            </w:pPr>
          </w:p>
        </w:tc>
      </w:tr>
      <w:tr>
        <w:trPr>
          <w:trHeight w:val="20"/>
        </w:trPr>
        <w:tc>
          <w:tcPr>
            <w:tcW w:w="7260" w:type="dxa"/>
            <w:vAlign w:val="bottom"/>
            <w:tcBorders>
              <w:bottom w:val="single" w:sz="8" w:color="D1D2D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726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b w:val="1"/>
                <w:bCs w:val="1"/>
                <w:color w:val="auto"/>
              </w:rPr>
              <w:t>GAAP weighted-average common shares outstanding - Diluted</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1,125</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1,123</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1,123</w:t>
            </w:r>
          </w:p>
        </w:tc>
        <w:tc>
          <w:tcPr>
            <w:tcW w:w="20" w:type="dxa"/>
            <w:vAlign w:val="bottom"/>
          </w:tcPr>
          <w:p>
            <w:pPr>
              <w:spacing w:after="0"/>
              <w:rPr>
                <w:sz w:val="19"/>
                <w:szCs w:val="19"/>
                <w:color w:val="auto"/>
              </w:rPr>
            </w:pPr>
          </w:p>
        </w:tc>
      </w:tr>
      <w:tr>
        <w:trPr>
          <w:trHeight w:val="230"/>
        </w:trPr>
        <w:tc>
          <w:tcPr>
            <w:tcW w:w="72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Adjustment for stock-based compensation</w:t>
            </w:r>
          </w:p>
        </w:tc>
        <w:tc>
          <w:tcPr>
            <w:tcW w:w="22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20</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b w:val="1"/>
                <w:bCs w:val="1"/>
                <w:color w:val="auto"/>
              </w:rPr>
              <w:t>Non-GAAP weighted-average common shares outstanding - Diluted</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w:t>
            </w:r>
          </w:p>
        </w:tc>
        <w:tc>
          <w:tcPr>
            <w:tcW w:w="20" w:type="dxa"/>
            <w:vAlign w:val="bottom"/>
          </w:tcPr>
          <w:p>
            <w:pPr>
              <w:spacing w:after="0"/>
              <w:rPr>
                <w:sz w:val="19"/>
                <w:szCs w:val="19"/>
                <w:color w:val="auto"/>
              </w:rPr>
            </w:pPr>
          </w:p>
        </w:tc>
      </w:tr>
      <w:tr>
        <w:trPr>
          <w:trHeight w:val="20"/>
        </w:trPr>
        <w:tc>
          <w:tcPr>
            <w:tcW w:w="7260" w:type="dxa"/>
            <w:vAlign w:val="bottom"/>
            <w:tcBorders>
              <w:bottom w:val="single" w:sz="8" w:color="D1D2D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726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b w:val="1"/>
                <w:bCs w:val="1"/>
                <w:color w:val="auto"/>
              </w:rPr>
              <w:t>GAAP diluted earnings per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0.30</w:t>
            </w:r>
          </w:p>
        </w:tc>
        <w:tc>
          <w:tcPr>
            <w:tcW w:w="20" w:type="dxa"/>
            <w:vAlign w:val="bottom"/>
          </w:tcPr>
          <w:p>
            <w:pPr>
              <w:spacing w:after="0"/>
              <w:rPr>
                <w:sz w:val="19"/>
                <w:szCs w:val="19"/>
                <w:color w:val="auto"/>
              </w:rPr>
            </w:pPr>
          </w:p>
        </w:tc>
      </w:tr>
      <w:tr>
        <w:trPr>
          <w:trHeight w:val="230"/>
        </w:trPr>
        <w:tc>
          <w:tcPr>
            <w:tcW w:w="72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Effects of the above adjustments</w:t>
            </w:r>
          </w:p>
        </w:tc>
        <w:tc>
          <w:tcPr>
            <w:tcW w:w="22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0.15</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0.32</w:t>
            </w:r>
          </w:p>
        </w:tc>
        <w:tc>
          <w:tcPr>
            <w:tcW w:w="20" w:type="dxa"/>
            <w:vAlign w:val="bottom"/>
          </w:tcPr>
          <w:p>
            <w:pPr>
              <w:spacing w:after="0"/>
              <w:rPr>
                <w:sz w:val="19"/>
                <w:szCs w:val="19"/>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b w:val="1"/>
                <w:bCs w:val="1"/>
                <w:color w:val="auto"/>
              </w:rPr>
              <w:t>Non-GAAP diluted earnings per share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0.62</w:t>
            </w:r>
          </w:p>
        </w:tc>
        <w:tc>
          <w:tcPr>
            <w:tcW w:w="20" w:type="dxa"/>
            <w:vAlign w:val="bottom"/>
          </w:tcPr>
          <w:p>
            <w:pPr>
              <w:spacing w:after="0"/>
              <w:rPr>
                <w:sz w:val="19"/>
                <w:szCs w:val="19"/>
                <w:color w:val="auto"/>
              </w:rPr>
            </w:pPr>
          </w:p>
        </w:tc>
      </w:tr>
      <w:tr>
        <w:trPr>
          <w:trHeight w:val="20"/>
        </w:trPr>
        <w:tc>
          <w:tcPr>
            <w:tcW w:w="7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61"/>
        </w:trPr>
        <w:tc>
          <w:tcPr>
            <w:tcW w:w="7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200"/>
          </w:cols>
          <w:pgMar w:left="360" w:top="890" w:right="339" w:bottom="1440" w:gutter="0" w:footer="0" w:header="0"/>
        </w:sectPr>
      </w:pPr>
    </w:p>
    <w:bookmarkStart w:id="9" w:name="page10"/>
    <w:bookmarkEnd w:id="9"/>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47"/>
        </w:trPr>
        <w:tc>
          <w:tcPr>
            <w:tcW w:w="8660" w:type="dxa"/>
            <w:vAlign w:val="bottom"/>
            <w:gridSpan w:val="4"/>
          </w:tcPr>
          <w:p>
            <w:pPr>
              <w:ind w:left="2860"/>
              <w:spacing w:after="0"/>
              <w:rPr>
                <w:sz w:val="20"/>
                <w:szCs w:val="20"/>
                <w:color w:val="auto"/>
              </w:rPr>
            </w:pPr>
            <w:r>
              <w:rPr>
                <w:rFonts w:ascii="Arial" w:cs="Arial" w:eastAsia="Arial" w:hAnsi="Arial"/>
                <w:sz w:val="18"/>
                <w:szCs w:val="18"/>
                <w:b w:val="1"/>
                <w:bCs w:val="1"/>
                <w:color w:val="auto"/>
                <w:w w:val="99"/>
              </w:rPr>
              <w:t>RECONCILIATION OF GAAP TO NON-GAAP MEASURES, Continued</w:t>
            </w: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482"/>
        </w:trPr>
        <w:tc>
          <w:tcPr>
            <w:tcW w:w="7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3rd Qtr.</w:t>
            </w:r>
          </w:p>
        </w:tc>
        <w:tc>
          <w:tcPr>
            <w:tcW w:w="120" w:type="dxa"/>
            <w:vAlign w:val="bottom"/>
          </w:tcPr>
          <w:p>
            <w:pPr>
              <w:spacing w:after="0"/>
              <w:rPr>
                <w:sz w:val="24"/>
                <w:szCs w:val="24"/>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b w:val="1"/>
                <w:bCs w:val="1"/>
                <w:color w:val="auto"/>
                <w:w w:val="98"/>
              </w:rPr>
              <w:t>2nd Qtr.</w:t>
            </w:r>
          </w:p>
        </w:tc>
        <w:tc>
          <w:tcPr>
            <w:tcW w:w="240" w:type="dxa"/>
            <w:vAlign w:val="bottom"/>
          </w:tcPr>
          <w:p>
            <w:pPr>
              <w:spacing w:after="0"/>
              <w:rPr>
                <w:sz w:val="24"/>
                <w:szCs w:val="24"/>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3rd Qtr.</w:t>
            </w:r>
          </w:p>
        </w:tc>
      </w:tr>
      <w:tr>
        <w:trPr>
          <w:trHeight w:val="181"/>
        </w:trPr>
        <w:tc>
          <w:tcPr>
            <w:tcW w:w="7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center"/>
              <w:ind w:right="130"/>
              <w:spacing w:after="0" w:line="181" w:lineRule="exact"/>
              <w:rPr>
                <w:sz w:val="20"/>
                <w:szCs w:val="20"/>
                <w:color w:val="auto"/>
              </w:rPr>
            </w:pPr>
            <w:r>
              <w:rPr>
                <w:rFonts w:ascii="Arial" w:cs="Arial" w:eastAsia="Arial" w:hAnsi="Arial"/>
                <w:sz w:val="18"/>
                <w:szCs w:val="18"/>
                <w:b w:val="1"/>
                <w:bCs w:val="1"/>
                <w:color w:val="auto"/>
              </w:rPr>
              <w:t>May 29,</w:t>
            </w:r>
          </w:p>
        </w:tc>
        <w:tc>
          <w:tcPr>
            <w:tcW w:w="120" w:type="dxa"/>
            <w:vAlign w:val="bottom"/>
          </w:tcPr>
          <w:p>
            <w:pPr>
              <w:spacing w:after="0"/>
              <w:rPr>
                <w:sz w:val="15"/>
                <w:szCs w:val="15"/>
                <w:color w:val="auto"/>
              </w:rPr>
            </w:pPr>
          </w:p>
        </w:tc>
        <w:tc>
          <w:tcPr>
            <w:tcW w:w="1180" w:type="dxa"/>
            <w:vAlign w:val="bottom"/>
          </w:tcPr>
          <w:p>
            <w:pPr>
              <w:jc w:val="center"/>
              <w:ind w:right="10"/>
              <w:spacing w:after="0" w:line="181" w:lineRule="exact"/>
              <w:rPr>
                <w:sz w:val="20"/>
                <w:szCs w:val="20"/>
                <w:color w:val="auto"/>
              </w:rPr>
            </w:pPr>
            <w:r>
              <w:rPr>
                <w:rFonts w:ascii="Arial" w:cs="Arial" w:eastAsia="Arial" w:hAnsi="Arial"/>
                <w:sz w:val="18"/>
                <w:szCs w:val="18"/>
                <w:b w:val="1"/>
                <w:bCs w:val="1"/>
                <w:color w:val="auto"/>
              </w:rPr>
              <w:t>February 27,</w:t>
            </w:r>
          </w:p>
        </w:tc>
        <w:tc>
          <w:tcPr>
            <w:tcW w:w="240" w:type="dxa"/>
            <w:vAlign w:val="bottom"/>
          </w:tcPr>
          <w:p>
            <w:pPr>
              <w:spacing w:after="0"/>
              <w:rPr>
                <w:sz w:val="15"/>
                <w:szCs w:val="15"/>
                <w:color w:val="auto"/>
              </w:rPr>
            </w:pPr>
          </w:p>
        </w:tc>
        <w:tc>
          <w:tcPr>
            <w:tcW w:w="1080" w:type="dxa"/>
            <w:vAlign w:val="bottom"/>
          </w:tcPr>
          <w:p>
            <w:pPr>
              <w:jc w:val="center"/>
              <w:ind w:right="150"/>
              <w:spacing w:after="0" w:line="181" w:lineRule="exact"/>
              <w:rPr>
                <w:sz w:val="20"/>
                <w:szCs w:val="20"/>
                <w:color w:val="auto"/>
              </w:rPr>
            </w:pPr>
            <w:r>
              <w:rPr>
                <w:rFonts w:ascii="Arial" w:cs="Arial" w:eastAsia="Arial" w:hAnsi="Arial"/>
                <w:sz w:val="18"/>
                <w:szCs w:val="18"/>
                <w:b w:val="1"/>
                <w:bCs w:val="1"/>
                <w:color w:val="auto"/>
                <w:w w:val="98"/>
              </w:rPr>
              <w:t>May 30,</w:t>
            </w:r>
          </w:p>
        </w:tc>
      </w:tr>
      <w:tr>
        <w:trPr>
          <w:trHeight w:val="243"/>
        </w:trPr>
        <w:tc>
          <w:tcPr>
            <w:tcW w:w="72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2025</w:t>
            </w: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2025</w:t>
            </w: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2024</w:t>
            </w:r>
          </w:p>
        </w:tc>
      </w:tr>
      <w:tr>
        <w:trPr>
          <w:trHeight w:val="34"/>
        </w:trPr>
        <w:tc>
          <w:tcPr>
            <w:tcW w:w="7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GAAP net cash provided by operating activities</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4,609</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3,942</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2,482</w:t>
            </w:r>
          </w:p>
        </w:tc>
      </w:tr>
      <w:tr>
        <w:trPr>
          <w:trHeight w:val="257"/>
        </w:trPr>
        <w:tc>
          <w:tcPr>
            <w:tcW w:w="7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(2,938)</w:t>
            </w:r>
          </w:p>
        </w:tc>
        <w:tc>
          <w:tcPr>
            <w:tcW w:w="1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(4,055)</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(2,086)</w:t>
            </w: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Payments on equipment purchase contracts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sales of property, plant, and equipment</w:t>
            </w: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72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Proceeds from government incentives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Investments in capital expenditures, net</w:t>
            </w:r>
          </w:p>
        </w:tc>
        <w:tc>
          <w:tcPr>
            <w:tcW w:w="22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(2,660)</w:t>
            </w:r>
          </w:p>
        </w:tc>
        <w:tc>
          <w:tcPr>
            <w:tcW w:w="12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(3,085)</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(2,057)</w:t>
            </w:r>
          </w:p>
        </w:tc>
      </w:tr>
      <w:tr>
        <w:trPr>
          <w:trHeight w:val="223"/>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Adjusted free cash flow</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r>
      <w:tr>
        <w:trPr>
          <w:trHeight w:val="21"/>
        </w:trPr>
        <w:tc>
          <w:tcPr>
            <w:tcW w:w="7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tables above reconcile GAAP to non-GAAP measures of gross margin, operating expenses, operating income, net income, diluted shares, diluted earnings per share, and adjusted free cash flow. The non-GAAP adjustments above may or may not be infrequent or nonrecurring in nature but are a result of periodic or non-core operating activities. We believe this non-GAAP information is helpful in understanding trends and in analyzing our operating results and earnings. We are providing this information to investors to assist in performing analysis of our operating results. When evaluating performance and making decisions on how to allocate our resources, management uses this non-GAAP information and believes investors should have access to similar data when making their investment decisions. We believe these non-GAAP financial measures increase transparency by providing investors with useful supplemental information about the financial performance of our business, enabling enhanced comparison of our operating results between periods and with peer companies. The presentation of these adjusted amounts varies from amounts presented in accordance with U.S. GAAP and therefore may not be comparable to amounts reported by other companies. Our management excludes the following items as applicable in analyzing our operating results and understanding trends in our earnings:</w:t>
      </w:r>
    </w:p>
    <w:p>
      <w:pPr>
        <w:spacing w:after="0" w:line="20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Gains and losses from settlements;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Gains and losses from debt prepayments;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Restructure and asset impairments; and</w:t>
      </w:r>
    </w:p>
    <w:p>
      <w:pPr>
        <w:spacing w:after="0" w:line="9" w:lineRule="exact"/>
        <w:rPr>
          <w:rFonts w:ascii="Arial" w:cs="Arial" w:eastAsia="Arial" w:hAnsi="Arial"/>
          <w:sz w:val="18"/>
          <w:szCs w:val="18"/>
          <w:color w:val="auto"/>
        </w:rPr>
      </w:pPr>
    </w:p>
    <w:p>
      <w:pPr>
        <w:ind w:left="660" w:right="80" w:hanging="328"/>
        <w:spacing w:after="0" w:line="255"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estimated tax effects of above, non-cash changes in net deferred income taxes, assessments of tax exposures, certain tax matters related to prior fiscal periods, and significant changes in tax law. The divergence between our GAAP and non-GAAP income tax provision relates to the difference in our GAAP and non-GAAP estimated annual effective tax rates, which are computed separately.</w:t>
      </w:r>
    </w:p>
    <w:p>
      <w:pPr>
        <w:spacing w:after="0" w:line="209"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Non-GAAP diluted shares are adjusted for the impact of additional shares resulting from the exclusion of stock-based compensation from non-GAAP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890"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OUTLOOK</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FQ4-25</w:t>
            </w:r>
          </w:p>
        </w:tc>
        <w:tc>
          <w:tcPr>
            <w:tcW w:w="3280" w:type="dxa"/>
            <w:vAlign w:val="bottom"/>
            <w:gridSpan w:val="2"/>
          </w:tcPr>
          <w:p>
            <w:pPr>
              <w:ind w:left="1420"/>
              <w:spacing w:after="0"/>
              <w:rPr>
                <w:sz w:val="20"/>
                <w:szCs w:val="20"/>
                <w:color w:val="auto"/>
              </w:rPr>
            </w:pPr>
            <w:r>
              <w:rPr>
                <w:rFonts w:ascii="Arial" w:cs="Arial" w:eastAsia="Arial" w:hAnsi="Arial"/>
                <w:sz w:val="18"/>
                <w:szCs w:val="18"/>
                <w:b w:val="1"/>
                <w:bCs w:val="1"/>
                <w:color w:val="auto"/>
              </w:rPr>
              <w:t>GAAP Outlook</w:t>
            </w: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Adjustments</w:t>
            </w:r>
          </w:p>
        </w:tc>
        <w:tc>
          <w:tcPr>
            <w:tcW w:w="2240" w:type="dxa"/>
            <w:vAlign w:val="bottom"/>
          </w:tcPr>
          <w:p>
            <w:pPr>
              <w:jc w:val="right"/>
              <w:ind w:right="210"/>
              <w:spacing w:after="0"/>
              <w:rPr>
                <w:sz w:val="20"/>
                <w:szCs w:val="20"/>
                <w:color w:val="auto"/>
              </w:rPr>
            </w:pPr>
            <w:r>
              <w:rPr>
                <w:rFonts w:ascii="Arial" w:cs="Arial" w:eastAsia="Arial" w:hAnsi="Arial"/>
                <w:sz w:val="18"/>
                <w:szCs w:val="18"/>
                <w:b w:val="1"/>
                <w:bCs w:val="1"/>
                <w:color w:val="auto"/>
              </w:rPr>
              <w:t>Non-GAAP Outlook</w:t>
            </w:r>
          </w:p>
        </w:tc>
      </w:tr>
      <w:tr>
        <w:trPr>
          <w:trHeight w:val="34"/>
        </w:trPr>
        <w:tc>
          <w:tcPr>
            <w:tcW w:w="3300" w:type="dxa"/>
            <w:vAlign w:val="bottom"/>
            <w:tcBorders>
              <w:top w:val="single" w:sz="8" w:color="auto"/>
            </w:tcBorders>
          </w:tcPr>
          <w:p>
            <w:pPr>
              <w:spacing w:after="0"/>
              <w:rPr>
                <w:sz w:val="2"/>
                <w:szCs w:val="2"/>
                <w:color w:val="auto"/>
              </w:rPr>
            </w:pPr>
          </w:p>
        </w:tc>
        <w:tc>
          <w:tcPr>
            <w:tcW w:w="31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40" w:type="dxa"/>
            <w:vAlign w:val="bottom"/>
            <w:tcBorders>
              <w:top w:val="single" w:sz="8" w:color="auto"/>
            </w:tcBorders>
          </w:tcPr>
          <w:p>
            <w:pPr>
              <w:spacing w:after="0"/>
              <w:rPr>
                <w:sz w:val="2"/>
                <w:szCs w:val="2"/>
                <w:color w:val="auto"/>
              </w:rPr>
            </w:pPr>
          </w:p>
        </w:tc>
      </w:tr>
      <w:tr>
        <w:trPr>
          <w:trHeight w:val="229"/>
        </w:trPr>
        <w:tc>
          <w:tcPr>
            <w:tcW w:w="33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3280" w:type="dxa"/>
            <w:vAlign w:val="bottom"/>
            <w:gridSpan w:val="2"/>
            <w:shd w:val="clear" w:color="auto" w:fill="D1D2D4"/>
          </w:tcPr>
          <w:p>
            <w:pPr>
              <w:jc w:val="right"/>
              <w:ind w:right="120"/>
              <w:spacing w:after="0"/>
              <w:rPr>
                <w:sz w:val="20"/>
                <w:szCs w:val="20"/>
                <w:color w:val="auto"/>
              </w:rPr>
            </w:pPr>
            <w:r>
              <w:rPr>
                <w:rFonts w:ascii="Arial" w:cs="Arial" w:eastAsia="Arial" w:hAnsi="Arial"/>
                <w:sz w:val="18"/>
                <w:szCs w:val="18"/>
                <w:color w:val="auto"/>
              </w:rPr>
              <w:t>$10.7 billion ± $300 million</w:t>
            </w:r>
          </w:p>
        </w:tc>
        <w:tc>
          <w:tcPr>
            <w:tcW w:w="2380" w:type="dxa"/>
            <w:vAlign w:val="bottom"/>
            <w:gridSpan w:val="2"/>
            <w:shd w:val="clear" w:color="auto" w:fill="D1D2D4"/>
          </w:tcPr>
          <w:p>
            <w:pPr>
              <w:jc w:val="center"/>
              <w:ind w:right="120"/>
              <w:spacing w:after="0"/>
              <w:rPr>
                <w:sz w:val="20"/>
                <w:szCs w:val="20"/>
                <w:color w:val="auto"/>
              </w:rPr>
            </w:pPr>
            <w:r>
              <w:rPr>
                <w:rFonts w:ascii="Arial" w:cs="Arial" w:eastAsia="Arial" w:hAnsi="Arial"/>
                <w:sz w:val="18"/>
                <w:szCs w:val="18"/>
                <w:color w:val="auto"/>
                <w:w w:val="99"/>
              </w:rPr>
              <w:t>—</w:t>
            </w:r>
          </w:p>
        </w:tc>
        <w:tc>
          <w:tcPr>
            <w:tcW w:w="2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$10.7 billion ± $300 million</w:t>
            </w:r>
          </w:p>
        </w:tc>
      </w:tr>
      <w:tr>
        <w:trPr>
          <w:trHeight w:val="229"/>
        </w:trPr>
        <w:tc>
          <w:tcPr>
            <w:tcW w:w="330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3160" w:type="dxa"/>
            <w:vAlign w:val="bottom"/>
          </w:tcPr>
          <w:p>
            <w:pPr>
              <w:jc w:val="right"/>
              <w:spacing w:after="0"/>
              <w:rPr>
                <w:sz w:val="20"/>
                <w:szCs w:val="20"/>
                <w:color w:val="auto"/>
              </w:rPr>
            </w:pPr>
            <w:r>
              <w:rPr>
                <w:rFonts w:ascii="Arial" w:cs="Arial" w:eastAsia="Arial" w:hAnsi="Arial"/>
                <w:sz w:val="18"/>
                <w:szCs w:val="18"/>
                <w:color w:val="auto"/>
              </w:rPr>
              <w:t>41.0% ± 1.0%</w:t>
            </w:r>
          </w:p>
        </w:tc>
        <w:tc>
          <w:tcPr>
            <w:tcW w:w="120" w:type="dxa"/>
            <w:vAlign w:val="bottom"/>
          </w:tcPr>
          <w:p>
            <w:pPr>
              <w:spacing w:after="0"/>
              <w:rPr>
                <w:sz w:val="19"/>
                <w:szCs w:val="19"/>
                <w:color w:val="auto"/>
              </w:rPr>
            </w:pPr>
          </w:p>
        </w:tc>
        <w:tc>
          <w:tcPr>
            <w:tcW w:w="23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1.0% A</w:t>
            </w:r>
          </w:p>
        </w:tc>
        <w:tc>
          <w:tcPr>
            <w:tcW w:w="2240" w:type="dxa"/>
            <w:vAlign w:val="bottom"/>
          </w:tcPr>
          <w:p>
            <w:pPr>
              <w:jc w:val="right"/>
              <w:spacing w:after="0"/>
              <w:rPr>
                <w:sz w:val="20"/>
                <w:szCs w:val="20"/>
                <w:color w:val="auto"/>
              </w:rPr>
            </w:pPr>
            <w:r>
              <w:rPr>
                <w:rFonts w:ascii="Arial" w:cs="Arial" w:eastAsia="Arial" w:hAnsi="Arial"/>
                <w:sz w:val="18"/>
                <w:szCs w:val="18"/>
                <w:color w:val="auto"/>
              </w:rPr>
              <w:t>42.0% ± 1.0%</w:t>
            </w:r>
          </w:p>
        </w:tc>
      </w:tr>
      <w:tr>
        <w:trPr>
          <w:trHeight w:val="230"/>
        </w:trPr>
        <w:tc>
          <w:tcPr>
            <w:tcW w:w="3300" w:type="dxa"/>
            <w:vAlign w:val="bottom"/>
            <w:shd w:val="clear" w:color="auto" w:fill="D1D2D4"/>
          </w:tcPr>
          <w:p>
            <w:pPr>
              <w:ind w:left="20"/>
              <w:spacing w:after="0"/>
              <w:rPr>
                <w:sz w:val="20"/>
                <w:szCs w:val="20"/>
                <w:color w:val="auto"/>
              </w:rPr>
            </w:pPr>
            <w:r>
              <w:rPr>
                <w:rFonts w:ascii="Arial" w:cs="Arial" w:eastAsia="Arial" w:hAnsi="Arial"/>
                <w:sz w:val="18"/>
                <w:szCs w:val="18"/>
                <w:color w:val="auto"/>
              </w:rPr>
              <w:t>Operating expenses</w:t>
            </w:r>
          </w:p>
        </w:tc>
        <w:tc>
          <w:tcPr>
            <w:tcW w:w="3280" w:type="dxa"/>
            <w:vAlign w:val="bottom"/>
            <w:gridSpan w:val="2"/>
            <w:shd w:val="clear" w:color="auto" w:fill="D1D2D4"/>
          </w:tcPr>
          <w:p>
            <w:pPr>
              <w:jc w:val="right"/>
              <w:ind w:right="120"/>
              <w:spacing w:after="0"/>
              <w:rPr>
                <w:sz w:val="20"/>
                <w:szCs w:val="20"/>
                <w:color w:val="auto"/>
              </w:rPr>
            </w:pPr>
            <w:r>
              <w:rPr>
                <w:rFonts w:ascii="Arial" w:cs="Arial" w:eastAsia="Arial" w:hAnsi="Arial"/>
                <w:sz w:val="18"/>
                <w:szCs w:val="18"/>
                <w:color w:val="auto"/>
              </w:rPr>
              <w:t>$1.35 billion ± $20 million</w:t>
            </w:r>
          </w:p>
        </w:tc>
        <w:tc>
          <w:tcPr>
            <w:tcW w:w="2380" w:type="dxa"/>
            <w:vAlign w:val="bottom"/>
            <w:gridSpan w:val="2"/>
            <w:shd w:val="clear" w:color="auto" w:fill="D1D2D4"/>
          </w:tcPr>
          <w:p>
            <w:pPr>
              <w:ind w:left="320"/>
              <w:spacing w:after="0"/>
              <w:rPr>
                <w:sz w:val="20"/>
                <w:szCs w:val="20"/>
                <w:color w:val="auto"/>
              </w:rPr>
            </w:pPr>
            <w:r>
              <w:rPr>
                <w:rFonts w:ascii="Arial" w:cs="Arial" w:eastAsia="Arial" w:hAnsi="Arial"/>
                <w:sz w:val="18"/>
                <w:szCs w:val="18"/>
                <w:color w:val="auto"/>
              </w:rPr>
              <w:t>$147 million B</w:t>
            </w:r>
          </w:p>
        </w:tc>
        <w:tc>
          <w:tcPr>
            <w:tcW w:w="2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$1.20 billion ± $20 million</w:t>
            </w:r>
          </w:p>
        </w:tc>
      </w:tr>
      <w:tr>
        <w:trPr>
          <w:trHeight w:val="311"/>
        </w:trPr>
        <w:tc>
          <w:tcPr>
            <w:tcW w:w="3300" w:type="dxa"/>
            <w:vAlign w:val="bottom"/>
          </w:tcPr>
          <w:p>
            <w:pPr>
              <w:ind w:left="20"/>
              <w:spacing w:after="0"/>
              <w:rPr>
                <w:sz w:val="20"/>
                <w:szCs w:val="20"/>
                <w:color w:val="auto"/>
              </w:rPr>
            </w:pPr>
            <w:r>
              <w:rPr>
                <w:rFonts w:ascii="Arial" w:cs="Arial" w:eastAsia="Arial" w:hAnsi="Arial"/>
                <w:sz w:val="18"/>
                <w:szCs w:val="18"/>
                <w:color w:val="auto"/>
              </w:rPr>
              <w:t>Diluted earnings per share</w:t>
            </w:r>
            <w:r>
              <w:rPr>
                <w:rFonts w:ascii="Arial" w:cs="Arial" w:eastAsia="Arial" w:hAnsi="Arial"/>
                <w:sz w:val="23"/>
                <w:szCs w:val="23"/>
                <w:color w:val="auto"/>
                <w:vertAlign w:val="superscript"/>
              </w:rPr>
              <w:t>(1)</w:t>
            </w:r>
          </w:p>
        </w:tc>
        <w:tc>
          <w:tcPr>
            <w:tcW w:w="3160" w:type="dxa"/>
            <w:vAlign w:val="bottom"/>
          </w:tcPr>
          <w:p>
            <w:pPr>
              <w:jc w:val="right"/>
              <w:spacing w:after="0"/>
              <w:rPr>
                <w:sz w:val="20"/>
                <w:szCs w:val="20"/>
                <w:color w:val="auto"/>
              </w:rPr>
            </w:pPr>
            <w:r>
              <w:rPr>
                <w:rFonts w:ascii="Arial" w:cs="Arial" w:eastAsia="Arial" w:hAnsi="Arial"/>
                <w:sz w:val="18"/>
                <w:szCs w:val="18"/>
                <w:color w:val="auto"/>
              </w:rPr>
              <w:t>$2.29 ± $0.15</w:t>
            </w:r>
          </w:p>
        </w:tc>
        <w:tc>
          <w:tcPr>
            <w:tcW w:w="120" w:type="dxa"/>
            <w:vAlign w:val="bottom"/>
          </w:tcPr>
          <w:p>
            <w:pPr>
              <w:spacing w:after="0"/>
              <w:rPr>
                <w:sz w:val="24"/>
                <w:szCs w:val="24"/>
                <w:color w:val="auto"/>
              </w:rPr>
            </w:pPr>
          </w:p>
        </w:tc>
        <w:tc>
          <w:tcPr>
            <w:tcW w:w="2380" w:type="dxa"/>
            <w:vAlign w:val="bottom"/>
            <w:gridSpan w:val="2"/>
          </w:tcPr>
          <w:p>
            <w:pPr>
              <w:ind w:left="820"/>
              <w:spacing w:after="0"/>
              <w:rPr>
                <w:sz w:val="20"/>
                <w:szCs w:val="20"/>
                <w:color w:val="auto"/>
              </w:rPr>
            </w:pPr>
            <w:r>
              <w:rPr>
                <w:rFonts w:ascii="Arial" w:cs="Arial" w:eastAsia="Arial" w:hAnsi="Arial"/>
                <w:sz w:val="18"/>
                <w:szCs w:val="18"/>
                <w:color w:val="auto"/>
              </w:rPr>
              <w:t>$0.21 A, B, C</w:t>
            </w:r>
          </w:p>
        </w:tc>
        <w:tc>
          <w:tcPr>
            <w:tcW w:w="2240" w:type="dxa"/>
            <w:vAlign w:val="bottom"/>
          </w:tcPr>
          <w:p>
            <w:pPr>
              <w:jc w:val="right"/>
              <w:spacing w:after="0"/>
              <w:rPr>
                <w:sz w:val="20"/>
                <w:szCs w:val="20"/>
                <w:color w:val="auto"/>
              </w:rPr>
            </w:pPr>
            <w:r>
              <w:rPr>
                <w:rFonts w:ascii="Arial" w:cs="Arial" w:eastAsia="Arial" w:hAnsi="Arial"/>
                <w:sz w:val="18"/>
                <w:szCs w:val="18"/>
                <w:color w:val="auto"/>
              </w:rPr>
              <w:t>$2.50 ± $0.15</w:t>
            </w: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Non-GAAP Adjustments</w:t>
      </w:r>
    </w:p>
    <w:p>
      <w:pPr>
        <w:ind w:left="40"/>
        <w:spacing w:after="0"/>
        <w:rPr>
          <w:sz w:val="20"/>
          <w:szCs w:val="20"/>
          <w:color w:val="auto"/>
        </w:rPr>
      </w:pPr>
      <w:r>
        <w:rPr>
          <w:rFonts w:ascii="Arial" w:cs="Arial" w:eastAsia="Arial" w:hAnsi="Arial"/>
          <w:sz w:val="18"/>
          <w:szCs w:val="18"/>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A</w:t>
            </w:r>
          </w:p>
        </w:tc>
        <w:tc>
          <w:tcPr>
            <w:tcW w:w="8700" w:type="dxa"/>
            <w:vAlign w:val="bottom"/>
            <w:shd w:val="clear" w:color="auto" w:fill="D1D2D4"/>
          </w:tcPr>
          <w:p>
            <w:pPr>
              <w:ind w:left="100"/>
              <w:spacing w:after="0"/>
              <w:rPr>
                <w:sz w:val="20"/>
                <w:szCs w:val="20"/>
                <w:color w:val="auto"/>
              </w:rPr>
            </w:pPr>
            <w:r>
              <w:rPr>
                <w:rFonts w:ascii="Arial" w:cs="Arial" w:eastAsia="Arial" w:hAnsi="Arial"/>
                <w:sz w:val="18"/>
                <w:szCs w:val="18"/>
                <w:color w:val="auto"/>
              </w:rPr>
              <w:t>Stock-based compensation – cost of goods sold</w:t>
            </w:r>
          </w:p>
        </w:tc>
        <w:tc>
          <w:tcPr>
            <w:tcW w:w="1000" w:type="dxa"/>
            <w:vAlign w:val="bottom"/>
            <w:shd w:val="clear" w:color="auto" w:fill="D1D2D4"/>
          </w:tcPr>
          <w:p>
            <w:pPr>
              <w:jc w:val="right"/>
              <w:ind w:right="7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119</w:t>
            </w:r>
          </w:p>
        </w:tc>
      </w:tr>
      <w:tr>
        <w:trPr>
          <w:trHeight w:val="230"/>
        </w:trPr>
        <w:tc>
          <w:tcPr>
            <w:tcW w:w="240" w:type="dxa"/>
            <w:vAlign w:val="bottom"/>
          </w:tcPr>
          <w:p>
            <w:pPr>
              <w:ind w:left="20"/>
              <w:spacing w:after="0"/>
              <w:rPr>
                <w:sz w:val="20"/>
                <w:szCs w:val="20"/>
                <w:color w:val="auto"/>
              </w:rPr>
            </w:pPr>
            <w:r>
              <w:rPr>
                <w:rFonts w:ascii="Arial" w:cs="Arial" w:eastAsia="Arial" w:hAnsi="Arial"/>
                <w:sz w:val="18"/>
                <w:szCs w:val="18"/>
                <w:color w:val="auto"/>
              </w:rPr>
              <w:t>B</w:t>
            </w:r>
          </w:p>
        </w:tc>
        <w:tc>
          <w:tcPr>
            <w:tcW w:w="8700" w:type="dxa"/>
            <w:vAlign w:val="bottom"/>
          </w:tcPr>
          <w:p>
            <w:pPr>
              <w:ind w:left="100"/>
              <w:spacing w:after="0"/>
              <w:rPr>
                <w:sz w:val="20"/>
                <w:szCs w:val="20"/>
                <w:color w:val="auto"/>
              </w:rPr>
            </w:pPr>
            <w:r>
              <w:rPr>
                <w:rFonts w:ascii="Arial" w:cs="Arial" w:eastAsia="Arial" w:hAnsi="Arial"/>
                <w:sz w:val="18"/>
                <w:szCs w:val="18"/>
                <w:color w:val="auto"/>
              </w:rPr>
              <w:t>Stock-based compensation – research and development</w:t>
            </w:r>
          </w:p>
        </w:tc>
        <w:tc>
          <w:tcPr>
            <w:tcW w:w="10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29"/>
        </w:trPr>
        <w:tc>
          <w:tcPr>
            <w:tcW w:w="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B</w:t>
            </w:r>
          </w:p>
        </w:tc>
        <w:tc>
          <w:tcPr>
            <w:tcW w:w="8700" w:type="dxa"/>
            <w:vAlign w:val="bottom"/>
            <w:shd w:val="clear" w:color="auto" w:fill="D1D2D4"/>
          </w:tcPr>
          <w:p>
            <w:pPr>
              <w:ind w:left="100"/>
              <w:spacing w:after="0"/>
              <w:rPr>
                <w:sz w:val="20"/>
                <w:szCs w:val="20"/>
                <w:color w:val="auto"/>
              </w:rPr>
            </w:pPr>
            <w:r>
              <w:rPr>
                <w:rFonts w:ascii="Arial" w:cs="Arial" w:eastAsia="Arial" w:hAnsi="Arial"/>
                <w:sz w:val="18"/>
                <w:szCs w:val="18"/>
                <w:color w:val="auto"/>
              </w:rPr>
              <w:t>Stock-based compensation – sales, general, and administrative</w:t>
            </w:r>
          </w:p>
        </w:tc>
        <w:tc>
          <w:tcPr>
            <w:tcW w:w="10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2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w:t>
            </w:r>
          </w:p>
        </w:tc>
        <w:tc>
          <w:tcPr>
            <w:tcW w:w="8700" w:type="dxa"/>
            <w:vAlign w:val="bottom"/>
            <w:tcBorders>
              <w:bottom w:val="single" w:sz="8" w:color="D1D2D4"/>
            </w:tcBorders>
          </w:tcPr>
          <w:p>
            <w:pPr>
              <w:ind w:left="100"/>
              <w:spacing w:after="0"/>
              <w:rPr>
                <w:sz w:val="20"/>
                <w:szCs w:val="20"/>
                <w:color w:val="auto"/>
              </w:rPr>
            </w:pPr>
            <w:r>
              <w:rPr>
                <w:rFonts w:ascii="Arial" w:cs="Arial" w:eastAsia="Arial" w:hAnsi="Arial"/>
                <w:sz w:val="18"/>
                <w:szCs w:val="18"/>
                <w:color w:val="auto"/>
              </w:rPr>
              <w:t>Tax effects of the above items and other tax adjustments</w:t>
            </w:r>
          </w:p>
        </w:tc>
        <w:tc>
          <w:tcPr>
            <w:tcW w:w="10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48"/>
        </w:trPr>
        <w:tc>
          <w:tcPr>
            <w:tcW w:w="240" w:type="dxa"/>
            <w:vAlign w:val="bottom"/>
            <w:tcBorders>
              <w:bottom w:val="single" w:sz="8" w:color="D1D2D4"/>
            </w:tcBorders>
            <w:shd w:val="clear" w:color="auto" w:fill="D1D2D4"/>
          </w:tcPr>
          <w:p>
            <w:pPr>
              <w:spacing w:after="0"/>
              <w:rPr>
                <w:sz w:val="21"/>
                <w:szCs w:val="21"/>
                <w:color w:val="auto"/>
              </w:rPr>
            </w:pPr>
          </w:p>
        </w:tc>
        <w:tc>
          <w:tcPr>
            <w:tcW w:w="8700" w:type="dxa"/>
            <w:vAlign w:val="bottom"/>
            <w:tcBorders>
              <w:bottom w:val="single" w:sz="8" w:color="D1D2D4"/>
            </w:tcBorders>
            <w:shd w:val="clear" w:color="auto" w:fill="D1D2D4"/>
          </w:tcPr>
          <w:p>
            <w:pPr>
              <w:spacing w:after="0"/>
              <w:rPr>
                <w:sz w:val="21"/>
                <w:szCs w:val="21"/>
                <w:color w:val="auto"/>
              </w:rPr>
            </w:pPr>
          </w:p>
        </w:tc>
        <w:tc>
          <w:tcPr>
            <w:tcW w:w="1000" w:type="dxa"/>
            <w:vAlign w:val="bottom"/>
            <w:tcBorders>
              <w:bottom w:val="single" w:sz="8" w:color="auto"/>
            </w:tcBorders>
            <w:shd w:val="clear" w:color="auto" w:fill="D1D2D4"/>
          </w:tcPr>
          <w:p>
            <w:pPr>
              <w:jc w:val="right"/>
              <w:ind w:right="7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239</w:t>
            </w:r>
          </w:p>
        </w:tc>
      </w:tr>
      <w:tr>
        <w:trPr>
          <w:trHeight w:val="20"/>
        </w:trPr>
        <w:tc>
          <w:tcPr>
            <w:tcW w:w="240" w:type="dxa"/>
            <w:vAlign w:val="bottom"/>
            <w:tcBorders>
              <w:top w:val="single" w:sz="8" w:color="D1D2D4"/>
            </w:tcBorders>
          </w:tcPr>
          <w:p>
            <w:pPr>
              <w:spacing w:after="0" w:line="20" w:lineRule="exact"/>
              <w:rPr>
                <w:sz w:val="1"/>
                <w:szCs w:val="1"/>
                <w:color w:val="auto"/>
              </w:rPr>
            </w:pPr>
          </w:p>
        </w:tc>
        <w:tc>
          <w:tcPr>
            <w:tcW w:w="8700" w:type="dxa"/>
            <w:vAlign w:val="bottom"/>
            <w:tcBorders>
              <w:top w:val="single" w:sz="8" w:color="D1D2D4"/>
            </w:tcBorders>
          </w:tcPr>
          <w:p>
            <w:pPr>
              <w:spacing w:after="0" w:line="20" w:lineRule="exact"/>
              <w:rPr>
                <w:sz w:val="1"/>
                <w:szCs w:val="1"/>
                <w:color w:val="auto"/>
              </w:rPr>
            </w:pPr>
          </w:p>
        </w:tc>
        <w:tc>
          <w:tcPr>
            <w:tcW w:w="100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340" w:right="60" w:hanging="332"/>
        <w:spacing w:after="0" w:line="231" w:lineRule="auto"/>
        <w:tabs>
          <w:tab w:leader="none" w:pos="334"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GAAP earnings per share based on approximately 1.13 billion diluted shares and non-GAAP earnings per share based on approximately 1.15 billion diluted shares.</w:t>
      </w:r>
    </w:p>
    <w:p>
      <w:pPr>
        <w:spacing w:after="0" w:line="22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tables above reconcile our GAAP to non-GAAP guidance based on the current outlook. The guidance does not incorporate the impact of any potential business combinations, divestitures, additional restructuring activities, balance sheet valuation adjustments, strategic investments, financing transactions, and other significant transactions. The timing and impact of such items are dependent on future events that may be uncertain or outside of our control.</w:t>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2025-06-25T15:15:54Z</dcterms:created>
  <dcterms:modified xsi:type="dcterms:W3CDTF">2025-06-25T15:15:54Z</dcterms:modified>
</cp:coreProperties>
</file>