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-227965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5208270</wp:posOffset>
            </wp:positionH>
            <wp:positionV relativeFrom="paragraph">
              <wp:posOffset>-601980</wp:posOffset>
            </wp:positionV>
            <wp:extent cx="57150" cy="6153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3918585</wp:posOffset>
            </wp:positionH>
            <wp:positionV relativeFrom="paragraph">
              <wp:posOffset>-601980</wp:posOffset>
            </wp:positionV>
            <wp:extent cx="57150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25400</wp:posOffset>
            </wp:positionV>
            <wp:extent cx="6998970" cy="8508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901" w:orient="portrait"/>
          <w:cols w:equalWidth="0" w:num="2">
            <w:col w:w="2160" w:space="500"/>
            <w:col w:w="8420"/>
          </w:cols>
          <w:pgMar w:left="460" w:top="213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Deboer Scott J</w:t>
        </w:r>
      </w:hyperlink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740" w:firstLine="5"/>
        <w:spacing w:after="0" w:line="269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3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EVP, Technology &amp; Products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901" w:orient="portrait"/>
          <w:cols w:equalWidth="0" w:num="3">
            <w:col w:w="3180" w:space="720"/>
            <w:col w:w="3120" w:space="705"/>
            <w:col w:w="3355"/>
          </w:cols>
          <w:pgMar w:left="460" w:top="213" w:right="359" w:bottom="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08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61,611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248,683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33,834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282,517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14,049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268,468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896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269,364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386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268,978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24,066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293,044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11,480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281,564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9,354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290,918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4,462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286,456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4,739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281,717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6,101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275,616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7,276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268,340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33,834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9,667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896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7,705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24,066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12,033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12,033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9,354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10,167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10,168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(10)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24,294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(10)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24,294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24,294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(11)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15,403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15,403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15,403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(12)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15,403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1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15,403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15,403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-3644265</wp:posOffset>
            </wp:positionV>
            <wp:extent cx="28575" cy="3649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64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 vests 33 1/3% on October 15, 2023, and 1/12 of the total restricted stock award vests quarterly thereafter.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60" w:hanging="4"/>
        <w:spacing w:after="0" w:line="256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jc w:val="both"/>
        <w:ind w:left="40" w:right="180" w:hanging="4"/>
        <w:spacing w:after="0" w:line="256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NAND delivery and solutions at a level resulting in a vest of 100% of the total target shares under the performance-based restricted stock units previously awarded on October 16, 2020. As reported at grant, the performance-based restricted stock unit could result in a payout that varies based on actual achievement of the goals, subject to a 200% aggregate limit on the payout of target shares.</w:t>
      </w:r>
    </w:p>
    <w:p>
      <w:pPr>
        <w:sectPr>
          <w:pgSz w:w="11900" w:h="16901" w:orient="portrait"/>
          <w:cols w:equalWidth="0" w:num="1">
            <w:col w:w="11080"/>
          </w:cols>
          <w:pgMar w:left="460" w:top="213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left="4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resulting in a vest of 46% of the total target shares under the performance-based restricted stock units previously awarded on October 16, 2020.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100" w:hanging="4"/>
        <w:spacing w:after="0" w:line="256" w:lineRule="auto"/>
        <w:tabs>
          <w:tab w:leader="none" w:pos="128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6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6" w:lineRule="auto"/>
        <w:tabs>
          <w:tab w:leader="none" w:pos="18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" w:right="40" w:hanging="4"/>
        <w:spacing w:after="0" w:line="256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DRAM revenue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56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Rob Beard,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10/17/2022</w:t>
            </w:r>
          </w:p>
        </w:tc>
      </w:tr>
      <w:tr>
        <w:trPr>
          <w:trHeight w:val="218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" w:right="3740" w:hanging="4"/>
        <w:spacing w:after="0" w:line="323" w:lineRule="auto"/>
        <w:tabs>
          <w:tab w:leader="none" w:pos="135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4"/>
      </w:cols>
      <w:pgMar w:left="496" w:top="139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2022-10-17T16:09:37Z</dcterms:created>
  <dcterms:modified xsi:type="dcterms:W3CDTF">2022-10-17T16:09:37Z</dcterms:modified>
</cp:coreProperties>
</file>