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16" w:lineRule="exact"/>
        <w:rPr>
          <w:sz w:val="24"/>
          <w:szCs w:val="24"/>
          <w:color w:val="auto"/>
        </w:rPr>
      </w:pPr>
    </w:p>
    <w:p>
      <w:pPr>
        <w:ind w:left="396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b w:val="1"/>
          <w:bCs w:val="1"/>
          <w:color w:val="auto"/>
        </w:rPr>
        <w:t>Securities Exchange Act of 1934</w:t>
      </w:r>
    </w:p>
    <w:p>
      <w:pPr>
        <w:spacing w:after="0" w:line="19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Date of report (Date of earliest event reported):</w:t>
      </w:r>
    </w:p>
    <w:p>
      <w:pPr>
        <w:spacing w:after="0" w:line="23" w:lineRule="exact"/>
        <w:rPr>
          <w:sz w:val="24"/>
          <w:szCs w:val="24"/>
          <w:color w:val="auto"/>
        </w:rPr>
      </w:pPr>
    </w:p>
    <w:tbl>
      <w:tblPr>
        <w:tblLayout w:type="fixed"/>
        <w:tblInd w:w="840" w:type="dxa"/>
        <w:tblCellMar>
          <w:top w:w="0" w:type="dxa"/>
          <w:left w:w="0" w:type="dxa"/>
          <w:bottom w:w="0" w:type="dxa"/>
          <w:right w:w="0" w:type="dxa"/>
        </w:tblCellMar>
      </w:tblPr>
      <w:tr>
        <w:trPr>
          <w:trHeight w:val="234"/>
        </w:trPr>
        <w:tc>
          <w:tcPr>
            <w:tcW w:w="2460" w:type="dxa"/>
            <w:vAlign w:val="bottom"/>
          </w:tcPr>
          <w:p>
            <w:pPr>
              <w:spacing w:after="0"/>
              <w:rPr>
                <w:sz w:val="20"/>
                <w:szCs w:val="20"/>
                <w:color w:val="auto"/>
              </w:rPr>
            </w:pPr>
          </w:p>
        </w:tc>
        <w:tc>
          <w:tcPr>
            <w:tcW w:w="498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March 8, 2006</w:t>
            </w:r>
          </w:p>
        </w:tc>
        <w:tc>
          <w:tcPr>
            <w:tcW w:w="1980" w:type="dxa"/>
            <w:vAlign w:val="bottom"/>
          </w:tcPr>
          <w:p>
            <w:pPr>
              <w:spacing w:after="0"/>
              <w:rPr>
                <w:sz w:val="20"/>
                <w:szCs w:val="20"/>
                <w:color w:val="auto"/>
              </w:rPr>
            </w:pPr>
          </w:p>
        </w:tc>
      </w:tr>
      <w:tr>
        <w:trPr>
          <w:trHeight w:val="400"/>
        </w:trPr>
        <w:tc>
          <w:tcPr>
            <w:tcW w:w="2460" w:type="dxa"/>
            <w:vAlign w:val="bottom"/>
          </w:tcPr>
          <w:p>
            <w:pPr>
              <w:spacing w:after="0"/>
              <w:rPr>
                <w:sz w:val="24"/>
                <w:szCs w:val="24"/>
                <w:color w:val="auto"/>
              </w:rPr>
            </w:pPr>
          </w:p>
        </w:tc>
        <w:tc>
          <w:tcPr>
            <w:tcW w:w="49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Micron Technology, Inc.</w:t>
            </w:r>
          </w:p>
        </w:tc>
        <w:tc>
          <w:tcPr>
            <w:tcW w:w="1980" w:type="dxa"/>
            <w:vAlign w:val="bottom"/>
          </w:tcPr>
          <w:p>
            <w:pPr>
              <w:spacing w:after="0"/>
              <w:rPr>
                <w:sz w:val="24"/>
                <w:szCs w:val="24"/>
                <w:color w:val="auto"/>
              </w:rPr>
            </w:pPr>
          </w:p>
        </w:tc>
      </w:tr>
      <w:tr>
        <w:trPr>
          <w:trHeight w:val="230"/>
        </w:trPr>
        <w:tc>
          <w:tcPr>
            <w:tcW w:w="2460" w:type="dxa"/>
            <w:vAlign w:val="bottom"/>
          </w:tcPr>
          <w:p>
            <w:pPr>
              <w:spacing w:after="0"/>
              <w:rPr>
                <w:sz w:val="20"/>
                <w:szCs w:val="20"/>
                <w:color w:val="auto"/>
              </w:rPr>
            </w:pPr>
          </w:p>
        </w:tc>
        <w:tc>
          <w:tcPr>
            <w:tcW w:w="4980" w:type="dxa"/>
            <w:vAlign w:val="bottom"/>
          </w:tcPr>
          <w:p>
            <w:pPr>
              <w:jc w:val="center"/>
              <w:ind w:right="50"/>
              <w:spacing w:after="0"/>
              <w:rPr>
                <w:sz w:val="20"/>
                <w:szCs w:val="20"/>
                <w:color w:val="auto"/>
              </w:rPr>
            </w:pPr>
            <w:r>
              <w:rPr>
                <w:rFonts w:ascii="Arial" w:cs="Arial" w:eastAsia="Arial" w:hAnsi="Arial"/>
                <w:sz w:val="18"/>
                <w:szCs w:val="18"/>
                <w:color w:val="auto"/>
                <w:w w:val="91"/>
              </w:rPr>
              <w:t>(Exact Name of Registrant as Specified in Charter)</w:t>
            </w:r>
          </w:p>
        </w:tc>
        <w:tc>
          <w:tcPr>
            <w:tcW w:w="1980" w:type="dxa"/>
            <w:vAlign w:val="bottom"/>
          </w:tcPr>
          <w:p>
            <w:pPr>
              <w:spacing w:after="0"/>
              <w:rPr>
                <w:sz w:val="20"/>
                <w:szCs w:val="20"/>
                <w:color w:val="auto"/>
              </w:rPr>
            </w:pPr>
          </w:p>
        </w:tc>
      </w:tr>
      <w:tr>
        <w:trPr>
          <w:trHeight w:val="418"/>
        </w:trPr>
        <w:tc>
          <w:tcPr>
            <w:tcW w:w="2460" w:type="dxa"/>
            <w:vAlign w:val="bottom"/>
          </w:tcPr>
          <w:p>
            <w:pPr>
              <w:jc w:val="center"/>
              <w:ind w:right="370"/>
              <w:spacing w:after="0"/>
              <w:rPr>
                <w:sz w:val="20"/>
                <w:szCs w:val="20"/>
                <w:color w:val="auto"/>
              </w:rPr>
            </w:pPr>
            <w:r>
              <w:rPr>
                <w:rFonts w:ascii="Arial" w:cs="Arial" w:eastAsia="Arial" w:hAnsi="Arial"/>
                <w:sz w:val="18"/>
                <w:szCs w:val="18"/>
                <w:b w:val="1"/>
                <w:bCs w:val="1"/>
                <w:color w:val="auto"/>
                <w:w w:val="91"/>
              </w:rPr>
              <w:t>Delaware</w:t>
            </w:r>
          </w:p>
        </w:tc>
        <w:tc>
          <w:tcPr>
            <w:tcW w:w="49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1-10658</w:t>
            </w:r>
          </w:p>
        </w:tc>
        <w:tc>
          <w:tcPr>
            <w:tcW w:w="1980" w:type="dxa"/>
            <w:vAlign w:val="bottom"/>
          </w:tcPr>
          <w:p>
            <w:pPr>
              <w:jc w:val="center"/>
              <w:ind w:left="570"/>
              <w:spacing w:after="0"/>
              <w:rPr>
                <w:sz w:val="20"/>
                <w:szCs w:val="20"/>
                <w:color w:val="auto"/>
              </w:rPr>
            </w:pPr>
            <w:r>
              <w:rPr>
                <w:rFonts w:ascii="Arial" w:cs="Arial" w:eastAsia="Arial" w:hAnsi="Arial"/>
                <w:sz w:val="18"/>
                <w:szCs w:val="18"/>
                <w:b w:val="1"/>
                <w:bCs w:val="1"/>
                <w:color w:val="auto"/>
                <w:w w:val="91"/>
              </w:rPr>
              <w:t>75-1618004</w:t>
            </w:r>
          </w:p>
        </w:tc>
      </w:tr>
      <w:tr>
        <w:trPr>
          <w:trHeight w:val="216"/>
        </w:trPr>
        <w:tc>
          <w:tcPr>
            <w:tcW w:w="2460" w:type="dxa"/>
            <w:vAlign w:val="bottom"/>
          </w:tcPr>
          <w:p>
            <w:pPr>
              <w:jc w:val="center"/>
              <w:ind w:right="410"/>
              <w:spacing w:after="0"/>
              <w:rPr>
                <w:sz w:val="20"/>
                <w:szCs w:val="20"/>
                <w:color w:val="auto"/>
              </w:rPr>
            </w:pPr>
            <w:r>
              <w:rPr>
                <w:rFonts w:ascii="Arial" w:cs="Arial" w:eastAsia="Arial" w:hAnsi="Arial"/>
                <w:sz w:val="18"/>
                <w:szCs w:val="18"/>
                <w:color w:val="auto"/>
                <w:w w:val="91"/>
              </w:rPr>
              <w:t>(State or Other Jurisdiction</w:t>
            </w:r>
          </w:p>
        </w:tc>
        <w:tc>
          <w:tcPr>
            <w:tcW w:w="4980" w:type="dxa"/>
            <w:vAlign w:val="bottom"/>
          </w:tcPr>
          <w:p>
            <w:pPr>
              <w:jc w:val="center"/>
              <w:ind w:right="70"/>
              <w:spacing w:after="0"/>
              <w:rPr>
                <w:sz w:val="20"/>
                <w:szCs w:val="20"/>
                <w:color w:val="auto"/>
              </w:rPr>
            </w:pPr>
            <w:r>
              <w:rPr>
                <w:rFonts w:ascii="Arial" w:cs="Arial" w:eastAsia="Arial" w:hAnsi="Arial"/>
                <w:sz w:val="18"/>
                <w:szCs w:val="18"/>
                <w:color w:val="auto"/>
                <w:w w:val="93"/>
              </w:rPr>
              <w:t>(Commission</w:t>
            </w:r>
          </w:p>
        </w:tc>
        <w:tc>
          <w:tcPr>
            <w:tcW w:w="1980" w:type="dxa"/>
            <w:vAlign w:val="bottom"/>
          </w:tcPr>
          <w:p>
            <w:pPr>
              <w:jc w:val="center"/>
              <w:ind w:left="510"/>
              <w:spacing w:after="0"/>
              <w:rPr>
                <w:sz w:val="20"/>
                <w:szCs w:val="20"/>
                <w:color w:val="auto"/>
              </w:rPr>
            </w:pPr>
            <w:r>
              <w:rPr>
                <w:rFonts w:ascii="Arial" w:cs="Arial" w:eastAsia="Arial" w:hAnsi="Arial"/>
                <w:sz w:val="18"/>
                <w:szCs w:val="18"/>
                <w:color w:val="auto"/>
                <w:w w:val="93"/>
              </w:rPr>
              <w:t>(IRS Employer</w:t>
            </w:r>
          </w:p>
        </w:tc>
      </w:tr>
      <w:tr>
        <w:trPr>
          <w:trHeight w:val="230"/>
        </w:trPr>
        <w:tc>
          <w:tcPr>
            <w:tcW w:w="2460" w:type="dxa"/>
            <w:vAlign w:val="bottom"/>
          </w:tcPr>
          <w:p>
            <w:pPr>
              <w:jc w:val="center"/>
              <w:ind w:right="370"/>
              <w:spacing w:after="0"/>
              <w:rPr>
                <w:sz w:val="20"/>
                <w:szCs w:val="20"/>
                <w:color w:val="auto"/>
              </w:rPr>
            </w:pPr>
            <w:r>
              <w:rPr>
                <w:rFonts w:ascii="Arial" w:cs="Arial" w:eastAsia="Arial" w:hAnsi="Arial"/>
                <w:sz w:val="18"/>
                <w:szCs w:val="18"/>
                <w:color w:val="auto"/>
                <w:w w:val="94"/>
              </w:rPr>
              <w:t>of Incorporation)</w:t>
            </w:r>
          </w:p>
        </w:tc>
        <w:tc>
          <w:tcPr>
            <w:tcW w:w="4980" w:type="dxa"/>
            <w:vAlign w:val="bottom"/>
          </w:tcPr>
          <w:p>
            <w:pPr>
              <w:jc w:val="center"/>
              <w:ind w:right="30"/>
              <w:spacing w:after="0"/>
              <w:rPr>
                <w:sz w:val="20"/>
                <w:szCs w:val="20"/>
                <w:color w:val="auto"/>
              </w:rPr>
            </w:pPr>
            <w:r>
              <w:rPr>
                <w:rFonts w:ascii="Arial" w:cs="Arial" w:eastAsia="Arial" w:hAnsi="Arial"/>
                <w:sz w:val="18"/>
                <w:szCs w:val="18"/>
                <w:color w:val="auto"/>
                <w:w w:val="94"/>
              </w:rPr>
              <w:t>File Number)</w:t>
            </w:r>
          </w:p>
        </w:tc>
        <w:tc>
          <w:tcPr>
            <w:tcW w:w="1980" w:type="dxa"/>
            <w:vAlign w:val="bottom"/>
          </w:tcPr>
          <w:p>
            <w:pPr>
              <w:jc w:val="center"/>
              <w:ind w:left="5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460" w:type="dxa"/>
            <w:vAlign w:val="bottom"/>
          </w:tcPr>
          <w:p>
            <w:pPr>
              <w:spacing w:after="0"/>
              <w:rPr>
                <w:sz w:val="24"/>
                <w:szCs w:val="24"/>
                <w:color w:val="auto"/>
              </w:rPr>
            </w:pPr>
          </w:p>
        </w:tc>
        <w:tc>
          <w:tcPr>
            <w:tcW w:w="49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8000 South Federal Way</w:t>
            </w:r>
          </w:p>
        </w:tc>
        <w:tc>
          <w:tcPr>
            <w:tcW w:w="1980" w:type="dxa"/>
            <w:vAlign w:val="bottom"/>
          </w:tcPr>
          <w:p>
            <w:pPr>
              <w:spacing w:after="0"/>
              <w:rPr>
                <w:sz w:val="24"/>
                <w:szCs w:val="24"/>
                <w:color w:val="auto"/>
              </w:rPr>
            </w:pPr>
          </w:p>
        </w:tc>
      </w:tr>
      <w:tr>
        <w:trPr>
          <w:trHeight w:val="220"/>
        </w:trPr>
        <w:tc>
          <w:tcPr>
            <w:tcW w:w="2460" w:type="dxa"/>
            <w:vAlign w:val="bottom"/>
          </w:tcPr>
          <w:p>
            <w:pPr>
              <w:spacing w:after="0"/>
              <w:rPr>
                <w:sz w:val="19"/>
                <w:szCs w:val="19"/>
                <w:color w:val="auto"/>
              </w:rPr>
            </w:pPr>
          </w:p>
        </w:tc>
        <w:tc>
          <w:tcPr>
            <w:tcW w:w="49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Boise, Idaho 83716-9632</w:t>
            </w:r>
          </w:p>
        </w:tc>
        <w:tc>
          <w:tcPr>
            <w:tcW w:w="1980" w:type="dxa"/>
            <w:vAlign w:val="bottom"/>
          </w:tcPr>
          <w:p>
            <w:pPr>
              <w:spacing w:after="0"/>
              <w:rPr>
                <w:sz w:val="19"/>
                <w:szCs w:val="19"/>
                <w:color w:val="auto"/>
              </w:rPr>
            </w:pPr>
          </w:p>
        </w:tc>
      </w:tr>
      <w:tr>
        <w:trPr>
          <w:trHeight w:val="230"/>
        </w:trPr>
        <w:tc>
          <w:tcPr>
            <w:tcW w:w="2460" w:type="dxa"/>
            <w:vAlign w:val="bottom"/>
          </w:tcPr>
          <w:p>
            <w:pPr>
              <w:spacing w:after="0"/>
              <w:rPr>
                <w:sz w:val="20"/>
                <w:szCs w:val="20"/>
                <w:color w:val="auto"/>
              </w:rPr>
            </w:pPr>
          </w:p>
        </w:tc>
        <w:tc>
          <w:tcPr>
            <w:tcW w:w="4980" w:type="dxa"/>
            <w:vAlign w:val="bottom"/>
          </w:tcPr>
          <w:p>
            <w:pPr>
              <w:jc w:val="center"/>
              <w:ind w:right="70"/>
              <w:spacing w:after="0"/>
              <w:rPr>
                <w:sz w:val="20"/>
                <w:szCs w:val="20"/>
                <w:color w:val="auto"/>
              </w:rPr>
            </w:pPr>
            <w:r>
              <w:rPr>
                <w:rFonts w:ascii="Arial" w:cs="Arial" w:eastAsia="Arial" w:hAnsi="Arial"/>
                <w:sz w:val="18"/>
                <w:szCs w:val="18"/>
                <w:color w:val="auto"/>
                <w:w w:val="92"/>
              </w:rPr>
              <w:t>(Address of Principal Executive Offices)</w:t>
            </w:r>
          </w:p>
        </w:tc>
        <w:tc>
          <w:tcPr>
            <w:tcW w:w="1980" w:type="dxa"/>
            <w:vAlign w:val="bottom"/>
          </w:tcPr>
          <w:p>
            <w:pPr>
              <w:spacing w:after="0"/>
              <w:rPr>
                <w:sz w:val="20"/>
                <w:szCs w:val="20"/>
                <w:color w:val="auto"/>
              </w:rPr>
            </w:pPr>
          </w:p>
        </w:tc>
      </w:tr>
      <w:tr>
        <w:trPr>
          <w:trHeight w:val="418"/>
        </w:trPr>
        <w:tc>
          <w:tcPr>
            <w:tcW w:w="2460" w:type="dxa"/>
            <w:vAlign w:val="bottom"/>
          </w:tcPr>
          <w:p>
            <w:pPr>
              <w:spacing w:after="0"/>
              <w:rPr>
                <w:sz w:val="24"/>
                <w:szCs w:val="24"/>
                <w:color w:val="auto"/>
              </w:rPr>
            </w:pPr>
          </w:p>
        </w:tc>
        <w:tc>
          <w:tcPr>
            <w:tcW w:w="49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(208) 368-4000</w:t>
            </w:r>
          </w:p>
        </w:tc>
        <w:tc>
          <w:tcPr>
            <w:tcW w:w="1980" w:type="dxa"/>
            <w:vAlign w:val="bottom"/>
          </w:tcPr>
          <w:p>
            <w:pPr>
              <w:spacing w:after="0"/>
              <w:rPr>
                <w:sz w:val="24"/>
                <w:szCs w:val="24"/>
                <w:color w:val="auto"/>
              </w:rPr>
            </w:pPr>
          </w:p>
        </w:tc>
      </w:tr>
      <w:tr>
        <w:trPr>
          <w:trHeight w:val="230"/>
        </w:trPr>
        <w:tc>
          <w:tcPr>
            <w:tcW w:w="2460" w:type="dxa"/>
            <w:vAlign w:val="bottom"/>
          </w:tcPr>
          <w:p>
            <w:pPr>
              <w:spacing w:after="0"/>
              <w:rPr>
                <w:sz w:val="20"/>
                <w:szCs w:val="20"/>
                <w:color w:val="auto"/>
              </w:rPr>
            </w:pPr>
          </w:p>
        </w:tc>
        <w:tc>
          <w:tcPr>
            <w:tcW w:w="4980" w:type="dxa"/>
            <w:vAlign w:val="bottom"/>
          </w:tcPr>
          <w:p>
            <w:pPr>
              <w:jc w:val="center"/>
              <w:ind w:right="70"/>
              <w:spacing w:after="0"/>
              <w:rPr>
                <w:sz w:val="20"/>
                <w:szCs w:val="20"/>
                <w:color w:val="auto"/>
              </w:rPr>
            </w:pPr>
            <w:r>
              <w:rPr>
                <w:rFonts w:ascii="Arial" w:cs="Arial" w:eastAsia="Arial" w:hAnsi="Arial"/>
                <w:sz w:val="18"/>
                <w:szCs w:val="18"/>
                <w:color w:val="auto"/>
                <w:w w:val="90"/>
              </w:rPr>
              <w:t>(Registrant’s telephone number, including area code)</w:t>
            </w:r>
          </w:p>
        </w:tc>
        <w:tc>
          <w:tcPr>
            <w:tcW w:w="1980" w:type="dxa"/>
            <w:vAlign w:val="bottom"/>
          </w:tcPr>
          <w:p>
            <w:pPr>
              <w:spacing w:after="0"/>
              <w:rPr>
                <w:sz w:val="20"/>
                <w:szCs w:val="20"/>
                <w:color w:val="auto"/>
              </w:rPr>
            </w:pPr>
          </w:p>
        </w:tc>
      </w:tr>
    </w:tbl>
    <w:p>
      <w:pPr>
        <w:spacing w:after="0" w:line="202" w:lineRule="exact"/>
        <w:rPr>
          <w:sz w:val="24"/>
          <w:szCs w:val="24"/>
          <w:color w:val="auto"/>
        </w:rPr>
      </w:pPr>
    </w:p>
    <w:p>
      <w:pPr>
        <w:ind w:right="14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obligations of the registrant under any of the following provisions:</w:t>
      </w:r>
    </w:p>
    <w:p>
      <w:pPr>
        <w:spacing w:after="0" w:line="170" w:lineRule="exact"/>
        <w:rPr>
          <w:sz w:val="24"/>
          <w:szCs w:val="24"/>
          <w:color w:val="auto"/>
        </w:rPr>
      </w:pPr>
    </w:p>
    <w:p>
      <w:pPr>
        <w:ind w:left="780" w:hanging="760"/>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780" w:hanging="760"/>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780" w:hanging="760"/>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780" w:hanging="760"/>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458470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The Merger Agreement</w:t>
      </w:r>
    </w:p>
    <w:p>
      <w:pPr>
        <w:spacing w:after="0" w:line="229" w:lineRule="exact"/>
        <w:rPr>
          <w:sz w:val="24"/>
          <w:szCs w:val="24"/>
          <w:color w:val="auto"/>
        </w:rPr>
      </w:pPr>
    </w:p>
    <w:p>
      <w:pPr>
        <w:ind w:firstLine="648"/>
        <w:spacing w:after="0" w:line="279" w:lineRule="auto"/>
        <w:rPr>
          <w:sz w:val="20"/>
          <w:szCs w:val="20"/>
          <w:color w:val="auto"/>
        </w:rPr>
      </w:pPr>
      <w:r>
        <w:rPr>
          <w:rFonts w:ascii="Arial" w:cs="Arial" w:eastAsia="Arial" w:hAnsi="Arial"/>
          <w:sz w:val="17"/>
          <w:szCs w:val="17"/>
          <w:color w:val="auto"/>
        </w:rPr>
        <w:t>On March 8, 2006, Micron Technology, Inc., a Delaware corporation (“Micron”), entered into an Agreement and Plan of Merger (the “Merger Agreement”) with March 2006 Merger Corp., a Delaware corporation and direct wholly-owned subsidiary of Micron (“Merger Sub”) and Lexar Media, Inc., a Delaware corporation (“Lexar”). The Merger Agreement contemplates that, subject to the terms and conditions of the Merger Agreement, Merger Sub will be merged with and into Lexar, with Lexar continuing after the merger as the surviving corporation (the “Merger”).</w:t>
      </w:r>
    </w:p>
    <w:p>
      <w:pPr>
        <w:spacing w:after="0" w:line="171" w:lineRule="exact"/>
        <w:rPr>
          <w:sz w:val="24"/>
          <w:szCs w:val="24"/>
          <w:color w:val="auto"/>
        </w:rPr>
      </w:pPr>
    </w:p>
    <w:p>
      <w:pPr>
        <w:ind w:right="260" w:firstLine="648"/>
        <w:spacing w:after="0" w:line="259" w:lineRule="auto"/>
        <w:rPr>
          <w:sz w:val="20"/>
          <w:szCs w:val="20"/>
          <w:color w:val="auto"/>
        </w:rPr>
      </w:pPr>
      <w:r>
        <w:rPr>
          <w:rFonts w:ascii="Arial" w:cs="Arial" w:eastAsia="Arial" w:hAnsi="Arial"/>
          <w:sz w:val="18"/>
          <w:szCs w:val="18"/>
          <w:color w:val="auto"/>
        </w:rPr>
        <w:t>Pursuant to the Merger Agreement, at the effective time of the Merger, each issued and outstanding share of common stock of Lexar will be converted into the right to receive 0.5625 shares of Micron common stock, par value $0.10 per share (the "Exchange Ratio"), and each issued, outstanding, unexpired and unexercised Lexar employee stock option that has an exercise price per share of $9.00 or less will be converted into Micron employee stock options using the Exchange Ratio.</w:t>
      </w:r>
    </w:p>
    <w:p>
      <w:pPr>
        <w:spacing w:after="0" w:line="187" w:lineRule="exact"/>
        <w:rPr>
          <w:sz w:val="24"/>
          <w:szCs w:val="24"/>
          <w:color w:val="auto"/>
        </w:rPr>
      </w:pPr>
    </w:p>
    <w:p>
      <w:pPr>
        <w:ind w:right="160" w:firstLine="648"/>
        <w:spacing w:after="0" w:line="288" w:lineRule="auto"/>
        <w:rPr>
          <w:sz w:val="20"/>
          <w:szCs w:val="20"/>
          <w:color w:val="auto"/>
        </w:rPr>
      </w:pPr>
      <w:r>
        <w:rPr>
          <w:rFonts w:ascii="Arial" w:cs="Arial" w:eastAsia="Arial" w:hAnsi="Arial"/>
          <w:sz w:val="16"/>
          <w:szCs w:val="16"/>
          <w:color w:val="auto"/>
        </w:rPr>
        <w:t>The Board of Directors of Lexar (the “Board”) has unanimously approved the Merger Agreement. Lexar and Micron have made customary representations, warranties and covenants in the Merger Agreement. Lexar’s covenants include, among others, that (i) Lexar will conduct its business in the ordinary course consistent with past practice during the interim period between the execution of the Merger Agreement and the effective time of the Merger,</w:t>
      </w:r>
    </w:p>
    <w:p>
      <w:pPr>
        <w:ind w:right="60" w:firstLine="8"/>
        <w:spacing w:after="0" w:line="253" w:lineRule="auto"/>
        <w:tabs>
          <w:tab w:leader="none" w:pos="26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Lexar will not engage in certain types of transactions during such interim period, (iii) Lexar will call, hold and convene a meeting of the Lexar stockholders to be held to consider adoption of the Merger Agreement, (iv) subject to certain exceptions, the Board will recommend to Lexar’s stockholders that they adopt the Merger Agreement, (v) Lexar will not solicit proposals relating to alternative business combination transactions, and (vi) subject to certain exceptions, Lexar will not enter into discussions concerning or provide confidential information in connection with any proposals for alternative business combination transactions.</w:t>
      </w:r>
    </w:p>
    <w:p>
      <w:pPr>
        <w:spacing w:after="0" w:line="191" w:lineRule="exact"/>
        <w:rPr>
          <w:sz w:val="24"/>
          <w:szCs w:val="24"/>
          <w:color w:val="auto"/>
        </w:rPr>
      </w:pPr>
    </w:p>
    <w:p>
      <w:pPr>
        <w:ind w:right="60" w:firstLine="648"/>
        <w:spacing w:after="0" w:line="312" w:lineRule="auto"/>
        <w:rPr>
          <w:sz w:val="20"/>
          <w:szCs w:val="20"/>
          <w:color w:val="auto"/>
        </w:rPr>
      </w:pPr>
      <w:r>
        <w:rPr>
          <w:rFonts w:ascii="Arial" w:cs="Arial" w:eastAsia="Arial" w:hAnsi="Arial"/>
          <w:sz w:val="16"/>
          <w:szCs w:val="16"/>
          <w:color w:val="auto"/>
        </w:rPr>
        <w:t>Lexar and Micron intend to file a prospectus/proxy statement in connection with the meeting of Lexar stockholders to be held with respect to the proposed Merger. Completion of the Merger is subject to customary closing conditions, including, among other things, (i) adoption of the Merger Agreement by Lexar’s stockholders; (ii) expiration or termination of the waiting period under the Hart-Scott Rodino Antitrust Improvements Act; (iii) absence of any</w:t>
      </w:r>
    </w:p>
    <w:p>
      <w:pPr>
        <w:sectPr>
          <w:pgSz w:w="11900" w:h="16952" w:orient="portrait"/>
          <w:cols w:equalWidth="0" w:num="1">
            <w:col w:w="11420"/>
          </w:cols>
          <w:pgMar w:left="240" w:top="585" w:right="239" w:bottom="0" w:gutter="0" w:footer="0" w:header="0"/>
        </w:sectPr>
      </w:pPr>
    </w:p>
    <w:bookmarkStart w:id="1" w:name="page2"/>
    <w:bookmarkEnd w:id="1"/>
    <w:p>
      <w:pPr>
        <w:ind w:right="60"/>
        <w:spacing w:after="0" w:line="277" w:lineRule="auto"/>
        <w:rPr>
          <w:sz w:val="20"/>
          <w:szCs w:val="20"/>
          <w:color w:val="auto"/>
        </w:rPr>
      </w:pPr>
      <w:r>
        <w:rPr>
          <w:rFonts w:ascii="Arial" w:cs="Arial" w:eastAsia="Arial" w:hAnsi="Arial"/>
          <w:sz w:val="18"/>
          <w:szCs w:val="18"/>
          <w:color w:val="auto"/>
        </w:rPr>
        <w:t>order or injunction prohibiting the consummation of the Merger; (iv) the accuracy of the representations and warranties of the each party; and (v) compliance of each party with its covenants.</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Merger Agreement contains certain termination rights for both Micron and Lexar, and further provides that, upon termination of the Merger Agreement under specified circumstances, Lexar may be required to pay Micron a termination fee.</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This description of the Merger Agreement is qualified in its entirety by the terms and conditions of the Merger Agreement, which is filed as Exhibit 2.1 hereto,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Voting Agreements</w:t>
      </w:r>
    </w:p>
    <w:p>
      <w:pPr>
        <w:spacing w:after="0" w:line="229"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In connection with the execution of the Merger Agreement, Lexar’s executive officers and each member of the Board, in their capacities as stockholders, entered into a Voting Agreement with Micron (each, a “Voting Agreement”), pursuant to which, among other things, each executive officer of Lexar and member of the Board agreed with Micron to vote in favor of the Merger and agreed not to dispose of any of shares common stock held by such executive officer or member of the Board prior to the consummation of the Merger. The Voting Agreements will terminate upon the earlier of the consummation of the Merger or the termination of the Merger Agreement. This description of the Voting Agreements is qualified in its entirety by the terms and conditions of the Voting Agreements, a form of which is filed as Exhibit 2.2 hereto, and is incorporated herein by reference.</w:t>
      </w:r>
    </w:p>
    <w:p>
      <w:pPr>
        <w:spacing w:after="0" w:line="17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Merger Agreement and the Voting Agreements provide investors with information regarding their terms. They are not intended to provide any other factual information about Micron or Lexar. In addition,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Agreement contains representations and warranties of each of the parties to the Merger Agreement and the assertions embodied in those representations and warranties are qualified by information in confidential disclosure schedules that the parties delivered in connection with the execution of the Merger Agreement. The parties reserve the right to, but are not obligated to, amend or revise the Merger Agreement or the disclosure schedules. In addition, certain representations and warranties may not be accurate or complete as of any specified date because they are subject to a contractual standard of materiality different from those generally applicable to stockholders or were used for the purpose of allocating risk between the parties rather than establishing matters as facts. Accordingly, investors should not rely on the representations and warranties as characterizations of the actual state of facts, or for any other purpose, at the time they were made or otherwise.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Merger and Where to Find It</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Micron and Lexar intend to file with the SEC a prospectus/proxy statement and other relevant materials in connection with the proposed acquisition of Lexar by Micron pursuant to the terms of an Agreement and Plan of Merger by and among Micron, March 2006 Merger Corp., a wholly-owned subsidiary of Micron, and Lexar. The prospectus/proxy statement will be mailed to the stockholders of Lexar. Investors and security holders of Lexar are urged to read the prospectus/proxy statement and the other relevant materials when they become available because they will contain important information about Micron, Lexar and the proposed merger. The prospectus/proxy statement and other relevant materials (when they become available), and any other documents filed by Micron or Lexar with the SEC, may be obtained free of charge at the SEC’s web site at www.sec.gov. In addition, investors and security holders may obtain free copies of the documents filed with the SEC by Micron by contacting Micron Investor Relations, Kipp Bedard, (208) 368-4465. Investors and security holders may obtain free copies of the documents filed with the SEC by Lexar by contacting Lexar Investor Relations, Diane Carlini, (510) 580-5604. Investors and security holders of Lexar are urged to read the prospectus/proxy statement and the other relevant materials when they become available before making any voting or investment decision with respect to the proposed merger.</w:t>
      </w:r>
    </w:p>
    <w:p>
      <w:pPr>
        <w:spacing w:after="0" w:line="178"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Micron, Steven Appleton, Micron’s Chairman, Chief Executive Officer and President, and certain of Micron’s other executive officers may be deemed to be participants in the solicitation of proxies of Lexar stockholders in connection with the proposed merger. Investors and security holders may obtain more detailed information regarding the names, affiliations and interests of Mr. Appleton and certain of Micron’s other executive officers in the solicitation by reading the prospectus/proxy statement when it becomes available.</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Lexar, Eric Stang, Lexar’s Chairman, Chief Executive Officer and President, and Lexar’s other directors and executive officers may be deemed to be participants in the solicitation of proxies of Lexar stockholders in connection with the proposed merger. Such individuals may have interests in the proposed merger, including as a result of holding options or shares of Lexar common stock. Investors and security holders may obtain more detailed information regarding the names, affiliations and interests of Mr. Stang and Lexar’s other directors and executive officers in the solicitation by reading the prospectus/proxy statement when it becomes available.</w:t>
      </w:r>
    </w:p>
    <w:p>
      <w:pPr>
        <w:spacing w:after="0" w:line="18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This Form 8-K and its attachments contains forward-looking statements that involve risks and uncertainties concerning Micron’s proposed acquisition of Lexar Media, Inc., Micron’s expected financial performance, as well as Micron’s strategic and operational plans. Actual events or results may differ materially from those described in this Form 8-K due to a number of risks and uncertainties. The potential risks and uncertainties include, among others, the possibility that the transaction will not close or that the closing may be delayed; the reaction of customers of Micron and Lexar to the transaction; Micron’s ability to successfully integrate Lexar’s operations and employees; and general economic conditions. In addition, please refer to the documents that Micron and Lexar file with the Securities and Exchange Commission on Forms 10-K, 10-Q and 8-K. The filings by each of Micron and Lexar identify and address other important factors that could cause their respective financial and operational results to differ materially from those contained in the forward-looking statements set forth in this Form 8-K. Micron and Lexar are under no duty to update any of the forward-looking statements after the date of this Form 8-K to conform to actual results.</w:t>
      </w:r>
    </w:p>
    <w:p>
      <w:pPr>
        <w:spacing w:after="0" w:line="178"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furnished with this report on Form 8-K:</w:t>
      </w:r>
    </w:p>
    <w:p>
      <w:pPr>
        <w:sectPr>
          <w:pgSz w:w="11900" w:h="16838" w:orient="portrait"/>
          <w:cols w:equalWidth="0" w:num="1">
            <w:col w:w="11400"/>
          </w:cols>
          <w:pgMar w:left="240" w:top="125" w:right="259" w:bottom="0" w:gutter="0" w:footer="0" w:header="0"/>
        </w:sectPr>
      </w:pPr>
    </w:p>
    <w:p>
      <w:pPr>
        <w:spacing w:after="0" w:line="217"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Exhibit</w:t>
      </w:r>
    </w:p>
    <w:p>
      <w:pPr>
        <w:sectPr>
          <w:pgSz w:w="11900" w:h="16838" w:orient="portrait"/>
          <w:cols w:equalWidth="0" w:num="1">
            <w:col w:w="11400"/>
          </w:cols>
          <w:pgMar w:left="240" w:top="125" w:right="25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71"/>
        </w:trPr>
        <w:tc>
          <w:tcPr>
            <w:tcW w:w="76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9360" w:type="dxa"/>
            <w:vAlign w:val="bottom"/>
          </w:tcPr>
          <w:p>
            <w:pPr>
              <w:ind w:left="432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r>
      <w:tr>
        <w:trPr>
          <w:trHeight w:val="195"/>
        </w:trPr>
        <w:tc>
          <w:tcPr>
            <w:tcW w:w="760" w:type="dxa"/>
            <w:vAlign w:val="bottom"/>
          </w:tcPr>
          <w:p>
            <w:pPr>
              <w:spacing w:after="0"/>
              <w:rPr>
                <w:sz w:val="16"/>
                <w:szCs w:val="16"/>
                <w:color w:val="auto"/>
              </w:rPr>
            </w:pPr>
          </w:p>
        </w:tc>
        <w:tc>
          <w:tcPr>
            <w:tcW w:w="10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2.1</w:t>
            </w:r>
          </w:p>
        </w:tc>
        <w:tc>
          <w:tcPr>
            <w:tcW w:w="300" w:type="dxa"/>
            <w:vAlign w:val="bottom"/>
          </w:tcPr>
          <w:p>
            <w:pPr>
              <w:spacing w:after="0"/>
              <w:rPr>
                <w:sz w:val="16"/>
                <w:szCs w:val="16"/>
                <w:color w:val="auto"/>
              </w:rPr>
            </w:pPr>
          </w:p>
        </w:tc>
        <w:tc>
          <w:tcPr>
            <w:tcW w:w="936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w w:val="91"/>
              </w:rPr>
              <w:t>Agreement and Plan of Merger, by and among Micron Technology, Inc., March 2006 Merger Corp. and Lexar Media, Inc., dated</w:t>
            </w:r>
          </w:p>
        </w:tc>
        <w:tc>
          <w:tcPr>
            <w:tcW w:w="20" w:type="dxa"/>
            <w:vAlign w:val="bottom"/>
          </w:tcPr>
          <w:p>
            <w:pPr>
              <w:spacing w:after="0"/>
              <w:rPr>
                <w:sz w:val="16"/>
                <w:szCs w:val="16"/>
                <w:color w:val="auto"/>
              </w:rPr>
            </w:pPr>
          </w:p>
        </w:tc>
      </w:tr>
      <w:tr>
        <w:trPr>
          <w:trHeight w:val="216"/>
        </w:trPr>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360" w:type="dxa"/>
            <w:vAlign w:val="bottom"/>
          </w:tcPr>
          <w:p>
            <w:pPr>
              <w:ind w:left="20"/>
              <w:spacing w:after="0"/>
              <w:rPr>
                <w:sz w:val="20"/>
                <w:szCs w:val="20"/>
                <w:color w:val="auto"/>
              </w:rPr>
            </w:pPr>
            <w:r>
              <w:rPr>
                <w:rFonts w:ascii="Arial" w:cs="Arial" w:eastAsia="Arial" w:hAnsi="Arial"/>
                <w:sz w:val="18"/>
                <w:szCs w:val="18"/>
                <w:color w:val="auto"/>
              </w:rPr>
              <w:t>as of March 8, 2006.</w:t>
            </w:r>
          </w:p>
        </w:tc>
        <w:tc>
          <w:tcPr>
            <w:tcW w:w="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9360" w:type="dxa"/>
            <w:vAlign w:val="bottom"/>
          </w:tcPr>
          <w:p>
            <w:pPr>
              <w:ind w:left="20"/>
              <w:spacing w:after="0"/>
              <w:rPr>
                <w:sz w:val="20"/>
                <w:szCs w:val="20"/>
                <w:color w:val="auto"/>
              </w:rPr>
            </w:pPr>
            <w:r>
              <w:rPr>
                <w:rFonts w:ascii="Arial" w:cs="Arial" w:eastAsia="Arial" w:hAnsi="Arial"/>
                <w:sz w:val="18"/>
                <w:szCs w:val="18"/>
                <w:color w:val="auto"/>
                <w:w w:val="93"/>
              </w:rPr>
              <w:t>Form of Voting Agreement, by and among Micron Technology, Inc. and certain stockholders of Lexar Media, Inc., dated as of</w:t>
            </w:r>
          </w:p>
        </w:tc>
        <w:tc>
          <w:tcPr>
            <w:tcW w:w="20" w:type="dxa"/>
            <w:vAlign w:val="bottom"/>
          </w:tcPr>
          <w:p>
            <w:pPr>
              <w:spacing w:after="0"/>
              <w:rPr>
                <w:sz w:val="18"/>
                <w:szCs w:val="18"/>
                <w:color w:val="auto"/>
              </w:rPr>
            </w:pPr>
          </w:p>
        </w:tc>
      </w:tr>
      <w:tr>
        <w:trPr>
          <w:trHeight w:val="230"/>
        </w:trPr>
        <w:tc>
          <w:tcPr>
            <w:tcW w:w="7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360" w:type="dxa"/>
            <w:vAlign w:val="bottom"/>
          </w:tcPr>
          <w:p>
            <w:pPr>
              <w:ind w:left="20"/>
              <w:spacing w:after="0"/>
              <w:rPr>
                <w:sz w:val="20"/>
                <w:szCs w:val="20"/>
                <w:color w:val="auto"/>
              </w:rPr>
            </w:pPr>
            <w:r>
              <w:rPr>
                <w:rFonts w:ascii="Arial" w:cs="Arial" w:eastAsia="Arial" w:hAnsi="Arial"/>
                <w:sz w:val="18"/>
                <w:szCs w:val="18"/>
                <w:color w:val="auto"/>
              </w:rPr>
              <w:t>March 8, 2006.</w:t>
            </w:r>
          </w:p>
        </w:tc>
        <w:tc>
          <w:tcPr>
            <w:tcW w:w="20" w:type="dxa"/>
            <w:vAlign w:val="bottom"/>
          </w:tcPr>
          <w:p>
            <w:pPr>
              <w:spacing w:after="0"/>
              <w:rPr>
                <w:sz w:val="20"/>
                <w:szCs w:val="20"/>
                <w:color w:val="auto"/>
              </w:rPr>
            </w:pPr>
          </w:p>
        </w:tc>
      </w:tr>
      <w:tr>
        <w:trPr>
          <w:trHeight w:val="550"/>
        </w:trPr>
        <w:tc>
          <w:tcPr>
            <w:tcW w:w="7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93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p>
        </w:tc>
        <w:tc>
          <w:tcPr>
            <w:tcW w:w="8140" w:type="dxa"/>
            <w:vAlign w:val="bottom"/>
            <w:gridSpan w:val="2"/>
          </w:tcPr>
          <w:p>
            <w:pPr>
              <w:ind w:left="1700"/>
              <w:spacing w:after="0"/>
              <w:rPr>
                <w:sz w:val="20"/>
                <w:szCs w:val="20"/>
                <w:color w:val="auto"/>
              </w:rPr>
            </w:pPr>
            <w:r>
              <w:rPr>
                <w:rFonts w:ascii="Arial" w:cs="Arial" w:eastAsia="Arial" w:hAnsi="Arial"/>
                <w:sz w:val="18"/>
                <w:szCs w:val="18"/>
                <w:color w:val="auto"/>
              </w:rPr>
              <w:t>MICRON TECHNOLOGY, INC.</w:t>
            </w:r>
          </w:p>
        </w:tc>
        <w:tc>
          <w:tcPr>
            <w:tcW w:w="20" w:type="dxa"/>
            <w:vAlign w:val="bottom"/>
          </w:tcPr>
          <w:p>
            <w:pPr>
              <w:spacing w:after="0"/>
              <w:rPr>
                <w:sz w:val="20"/>
                <w:szCs w:val="20"/>
                <w:color w:val="auto"/>
              </w:rPr>
            </w:pPr>
          </w:p>
        </w:tc>
      </w:tr>
      <w:tr>
        <w:trPr>
          <w:trHeight w:val="432"/>
        </w:trPr>
        <w:tc>
          <w:tcPr>
            <w:tcW w:w="3280" w:type="dxa"/>
            <w:vAlign w:val="bottom"/>
          </w:tcPr>
          <w:p>
            <w:pPr>
              <w:ind w:left="20"/>
              <w:spacing w:after="0"/>
              <w:rPr>
                <w:sz w:val="20"/>
                <w:szCs w:val="20"/>
                <w:color w:val="auto"/>
              </w:rPr>
            </w:pPr>
            <w:r>
              <w:rPr>
                <w:rFonts w:ascii="Arial" w:cs="Arial" w:eastAsia="Arial" w:hAnsi="Arial"/>
                <w:sz w:val="18"/>
                <w:szCs w:val="18"/>
                <w:color w:val="auto"/>
              </w:rPr>
              <w:t>Date: March 10, 2006</w:t>
            </w:r>
          </w:p>
        </w:tc>
        <w:tc>
          <w:tcPr>
            <w:tcW w:w="2440" w:type="dxa"/>
            <w:vAlign w:val="bottom"/>
          </w:tcPr>
          <w:p>
            <w:pPr>
              <w:ind w:left="1700"/>
              <w:spacing w:after="0"/>
              <w:rPr>
                <w:sz w:val="20"/>
                <w:szCs w:val="20"/>
                <w:color w:val="auto"/>
              </w:rPr>
            </w:pPr>
            <w:r>
              <w:rPr>
                <w:rFonts w:ascii="Arial" w:cs="Arial" w:eastAsia="Arial" w:hAnsi="Arial"/>
                <w:sz w:val="18"/>
                <w:szCs w:val="18"/>
                <w:color w:val="auto"/>
              </w:rPr>
              <w:t>By:</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W.G. Stover, Jr.</w:t>
            </w:r>
          </w:p>
        </w:tc>
        <w:tc>
          <w:tcPr>
            <w:tcW w:w="20" w:type="dxa"/>
            <w:vAlign w:val="bottom"/>
          </w:tcPr>
          <w:p>
            <w:pPr>
              <w:spacing w:after="0"/>
              <w:rPr>
                <w:sz w:val="24"/>
                <w:szCs w:val="24"/>
                <w:color w:val="auto"/>
              </w:rPr>
            </w:pPr>
          </w:p>
        </w:tc>
      </w:tr>
      <w:tr>
        <w:trPr>
          <w:trHeight w:val="195"/>
        </w:trPr>
        <w:tc>
          <w:tcPr>
            <w:tcW w:w="3280" w:type="dxa"/>
            <w:vAlign w:val="bottom"/>
          </w:tcPr>
          <w:p>
            <w:pPr>
              <w:spacing w:after="0"/>
              <w:rPr>
                <w:sz w:val="16"/>
                <w:szCs w:val="16"/>
                <w:color w:val="auto"/>
              </w:rPr>
            </w:pPr>
          </w:p>
        </w:tc>
        <w:tc>
          <w:tcPr>
            <w:tcW w:w="2440" w:type="dxa"/>
            <w:vAlign w:val="bottom"/>
          </w:tcPr>
          <w:p>
            <w:pPr>
              <w:ind w:left="1700"/>
              <w:spacing w:after="0" w:line="195" w:lineRule="exact"/>
              <w:rPr>
                <w:sz w:val="20"/>
                <w:szCs w:val="20"/>
                <w:color w:val="auto"/>
              </w:rPr>
            </w:pPr>
            <w:r>
              <w:rPr>
                <w:rFonts w:ascii="Arial" w:cs="Arial" w:eastAsia="Arial" w:hAnsi="Arial"/>
                <w:sz w:val="18"/>
                <w:szCs w:val="18"/>
                <w:color w:val="auto"/>
              </w:rPr>
              <w:t>Name:</w:t>
            </w:r>
          </w:p>
        </w:tc>
        <w:tc>
          <w:tcPr>
            <w:tcW w:w="5700" w:type="dxa"/>
            <w:vAlign w:val="bottom"/>
          </w:tcPr>
          <w:p>
            <w:pPr>
              <w:ind w:left="20"/>
              <w:spacing w:after="0" w:line="195" w:lineRule="exact"/>
              <w:rPr>
                <w:sz w:val="20"/>
                <w:szCs w:val="20"/>
                <w:color w:val="auto"/>
              </w:rPr>
            </w:pPr>
            <w:r>
              <w:rPr>
                <w:rFonts w:ascii="Arial" w:cs="Arial" w:eastAsia="Arial" w:hAnsi="Arial"/>
                <w:sz w:val="18"/>
                <w:szCs w:val="18"/>
                <w:color w:val="auto"/>
              </w:rPr>
              <w:t>W.G. Stover, Jr.</w:t>
            </w:r>
          </w:p>
        </w:tc>
        <w:tc>
          <w:tcPr>
            <w:tcW w:w="20" w:type="dxa"/>
            <w:vAlign w:val="bottom"/>
          </w:tcPr>
          <w:p>
            <w:pPr>
              <w:spacing w:after="0"/>
              <w:rPr>
                <w:sz w:val="16"/>
                <w:szCs w:val="16"/>
                <w:color w:val="auto"/>
              </w:rPr>
            </w:pPr>
          </w:p>
        </w:tc>
      </w:tr>
      <w:tr>
        <w:trPr>
          <w:trHeight w:val="230"/>
        </w:trPr>
        <w:tc>
          <w:tcPr>
            <w:tcW w:w="3280" w:type="dxa"/>
            <w:vAlign w:val="bottom"/>
          </w:tcPr>
          <w:p>
            <w:pPr>
              <w:spacing w:after="0"/>
              <w:rPr>
                <w:sz w:val="20"/>
                <w:szCs w:val="20"/>
                <w:color w:val="auto"/>
              </w:rPr>
            </w:pPr>
          </w:p>
        </w:tc>
        <w:tc>
          <w:tcPr>
            <w:tcW w:w="2440" w:type="dxa"/>
            <w:vAlign w:val="bottom"/>
          </w:tcPr>
          <w:p>
            <w:pPr>
              <w:ind w:left="1700"/>
              <w:spacing w:after="0"/>
              <w:rPr>
                <w:sz w:val="20"/>
                <w:szCs w:val="20"/>
                <w:color w:val="auto"/>
              </w:rPr>
            </w:pPr>
            <w:r>
              <w:rPr>
                <w:rFonts w:ascii="Arial" w:cs="Arial" w:eastAsia="Arial" w:hAnsi="Arial"/>
                <w:sz w:val="18"/>
                <w:szCs w:val="18"/>
                <w:color w:val="auto"/>
              </w:rPr>
              <w:t>Title:</w:t>
            </w:r>
          </w:p>
        </w:tc>
        <w:tc>
          <w:tcPr>
            <w:tcW w:w="5700" w:type="dxa"/>
            <w:vAlign w:val="bottom"/>
          </w:tcPr>
          <w:p>
            <w:pPr>
              <w:ind w:left="20"/>
              <w:spacing w:after="0"/>
              <w:rPr>
                <w:sz w:val="20"/>
                <w:szCs w:val="20"/>
                <w:color w:val="auto"/>
              </w:rPr>
            </w:pPr>
            <w:r>
              <w:rPr>
                <w:rFonts w:ascii="Arial" w:cs="Arial" w:eastAsia="Arial" w:hAnsi="Arial"/>
                <w:sz w:val="18"/>
                <w:szCs w:val="18"/>
                <w:color w:val="auto"/>
              </w:rPr>
              <w:t>Vice President of Finance and Chief Financial Officer</w:t>
            </w:r>
          </w:p>
        </w:tc>
        <w:tc>
          <w:tcPr>
            <w:tcW w:w="20" w:type="dxa"/>
            <w:vAlign w:val="bottom"/>
          </w:tcPr>
          <w:p>
            <w:pPr>
              <w:spacing w:after="0"/>
              <w:rPr>
                <w:sz w:val="20"/>
                <w:szCs w:val="20"/>
                <w:color w:val="auto"/>
              </w:rPr>
            </w:pPr>
          </w:p>
        </w:tc>
      </w:tr>
      <w:tr>
        <w:trPr>
          <w:trHeight w:val="767"/>
        </w:trPr>
        <w:tc>
          <w:tcPr>
            <w:tcW w:w="3280" w:type="dxa"/>
            <w:vAlign w:val="bottom"/>
            <w:tcBorders>
              <w:bottom w:val="single" w:sz="8" w:color="808080"/>
            </w:tcBorders>
          </w:tcPr>
          <w:p>
            <w:pPr>
              <w:spacing w:after="0"/>
              <w:rPr>
                <w:sz w:val="24"/>
                <w:szCs w:val="24"/>
                <w:color w:val="auto"/>
              </w:rPr>
            </w:pPr>
          </w:p>
        </w:tc>
        <w:tc>
          <w:tcPr>
            <w:tcW w:w="244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120" w:type="dxa"/>
            <w:vAlign w:val="bottom"/>
          </w:tcPr>
          <w:p>
            <w:pPr>
              <w:ind w:left="3720"/>
              <w:spacing w:after="0"/>
              <w:rPr>
                <w:sz w:val="20"/>
                <w:szCs w:val="20"/>
                <w:color w:val="auto"/>
              </w:rPr>
            </w:pPr>
            <w:r>
              <w:rPr>
                <w:rFonts w:ascii="Arial" w:cs="Arial" w:eastAsia="Arial" w:hAnsi="Arial"/>
                <w:sz w:val="18"/>
                <w:szCs w:val="18"/>
                <w:b w:val="1"/>
                <w:bCs w:val="1"/>
                <w:color w:val="auto"/>
              </w:rPr>
              <w:t>EXHIBIT INDEX</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10120" w:type="dxa"/>
            <w:vAlign w:val="bottom"/>
            <w:vMerge w:val="restart"/>
          </w:tcPr>
          <w:p>
            <w:pPr>
              <w:ind w:left="470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101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00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2.1</w:t>
            </w:r>
          </w:p>
        </w:tc>
        <w:tc>
          <w:tcPr>
            <w:tcW w:w="300" w:type="dxa"/>
            <w:vAlign w:val="bottom"/>
          </w:tcPr>
          <w:p>
            <w:pPr>
              <w:spacing w:after="0"/>
              <w:rPr>
                <w:sz w:val="16"/>
                <w:szCs w:val="16"/>
                <w:color w:val="auto"/>
              </w:rPr>
            </w:pPr>
          </w:p>
        </w:tc>
        <w:tc>
          <w:tcPr>
            <w:tcW w:w="1012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w w:val="95"/>
              </w:rPr>
              <w:t>Agreement and Plan of Merger, by and among Micron Technology, Inc., March 2006 Merger Corp. and Lexar Media, Inc., dated as of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120" w:type="dxa"/>
            <w:vAlign w:val="bottom"/>
          </w:tcPr>
          <w:p>
            <w:pPr>
              <w:ind w:left="20"/>
              <w:spacing w:after="0"/>
              <w:rPr>
                <w:sz w:val="20"/>
                <w:szCs w:val="20"/>
                <w:color w:val="auto"/>
              </w:rPr>
            </w:pPr>
            <w:r>
              <w:rPr>
                <w:rFonts w:ascii="Arial" w:cs="Arial" w:eastAsia="Arial" w:hAnsi="Arial"/>
                <w:sz w:val="18"/>
                <w:szCs w:val="18"/>
                <w:color w:val="auto"/>
              </w:rPr>
              <w:t>March 8, 2006.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ind w:left="20"/>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10120" w:type="dxa"/>
            <w:vAlign w:val="bottom"/>
          </w:tcPr>
          <w:p>
            <w:pPr>
              <w:ind w:left="20"/>
              <w:spacing w:after="0"/>
              <w:rPr>
                <w:sz w:val="20"/>
                <w:szCs w:val="20"/>
                <w:color w:val="auto"/>
              </w:rPr>
            </w:pPr>
            <w:r>
              <w:rPr>
                <w:rFonts w:ascii="Arial" w:cs="Arial" w:eastAsia="Arial" w:hAnsi="Arial"/>
                <w:sz w:val="18"/>
                <w:szCs w:val="18"/>
                <w:color w:val="auto"/>
                <w:w w:val="94"/>
              </w:rPr>
              <w:t>Form of Voting Agreement, by and among Micron Technology, Inc. and certain stockholders of Lexar Media, Inc., dated as of March 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120" w:type="dxa"/>
            <w:vAlign w:val="bottom"/>
          </w:tcPr>
          <w:p>
            <w:pPr>
              <w:ind w:left="20"/>
              <w:spacing w:after="0"/>
              <w:rPr>
                <w:sz w:val="20"/>
                <w:szCs w:val="20"/>
                <w:color w:val="auto"/>
              </w:rPr>
            </w:pPr>
            <w:r>
              <w:rPr>
                <w:rFonts w:ascii="Arial" w:cs="Arial" w:eastAsia="Arial" w:hAnsi="Arial"/>
                <w:sz w:val="18"/>
                <w:szCs w:val="18"/>
                <w:color w:val="auto"/>
              </w:rPr>
              <w:t>2006.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4"/>
        </w:trPr>
        <w:tc>
          <w:tcPr>
            <w:tcW w:w="10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1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sectPr>
      </w:pPr>
    </w:p>
    <w:bookmarkStart w:id="3" w:name="page4"/>
    <w:bookmarkEnd w:id="3"/>
    <w:p>
      <w:pPr>
        <w:ind w:left="10580"/>
        <w:spacing w:after="0"/>
        <w:rPr>
          <w:sz w:val="20"/>
          <w:szCs w:val="20"/>
          <w:color w:val="auto"/>
        </w:rPr>
      </w:pPr>
      <w:r>
        <w:rPr>
          <w:rFonts w:ascii="Arial" w:cs="Arial" w:eastAsia="Arial" w:hAnsi="Arial"/>
          <w:sz w:val="17"/>
          <w:szCs w:val="17"/>
          <w:b w:val="1"/>
          <w:bCs w:val="1"/>
          <w:color w:val="auto"/>
        </w:rPr>
        <w:t>Exhibit 2.1</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9840" w:type="dxa"/>
            <w:vAlign w:val="bottom"/>
          </w:tcPr>
          <w:p>
            <w:pPr>
              <w:jc w:val="center"/>
              <w:ind w:right="450"/>
              <w:spacing w:after="0"/>
              <w:rPr>
                <w:sz w:val="20"/>
                <w:szCs w:val="20"/>
                <w:color w:val="auto"/>
              </w:rPr>
            </w:pPr>
            <w:r>
              <w:rPr>
                <w:rFonts w:ascii="Arial" w:cs="Arial" w:eastAsia="Arial" w:hAnsi="Arial"/>
                <w:sz w:val="18"/>
                <w:szCs w:val="18"/>
                <w:b w:val="1"/>
                <w:bCs w:val="1"/>
                <w:color w:val="auto"/>
              </w:rPr>
              <w:t>AGREEMENT AND PLAN OF MERGER</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060" w:type="dxa"/>
            <w:vAlign w:val="bottom"/>
          </w:tcPr>
          <w:p>
            <w:pPr>
              <w:spacing w:after="0"/>
              <w:rPr>
                <w:sz w:val="24"/>
                <w:szCs w:val="24"/>
                <w:color w:val="auto"/>
              </w:rPr>
            </w:pPr>
          </w:p>
        </w:tc>
        <w:tc>
          <w:tcPr>
            <w:tcW w:w="9840" w:type="dxa"/>
            <w:vAlign w:val="bottom"/>
          </w:tcPr>
          <w:p>
            <w:pPr>
              <w:jc w:val="center"/>
              <w:ind w:right="430"/>
              <w:spacing w:after="0"/>
              <w:rPr>
                <w:sz w:val="20"/>
                <w:szCs w:val="20"/>
                <w:color w:val="auto"/>
              </w:rPr>
            </w:pPr>
            <w:r>
              <w:rPr>
                <w:rFonts w:ascii="Arial" w:cs="Arial" w:eastAsia="Arial" w:hAnsi="Arial"/>
                <w:sz w:val="18"/>
                <w:szCs w:val="18"/>
                <w:b w:val="1"/>
                <w:bCs w:val="1"/>
                <w:color w:val="auto"/>
              </w:rPr>
              <w:t>BY AND AMONG</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1060" w:type="dxa"/>
            <w:vAlign w:val="bottom"/>
          </w:tcPr>
          <w:p>
            <w:pPr>
              <w:spacing w:after="0"/>
              <w:rPr>
                <w:sz w:val="24"/>
                <w:szCs w:val="24"/>
                <w:color w:val="auto"/>
              </w:rPr>
            </w:pPr>
          </w:p>
        </w:tc>
        <w:tc>
          <w:tcPr>
            <w:tcW w:w="9840" w:type="dxa"/>
            <w:vAlign w:val="bottom"/>
          </w:tcPr>
          <w:p>
            <w:pPr>
              <w:jc w:val="center"/>
              <w:ind w:right="450"/>
              <w:spacing w:after="0"/>
              <w:rPr>
                <w:sz w:val="20"/>
                <w:szCs w:val="20"/>
                <w:color w:val="auto"/>
              </w:rPr>
            </w:pPr>
            <w:r>
              <w:rPr>
                <w:rFonts w:ascii="Arial" w:cs="Arial" w:eastAsia="Arial" w:hAnsi="Arial"/>
                <w:sz w:val="18"/>
                <w:szCs w:val="18"/>
                <w:b w:val="1"/>
                <w:bCs w:val="1"/>
                <w:color w:val="auto"/>
              </w:rPr>
              <w:t>MICRON TECHNOLOGY, INC.</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1060" w:type="dxa"/>
            <w:vAlign w:val="bottom"/>
          </w:tcPr>
          <w:p>
            <w:pPr>
              <w:spacing w:after="0"/>
              <w:rPr>
                <w:sz w:val="24"/>
                <w:szCs w:val="24"/>
                <w:color w:val="auto"/>
              </w:rPr>
            </w:pPr>
          </w:p>
        </w:tc>
        <w:tc>
          <w:tcPr>
            <w:tcW w:w="9840" w:type="dxa"/>
            <w:vAlign w:val="bottom"/>
          </w:tcPr>
          <w:p>
            <w:pPr>
              <w:jc w:val="center"/>
              <w:ind w:right="450"/>
              <w:spacing w:after="0"/>
              <w:rPr>
                <w:sz w:val="20"/>
                <w:szCs w:val="20"/>
                <w:color w:val="auto"/>
              </w:rPr>
            </w:pPr>
            <w:r>
              <w:rPr>
                <w:rFonts w:ascii="Arial" w:cs="Arial" w:eastAsia="Arial" w:hAnsi="Arial"/>
                <w:sz w:val="18"/>
                <w:szCs w:val="18"/>
                <w:b w:val="1"/>
                <w:bCs w:val="1"/>
                <w:color w:val="auto"/>
                <w:w w:val="98"/>
              </w:rPr>
              <w:t>MARCH 2006 MERGER CORP.</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1060" w:type="dxa"/>
            <w:vAlign w:val="bottom"/>
          </w:tcPr>
          <w:p>
            <w:pPr>
              <w:spacing w:after="0"/>
              <w:rPr>
                <w:sz w:val="24"/>
                <w:szCs w:val="24"/>
                <w:color w:val="auto"/>
              </w:rPr>
            </w:pPr>
          </w:p>
        </w:tc>
        <w:tc>
          <w:tcPr>
            <w:tcW w:w="9840" w:type="dxa"/>
            <w:vAlign w:val="bottom"/>
          </w:tcPr>
          <w:p>
            <w:pPr>
              <w:jc w:val="center"/>
              <w:ind w:right="450"/>
              <w:spacing w:after="0"/>
              <w:rPr>
                <w:sz w:val="20"/>
                <w:szCs w:val="20"/>
                <w:color w:val="auto"/>
              </w:rPr>
            </w:pPr>
            <w:r>
              <w:rPr>
                <w:rFonts w:ascii="Arial" w:cs="Arial" w:eastAsia="Arial" w:hAnsi="Arial"/>
                <w:sz w:val="18"/>
                <w:szCs w:val="18"/>
                <w:b w:val="1"/>
                <w:bCs w:val="1"/>
                <w:color w:val="auto"/>
                <w:w w:val="97"/>
              </w:rPr>
              <w:t>AND</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1060" w:type="dxa"/>
            <w:vAlign w:val="bottom"/>
          </w:tcPr>
          <w:p>
            <w:pPr>
              <w:spacing w:after="0"/>
              <w:rPr>
                <w:sz w:val="24"/>
                <w:szCs w:val="24"/>
                <w:color w:val="auto"/>
              </w:rPr>
            </w:pPr>
          </w:p>
        </w:tc>
        <w:tc>
          <w:tcPr>
            <w:tcW w:w="9840" w:type="dxa"/>
            <w:vAlign w:val="bottom"/>
          </w:tcPr>
          <w:p>
            <w:pPr>
              <w:jc w:val="center"/>
              <w:ind w:right="430"/>
              <w:spacing w:after="0"/>
              <w:rPr>
                <w:sz w:val="20"/>
                <w:szCs w:val="20"/>
                <w:color w:val="auto"/>
              </w:rPr>
            </w:pPr>
            <w:r>
              <w:rPr>
                <w:rFonts w:ascii="Arial" w:cs="Arial" w:eastAsia="Arial" w:hAnsi="Arial"/>
                <w:sz w:val="18"/>
                <w:szCs w:val="18"/>
                <w:b w:val="1"/>
                <w:bCs w:val="1"/>
                <w:color w:val="auto"/>
              </w:rPr>
              <w:t>LEXAR MEDIA, INC.</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1060" w:type="dxa"/>
            <w:vAlign w:val="bottom"/>
          </w:tcPr>
          <w:p>
            <w:pPr>
              <w:spacing w:after="0"/>
              <w:rPr>
                <w:sz w:val="24"/>
                <w:szCs w:val="24"/>
                <w:color w:val="auto"/>
              </w:rPr>
            </w:pPr>
          </w:p>
        </w:tc>
        <w:tc>
          <w:tcPr>
            <w:tcW w:w="9840" w:type="dxa"/>
            <w:vAlign w:val="bottom"/>
          </w:tcPr>
          <w:p>
            <w:pPr>
              <w:jc w:val="center"/>
              <w:ind w:right="430"/>
              <w:spacing w:after="0"/>
              <w:rPr>
                <w:sz w:val="20"/>
                <w:szCs w:val="20"/>
                <w:color w:val="auto"/>
              </w:rPr>
            </w:pPr>
            <w:r>
              <w:rPr>
                <w:rFonts w:ascii="Arial" w:cs="Arial" w:eastAsia="Arial" w:hAnsi="Arial"/>
                <w:sz w:val="18"/>
                <w:szCs w:val="18"/>
                <w:color w:val="auto"/>
                <w:w w:val="90"/>
              </w:rPr>
              <w:t>Dated as of March 8, 2006</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4"/>
        </w:trPr>
        <w:tc>
          <w:tcPr>
            <w:tcW w:w="1060" w:type="dxa"/>
            <w:vAlign w:val="bottom"/>
            <w:tcBorders>
              <w:bottom w:val="single" w:sz="8" w:color="808080"/>
            </w:tcBorders>
          </w:tcPr>
          <w:p>
            <w:pPr>
              <w:spacing w:after="0"/>
              <w:rPr>
                <w:sz w:val="24"/>
                <w:szCs w:val="24"/>
                <w:color w:val="auto"/>
              </w:rPr>
            </w:pPr>
          </w:p>
        </w:tc>
        <w:tc>
          <w:tcPr>
            <w:tcW w:w="984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r>
        <w:trPr>
          <w:trHeight w:val="780"/>
        </w:trPr>
        <w:tc>
          <w:tcPr>
            <w:tcW w:w="1060" w:type="dxa"/>
            <w:vAlign w:val="bottom"/>
          </w:tcPr>
          <w:p>
            <w:pPr>
              <w:spacing w:after="0"/>
              <w:rPr>
                <w:sz w:val="24"/>
                <w:szCs w:val="24"/>
                <w:color w:val="auto"/>
              </w:rPr>
            </w:pPr>
          </w:p>
        </w:tc>
        <w:tc>
          <w:tcPr>
            <w:tcW w:w="9840" w:type="dxa"/>
            <w:vAlign w:val="bottom"/>
          </w:tcPr>
          <w:p>
            <w:pPr>
              <w:jc w:val="center"/>
              <w:ind w:right="430"/>
              <w:spacing w:after="0"/>
              <w:rPr>
                <w:sz w:val="20"/>
                <w:szCs w:val="20"/>
                <w:color w:val="auto"/>
              </w:rPr>
            </w:pPr>
            <w:r>
              <w:rPr>
                <w:rFonts w:ascii="Arial" w:cs="Arial" w:eastAsia="Arial" w:hAnsi="Arial"/>
                <w:sz w:val="18"/>
                <w:szCs w:val="18"/>
                <w:b w:val="1"/>
                <w:bCs w:val="1"/>
                <w:color w:val="auto"/>
                <w:w w:val="98"/>
              </w:rPr>
              <w:t>TABLE OF CONTENTS</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5"/>
        </w:trPr>
        <w:tc>
          <w:tcPr>
            <w:tcW w:w="1060" w:type="dxa"/>
            <w:vAlign w:val="bottom"/>
          </w:tcPr>
          <w:p>
            <w:pPr>
              <w:spacing w:after="0"/>
              <w:rPr>
                <w:sz w:val="24"/>
                <w:szCs w:val="24"/>
                <w:color w:val="auto"/>
              </w:rPr>
            </w:pPr>
          </w:p>
        </w:tc>
        <w:tc>
          <w:tcPr>
            <w:tcW w:w="9840" w:type="dxa"/>
            <w:vAlign w:val="bottom"/>
          </w:tcPr>
          <w:p>
            <w:pPr>
              <w:spacing w:after="0"/>
              <w:rPr>
                <w:sz w:val="24"/>
                <w:szCs w:val="24"/>
                <w:color w:val="auto"/>
              </w:rPr>
            </w:pPr>
          </w:p>
        </w:tc>
        <w:tc>
          <w:tcPr>
            <w:tcW w:w="540" w:type="dxa"/>
            <w:vAlign w:val="bottom"/>
            <w:gridSpan w:val="2"/>
          </w:tcPr>
          <w:p>
            <w:pPr>
              <w:ind w:left="100"/>
              <w:spacing w:after="0"/>
              <w:rPr>
                <w:sz w:val="20"/>
                <w:szCs w:val="20"/>
                <w:color w:val="auto"/>
              </w:rPr>
            </w:pPr>
            <w:r>
              <w:rPr>
                <w:rFonts w:ascii="Arial" w:cs="Arial" w:eastAsia="Arial" w:hAnsi="Arial"/>
                <w:sz w:val="14"/>
                <w:szCs w:val="14"/>
                <w:b w:val="1"/>
                <w:bCs w:val="1"/>
                <w:color w:val="auto"/>
              </w:rPr>
              <w:t>Page</w:t>
            </w:r>
          </w:p>
        </w:tc>
      </w:tr>
      <w:tr>
        <w:trPr>
          <w:trHeight w:val="426"/>
        </w:trPr>
        <w:tc>
          <w:tcPr>
            <w:tcW w:w="10900" w:type="dxa"/>
            <w:vAlign w:val="bottom"/>
            <w:gridSpan w:val="2"/>
          </w:tcPr>
          <w:p>
            <w:pPr>
              <w:ind w:left="20"/>
              <w:spacing w:after="0"/>
              <w:rPr>
                <w:sz w:val="20"/>
                <w:szCs w:val="20"/>
                <w:color w:val="auto"/>
              </w:rPr>
            </w:pPr>
            <w:r>
              <w:rPr>
                <w:rFonts w:ascii="Arial" w:cs="Arial" w:eastAsia="Arial" w:hAnsi="Arial"/>
                <w:sz w:val="18"/>
                <w:szCs w:val="18"/>
                <w:color w:val="auto"/>
              </w:rPr>
              <w:t>ARTICLE I THE MERGER</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r>
      <w:tr>
        <w:trPr>
          <w:trHeight w:val="418"/>
        </w:trPr>
        <w:tc>
          <w:tcPr>
            <w:tcW w:w="1060" w:type="dxa"/>
            <w:vAlign w:val="bottom"/>
          </w:tcPr>
          <w:p>
            <w:pPr>
              <w:ind w:left="560"/>
              <w:spacing w:after="0"/>
              <w:rPr>
                <w:sz w:val="20"/>
                <w:szCs w:val="20"/>
                <w:color w:val="auto"/>
              </w:rPr>
            </w:pPr>
            <w:r>
              <w:rPr>
                <w:rFonts w:ascii="Arial" w:cs="Arial" w:eastAsia="Arial" w:hAnsi="Arial"/>
                <w:sz w:val="18"/>
                <w:szCs w:val="18"/>
                <w:color w:val="auto"/>
              </w:rPr>
              <w:t>1.1</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The Merger</w:t>
            </w: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1.2</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Effective Time; Closing</w:t>
            </w: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1.3</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Effect of the Merger</w:t>
            </w: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1.4</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Certificate of Incorporation and Bylaws</w:t>
            </w: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1.5</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Directors and Officers</w:t>
            </w: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1.6</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Effect on Capital Stock</w:t>
            </w: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1.7</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Surrender of Certificates.</w:t>
            </w: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1.8</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No Further Ownership Rights in Company Common Stock</w:t>
            </w: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1.9</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Lost, Stolen or Destroyed Certificates</w:t>
            </w: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r>
      <w:tr>
        <w:trPr>
          <w:trHeight w:val="230"/>
        </w:trPr>
        <w:tc>
          <w:tcPr>
            <w:tcW w:w="1060" w:type="dxa"/>
            <w:vAlign w:val="bottom"/>
          </w:tcPr>
          <w:p>
            <w:pPr>
              <w:ind w:left="560"/>
              <w:spacing w:after="0"/>
              <w:rPr>
                <w:sz w:val="20"/>
                <w:szCs w:val="20"/>
                <w:color w:val="auto"/>
              </w:rPr>
            </w:pPr>
            <w:r>
              <w:rPr>
                <w:rFonts w:ascii="Arial" w:cs="Arial" w:eastAsia="Arial" w:hAnsi="Arial"/>
                <w:sz w:val="18"/>
                <w:szCs w:val="18"/>
                <w:color w:val="auto"/>
              </w:rPr>
              <w:t>1.10</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Further Action</w:t>
            </w: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0"/>
                <w:szCs w:val="20"/>
                <w:color w:val="auto"/>
              </w:rPr>
            </w:pPr>
          </w:p>
        </w:tc>
      </w:tr>
      <w:tr>
        <w:trPr>
          <w:trHeight w:val="432"/>
        </w:trPr>
        <w:tc>
          <w:tcPr>
            <w:tcW w:w="10900" w:type="dxa"/>
            <w:vAlign w:val="bottom"/>
            <w:gridSpan w:val="2"/>
          </w:tcPr>
          <w:p>
            <w:pPr>
              <w:ind w:left="20"/>
              <w:spacing w:after="0"/>
              <w:rPr>
                <w:sz w:val="20"/>
                <w:szCs w:val="20"/>
                <w:color w:val="auto"/>
              </w:rPr>
            </w:pPr>
            <w:r>
              <w:rPr>
                <w:rFonts w:ascii="Arial" w:cs="Arial" w:eastAsia="Arial" w:hAnsi="Arial"/>
                <w:sz w:val="18"/>
                <w:szCs w:val="18"/>
                <w:color w:val="auto"/>
              </w:rPr>
              <w:t>ARTICLE II REPRESENTATIONS AND WARRANTIES OF THE COMPANY</w:t>
            </w: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4"/>
                <w:szCs w:val="24"/>
                <w:color w:val="auto"/>
              </w:rPr>
            </w:pPr>
          </w:p>
        </w:tc>
      </w:tr>
      <w:tr>
        <w:trPr>
          <w:trHeight w:val="418"/>
        </w:trPr>
        <w:tc>
          <w:tcPr>
            <w:tcW w:w="1060" w:type="dxa"/>
            <w:vAlign w:val="bottom"/>
          </w:tcPr>
          <w:p>
            <w:pPr>
              <w:ind w:left="560"/>
              <w:spacing w:after="0"/>
              <w:rPr>
                <w:sz w:val="20"/>
                <w:szCs w:val="20"/>
                <w:color w:val="auto"/>
              </w:rPr>
            </w:pPr>
            <w:r>
              <w:rPr>
                <w:rFonts w:ascii="Arial" w:cs="Arial" w:eastAsia="Arial" w:hAnsi="Arial"/>
                <w:sz w:val="18"/>
                <w:szCs w:val="18"/>
                <w:color w:val="auto"/>
              </w:rPr>
              <w:t>2.1</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Organization; Standing and Power; Charter Documents; Subsidiaries</w:t>
            </w: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4"/>
                <w:szCs w:val="24"/>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2.2</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Capital Structure</w:t>
            </w: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2.3</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Authority; No Conflict; Necessary Consents</w:t>
            </w: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2.4</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SEC Filings; Financial Statements; Internal Controls</w:t>
            </w: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2.5</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Absence of Certain Changes or Events</w:t>
            </w:r>
          </w:p>
        </w:tc>
        <w:tc>
          <w:tcPr>
            <w:tcW w:w="52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2.6</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Taxes</w:t>
            </w: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2.7</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Title to Properties</w:t>
            </w: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2.8</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Intellectual Property</w:t>
            </w:r>
          </w:p>
        </w:tc>
        <w:tc>
          <w:tcPr>
            <w:tcW w:w="52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2.9</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Restrictions on Business Activities</w:t>
            </w:r>
          </w:p>
        </w:tc>
        <w:tc>
          <w:tcPr>
            <w:tcW w:w="52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2.10</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Governmental Authorizations</w:t>
            </w:r>
          </w:p>
        </w:tc>
        <w:tc>
          <w:tcPr>
            <w:tcW w:w="52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2.11</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Litigation</w:t>
            </w:r>
          </w:p>
        </w:tc>
        <w:tc>
          <w:tcPr>
            <w:tcW w:w="52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2.12</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Compliance with Law</w:t>
            </w:r>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2.13</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Environmental Matters</w:t>
            </w:r>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2.14</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Brokers’ and Finders’ Fees</w:t>
            </w:r>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2.15</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Transactions with Affiliates</w:t>
            </w:r>
          </w:p>
        </w:tc>
        <w:tc>
          <w:tcPr>
            <w:tcW w:w="52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2.16</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Employee Benefit Plans and Compensation</w:t>
            </w:r>
          </w:p>
        </w:tc>
        <w:tc>
          <w:tcPr>
            <w:tcW w:w="52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2.17</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Contracts</w:t>
            </w:r>
          </w:p>
        </w:tc>
        <w:tc>
          <w:tcPr>
            <w:tcW w:w="52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2.18</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Insurance</w:t>
            </w:r>
          </w:p>
        </w:tc>
        <w:tc>
          <w:tcPr>
            <w:tcW w:w="52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2.19</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Export Control Laws</w:t>
            </w:r>
          </w:p>
        </w:tc>
        <w:tc>
          <w:tcPr>
            <w:tcW w:w="52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2.20</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Foreign Corrupt Practices Act</w:t>
            </w:r>
          </w:p>
        </w:tc>
        <w:tc>
          <w:tcPr>
            <w:tcW w:w="52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2.21</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Information in Registration Statement and Prospectus/Proxy Statement</w:t>
            </w:r>
          </w:p>
        </w:tc>
        <w:tc>
          <w:tcPr>
            <w:tcW w:w="52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2.22</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Fairness Opinion</w:t>
            </w:r>
          </w:p>
        </w:tc>
        <w:tc>
          <w:tcPr>
            <w:tcW w:w="52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r>
      <w:tr>
        <w:trPr>
          <w:trHeight w:val="230"/>
        </w:trPr>
        <w:tc>
          <w:tcPr>
            <w:tcW w:w="1060" w:type="dxa"/>
            <w:vAlign w:val="bottom"/>
          </w:tcPr>
          <w:p>
            <w:pPr>
              <w:ind w:left="560"/>
              <w:spacing w:after="0"/>
              <w:rPr>
                <w:sz w:val="20"/>
                <w:szCs w:val="20"/>
                <w:color w:val="auto"/>
              </w:rPr>
            </w:pPr>
            <w:r>
              <w:rPr>
                <w:rFonts w:ascii="Arial" w:cs="Arial" w:eastAsia="Arial" w:hAnsi="Arial"/>
                <w:sz w:val="18"/>
                <w:szCs w:val="18"/>
                <w:color w:val="auto"/>
              </w:rPr>
              <w:t>2.23</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Takeover Statutes and Rights Plans</w:t>
            </w:r>
          </w:p>
        </w:tc>
        <w:tc>
          <w:tcPr>
            <w:tcW w:w="52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0"/>
                <w:szCs w:val="20"/>
                <w:color w:val="auto"/>
              </w:rPr>
            </w:pPr>
          </w:p>
        </w:tc>
      </w:tr>
      <w:tr>
        <w:trPr>
          <w:trHeight w:val="432"/>
        </w:trPr>
        <w:tc>
          <w:tcPr>
            <w:tcW w:w="10900" w:type="dxa"/>
            <w:vAlign w:val="bottom"/>
            <w:gridSpan w:val="2"/>
          </w:tcPr>
          <w:p>
            <w:pPr>
              <w:ind w:left="20"/>
              <w:spacing w:after="0"/>
              <w:rPr>
                <w:sz w:val="20"/>
                <w:szCs w:val="20"/>
                <w:color w:val="auto"/>
              </w:rPr>
            </w:pPr>
            <w:r>
              <w:rPr>
                <w:rFonts w:ascii="Arial" w:cs="Arial" w:eastAsia="Arial" w:hAnsi="Arial"/>
                <w:sz w:val="18"/>
                <w:szCs w:val="18"/>
                <w:color w:val="auto"/>
              </w:rPr>
              <w:t>ARTICLE III REPRESENTATIONS AND WARRANTIES OF PARENT AND MERGER SUB</w:t>
            </w:r>
          </w:p>
        </w:tc>
        <w:tc>
          <w:tcPr>
            <w:tcW w:w="52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4"/>
                <w:szCs w:val="24"/>
                <w:color w:val="auto"/>
              </w:rPr>
            </w:pPr>
          </w:p>
        </w:tc>
      </w:tr>
      <w:tr>
        <w:trPr>
          <w:trHeight w:val="432"/>
        </w:trPr>
        <w:tc>
          <w:tcPr>
            <w:tcW w:w="1060" w:type="dxa"/>
            <w:vAlign w:val="bottom"/>
          </w:tcPr>
          <w:p>
            <w:pPr>
              <w:ind w:left="560"/>
              <w:spacing w:after="0"/>
              <w:rPr>
                <w:sz w:val="20"/>
                <w:szCs w:val="20"/>
                <w:color w:val="auto"/>
              </w:rPr>
            </w:pPr>
            <w:r>
              <w:rPr>
                <w:rFonts w:ascii="Arial" w:cs="Arial" w:eastAsia="Arial" w:hAnsi="Arial"/>
                <w:sz w:val="18"/>
                <w:szCs w:val="18"/>
                <w:color w:val="auto"/>
              </w:rPr>
              <w:t>3.1</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Organization</w:t>
            </w:r>
          </w:p>
        </w:tc>
        <w:tc>
          <w:tcPr>
            <w:tcW w:w="52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4"/>
                <w:szCs w:val="24"/>
                <w:color w:val="auto"/>
              </w:rPr>
            </w:pPr>
          </w:p>
        </w:tc>
      </w:tr>
      <w:tr>
        <w:trPr>
          <w:trHeight w:val="432"/>
        </w:trPr>
        <w:tc>
          <w:tcPr>
            <w:tcW w:w="1060" w:type="dxa"/>
            <w:vAlign w:val="bottom"/>
          </w:tcPr>
          <w:p>
            <w:pPr>
              <w:spacing w:after="0"/>
              <w:rPr>
                <w:sz w:val="24"/>
                <w:szCs w:val="24"/>
                <w:color w:val="auto"/>
              </w:rPr>
            </w:pPr>
          </w:p>
        </w:tc>
        <w:tc>
          <w:tcPr>
            <w:tcW w:w="9840" w:type="dxa"/>
            <w:vAlign w:val="bottom"/>
          </w:tcPr>
          <w:p>
            <w:pPr>
              <w:jc w:val="center"/>
              <w:ind w:right="450"/>
              <w:spacing w:after="0"/>
              <w:rPr>
                <w:sz w:val="20"/>
                <w:szCs w:val="20"/>
                <w:color w:val="auto"/>
              </w:rPr>
            </w:pPr>
            <w:r>
              <w:rPr>
                <w:rFonts w:ascii="Arial" w:cs="Arial" w:eastAsia="Arial" w:hAnsi="Arial"/>
                <w:sz w:val="18"/>
                <w:szCs w:val="18"/>
                <w:color w:val="auto"/>
              </w:rPr>
              <w:t>i</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8"/>
        </w:trPr>
        <w:tc>
          <w:tcPr>
            <w:tcW w:w="1060" w:type="dxa"/>
            <w:vAlign w:val="bottom"/>
            <w:tcBorders>
              <w:bottom w:val="single" w:sz="8" w:color="808080"/>
            </w:tcBorders>
          </w:tcPr>
          <w:p>
            <w:pPr>
              <w:spacing w:after="0"/>
              <w:rPr>
                <w:sz w:val="10"/>
                <w:szCs w:val="10"/>
                <w:color w:val="auto"/>
              </w:rPr>
            </w:pPr>
          </w:p>
        </w:tc>
        <w:tc>
          <w:tcPr>
            <w:tcW w:w="98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r>
        <w:trPr>
          <w:trHeight w:val="766"/>
        </w:trPr>
        <w:tc>
          <w:tcPr>
            <w:tcW w:w="1060" w:type="dxa"/>
            <w:vAlign w:val="bottom"/>
          </w:tcPr>
          <w:p>
            <w:pPr>
              <w:ind w:left="560"/>
              <w:spacing w:after="0"/>
              <w:rPr>
                <w:sz w:val="20"/>
                <w:szCs w:val="20"/>
                <w:color w:val="auto"/>
              </w:rPr>
            </w:pPr>
            <w:r>
              <w:rPr>
                <w:rFonts w:ascii="Arial" w:cs="Arial" w:eastAsia="Arial" w:hAnsi="Arial"/>
                <w:sz w:val="18"/>
                <w:szCs w:val="18"/>
                <w:color w:val="auto"/>
              </w:rPr>
              <w:t>3.2</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Authority; No Conflict; Necessary Consents</w:t>
            </w:r>
          </w:p>
        </w:tc>
        <w:tc>
          <w:tcPr>
            <w:tcW w:w="52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4"/>
                <w:szCs w:val="24"/>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3.3</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Capital Structure</w:t>
            </w:r>
          </w:p>
        </w:tc>
        <w:tc>
          <w:tcPr>
            <w:tcW w:w="52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3.4</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Information in Registration Statement and Prospectus/Proxy Statement</w:t>
            </w:r>
          </w:p>
        </w:tc>
        <w:tc>
          <w:tcPr>
            <w:tcW w:w="52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3.5</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SEC Filings; Financial Statements</w:t>
            </w:r>
          </w:p>
        </w:tc>
        <w:tc>
          <w:tcPr>
            <w:tcW w:w="52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3.6</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Litigation</w:t>
            </w:r>
          </w:p>
        </w:tc>
        <w:tc>
          <w:tcPr>
            <w:tcW w:w="52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r>
      <w:tr>
        <w:trPr>
          <w:trHeight w:val="230"/>
        </w:trPr>
        <w:tc>
          <w:tcPr>
            <w:tcW w:w="1060" w:type="dxa"/>
            <w:vAlign w:val="bottom"/>
          </w:tcPr>
          <w:p>
            <w:pPr>
              <w:ind w:left="560"/>
              <w:spacing w:after="0"/>
              <w:rPr>
                <w:sz w:val="20"/>
                <w:szCs w:val="20"/>
                <w:color w:val="auto"/>
              </w:rPr>
            </w:pPr>
            <w:r>
              <w:rPr>
                <w:rFonts w:ascii="Arial" w:cs="Arial" w:eastAsia="Arial" w:hAnsi="Arial"/>
                <w:sz w:val="18"/>
                <w:szCs w:val="18"/>
                <w:color w:val="auto"/>
              </w:rPr>
              <w:t>3.7</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Brokers’ and Finders’ Fees</w:t>
            </w:r>
          </w:p>
        </w:tc>
        <w:tc>
          <w:tcPr>
            <w:tcW w:w="52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-8193405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-8193405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-1195705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-1195705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3.8</w:t>
            </w:r>
          </w:p>
        </w:tc>
        <w:tc>
          <w:tcPr>
            <w:tcW w:w="8140" w:type="dxa"/>
            <w:vAlign w:val="bottom"/>
            <w:gridSpan w:val="3"/>
          </w:tcPr>
          <w:p>
            <w:pPr>
              <w:ind w:left="180"/>
              <w:spacing w:after="0"/>
              <w:rPr>
                <w:sz w:val="20"/>
                <w:szCs w:val="20"/>
                <w:color w:val="auto"/>
              </w:rPr>
            </w:pPr>
            <w:r>
              <w:rPr>
                <w:rFonts w:ascii="Arial" w:cs="Arial" w:eastAsia="Arial" w:hAnsi="Arial"/>
                <w:sz w:val="18"/>
                <w:szCs w:val="18"/>
                <w:b w:val="1"/>
                <w:bCs w:val="1"/>
                <w:i w:val="1"/>
                <w:iCs w:val="1"/>
                <w:color w:val="auto"/>
              </w:rPr>
              <w:t>Interim Operations of Merger Sub</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3.9</w:t>
            </w:r>
          </w:p>
        </w:tc>
        <w:tc>
          <w:tcPr>
            <w:tcW w:w="8140" w:type="dxa"/>
            <w:vAlign w:val="bottom"/>
            <w:gridSpan w:val="3"/>
          </w:tcPr>
          <w:p>
            <w:pPr>
              <w:ind w:left="180"/>
              <w:spacing w:after="0"/>
              <w:rPr>
                <w:sz w:val="20"/>
                <w:szCs w:val="20"/>
                <w:color w:val="auto"/>
              </w:rPr>
            </w:pPr>
            <w:r>
              <w:rPr>
                <w:rFonts w:ascii="Arial" w:cs="Arial" w:eastAsia="Arial" w:hAnsi="Arial"/>
                <w:sz w:val="18"/>
                <w:szCs w:val="18"/>
                <w:b w:val="1"/>
                <w:bCs w:val="1"/>
                <w:i w:val="1"/>
                <w:iCs w:val="1"/>
                <w:color w:val="auto"/>
              </w:rPr>
              <w:t>Absence of Certain Changes</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3.10</w:t>
            </w:r>
          </w:p>
        </w:tc>
        <w:tc>
          <w:tcPr>
            <w:tcW w:w="1900" w:type="dxa"/>
            <w:vAlign w:val="bottom"/>
          </w:tcPr>
          <w:p>
            <w:pPr>
              <w:ind w:left="180"/>
              <w:spacing w:after="0"/>
              <w:rPr>
                <w:sz w:val="20"/>
                <w:szCs w:val="20"/>
                <w:color w:val="auto"/>
              </w:rPr>
            </w:pPr>
            <w:r>
              <w:rPr>
                <w:rFonts w:ascii="Arial" w:cs="Arial" w:eastAsia="Arial" w:hAnsi="Arial"/>
                <w:sz w:val="18"/>
                <w:szCs w:val="18"/>
                <w:b w:val="1"/>
                <w:bCs w:val="1"/>
                <w:i w:val="1"/>
                <w:iCs w:val="1"/>
                <w:color w:val="auto"/>
                <w:w w:val="88"/>
              </w:rPr>
              <w:t>Compliance with Laws</w:t>
            </w:r>
          </w:p>
        </w:tc>
        <w:tc>
          <w:tcPr>
            <w:tcW w:w="5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45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180" w:type="dxa"/>
            <w:vAlign w:val="bottom"/>
            <w:gridSpan w:val="4"/>
          </w:tcPr>
          <w:p>
            <w:pPr>
              <w:spacing w:after="0"/>
              <w:rPr>
                <w:sz w:val="20"/>
                <w:szCs w:val="20"/>
                <w:color w:val="auto"/>
              </w:rPr>
            </w:pPr>
            <w:r>
              <w:rPr>
                <w:rFonts w:ascii="Arial" w:cs="Arial" w:eastAsia="Arial" w:hAnsi="Arial"/>
                <w:sz w:val="18"/>
                <w:szCs w:val="18"/>
                <w:color w:val="auto"/>
              </w:rPr>
              <w:t>ARTICLE IV CONDUCT BY THE COMPANY PRIOR TO THE EFFECTIVE TIME</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4.1</w:t>
            </w:r>
          </w:p>
        </w:tc>
        <w:tc>
          <w:tcPr>
            <w:tcW w:w="8140" w:type="dxa"/>
            <w:vAlign w:val="bottom"/>
            <w:gridSpan w:val="3"/>
          </w:tcPr>
          <w:p>
            <w:pPr>
              <w:ind w:left="180"/>
              <w:spacing w:after="0"/>
              <w:rPr>
                <w:sz w:val="20"/>
                <w:szCs w:val="20"/>
                <w:color w:val="auto"/>
              </w:rPr>
            </w:pPr>
            <w:r>
              <w:rPr>
                <w:rFonts w:ascii="Arial" w:cs="Arial" w:eastAsia="Arial" w:hAnsi="Arial"/>
                <w:sz w:val="18"/>
                <w:szCs w:val="18"/>
                <w:b w:val="1"/>
                <w:bCs w:val="1"/>
                <w:i w:val="1"/>
                <w:iCs w:val="1"/>
                <w:color w:val="auto"/>
              </w:rPr>
              <w:t>Conduct of Business by the Company</w:t>
            </w:r>
            <w:r>
              <w:rPr>
                <w:rFonts w:ascii="Arial" w:cs="Arial" w:eastAsia="Arial" w:hAnsi="Arial"/>
                <w:sz w:val="18"/>
                <w:szCs w:val="18"/>
                <w:color w:val="auto"/>
              </w:rPr>
              <w:t>.</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180" w:type="dxa"/>
            <w:vAlign w:val="bottom"/>
            <w:gridSpan w:val="4"/>
          </w:tcPr>
          <w:p>
            <w:pPr>
              <w:spacing w:after="0"/>
              <w:rPr>
                <w:sz w:val="20"/>
                <w:szCs w:val="20"/>
                <w:color w:val="auto"/>
              </w:rPr>
            </w:pPr>
            <w:r>
              <w:rPr>
                <w:rFonts w:ascii="Arial" w:cs="Arial" w:eastAsia="Arial" w:hAnsi="Arial"/>
                <w:sz w:val="18"/>
                <w:szCs w:val="18"/>
                <w:color w:val="auto"/>
              </w:rPr>
              <w:t>ARTICLE V ADDITIONAL AGREEMENTS</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49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5.1</w:t>
            </w:r>
          </w:p>
        </w:tc>
        <w:tc>
          <w:tcPr>
            <w:tcW w:w="8140" w:type="dxa"/>
            <w:vAlign w:val="bottom"/>
            <w:gridSpan w:val="3"/>
          </w:tcPr>
          <w:p>
            <w:pPr>
              <w:ind w:left="180"/>
              <w:spacing w:after="0"/>
              <w:rPr>
                <w:sz w:val="20"/>
                <w:szCs w:val="20"/>
                <w:color w:val="auto"/>
              </w:rPr>
            </w:pPr>
            <w:r>
              <w:rPr>
                <w:rFonts w:ascii="Arial" w:cs="Arial" w:eastAsia="Arial" w:hAnsi="Arial"/>
                <w:sz w:val="18"/>
                <w:szCs w:val="18"/>
                <w:b w:val="1"/>
                <w:bCs w:val="1"/>
                <w:i w:val="1"/>
                <w:iCs w:val="1"/>
                <w:color w:val="auto"/>
              </w:rPr>
              <w:t>Prospectus/Proxy Statement; Registration Statement</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49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5.2</w:t>
            </w:r>
          </w:p>
        </w:tc>
        <w:tc>
          <w:tcPr>
            <w:tcW w:w="8140" w:type="dxa"/>
            <w:vAlign w:val="bottom"/>
            <w:gridSpan w:val="3"/>
          </w:tcPr>
          <w:p>
            <w:pPr>
              <w:ind w:left="180"/>
              <w:spacing w:after="0"/>
              <w:rPr>
                <w:sz w:val="20"/>
                <w:szCs w:val="20"/>
                <w:color w:val="auto"/>
              </w:rPr>
            </w:pPr>
            <w:r>
              <w:rPr>
                <w:rFonts w:ascii="Arial" w:cs="Arial" w:eastAsia="Arial" w:hAnsi="Arial"/>
                <w:sz w:val="18"/>
                <w:szCs w:val="18"/>
                <w:b w:val="1"/>
                <w:bCs w:val="1"/>
                <w:i w:val="1"/>
                <w:iCs w:val="1"/>
                <w:color w:val="auto"/>
              </w:rPr>
              <w:t>Meeting of Company Stockholders; Board Recommendation</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5.3</w:t>
            </w:r>
          </w:p>
        </w:tc>
        <w:tc>
          <w:tcPr>
            <w:tcW w:w="1900" w:type="dxa"/>
            <w:vAlign w:val="bottom"/>
          </w:tcPr>
          <w:p>
            <w:pPr>
              <w:ind w:left="180"/>
              <w:spacing w:after="0"/>
              <w:rPr>
                <w:sz w:val="20"/>
                <w:szCs w:val="20"/>
                <w:color w:val="auto"/>
              </w:rPr>
            </w:pPr>
            <w:r>
              <w:rPr>
                <w:rFonts w:ascii="Arial" w:cs="Arial" w:eastAsia="Arial" w:hAnsi="Arial"/>
                <w:sz w:val="18"/>
                <w:szCs w:val="18"/>
                <w:b w:val="1"/>
                <w:bCs w:val="1"/>
                <w:i w:val="1"/>
                <w:iCs w:val="1"/>
                <w:color w:val="auto"/>
                <w:w w:val="89"/>
              </w:rPr>
              <w:t>Acquisition Proposals</w:t>
            </w: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5.4</w:t>
            </w:r>
          </w:p>
        </w:tc>
        <w:tc>
          <w:tcPr>
            <w:tcW w:w="8140" w:type="dxa"/>
            <w:vAlign w:val="bottom"/>
            <w:gridSpan w:val="3"/>
          </w:tcPr>
          <w:p>
            <w:pPr>
              <w:ind w:left="180"/>
              <w:spacing w:after="0"/>
              <w:rPr>
                <w:sz w:val="20"/>
                <w:szCs w:val="20"/>
                <w:color w:val="auto"/>
              </w:rPr>
            </w:pPr>
            <w:r>
              <w:rPr>
                <w:rFonts w:ascii="Arial" w:cs="Arial" w:eastAsia="Arial" w:hAnsi="Arial"/>
                <w:sz w:val="18"/>
                <w:szCs w:val="18"/>
                <w:b w:val="1"/>
                <w:bCs w:val="1"/>
                <w:i w:val="1"/>
                <w:iCs w:val="1"/>
                <w:color w:val="auto"/>
                <w:w w:val="92"/>
              </w:rPr>
              <w:t>Confidentiality; Access to Information; No Modification of Representations, Warranties or Covenants</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5.5</w:t>
            </w:r>
          </w:p>
        </w:tc>
        <w:tc>
          <w:tcPr>
            <w:tcW w:w="19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Public Disclosure</w:t>
            </w: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5.6</w:t>
            </w:r>
          </w:p>
        </w:tc>
        <w:tc>
          <w:tcPr>
            <w:tcW w:w="8140" w:type="dxa"/>
            <w:vAlign w:val="bottom"/>
            <w:gridSpan w:val="3"/>
          </w:tcPr>
          <w:p>
            <w:pPr>
              <w:ind w:left="180"/>
              <w:spacing w:after="0"/>
              <w:rPr>
                <w:sz w:val="20"/>
                <w:szCs w:val="20"/>
                <w:color w:val="auto"/>
              </w:rPr>
            </w:pPr>
            <w:r>
              <w:rPr>
                <w:rFonts w:ascii="Arial" w:cs="Arial" w:eastAsia="Arial" w:hAnsi="Arial"/>
                <w:sz w:val="18"/>
                <w:szCs w:val="18"/>
                <w:b w:val="1"/>
                <w:bCs w:val="1"/>
                <w:i w:val="1"/>
                <w:iCs w:val="1"/>
                <w:color w:val="auto"/>
              </w:rPr>
              <w:t>Regulatory Filings; Reasonable Efforts</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5.7</w:t>
            </w:r>
          </w:p>
        </w:tc>
        <w:tc>
          <w:tcPr>
            <w:tcW w:w="8140" w:type="dxa"/>
            <w:vAlign w:val="bottom"/>
            <w:gridSpan w:val="3"/>
          </w:tcPr>
          <w:p>
            <w:pPr>
              <w:ind w:left="180"/>
              <w:spacing w:after="0"/>
              <w:rPr>
                <w:sz w:val="20"/>
                <w:szCs w:val="20"/>
                <w:color w:val="auto"/>
              </w:rPr>
            </w:pPr>
            <w:r>
              <w:rPr>
                <w:rFonts w:ascii="Arial" w:cs="Arial" w:eastAsia="Arial" w:hAnsi="Arial"/>
                <w:sz w:val="18"/>
                <w:szCs w:val="18"/>
                <w:b w:val="1"/>
                <w:bCs w:val="1"/>
                <w:i w:val="1"/>
                <w:iCs w:val="1"/>
                <w:color w:val="auto"/>
              </w:rPr>
              <w:t>Notification of Certain Matters</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5.8</w:t>
            </w:r>
          </w:p>
        </w:tc>
        <w:tc>
          <w:tcPr>
            <w:tcW w:w="1900" w:type="dxa"/>
            <w:vAlign w:val="bottom"/>
          </w:tcPr>
          <w:p>
            <w:pPr>
              <w:ind w:left="180"/>
              <w:spacing w:after="0"/>
              <w:rPr>
                <w:sz w:val="20"/>
                <w:szCs w:val="20"/>
                <w:color w:val="auto"/>
              </w:rPr>
            </w:pPr>
            <w:r>
              <w:rPr>
                <w:rFonts w:ascii="Arial" w:cs="Arial" w:eastAsia="Arial" w:hAnsi="Arial"/>
                <w:sz w:val="18"/>
                <w:szCs w:val="18"/>
                <w:b w:val="1"/>
                <w:bCs w:val="1"/>
                <w:i w:val="1"/>
                <w:iCs w:val="1"/>
                <w:color w:val="auto"/>
                <w:w w:val="92"/>
              </w:rPr>
              <w:t>Third-Party Consents</w:t>
            </w: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5.9</w:t>
            </w:r>
          </w:p>
        </w:tc>
        <w:tc>
          <w:tcPr>
            <w:tcW w:w="8140" w:type="dxa"/>
            <w:vAlign w:val="bottom"/>
            <w:gridSpan w:val="3"/>
          </w:tcPr>
          <w:p>
            <w:pPr>
              <w:ind w:left="180"/>
              <w:spacing w:after="0"/>
              <w:rPr>
                <w:sz w:val="20"/>
                <w:szCs w:val="20"/>
                <w:color w:val="auto"/>
              </w:rPr>
            </w:pPr>
            <w:r>
              <w:rPr>
                <w:rFonts w:ascii="Arial" w:cs="Arial" w:eastAsia="Arial" w:hAnsi="Arial"/>
                <w:sz w:val="18"/>
                <w:szCs w:val="18"/>
                <w:b w:val="1"/>
                <w:bCs w:val="1"/>
                <w:i w:val="1"/>
                <w:iCs w:val="1"/>
                <w:color w:val="auto"/>
              </w:rPr>
              <w:t>Equity Awards and Employee Matters</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5.10</w:t>
            </w:r>
          </w:p>
        </w:tc>
        <w:tc>
          <w:tcPr>
            <w:tcW w:w="19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Indemnification</w:t>
            </w: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5.11</w:t>
            </w:r>
          </w:p>
        </w:tc>
        <w:tc>
          <w:tcPr>
            <w:tcW w:w="19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Section 16 Matters</w:t>
            </w: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5.12</w:t>
            </w:r>
          </w:p>
        </w:tc>
        <w:tc>
          <w:tcPr>
            <w:tcW w:w="19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Tax Matters</w:t>
            </w: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5.13</w:t>
            </w:r>
          </w:p>
        </w:tc>
        <w:tc>
          <w:tcPr>
            <w:tcW w:w="8140" w:type="dxa"/>
            <w:vAlign w:val="bottom"/>
            <w:gridSpan w:val="3"/>
          </w:tcPr>
          <w:p>
            <w:pPr>
              <w:ind w:left="180"/>
              <w:spacing w:after="0"/>
              <w:rPr>
                <w:sz w:val="20"/>
                <w:szCs w:val="20"/>
                <w:color w:val="auto"/>
              </w:rPr>
            </w:pPr>
            <w:r>
              <w:rPr>
                <w:rFonts w:ascii="Arial" w:cs="Arial" w:eastAsia="Arial" w:hAnsi="Arial"/>
                <w:sz w:val="18"/>
                <w:szCs w:val="18"/>
                <w:b w:val="1"/>
                <w:bCs w:val="1"/>
                <w:i w:val="1"/>
                <w:iCs w:val="1"/>
                <w:color w:val="auto"/>
              </w:rPr>
              <w:t>Formation of IP LLC and Transfer of Intellectual Property</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5.14</w:t>
            </w:r>
          </w:p>
        </w:tc>
        <w:tc>
          <w:tcPr>
            <w:tcW w:w="19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145 Affiliates</w:t>
            </w: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5.15</w:t>
            </w:r>
          </w:p>
        </w:tc>
        <w:tc>
          <w:tcPr>
            <w:tcW w:w="8140" w:type="dxa"/>
            <w:vAlign w:val="bottom"/>
            <w:gridSpan w:val="3"/>
          </w:tcPr>
          <w:p>
            <w:pPr>
              <w:ind w:left="180"/>
              <w:spacing w:after="0"/>
              <w:rPr>
                <w:sz w:val="20"/>
                <w:szCs w:val="20"/>
                <w:color w:val="auto"/>
              </w:rPr>
            </w:pPr>
            <w:r>
              <w:rPr>
                <w:rFonts w:ascii="Arial" w:cs="Arial" w:eastAsia="Arial" w:hAnsi="Arial"/>
                <w:sz w:val="18"/>
                <w:szCs w:val="18"/>
                <w:b w:val="1"/>
                <w:bCs w:val="1"/>
                <w:i w:val="1"/>
                <w:iCs w:val="1"/>
                <w:color w:val="auto"/>
              </w:rPr>
              <w:t>NYSE Listing Requirements</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5.16</w:t>
            </w:r>
          </w:p>
        </w:tc>
        <w:tc>
          <w:tcPr>
            <w:tcW w:w="8140" w:type="dxa"/>
            <w:vAlign w:val="bottom"/>
            <w:gridSpan w:val="3"/>
          </w:tcPr>
          <w:p>
            <w:pPr>
              <w:ind w:left="180"/>
              <w:spacing w:after="0"/>
              <w:rPr>
                <w:sz w:val="20"/>
                <w:szCs w:val="20"/>
                <w:color w:val="auto"/>
              </w:rPr>
            </w:pPr>
            <w:r>
              <w:rPr>
                <w:rFonts w:ascii="Arial" w:cs="Arial" w:eastAsia="Arial" w:hAnsi="Arial"/>
                <w:sz w:val="18"/>
                <w:szCs w:val="18"/>
                <w:b w:val="1"/>
                <w:bCs w:val="1"/>
                <w:i w:val="1"/>
                <w:iCs w:val="1"/>
                <w:color w:val="auto"/>
              </w:rPr>
              <w:t>Termination of Credit Agreement and Release of Liens</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180" w:type="dxa"/>
            <w:vAlign w:val="bottom"/>
            <w:gridSpan w:val="4"/>
          </w:tcPr>
          <w:p>
            <w:pPr>
              <w:spacing w:after="0"/>
              <w:rPr>
                <w:sz w:val="20"/>
                <w:szCs w:val="20"/>
                <w:color w:val="auto"/>
              </w:rPr>
            </w:pPr>
            <w:r>
              <w:rPr>
                <w:rFonts w:ascii="Arial" w:cs="Arial" w:eastAsia="Arial" w:hAnsi="Arial"/>
                <w:sz w:val="18"/>
                <w:szCs w:val="18"/>
                <w:color w:val="auto"/>
              </w:rPr>
              <w:t>ARTICLE VI CONDITIONS TO THE MERGER</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64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6.1</w:t>
            </w:r>
          </w:p>
        </w:tc>
        <w:tc>
          <w:tcPr>
            <w:tcW w:w="8140" w:type="dxa"/>
            <w:vAlign w:val="bottom"/>
            <w:gridSpan w:val="3"/>
          </w:tcPr>
          <w:p>
            <w:pPr>
              <w:ind w:left="180"/>
              <w:spacing w:after="0"/>
              <w:rPr>
                <w:sz w:val="20"/>
                <w:szCs w:val="20"/>
                <w:color w:val="auto"/>
              </w:rPr>
            </w:pPr>
            <w:r>
              <w:rPr>
                <w:rFonts w:ascii="Arial" w:cs="Arial" w:eastAsia="Arial" w:hAnsi="Arial"/>
                <w:sz w:val="18"/>
                <w:szCs w:val="18"/>
                <w:b w:val="1"/>
                <w:bCs w:val="1"/>
                <w:i w:val="1"/>
                <w:iCs w:val="1"/>
                <w:color w:val="auto"/>
              </w:rPr>
              <w:t>Conditions to the Obligations of Each Party to Effect the Merger</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64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6.2</w:t>
            </w:r>
          </w:p>
        </w:tc>
        <w:tc>
          <w:tcPr>
            <w:tcW w:w="8140" w:type="dxa"/>
            <w:vAlign w:val="bottom"/>
            <w:gridSpan w:val="3"/>
          </w:tcPr>
          <w:p>
            <w:pPr>
              <w:ind w:left="180"/>
              <w:spacing w:after="0"/>
              <w:rPr>
                <w:sz w:val="20"/>
                <w:szCs w:val="20"/>
                <w:color w:val="auto"/>
              </w:rPr>
            </w:pPr>
            <w:r>
              <w:rPr>
                <w:rFonts w:ascii="Arial" w:cs="Arial" w:eastAsia="Arial" w:hAnsi="Arial"/>
                <w:sz w:val="18"/>
                <w:szCs w:val="18"/>
                <w:b w:val="1"/>
                <w:bCs w:val="1"/>
                <w:i w:val="1"/>
                <w:iCs w:val="1"/>
                <w:color w:val="auto"/>
              </w:rPr>
              <w:t>Additional Conditions to the Obligations of Parent</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6.3</w:t>
            </w:r>
          </w:p>
        </w:tc>
        <w:tc>
          <w:tcPr>
            <w:tcW w:w="8140" w:type="dxa"/>
            <w:vAlign w:val="bottom"/>
            <w:gridSpan w:val="3"/>
          </w:tcPr>
          <w:p>
            <w:pPr>
              <w:ind w:left="180"/>
              <w:spacing w:after="0"/>
              <w:rPr>
                <w:sz w:val="20"/>
                <w:szCs w:val="20"/>
                <w:color w:val="auto"/>
              </w:rPr>
            </w:pPr>
            <w:r>
              <w:rPr>
                <w:rFonts w:ascii="Arial" w:cs="Arial" w:eastAsia="Arial" w:hAnsi="Arial"/>
                <w:sz w:val="18"/>
                <w:szCs w:val="18"/>
                <w:b w:val="1"/>
                <w:bCs w:val="1"/>
                <w:i w:val="1"/>
                <w:iCs w:val="1"/>
                <w:color w:val="auto"/>
              </w:rPr>
              <w:t>Additional Conditions to the Obligations of the Company</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66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180" w:type="dxa"/>
            <w:vAlign w:val="bottom"/>
            <w:gridSpan w:val="4"/>
          </w:tcPr>
          <w:p>
            <w:pPr>
              <w:spacing w:after="0"/>
              <w:rPr>
                <w:sz w:val="20"/>
                <w:szCs w:val="20"/>
                <w:color w:val="auto"/>
              </w:rPr>
            </w:pPr>
            <w:r>
              <w:rPr>
                <w:rFonts w:ascii="Arial" w:cs="Arial" w:eastAsia="Arial" w:hAnsi="Arial"/>
                <w:sz w:val="18"/>
                <w:szCs w:val="18"/>
                <w:color w:val="auto"/>
              </w:rPr>
              <w:t>ARTICLE VII TERMINATION, AMENDMENT AND WAIVER</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67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7.1</w:t>
            </w:r>
          </w:p>
        </w:tc>
        <w:tc>
          <w:tcPr>
            <w:tcW w:w="19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Termination</w:t>
            </w:r>
          </w:p>
        </w:tc>
        <w:tc>
          <w:tcPr>
            <w:tcW w:w="5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67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7.2</w:t>
            </w:r>
          </w:p>
        </w:tc>
        <w:tc>
          <w:tcPr>
            <w:tcW w:w="8140" w:type="dxa"/>
            <w:vAlign w:val="bottom"/>
            <w:gridSpan w:val="3"/>
          </w:tcPr>
          <w:p>
            <w:pPr>
              <w:ind w:left="180"/>
              <w:spacing w:after="0"/>
              <w:rPr>
                <w:sz w:val="20"/>
                <w:szCs w:val="20"/>
                <w:color w:val="auto"/>
              </w:rPr>
            </w:pPr>
            <w:r>
              <w:rPr>
                <w:rFonts w:ascii="Arial" w:cs="Arial" w:eastAsia="Arial" w:hAnsi="Arial"/>
                <w:sz w:val="18"/>
                <w:szCs w:val="18"/>
                <w:b w:val="1"/>
                <w:bCs w:val="1"/>
                <w:i w:val="1"/>
                <w:iCs w:val="1"/>
                <w:color w:val="auto"/>
              </w:rPr>
              <w:t>Notice of Termination; Effect of Termination</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7.3</w:t>
            </w:r>
          </w:p>
        </w:tc>
        <w:tc>
          <w:tcPr>
            <w:tcW w:w="19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Fees and Expenses</w:t>
            </w: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7.4</w:t>
            </w:r>
          </w:p>
        </w:tc>
        <w:tc>
          <w:tcPr>
            <w:tcW w:w="19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Amendment</w:t>
            </w: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7.5</w:t>
            </w:r>
          </w:p>
        </w:tc>
        <w:tc>
          <w:tcPr>
            <w:tcW w:w="19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Extension; Waiver</w:t>
            </w:r>
          </w:p>
        </w:tc>
        <w:tc>
          <w:tcPr>
            <w:tcW w:w="5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71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240" w:type="dxa"/>
            <w:vAlign w:val="bottom"/>
            <w:gridSpan w:val="2"/>
          </w:tcPr>
          <w:p>
            <w:pPr>
              <w:jc w:val="center"/>
              <w:ind w:right="740"/>
              <w:spacing w:after="0"/>
              <w:rPr>
                <w:sz w:val="20"/>
                <w:szCs w:val="20"/>
                <w:color w:val="auto"/>
              </w:rPr>
            </w:pPr>
            <w:r>
              <w:rPr>
                <w:rFonts w:ascii="Arial" w:cs="Arial" w:eastAsia="Arial" w:hAnsi="Arial"/>
                <w:sz w:val="18"/>
                <w:szCs w:val="18"/>
                <w:color w:val="auto"/>
              </w:rPr>
              <w:t>ii</w:t>
            </w: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880" w:type="dxa"/>
            <w:vAlign w:val="bottom"/>
            <w:tcBorders>
              <w:bottom w:val="single" w:sz="8" w:color="808080"/>
            </w:tcBorders>
            <w:gridSpan w:val="3"/>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22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780"/>
        </w:trPr>
        <w:tc>
          <w:tcPr>
            <w:tcW w:w="20" w:type="dxa"/>
            <w:vAlign w:val="bottom"/>
          </w:tcPr>
          <w:p>
            <w:pPr>
              <w:spacing w:after="0"/>
              <w:rPr>
                <w:sz w:val="24"/>
                <w:szCs w:val="24"/>
                <w:color w:val="auto"/>
              </w:rPr>
            </w:pPr>
          </w:p>
        </w:tc>
        <w:tc>
          <w:tcPr>
            <w:tcW w:w="9180" w:type="dxa"/>
            <w:vAlign w:val="bottom"/>
            <w:gridSpan w:val="4"/>
          </w:tcPr>
          <w:p>
            <w:pPr>
              <w:spacing w:after="0"/>
              <w:rPr>
                <w:sz w:val="20"/>
                <w:szCs w:val="20"/>
                <w:color w:val="auto"/>
              </w:rPr>
            </w:pPr>
            <w:r>
              <w:rPr>
                <w:rFonts w:ascii="Arial" w:cs="Arial" w:eastAsia="Arial" w:hAnsi="Arial"/>
                <w:sz w:val="18"/>
                <w:szCs w:val="18"/>
                <w:color w:val="auto"/>
              </w:rPr>
              <w:t>ARTICLE VIII GENERAL PROVISIONS</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71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8.1</w:t>
            </w:r>
          </w:p>
        </w:tc>
        <w:tc>
          <w:tcPr>
            <w:tcW w:w="8140" w:type="dxa"/>
            <w:vAlign w:val="bottom"/>
            <w:gridSpan w:val="3"/>
          </w:tcPr>
          <w:p>
            <w:pPr>
              <w:ind w:left="180"/>
              <w:spacing w:after="0"/>
              <w:rPr>
                <w:sz w:val="20"/>
                <w:szCs w:val="20"/>
                <w:color w:val="auto"/>
              </w:rPr>
            </w:pPr>
            <w:r>
              <w:rPr>
                <w:rFonts w:ascii="Arial" w:cs="Arial" w:eastAsia="Arial" w:hAnsi="Arial"/>
                <w:sz w:val="18"/>
                <w:szCs w:val="18"/>
                <w:b w:val="1"/>
                <w:bCs w:val="1"/>
                <w:i w:val="1"/>
                <w:iCs w:val="1"/>
                <w:color w:val="auto"/>
              </w:rPr>
              <w:t>Non-Survival of Representations and Warranties</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71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8.2</w:t>
            </w:r>
          </w:p>
        </w:tc>
        <w:tc>
          <w:tcPr>
            <w:tcW w:w="19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Notices</w:t>
            </w: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8.3</w:t>
            </w:r>
          </w:p>
        </w:tc>
        <w:tc>
          <w:tcPr>
            <w:tcW w:w="8140" w:type="dxa"/>
            <w:vAlign w:val="bottom"/>
            <w:gridSpan w:val="3"/>
          </w:tcPr>
          <w:p>
            <w:pPr>
              <w:ind w:left="180"/>
              <w:spacing w:after="0"/>
              <w:rPr>
                <w:sz w:val="20"/>
                <w:szCs w:val="20"/>
                <w:color w:val="auto"/>
              </w:rPr>
            </w:pPr>
            <w:r>
              <w:rPr>
                <w:rFonts w:ascii="Arial" w:cs="Arial" w:eastAsia="Arial" w:hAnsi="Arial"/>
                <w:sz w:val="18"/>
                <w:szCs w:val="18"/>
                <w:b w:val="1"/>
                <w:bCs w:val="1"/>
                <w:i w:val="1"/>
                <w:iCs w:val="1"/>
                <w:color w:val="auto"/>
              </w:rPr>
              <w:t>Interpretation; Knowledge</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8.4</w:t>
            </w:r>
          </w:p>
        </w:tc>
        <w:tc>
          <w:tcPr>
            <w:tcW w:w="19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Counterparts</w:t>
            </w: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8.5</w:t>
            </w:r>
          </w:p>
        </w:tc>
        <w:tc>
          <w:tcPr>
            <w:tcW w:w="8140" w:type="dxa"/>
            <w:vAlign w:val="bottom"/>
            <w:gridSpan w:val="3"/>
          </w:tcPr>
          <w:p>
            <w:pPr>
              <w:ind w:left="180"/>
              <w:spacing w:after="0"/>
              <w:rPr>
                <w:sz w:val="20"/>
                <w:szCs w:val="20"/>
                <w:color w:val="auto"/>
              </w:rPr>
            </w:pPr>
            <w:r>
              <w:rPr>
                <w:rFonts w:ascii="Arial" w:cs="Arial" w:eastAsia="Arial" w:hAnsi="Arial"/>
                <w:sz w:val="18"/>
                <w:szCs w:val="18"/>
                <w:b w:val="1"/>
                <w:bCs w:val="1"/>
                <w:i w:val="1"/>
                <w:iCs w:val="1"/>
                <w:color w:val="auto"/>
              </w:rPr>
              <w:t>Entire Agreement; Third-Party Beneficiaries</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8.6</w:t>
            </w:r>
          </w:p>
        </w:tc>
        <w:tc>
          <w:tcPr>
            <w:tcW w:w="19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Severability</w:t>
            </w: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8.7</w:t>
            </w:r>
          </w:p>
        </w:tc>
        <w:tc>
          <w:tcPr>
            <w:tcW w:w="19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Other Remedies</w:t>
            </w: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8.8</w:t>
            </w:r>
          </w:p>
        </w:tc>
        <w:tc>
          <w:tcPr>
            <w:tcW w:w="19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Governing Law</w:t>
            </w: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8.9</w:t>
            </w:r>
          </w:p>
        </w:tc>
        <w:tc>
          <w:tcPr>
            <w:tcW w:w="1900" w:type="dxa"/>
            <w:vAlign w:val="bottom"/>
          </w:tcPr>
          <w:p>
            <w:pPr>
              <w:ind w:left="180"/>
              <w:spacing w:after="0"/>
              <w:rPr>
                <w:sz w:val="20"/>
                <w:szCs w:val="20"/>
                <w:color w:val="auto"/>
              </w:rPr>
            </w:pPr>
            <w:r>
              <w:rPr>
                <w:rFonts w:ascii="Arial" w:cs="Arial" w:eastAsia="Arial" w:hAnsi="Arial"/>
                <w:sz w:val="18"/>
                <w:szCs w:val="18"/>
                <w:b w:val="1"/>
                <w:bCs w:val="1"/>
                <w:i w:val="1"/>
                <w:iCs w:val="1"/>
                <w:color w:val="auto"/>
                <w:w w:val="90"/>
              </w:rPr>
              <w:t>Rules of Construction</w:t>
            </w: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8.10</w:t>
            </w:r>
          </w:p>
        </w:tc>
        <w:tc>
          <w:tcPr>
            <w:tcW w:w="19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Assignment</w:t>
            </w: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8.11</w:t>
            </w:r>
          </w:p>
        </w:tc>
        <w:tc>
          <w:tcPr>
            <w:tcW w:w="19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Waiver of Jury Trial</w:t>
            </w:r>
          </w:p>
        </w:tc>
        <w:tc>
          <w:tcPr>
            <w:tcW w:w="5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940" w:type="dxa"/>
            <w:vAlign w:val="bottom"/>
            <w:gridSpan w:val="2"/>
          </w:tcPr>
          <w:p>
            <w:pPr>
              <w:ind w:left="540"/>
              <w:spacing w:after="0"/>
              <w:rPr>
                <w:sz w:val="20"/>
                <w:szCs w:val="20"/>
                <w:color w:val="auto"/>
              </w:rPr>
            </w:pPr>
            <w:r>
              <w:rPr>
                <w:rFonts w:ascii="Arial" w:cs="Arial" w:eastAsia="Arial" w:hAnsi="Arial"/>
                <w:sz w:val="18"/>
                <w:szCs w:val="18"/>
                <w:color w:val="auto"/>
              </w:rPr>
              <w:t>Exhibit A</w:t>
            </w:r>
          </w:p>
        </w:tc>
        <w:tc>
          <w:tcPr>
            <w:tcW w:w="6240" w:type="dxa"/>
            <w:vAlign w:val="bottom"/>
            <w:gridSpan w:val="2"/>
          </w:tcPr>
          <w:p>
            <w:pPr>
              <w:ind w:left="40"/>
              <w:spacing w:after="0"/>
              <w:rPr>
                <w:sz w:val="20"/>
                <w:szCs w:val="20"/>
                <w:color w:val="auto"/>
              </w:rPr>
            </w:pPr>
            <w:r>
              <w:rPr>
                <w:rFonts w:ascii="Arial" w:cs="Arial" w:eastAsia="Arial" w:hAnsi="Arial"/>
                <w:sz w:val="18"/>
                <w:szCs w:val="18"/>
                <w:color w:val="auto"/>
              </w:rPr>
              <w:t>Voting Agreements</w:t>
            </w: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ind w:left="540"/>
              <w:spacing w:after="0"/>
              <w:rPr>
                <w:sz w:val="20"/>
                <w:szCs w:val="20"/>
                <w:color w:val="auto"/>
              </w:rPr>
            </w:pPr>
            <w:r>
              <w:rPr>
                <w:rFonts w:ascii="Arial" w:cs="Arial" w:eastAsia="Arial" w:hAnsi="Arial"/>
                <w:sz w:val="18"/>
                <w:szCs w:val="18"/>
                <w:color w:val="auto"/>
              </w:rPr>
              <w:t>Exhibit B</w:t>
            </w:r>
          </w:p>
        </w:tc>
        <w:tc>
          <w:tcPr>
            <w:tcW w:w="6240" w:type="dxa"/>
            <w:vAlign w:val="bottom"/>
            <w:gridSpan w:val="2"/>
          </w:tcPr>
          <w:p>
            <w:pPr>
              <w:ind w:left="40"/>
              <w:spacing w:after="0"/>
              <w:rPr>
                <w:sz w:val="20"/>
                <w:szCs w:val="20"/>
                <w:color w:val="auto"/>
              </w:rPr>
            </w:pPr>
            <w:r>
              <w:rPr>
                <w:rFonts w:ascii="Arial" w:cs="Arial" w:eastAsia="Arial" w:hAnsi="Arial"/>
                <w:sz w:val="18"/>
                <w:szCs w:val="18"/>
                <w:color w:val="auto"/>
              </w:rPr>
              <w:t>License Agreement</w:t>
            </w: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gridSpan w:val="2"/>
          </w:tcPr>
          <w:p>
            <w:pPr>
              <w:ind w:left="540"/>
              <w:spacing w:after="0"/>
              <w:rPr>
                <w:sz w:val="20"/>
                <w:szCs w:val="20"/>
                <w:color w:val="auto"/>
              </w:rPr>
            </w:pPr>
            <w:r>
              <w:rPr>
                <w:rFonts w:ascii="Arial" w:cs="Arial" w:eastAsia="Arial" w:hAnsi="Arial"/>
                <w:sz w:val="18"/>
                <w:szCs w:val="18"/>
                <w:color w:val="auto"/>
              </w:rPr>
              <w:t>Exhibit C</w:t>
            </w:r>
          </w:p>
        </w:tc>
        <w:tc>
          <w:tcPr>
            <w:tcW w:w="6240" w:type="dxa"/>
            <w:vAlign w:val="bottom"/>
            <w:gridSpan w:val="2"/>
          </w:tcPr>
          <w:p>
            <w:pPr>
              <w:ind w:left="40"/>
              <w:spacing w:after="0"/>
              <w:rPr>
                <w:sz w:val="20"/>
                <w:szCs w:val="20"/>
                <w:color w:val="auto"/>
              </w:rPr>
            </w:pPr>
            <w:r>
              <w:rPr>
                <w:rFonts w:ascii="Arial" w:cs="Arial" w:eastAsia="Arial" w:hAnsi="Arial"/>
                <w:sz w:val="18"/>
                <w:szCs w:val="18"/>
                <w:color w:val="auto"/>
              </w:rPr>
              <w:t>Affiliate Agreement</w:t>
            </w:r>
          </w:p>
        </w:tc>
        <w:tc>
          <w:tcPr>
            <w:tcW w:w="2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240" w:type="dxa"/>
            <w:vAlign w:val="bottom"/>
            <w:gridSpan w:val="2"/>
          </w:tcPr>
          <w:p>
            <w:pPr>
              <w:jc w:val="center"/>
              <w:ind w:right="740"/>
              <w:spacing w:after="0"/>
              <w:rPr>
                <w:sz w:val="20"/>
                <w:szCs w:val="20"/>
                <w:color w:val="auto"/>
              </w:rPr>
            </w:pPr>
            <w:r>
              <w:rPr>
                <w:rFonts w:ascii="Arial" w:cs="Arial" w:eastAsia="Arial" w:hAnsi="Arial"/>
                <w:sz w:val="18"/>
                <w:szCs w:val="18"/>
                <w:color w:val="auto"/>
              </w:rPr>
              <w:t>iii</w:t>
            </w: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900" w:type="dxa"/>
            <w:vAlign w:val="bottom"/>
            <w:tcBorders>
              <w:bottom w:val="single" w:sz="8" w:color="808080"/>
            </w:tcBorders>
          </w:tcPr>
          <w:p>
            <w:pPr>
              <w:spacing w:after="0"/>
              <w:rPr>
                <w:sz w:val="10"/>
                <w:szCs w:val="10"/>
                <w:color w:val="auto"/>
              </w:rPr>
            </w:pPr>
          </w:p>
        </w:tc>
        <w:tc>
          <w:tcPr>
            <w:tcW w:w="59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22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780"/>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24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rPr>
              <w:t>INDEX OF DEFINED TERMS</w:t>
            </w: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Defined Term</w:t>
            </w:r>
          </w:p>
        </w:tc>
        <w:tc>
          <w:tcPr>
            <w:tcW w:w="190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40" w:type="dxa"/>
            <w:vAlign w:val="bottom"/>
            <w:gridSpan w:val="2"/>
          </w:tcPr>
          <w:p>
            <w:pPr>
              <w:ind w:left="880"/>
              <w:spacing w:after="0"/>
              <w:rPr>
                <w:sz w:val="20"/>
                <w:szCs w:val="20"/>
                <w:color w:val="auto"/>
              </w:rPr>
            </w:pPr>
            <w:r>
              <w:rPr>
                <w:rFonts w:ascii="Arial" w:cs="Arial" w:eastAsia="Arial" w:hAnsi="Arial"/>
                <w:sz w:val="14"/>
                <w:szCs w:val="14"/>
                <w:b w:val="1"/>
                <w:bCs w:val="1"/>
                <w:color w:val="auto"/>
              </w:rPr>
              <w:t>Section</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59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401(k) Plan</w:t>
            </w:r>
          </w:p>
        </w:tc>
        <w:tc>
          <w:tcPr>
            <w:tcW w:w="190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5.9(e)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Acquisition</w:t>
            </w:r>
          </w:p>
        </w:tc>
        <w:tc>
          <w:tcPr>
            <w:tcW w:w="190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7.3(b)(iii)</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 Proposal</w:t>
            </w:r>
          </w:p>
        </w:tc>
        <w:tc>
          <w:tcPr>
            <w:tcW w:w="5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5.3(h)(i)</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Action of Divestiture</w:t>
            </w: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5.6(d)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Agreement</w:t>
            </w:r>
          </w:p>
        </w:tc>
        <w:tc>
          <w:tcPr>
            <w:tcW w:w="190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Preamble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-4625975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-4625975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-1572895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-1572895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Assumed Option</w:t>
            </w:r>
          </w:p>
        </w:tc>
        <w:tc>
          <w:tcPr>
            <w:tcW w:w="7080" w:type="dxa"/>
            <w:vAlign w:val="bottom"/>
          </w:tcPr>
          <w:p>
            <w:pPr>
              <w:ind w:left="4860"/>
              <w:spacing w:after="0"/>
              <w:rPr>
                <w:sz w:val="20"/>
                <w:szCs w:val="20"/>
                <w:color w:val="auto"/>
              </w:rPr>
            </w:pPr>
            <w:r>
              <w:rPr>
                <w:rFonts w:ascii="Arial" w:cs="Arial" w:eastAsia="Arial" w:hAnsi="Arial"/>
                <w:sz w:val="18"/>
                <w:szCs w:val="18"/>
                <w:color w:val="auto"/>
              </w:rPr>
              <w:t>1.6(e)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Audit</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2.6(a)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Business Day</w:t>
            </w:r>
          </w:p>
        </w:tc>
        <w:tc>
          <w:tcPr>
            <w:tcW w:w="7080" w:type="dxa"/>
            <w:vAlign w:val="bottom"/>
          </w:tcPr>
          <w:p>
            <w:pPr>
              <w:ind w:left="486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Cashed-Out Options</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1.6(e)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Certificate of Merger</w:t>
            </w:r>
          </w:p>
        </w:tc>
        <w:tc>
          <w:tcPr>
            <w:tcW w:w="7080" w:type="dxa"/>
            <w:vAlign w:val="bottom"/>
          </w:tcPr>
          <w:p>
            <w:pPr>
              <w:ind w:left="486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Certificates</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1.7(c)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Change of Recommendation</w:t>
            </w:r>
          </w:p>
        </w:tc>
        <w:tc>
          <w:tcPr>
            <w:tcW w:w="7080" w:type="dxa"/>
            <w:vAlign w:val="bottom"/>
          </w:tcPr>
          <w:p>
            <w:pPr>
              <w:ind w:left="4860"/>
              <w:spacing w:after="0"/>
              <w:rPr>
                <w:sz w:val="20"/>
                <w:szCs w:val="20"/>
                <w:color w:val="auto"/>
              </w:rPr>
            </w:pPr>
            <w:r>
              <w:rPr>
                <w:rFonts w:ascii="Arial" w:cs="Arial" w:eastAsia="Arial" w:hAnsi="Arial"/>
                <w:sz w:val="18"/>
                <w:szCs w:val="18"/>
                <w:color w:val="auto"/>
              </w:rPr>
              <w:t>5.3(d)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Change of Recommendation Notice</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5.3(d)(iii)</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Closing</w:t>
            </w:r>
          </w:p>
        </w:tc>
        <w:tc>
          <w:tcPr>
            <w:tcW w:w="7080" w:type="dxa"/>
            <w:vAlign w:val="bottom"/>
          </w:tcPr>
          <w:p>
            <w:pPr>
              <w:ind w:left="486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Closing Date</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COBRA</w:t>
            </w:r>
          </w:p>
        </w:tc>
        <w:tc>
          <w:tcPr>
            <w:tcW w:w="7080" w:type="dxa"/>
            <w:vAlign w:val="bottom"/>
          </w:tcPr>
          <w:p>
            <w:pPr>
              <w:ind w:left="4860"/>
              <w:spacing w:after="0"/>
              <w:rPr>
                <w:sz w:val="20"/>
                <w:szCs w:val="20"/>
                <w:color w:val="auto"/>
              </w:rPr>
            </w:pPr>
            <w:r>
              <w:rPr>
                <w:rFonts w:ascii="Arial" w:cs="Arial" w:eastAsia="Arial" w:hAnsi="Arial"/>
                <w:sz w:val="18"/>
                <w:szCs w:val="18"/>
                <w:color w:val="auto"/>
              </w:rPr>
              <w:t>2.16(a)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Code</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Recitals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Company</w:t>
            </w:r>
          </w:p>
        </w:tc>
        <w:tc>
          <w:tcPr>
            <w:tcW w:w="7080" w:type="dxa"/>
            <w:vAlign w:val="bottom"/>
          </w:tcPr>
          <w:p>
            <w:pPr>
              <w:ind w:left="4860"/>
              <w:spacing w:after="0"/>
              <w:rPr>
                <w:sz w:val="20"/>
                <w:szCs w:val="20"/>
                <w:color w:val="auto"/>
              </w:rPr>
            </w:pPr>
            <w:r>
              <w:rPr>
                <w:rFonts w:ascii="Arial" w:cs="Arial" w:eastAsia="Arial" w:hAnsi="Arial"/>
                <w:sz w:val="18"/>
                <w:szCs w:val="18"/>
                <w:color w:val="auto"/>
              </w:rPr>
              <w:t>Preamble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Company Balance Sheet</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2.4(b)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Company Charter Documents</w:t>
            </w:r>
          </w:p>
        </w:tc>
        <w:tc>
          <w:tcPr>
            <w:tcW w:w="7080" w:type="dxa"/>
            <w:vAlign w:val="bottom"/>
          </w:tcPr>
          <w:p>
            <w:pPr>
              <w:ind w:left="4860"/>
              <w:spacing w:after="0"/>
              <w:rPr>
                <w:sz w:val="20"/>
                <w:szCs w:val="20"/>
                <w:color w:val="auto"/>
              </w:rPr>
            </w:pPr>
            <w:r>
              <w:rPr>
                <w:rFonts w:ascii="Arial" w:cs="Arial" w:eastAsia="Arial" w:hAnsi="Arial"/>
                <w:sz w:val="18"/>
                <w:szCs w:val="18"/>
                <w:color w:val="auto"/>
              </w:rPr>
              <w:t>2.1(b)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Company Common Stock</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1.6(a)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Company Disclosure Schedule</w:t>
            </w:r>
          </w:p>
        </w:tc>
        <w:tc>
          <w:tcPr>
            <w:tcW w:w="7080" w:type="dxa"/>
            <w:vAlign w:val="bottom"/>
          </w:tcPr>
          <w:p>
            <w:pPr>
              <w:ind w:left="4860"/>
              <w:spacing w:after="0"/>
              <w:rPr>
                <w:sz w:val="20"/>
                <w:szCs w:val="20"/>
                <w:color w:val="auto"/>
              </w:rPr>
            </w:pPr>
            <w:r>
              <w:rPr>
                <w:rFonts w:ascii="Arial" w:cs="Arial" w:eastAsia="Arial" w:hAnsi="Arial"/>
                <w:sz w:val="18"/>
                <w:szCs w:val="18"/>
                <w:color w:val="auto"/>
              </w:rPr>
              <w:t>Article II</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Company Employee Plan</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2.16(a)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Company Financials</w:t>
            </w:r>
          </w:p>
        </w:tc>
        <w:tc>
          <w:tcPr>
            <w:tcW w:w="7080" w:type="dxa"/>
            <w:vAlign w:val="bottom"/>
          </w:tcPr>
          <w:p>
            <w:pPr>
              <w:ind w:left="4860"/>
              <w:spacing w:after="0"/>
              <w:rPr>
                <w:sz w:val="20"/>
                <w:szCs w:val="20"/>
                <w:color w:val="auto"/>
              </w:rPr>
            </w:pPr>
            <w:r>
              <w:rPr>
                <w:rFonts w:ascii="Arial" w:cs="Arial" w:eastAsia="Arial" w:hAnsi="Arial"/>
                <w:sz w:val="18"/>
                <w:szCs w:val="18"/>
                <w:color w:val="auto"/>
              </w:rPr>
              <w:t>2.4(b)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Company Intellectual Property</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Company Material Contract</w:t>
            </w:r>
          </w:p>
        </w:tc>
        <w:tc>
          <w:tcPr>
            <w:tcW w:w="7080" w:type="dxa"/>
            <w:vAlign w:val="bottom"/>
          </w:tcPr>
          <w:p>
            <w:pPr>
              <w:ind w:left="4860"/>
              <w:spacing w:after="0"/>
              <w:rPr>
                <w:sz w:val="20"/>
                <w:szCs w:val="20"/>
                <w:color w:val="auto"/>
              </w:rPr>
            </w:pPr>
            <w:r>
              <w:rPr>
                <w:rFonts w:ascii="Arial" w:cs="Arial" w:eastAsia="Arial" w:hAnsi="Arial"/>
                <w:sz w:val="18"/>
                <w:szCs w:val="18"/>
                <w:color w:val="auto"/>
              </w:rPr>
              <w:t>2.17(a)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Company Options</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2.2(b)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Company Preferred Stock</w:t>
            </w:r>
          </w:p>
        </w:tc>
        <w:tc>
          <w:tcPr>
            <w:tcW w:w="7080" w:type="dxa"/>
            <w:vAlign w:val="bottom"/>
          </w:tcPr>
          <w:p>
            <w:pPr>
              <w:ind w:left="4860"/>
              <w:spacing w:after="0"/>
              <w:rPr>
                <w:sz w:val="20"/>
                <w:szCs w:val="20"/>
                <w:color w:val="auto"/>
              </w:rPr>
            </w:pPr>
            <w:r>
              <w:rPr>
                <w:rFonts w:ascii="Arial" w:cs="Arial" w:eastAsia="Arial" w:hAnsi="Arial"/>
                <w:sz w:val="18"/>
                <w:szCs w:val="18"/>
                <w:color w:val="auto"/>
              </w:rPr>
              <w:t>2.2(a)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Company Products</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Company Registered Intellectual Property</w:t>
            </w:r>
          </w:p>
        </w:tc>
        <w:tc>
          <w:tcPr>
            <w:tcW w:w="7080" w:type="dxa"/>
            <w:vAlign w:val="bottom"/>
          </w:tcPr>
          <w:p>
            <w:pPr>
              <w:ind w:left="486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Company SEC Reports</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2.4(a)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Confidentiality Agreement</w:t>
            </w:r>
          </w:p>
        </w:tc>
        <w:tc>
          <w:tcPr>
            <w:tcW w:w="7080" w:type="dxa"/>
            <w:vAlign w:val="bottom"/>
          </w:tcPr>
          <w:p>
            <w:pPr>
              <w:ind w:left="4860"/>
              <w:spacing w:after="0"/>
              <w:rPr>
                <w:sz w:val="20"/>
                <w:szCs w:val="20"/>
                <w:color w:val="auto"/>
              </w:rPr>
            </w:pPr>
            <w:r>
              <w:rPr>
                <w:rFonts w:ascii="Arial" w:cs="Arial" w:eastAsia="Arial" w:hAnsi="Arial"/>
                <w:sz w:val="18"/>
                <w:szCs w:val="18"/>
                <w:color w:val="auto"/>
              </w:rPr>
              <w:t>5.4(a)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Contaminants</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2.8(j)</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Continuing Employees</w:t>
            </w:r>
          </w:p>
        </w:tc>
        <w:tc>
          <w:tcPr>
            <w:tcW w:w="7080" w:type="dxa"/>
            <w:vAlign w:val="bottom"/>
          </w:tcPr>
          <w:p>
            <w:pPr>
              <w:ind w:left="4860"/>
              <w:spacing w:after="0"/>
              <w:rPr>
                <w:sz w:val="20"/>
                <w:szCs w:val="20"/>
                <w:color w:val="auto"/>
              </w:rPr>
            </w:pPr>
            <w:r>
              <w:rPr>
                <w:rFonts w:ascii="Arial" w:cs="Arial" w:eastAsia="Arial" w:hAnsi="Arial"/>
                <w:sz w:val="18"/>
                <w:szCs w:val="18"/>
                <w:color w:val="auto"/>
              </w:rPr>
              <w:t>5.9(f)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Contract</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2.1(a)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Debt Payoffs</w:t>
            </w:r>
          </w:p>
        </w:tc>
        <w:tc>
          <w:tcPr>
            <w:tcW w:w="7080" w:type="dxa"/>
            <w:vAlign w:val="bottom"/>
          </w:tcPr>
          <w:p>
            <w:pPr>
              <w:ind w:left="4860"/>
              <w:spacing w:after="0"/>
              <w:rPr>
                <w:sz w:val="20"/>
                <w:szCs w:val="20"/>
                <w:color w:val="auto"/>
              </w:rPr>
            </w:pPr>
            <w:r>
              <w:rPr>
                <w:rFonts w:ascii="Arial" w:cs="Arial" w:eastAsia="Arial" w:hAnsi="Arial"/>
                <w:sz w:val="18"/>
                <w:szCs w:val="18"/>
                <w:color w:val="auto"/>
              </w:rPr>
              <w:t>5.16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Delaware Law</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Recitals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DOJ</w:t>
            </w:r>
          </w:p>
        </w:tc>
        <w:tc>
          <w:tcPr>
            <w:tcW w:w="7080" w:type="dxa"/>
            <w:vAlign w:val="bottom"/>
          </w:tcPr>
          <w:p>
            <w:pPr>
              <w:ind w:left="4860"/>
              <w:spacing w:after="0"/>
              <w:rPr>
                <w:sz w:val="20"/>
                <w:szCs w:val="20"/>
                <w:color w:val="auto"/>
              </w:rPr>
            </w:pPr>
            <w:r>
              <w:rPr>
                <w:rFonts w:ascii="Arial" w:cs="Arial" w:eastAsia="Arial" w:hAnsi="Arial"/>
                <w:sz w:val="18"/>
                <w:szCs w:val="18"/>
                <w:color w:val="auto"/>
              </w:rPr>
              <w:t>2.3(d)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DOL</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2.16(a)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7080" w:type="dxa"/>
            <w:vAlign w:val="bottom"/>
          </w:tcPr>
          <w:p>
            <w:pPr>
              <w:ind w:left="1300"/>
              <w:spacing w:after="0"/>
              <w:rPr>
                <w:sz w:val="20"/>
                <w:szCs w:val="20"/>
                <w:color w:val="auto"/>
              </w:rPr>
            </w:pPr>
            <w:r>
              <w:rPr>
                <w:rFonts w:ascii="Arial" w:cs="Arial" w:eastAsia="Arial" w:hAnsi="Arial"/>
                <w:sz w:val="18"/>
                <w:szCs w:val="18"/>
                <w:color w:val="auto"/>
              </w:rPr>
              <w:t>iv</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340" w:type="dxa"/>
            <w:vAlign w:val="bottom"/>
            <w:gridSpan w:val="2"/>
          </w:tcPr>
          <w:p>
            <w:pPr>
              <w:spacing w:after="0"/>
              <w:rPr>
                <w:sz w:val="10"/>
                <w:szCs w:val="10"/>
                <w:color w:val="auto"/>
              </w:rPr>
            </w:pPr>
          </w:p>
        </w:tc>
        <w:tc>
          <w:tcPr>
            <w:tcW w:w="7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4"/>
        </w:trPr>
        <w:tc>
          <w:tcPr>
            <w:tcW w:w="20" w:type="dxa"/>
            <w:vAlign w:val="bottom"/>
            <w:vMerge w:val="restart"/>
          </w:tcPr>
          <w:p>
            <w:pPr>
              <w:spacing w:after="0"/>
              <w:rPr>
                <w:sz w:val="24"/>
                <w:szCs w:val="24"/>
                <w:color w:val="auto"/>
              </w:rPr>
            </w:pPr>
          </w:p>
        </w:tc>
        <w:tc>
          <w:tcPr>
            <w:tcW w:w="4320" w:type="dxa"/>
            <w:vAlign w:val="bottom"/>
            <w:tcBorders>
              <w:top w:val="single" w:sz="8" w:color="808080"/>
            </w:tcBorders>
          </w:tcPr>
          <w:p>
            <w:pPr>
              <w:spacing w:after="0"/>
              <w:rPr>
                <w:sz w:val="24"/>
                <w:szCs w:val="24"/>
                <w:color w:val="auto"/>
              </w:rPr>
            </w:pPr>
          </w:p>
        </w:tc>
        <w:tc>
          <w:tcPr>
            <w:tcW w:w="7080" w:type="dxa"/>
            <w:vAlign w:val="bottom"/>
            <w:tcBorders>
              <w:top w:val="single" w:sz="8" w:color="808080"/>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Effect</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8.3(d)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Effective Time</w:t>
            </w:r>
          </w:p>
        </w:tc>
        <w:tc>
          <w:tcPr>
            <w:tcW w:w="7080" w:type="dxa"/>
            <w:vAlign w:val="bottom"/>
          </w:tcPr>
          <w:p>
            <w:pPr>
              <w:ind w:left="486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Employee/Service Provider</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2.16(a)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Employee Agreement</w:t>
            </w:r>
          </w:p>
        </w:tc>
        <w:tc>
          <w:tcPr>
            <w:tcW w:w="7080" w:type="dxa"/>
            <w:vAlign w:val="bottom"/>
          </w:tcPr>
          <w:p>
            <w:pPr>
              <w:ind w:left="4860"/>
              <w:spacing w:after="0"/>
              <w:rPr>
                <w:sz w:val="20"/>
                <w:szCs w:val="20"/>
                <w:color w:val="auto"/>
              </w:rPr>
            </w:pPr>
            <w:r>
              <w:rPr>
                <w:rFonts w:ascii="Arial" w:cs="Arial" w:eastAsia="Arial" w:hAnsi="Arial"/>
                <w:sz w:val="18"/>
                <w:szCs w:val="18"/>
                <w:color w:val="auto"/>
              </w:rPr>
              <w:t>2.16(a)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End Date</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7.1(b)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Environmental Claim</w:t>
            </w:r>
          </w:p>
        </w:tc>
        <w:tc>
          <w:tcPr>
            <w:tcW w:w="7080" w:type="dxa"/>
            <w:vAlign w:val="bottom"/>
          </w:tcPr>
          <w:p>
            <w:pPr>
              <w:ind w:left="4860"/>
              <w:spacing w:after="0"/>
              <w:rPr>
                <w:sz w:val="20"/>
                <w:szCs w:val="20"/>
                <w:color w:val="auto"/>
              </w:rPr>
            </w:pPr>
            <w:r>
              <w:rPr>
                <w:rFonts w:ascii="Arial" w:cs="Arial" w:eastAsia="Arial" w:hAnsi="Arial"/>
                <w:sz w:val="18"/>
                <w:szCs w:val="18"/>
                <w:color w:val="auto"/>
              </w:rPr>
              <w:t>2.13(a)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Environmental Laws</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2.13(a)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ERISA</w:t>
            </w:r>
          </w:p>
        </w:tc>
        <w:tc>
          <w:tcPr>
            <w:tcW w:w="7080" w:type="dxa"/>
            <w:vAlign w:val="bottom"/>
          </w:tcPr>
          <w:p>
            <w:pPr>
              <w:ind w:left="4860"/>
              <w:spacing w:after="0"/>
              <w:rPr>
                <w:sz w:val="20"/>
                <w:szCs w:val="20"/>
                <w:color w:val="auto"/>
              </w:rPr>
            </w:pPr>
            <w:r>
              <w:rPr>
                <w:rFonts w:ascii="Arial" w:cs="Arial" w:eastAsia="Arial" w:hAnsi="Arial"/>
                <w:sz w:val="18"/>
                <w:szCs w:val="18"/>
                <w:color w:val="auto"/>
              </w:rPr>
              <w:t>2.16(a)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ERISA Affiliate</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2.16(a)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ESPP</w:t>
            </w:r>
          </w:p>
        </w:tc>
        <w:tc>
          <w:tcPr>
            <w:tcW w:w="7080" w:type="dxa"/>
            <w:vAlign w:val="bottom"/>
          </w:tcPr>
          <w:p>
            <w:pPr>
              <w:ind w:left="4860"/>
              <w:spacing w:after="0"/>
              <w:rPr>
                <w:sz w:val="20"/>
                <w:szCs w:val="20"/>
                <w:color w:val="auto"/>
              </w:rPr>
            </w:pPr>
            <w:r>
              <w:rPr>
                <w:rFonts w:ascii="Arial" w:cs="Arial" w:eastAsia="Arial" w:hAnsi="Arial"/>
                <w:sz w:val="18"/>
                <w:szCs w:val="18"/>
                <w:color w:val="auto"/>
              </w:rPr>
              <w:t>2.2(b)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Exchange Act</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2.3(d)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Exchange Agent</w:t>
            </w:r>
          </w:p>
        </w:tc>
        <w:tc>
          <w:tcPr>
            <w:tcW w:w="7080" w:type="dxa"/>
            <w:vAlign w:val="bottom"/>
          </w:tcPr>
          <w:p>
            <w:pPr>
              <w:ind w:left="4860"/>
              <w:spacing w:after="0"/>
              <w:rPr>
                <w:sz w:val="20"/>
                <w:szCs w:val="20"/>
                <w:color w:val="auto"/>
              </w:rPr>
            </w:pPr>
            <w:r>
              <w:rPr>
                <w:rFonts w:ascii="Arial" w:cs="Arial" w:eastAsia="Arial" w:hAnsi="Arial"/>
                <w:sz w:val="18"/>
                <w:szCs w:val="18"/>
                <w:color w:val="auto"/>
              </w:rPr>
              <w:t>1.7(a)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Exchange Fund</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1.7(b)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Exchange Ratio</w:t>
            </w:r>
          </w:p>
        </w:tc>
        <w:tc>
          <w:tcPr>
            <w:tcW w:w="7080" w:type="dxa"/>
            <w:vAlign w:val="bottom"/>
          </w:tcPr>
          <w:p>
            <w:pPr>
              <w:ind w:left="4860"/>
              <w:spacing w:after="0"/>
              <w:rPr>
                <w:sz w:val="20"/>
                <w:szCs w:val="20"/>
                <w:color w:val="auto"/>
              </w:rPr>
            </w:pPr>
            <w:r>
              <w:rPr>
                <w:rFonts w:ascii="Arial" w:cs="Arial" w:eastAsia="Arial" w:hAnsi="Arial"/>
                <w:sz w:val="18"/>
                <w:szCs w:val="18"/>
                <w:color w:val="auto"/>
              </w:rPr>
              <w:t>1.6(a)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Export Approvals</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2.19(a)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FCPA</w:t>
            </w:r>
          </w:p>
        </w:tc>
        <w:tc>
          <w:tcPr>
            <w:tcW w:w="7080" w:type="dxa"/>
            <w:vAlign w:val="bottom"/>
          </w:tcPr>
          <w:p>
            <w:pPr>
              <w:ind w:left="4860"/>
              <w:spacing w:after="0"/>
              <w:rPr>
                <w:sz w:val="20"/>
                <w:szCs w:val="20"/>
                <w:color w:val="auto"/>
              </w:rPr>
            </w:pPr>
            <w:r>
              <w:rPr>
                <w:rFonts w:ascii="Arial" w:cs="Arial" w:eastAsia="Arial" w:hAnsi="Arial"/>
                <w:sz w:val="18"/>
                <w:szCs w:val="18"/>
                <w:color w:val="auto"/>
              </w:rPr>
              <w:t>2.20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FTC</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2.3(d)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GAAP</w:t>
            </w:r>
          </w:p>
        </w:tc>
        <w:tc>
          <w:tcPr>
            <w:tcW w:w="7080" w:type="dxa"/>
            <w:vAlign w:val="bottom"/>
          </w:tcPr>
          <w:p>
            <w:pPr>
              <w:ind w:left="4860"/>
              <w:spacing w:after="0"/>
              <w:rPr>
                <w:sz w:val="20"/>
                <w:szCs w:val="20"/>
                <w:color w:val="auto"/>
              </w:rPr>
            </w:pPr>
            <w:r>
              <w:rPr>
                <w:rFonts w:ascii="Arial" w:cs="Arial" w:eastAsia="Arial" w:hAnsi="Arial"/>
                <w:sz w:val="18"/>
                <w:szCs w:val="18"/>
                <w:color w:val="auto"/>
              </w:rPr>
              <w:t>2.4(b)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Governmental Authorizations</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Governmental Entity</w:t>
            </w:r>
          </w:p>
        </w:tc>
        <w:tc>
          <w:tcPr>
            <w:tcW w:w="7080" w:type="dxa"/>
            <w:vAlign w:val="bottom"/>
          </w:tcPr>
          <w:p>
            <w:pPr>
              <w:ind w:left="4860"/>
              <w:spacing w:after="0"/>
              <w:rPr>
                <w:sz w:val="20"/>
                <w:szCs w:val="20"/>
                <w:color w:val="auto"/>
              </w:rPr>
            </w:pPr>
            <w:r>
              <w:rPr>
                <w:rFonts w:ascii="Arial" w:cs="Arial" w:eastAsia="Arial" w:hAnsi="Arial"/>
                <w:sz w:val="18"/>
                <w:szCs w:val="18"/>
                <w:color w:val="auto"/>
              </w:rPr>
              <w:t>2.3(d)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HSR Act</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2.3(d)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HIPAA</w:t>
            </w:r>
          </w:p>
        </w:tc>
        <w:tc>
          <w:tcPr>
            <w:tcW w:w="7080" w:type="dxa"/>
            <w:vAlign w:val="bottom"/>
          </w:tcPr>
          <w:p>
            <w:pPr>
              <w:ind w:left="4860"/>
              <w:spacing w:after="0"/>
              <w:rPr>
                <w:sz w:val="20"/>
                <w:szCs w:val="20"/>
                <w:color w:val="auto"/>
              </w:rPr>
            </w:pPr>
            <w:r>
              <w:rPr>
                <w:rFonts w:ascii="Arial" w:cs="Arial" w:eastAsia="Arial" w:hAnsi="Arial"/>
                <w:sz w:val="18"/>
                <w:szCs w:val="18"/>
                <w:color w:val="auto"/>
              </w:rPr>
              <w:t>2.16(a)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Include, Includes, Including</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8.3(a)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Indebtedness</w:t>
            </w:r>
          </w:p>
        </w:tc>
        <w:tc>
          <w:tcPr>
            <w:tcW w:w="7080" w:type="dxa"/>
            <w:vAlign w:val="bottom"/>
          </w:tcPr>
          <w:p>
            <w:pPr>
              <w:ind w:left="4860"/>
              <w:spacing w:after="0"/>
              <w:rPr>
                <w:sz w:val="20"/>
                <w:szCs w:val="20"/>
                <w:color w:val="auto"/>
              </w:rPr>
            </w:pPr>
            <w:r>
              <w:rPr>
                <w:rFonts w:ascii="Arial" w:cs="Arial" w:eastAsia="Arial" w:hAnsi="Arial"/>
                <w:sz w:val="18"/>
                <w:szCs w:val="18"/>
                <w:color w:val="auto"/>
              </w:rPr>
              <w:t>2.4(f)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Indemnified Parties</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5.10(a)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Intellectual Property</w:t>
            </w:r>
          </w:p>
        </w:tc>
        <w:tc>
          <w:tcPr>
            <w:tcW w:w="7080" w:type="dxa"/>
            <w:vAlign w:val="bottom"/>
          </w:tcPr>
          <w:p>
            <w:pPr>
              <w:ind w:left="486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 Contracts</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2.8(a)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Intellectual Property Rights</w:t>
            </w:r>
          </w:p>
        </w:tc>
        <w:tc>
          <w:tcPr>
            <w:tcW w:w="7080" w:type="dxa"/>
            <w:vAlign w:val="bottom"/>
          </w:tcPr>
          <w:p>
            <w:pPr>
              <w:ind w:left="486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International Employee Plan</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2.16(a)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IP LLC</w:t>
            </w:r>
          </w:p>
        </w:tc>
        <w:tc>
          <w:tcPr>
            <w:tcW w:w="7080" w:type="dxa"/>
            <w:vAlign w:val="bottom"/>
          </w:tcPr>
          <w:p>
            <w:pPr>
              <w:ind w:left="4860"/>
              <w:spacing w:after="0"/>
              <w:rPr>
                <w:sz w:val="20"/>
                <w:szCs w:val="20"/>
                <w:color w:val="auto"/>
              </w:rPr>
            </w:pPr>
            <w:r>
              <w:rPr>
                <w:rFonts w:ascii="Arial" w:cs="Arial" w:eastAsia="Arial" w:hAnsi="Arial"/>
                <w:sz w:val="18"/>
                <w:szCs w:val="18"/>
                <w:color w:val="auto"/>
              </w:rPr>
              <w:t>5.13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IRS</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2.16(a)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Knowledge</w:t>
            </w:r>
          </w:p>
        </w:tc>
        <w:tc>
          <w:tcPr>
            <w:tcW w:w="7080" w:type="dxa"/>
            <w:vAlign w:val="bottom"/>
          </w:tcPr>
          <w:p>
            <w:pPr>
              <w:ind w:left="4860"/>
              <w:spacing w:after="0"/>
              <w:rPr>
                <w:sz w:val="20"/>
                <w:szCs w:val="20"/>
                <w:color w:val="auto"/>
              </w:rPr>
            </w:pPr>
            <w:r>
              <w:rPr>
                <w:rFonts w:ascii="Arial" w:cs="Arial" w:eastAsia="Arial" w:hAnsi="Arial"/>
                <w:sz w:val="18"/>
                <w:szCs w:val="18"/>
                <w:color w:val="auto"/>
              </w:rPr>
              <w:t>8.3(b)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Lease Documents</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2.7(b)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Leased Real Property</w:t>
            </w:r>
          </w:p>
        </w:tc>
        <w:tc>
          <w:tcPr>
            <w:tcW w:w="7080" w:type="dxa"/>
            <w:vAlign w:val="bottom"/>
          </w:tcPr>
          <w:p>
            <w:pPr>
              <w:ind w:left="4860"/>
              <w:spacing w:after="0"/>
              <w:rPr>
                <w:sz w:val="20"/>
                <w:szCs w:val="20"/>
                <w:color w:val="auto"/>
              </w:rPr>
            </w:pPr>
            <w:r>
              <w:rPr>
                <w:rFonts w:ascii="Arial" w:cs="Arial" w:eastAsia="Arial" w:hAnsi="Arial"/>
                <w:sz w:val="18"/>
                <w:szCs w:val="18"/>
                <w:color w:val="auto"/>
              </w:rPr>
              <w:t>2.7(a)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Legal Requirements</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1.7(f)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Lexar License Agreements</w:t>
            </w:r>
          </w:p>
        </w:tc>
        <w:tc>
          <w:tcPr>
            <w:tcW w:w="7080" w:type="dxa"/>
            <w:vAlign w:val="bottom"/>
          </w:tcPr>
          <w:p>
            <w:pPr>
              <w:ind w:left="486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Liens</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2.1(c)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-5449570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-5449570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0" w:gutter="0" w:footer="0" w:header="0"/>
        </w:sectPr>
      </w:pPr>
    </w:p>
    <w:bookmarkStart w:id="6" w:name="page7"/>
    <w:bookmarkEnd w:id="6"/>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gridSpan w:val="2"/>
          </w:tcPr>
          <w:p>
            <w:pPr>
              <w:spacing w:after="0"/>
              <w:rPr>
                <w:sz w:val="20"/>
                <w:szCs w:val="20"/>
                <w:color w:val="auto"/>
              </w:rPr>
            </w:pPr>
            <w:r>
              <w:rPr>
                <w:rFonts w:ascii="Arial" w:cs="Arial" w:eastAsia="Arial" w:hAnsi="Arial"/>
                <w:sz w:val="18"/>
                <w:szCs w:val="18"/>
                <w:color w:val="auto"/>
              </w:rPr>
              <w:t>Made Available</w:t>
            </w:r>
          </w:p>
        </w:tc>
        <w:tc>
          <w:tcPr>
            <w:tcW w:w="7260" w:type="dxa"/>
            <w:vAlign w:val="bottom"/>
          </w:tcPr>
          <w:p>
            <w:pPr>
              <w:ind w:left="5040"/>
              <w:spacing w:after="0"/>
              <w:rPr>
                <w:sz w:val="20"/>
                <w:szCs w:val="20"/>
                <w:color w:val="auto"/>
              </w:rPr>
            </w:pPr>
            <w:r>
              <w:rPr>
                <w:rFonts w:ascii="Arial" w:cs="Arial" w:eastAsia="Arial" w:hAnsi="Arial"/>
                <w:sz w:val="18"/>
                <w:szCs w:val="18"/>
                <w:color w:val="auto"/>
              </w:rPr>
              <w:t>8.3(c)</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Material Adverse Effect</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8.3(d)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Materials of Environmental Concern</w:t>
            </w:r>
          </w:p>
        </w:tc>
        <w:tc>
          <w:tcPr>
            <w:tcW w:w="7260" w:type="dxa"/>
            <w:vAlign w:val="bottom"/>
          </w:tcPr>
          <w:p>
            <w:pPr>
              <w:ind w:left="5040"/>
              <w:spacing w:after="0"/>
              <w:rPr>
                <w:sz w:val="20"/>
                <w:szCs w:val="20"/>
                <w:color w:val="auto"/>
              </w:rPr>
            </w:pPr>
            <w:r>
              <w:rPr>
                <w:rFonts w:ascii="Arial" w:cs="Arial" w:eastAsia="Arial" w:hAnsi="Arial"/>
                <w:sz w:val="18"/>
                <w:szCs w:val="18"/>
                <w:color w:val="auto"/>
              </w:rPr>
              <w:t>2.13(a)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Merger Sub</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Preamble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Merger Sub Charter Documents</w:t>
            </w:r>
          </w:p>
        </w:tc>
        <w:tc>
          <w:tcPr>
            <w:tcW w:w="7260" w:type="dxa"/>
            <w:vAlign w:val="bottom"/>
          </w:tcPr>
          <w:p>
            <w:pPr>
              <w:ind w:left="504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Merger Sub Common Stock</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1.6(d)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Merger</w:t>
            </w:r>
          </w:p>
        </w:tc>
        <w:tc>
          <w:tcPr>
            <w:tcW w:w="7260" w:type="dxa"/>
            <w:vAlign w:val="bottom"/>
          </w:tcPr>
          <w:p>
            <w:pPr>
              <w:ind w:left="504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7260" w:type="dxa"/>
            <w:vAlign w:val="bottom"/>
          </w:tcPr>
          <w:p>
            <w:pPr>
              <w:ind w:left="1500"/>
              <w:spacing w:after="0"/>
              <w:rPr>
                <w:sz w:val="20"/>
                <w:szCs w:val="20"/>
                <w:color w:val="auto"/>
              </w:rPr>
            </w:pPr>
            <w:r>
              <w:rPr>
                <w:rFonts w:ascii="Arial" w:cs="Arial" w:eastAsia="Arial" w:hAnsi="Arial"/>
                <w:sz w:val="18"/>
                <w:szCs w:val="18"/>
                <w:color w:val="auto"/>
              </w:rPr>
              <w:t>v</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160" w:type="dxa"/>
            <w:vAlign w:val="bottom"/>
            <w:gridSpan w:val="2"/>
          </w:tcPr>
          <w:p>
            <w:pPr>
              <w:spacing w:after="0"/>
              <w:rPr>
                <w:sz w:val="10"/>
                <w:szCs w:val="10"/>
                <w:color w:val="auto"/>
              </w:rPr>
            </w:pPr>
          </w:p>
        </w:tc>
        <w:tc>
          <w:tcPr>
            <w:tcW w:w="7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4"/>
        </w:trPr>
        <w:tc>
          <w:tcPr>
            <w:tcW w:w="20" w:type="dxa"/>
            <w:vAlign w:val="bottom"/>
            <w:vMerge w:val="restart"/>
          </w:tcPr>
          <w:p>
            <w:pPr>
              <w:spacing w:after="0"/>
              <w:rPr>
                <w:sz w:val="24"/>
                <w:szCs w:val="24"/>
                <w:color w:val="auto"/>
              </w:rPr>
            </w:pPr>
          </w:p>
        </w:tc>
        <w:tc>
          <w:tcPr>
            <w:tcW w:w="4140" w:type="dxa"/>
            <w:vAlign w:val="bottom"/>
            <w:tcBorders>
              <w:top w:val="single" w:sz="8" w:color="808080"/>
            </w:tcBorders>
          </w:tcPr>
          <w:p>
            <w:pPr>
              <w:spacing w:after="0"/>
              <w:rPr>
                <w:sz w:val="24"/>
                <w:szCs w:val="24"/>
                <w:color w:val="auto"/>
              </w:rPr>
            </w:pPr>
          </w:p>
        </w:tc>
        <w:tc>
          <w:tcPr>
            <w:tcW w:w="7260" w:type="dxa"/>
            <w:vAlign w:val="bottom"/>
            <w:tcBorders>
              <w:top w:val="single" w:sz="8" w:color="808080"/>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Necessary Consents</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2.3(d)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Non-Employee Option</w:t>
            </w:r>
          </w:p>
        </w:tc>
        <w:tc>
          <w:tcPr>
            <w:tcW w:w="7260" w:type="dxa"/>
            <w:vAlign w:val="bottom"/>
          </w:tcPr>
          <w:p>
            <w:pPr>
              <w:ind w:left="5040"/>
              <w:spacing w:after="0"/>
              <w:rPr>
                <w:sz w:val="20"/>
                <w:szCs w:val="20"/>
                <w:color w:val="auto"/>
              </w:rPr>
            </w:pPr>
            <w:r>
              <w:rPr>
                <w:rFonts w:ascii="Arial" w:cs="Arial" w:eastAsia="Arial" w:hAnsi="Arial"/>
                <w:sz w:val="18"/>
                <w:szCs w:val="18"/>
                <w:color w:val="auto"/>
              </w:rPr>
              <w:t>1.6(e)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NYSE</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1.6(f)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Open Source</w:t>
            </w:r>
          </w:p>
        </w:tc>
        <w:tc>
          <w:tcPr>
            <w:tcW w:w="7260" w:type="dxa"/>
            <w:vAlign w:val="bottom"/>
          </w:tcPr>
          <w:p>
            <w:pPr>
              <w:ind w:left="504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Option Plans</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2.2(b)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Out-of-the-Money Option</w:t>
            </w:r>
          </w:p>
        </w:tc>
        <w:tc>
          <w:tcPr>
            <w:tcW w:w="7260" w:type="dxa"/>
            <w:vAlign w:val="bottom"/>
          </w:tcPr>
          <w:p>
            <w:pPr>
              <w:ind w:left="5040"/>
              <w:spacing w:after="0"/>
              <w:rPr>
                <w:sz w:val="20"/>
                <w:szCs w:val="20"/>
                <w:color w:val="auto"/>
              </w:rPr>
            </w:pPr>
            <w:r>
              <w:rPr>
                <w:rFonts w:ascii="Arial" w:cs="Arial" w:eastAsia="Arial" w:hAnsi="Arial"/>
                <w:sz w:val="18"/>
                <w:szCs w:val="18"/>
                <w:color w:val="auto"/>
              </w:rPr>
              <w:t>1.6(e)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Parent</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Preamble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Parent Benefit Plan</w:t>
            </w:r>
          </w:p>
        </w:tc>
        <w:tc>
          <w:tcPr>
            <w:tcW w:w="7260" w:type="dxa"/>
            <w:vAlign w:val="bottom"/>
          </w:tcPr>
          <w:p>
            <w:pPr>
              <w:ind w:left="5040"/>
              <w:spacing w:after="0"/>
              <w:rPr>
                <w:sz w:val="20"/>
                <w:szCs w:val="20"/>
                <w:color w:val="auto"/>
              </w:rPr>
            </w:pPr>
            <w:r>
              <w:rPr>
                <w:rFonts w:ascii="Arial" w:cs="Arial" w:eastAsia="Arial" w:hAnsi="Arial"/>
                <w:sz w:val="18"/>
                <w:szCs w:val="18"/>
                <w:color w:val="auto"/>
              </w:rPr>
              <w:t>5.9(f)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Parent Charter Documents</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Parent Common Stock</w:t>
            </w:r>
          </w:p>
        </w:tc>
        <w:tc>
          <w:tcPr>
            <w:tcW w:w="7260" w:type="dxa"/>
            <w:vAlign w:val="bottom"/>
          </w:tcPr>
          <w:p>
            <w:pPr>
              <w:ind w:left="5040"/>
              <w:spacing w:after="0"/>
              <w:rPr>
                <w:sz w:val="20"/>
                <w:szCs w:val="20"/>
                <w:color w:val="auto"/>
              </w:rPr>
            </w:pPr>
            <w:r>
              <w:rPr>
                <w:rFonts w:ascii="Arial" w:cs="Arial" w:eastAsia="Arial" w:hAnsi="Arial"/>
                <w:sz w:val="18"/>
                <w:szCs w:val="18"/>
                <w:color w:val="auto"/>
              </w:rPr>
              <w:t>1.6(a)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Parent Disclosure Schedule</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Article III</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Parent Financials</w:t>
            </w:r>
          </w:p>
        </w:tc>
        <w:tc>
          <w:tcPr>
            <w:tcW w:w="7260" w:type="dxa"/>
            <w:vAlign w:val="bottom"/>
          </w:tcPr>
          <w:p>
            <w:pPr>
              <w:ind w:left="5040"/>
              <w:spacing w:after="0"/>
              <w:rPr>
                <w:sz w:val="20"/>
                <w:szCs w:val="20"/>
                <w:color w:val="auto"/>
              </w:rPr>
            </w:pPr>
            <w:r>
              <w:rPr>
                <w:rFonts w:ascii="Arial" w:cs="Arial" w:eastAsia="Arial" w:hAnsi="Arial"/>
                <w:sz w:val="18"/>
                <w:szCs w:val="18"/>
                <w:color w:val="auto"/>
              </w:rPr>
              <w:t>3.5(b)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Parent Options</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3.3(a)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Parent Restricted Units</w:t>
            </w:r>
          </w:p>
        </w:tc>
        <w:tc>
          <w:tcPr>
            <w:tcW w:w="7260" w:type="dxa"/>
            <w:vAlign w:val="bottom"/>
          </w:tcPr>
          <w:p>
            <w:pPr>
              <w:ind w:left="5040"/>
              <w:spacing w:after="0"/>
              <w:rPr>
                <w:sz w:val="20"/>
                <w:szCs w:val="20"/>
                <w:color w:val="auto"/>
              </w:rPr>
            </w:pPr>
            <w:r>
              <w:rPr>
                <w:rFonts w:ascii="Arial" w:cs="Arial" w:eastAsia="Arial" w:hAnsi="Arial"/>
                <w:sz w:val="18"/>
                <w:szCs w:val="18"/>
                <w:color w:val="auto"/>
              </w:rPr>
              <w:t>3.3(a)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Parent Voting Debt</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3.3(b)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Parent SEC Reports</w:t>
            </w:r>
          </w:p>
        </w:tc>
        <w:tc>
          <w:tcPr>
            <w:tcW w:w="7260" w:type="dxa"/>
            <w:vAlign w:val="bottom"/>
          </w:tcPr>
          <w:p>
            <w:pPr>
              <w:ind w:left="5040"/>
              <w:spacing w:after="0"/>
              <w:rPr>
                <w:sz w:val="20"/>
                <w:szCs w:val="20"/>
                <w:color w:val="auto"/>
              </w:rPr>
            </w:pPr>
            <w:r>
              <w:rPr>
                <w:rFonts w:ascii="Arial" w:cs="Arial" w:eastAsia="Arial" w:hAnsi="Arial"/>
                <w:sz w:val="18"/>
                <w:szCs w:val="18"/>
                <w:color w:val="auto"/>
              </w:rPr>
              <w:t>3.5(a)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Parent’s 401(k) Plan</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5.9(e)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Pension Plan</w:t>
            </w:r>
          </w:p>
        </w:tc>
        <w:tc>
          <w:tcPr>
            <w:tcW w:w="7260" w:type="dxa"/>
            <w:vAlign w:val="bottom"/>
          </w:tcPr>
          <w:p>
            <w:pPr>
              <w:ind w:left="5040"/>
              <w:spacing w:after="0"/>
              <w:rPr>
                <w:sz w:val="20"/>
                <w:szCs w:val="20"/>
                <w:color w:val="auto"/>
              </w:rPr>
            </w:pPr>
            <w:r>
              <w:rPr>
                <w:rFonts w:ascii="Arial" w:cs="Arial" w:eastAsia="Arial" w:hAnsi="Arial"/>
                <w:sz w:val="18"/>
                <w:szCs w:val="18"/>
                <w:color w:val="auto"/>
              </w:rPr>
              <w:t>2.16(a)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Per Share Merger Consideration</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1.6(e)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Permitted Liens</w:t>
            </w:r>
          </w:p>
        </w:tc>
        <w:tc>
          <w:tcPr>
            <w:tcW w:w="7260" w:type="dxa"/>
            <w:vAlign w:val="bottom"/>
          </w:tcPr>
          <w:p>
            <w:pPr>
              <w:ind w:left="5040"/>
              <w:spacing w:after="0"/>
              <w:rPr>
                <w:sz w:val="20"/>
                <w:szCs w:val="20"/>
                <w:color w:val="auto"/>
              </w:rPr>
            </w:pPr>
            <w:r>
              <w:rPr>
                <w:rFonts w:ascii="Arial" w:cs="Arial" w:eastAsia="Arial" w:hAnsi="Arial"/>
                <w:sz w:val="18"/>
                <w:szCs w:val="18"/>
                <w:color w:val="auto"/>
              </w:rPr>
              <w:t>2.7(c)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Person</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8.3(e)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Prospectus/Proxy Statement</w:t>
            </w:r>
          </w:p>
        </w:tc>
        <w:tc>
          <w:tcPr>
            <w:tcW w:w="7260" w:type="dxa"/>
            <w:vAlign w:val="bottom"/>
          </w:tcPr>
          <w:p>
            <w:pPr>
              <w:ind w:left="5040"/>
              <w:spacing w:after="0"/>
              <w:rPr>
                <w:sz w:val="20"/>
                <w:szCs w:val="20"/>
                <w:color w:val="auto"/>
              </w:rPr>
            </w:pPr>
            <w:r>
              <w:rPr>
                <w:rFonts w:ascii="Arial" w:cs="Arial" w:eastAsia="Arial" w:hAnsi="Arial"/>
                <w:sz w:val="18"/>
                <w:szCs w:val="18"/>
                <w:color w:val="auto"/>
              </w:rPr>
              <w:t>2.21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Registration Statement</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2.21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SEC</w:t>
            </w:r>
          </w:p>
        </w:tc>
        <w:tc>
          <w:tcPr>
            <w:tcW w:w="7260" w:type="dxa"/>
            <w:vAlign w:val="bottom"/>
          </w:tcPr>
          <w:p>
            <w:pPr>
              <w:ind w:left="5040"/>
              <w:spacing w:after="0"/>
              <w:rPr>
                <w:sz w:val="20"/>
                <w:szCs w:val="20"/>
                <w:color w:val="auto"/>
              </w:rPr>
            </w:pPr>
            <w:r>
              <w:rPr>
                <w:rFonts w:ascii="Arial" w:cs="Arial" w:eastAsia="Arial" w:hAnsi="Arial"/>
                <w:sz w:val="18"/>
                <w:szCs w:val="18"/>
                <w:color w:val="auto"/>
              </w:rPr>
              <w:t>2.3(d)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Securities Act</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2.4(a)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Shrink-Wrapped Code</w:t>
            </w:r>
          </w:p>
        </w:tc>
        <w:tc>
          <w:tcPr>
            <w:tcW w:w="7260" w:type="dxa"/>
            <w:vAlign w:val="bottom"/>
          </w:tcPr>
          <w:p>
            <w:pPr>
              <w:ind w:left="504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Significant Subsidiary</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2.1(b)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Source Code</w:t>
            </w:r>
          </w:p>
        </w:tc>
        <w:tc>
          <w:tcPr>
            <w:tcW w:w="7260" w:type="dxa"/>
            <w:vAlign w:val="bottom"/>
          </w:tcPr>
          <w:p>
            <w:pPr>
              <w:ind w:left="504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Stockholders’ Meeting</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5.2(a)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Subsidiary</w:t>
            </w:r>
          </w:p>
        </w:tc>
        <w:tc>
          <w:tcPr>
            <w:tcW w:w="7260" w:type="dxa"/>
            <w:vAlign w:val="bottom"/>
          </w:tcPr>
          <w:p>
            <w:pPr>
              <w:ind w:left="5040"/>
              <w:spacing w:after="0"/>
              <w:rPr>
                <w:sz w:val="20"/>
                <w:szCs w:val="20"/>
                <w:color w:val="auto"/>
              </w:rPr>
            </w:pPr>
            <w:r>
              <w:rPr>
                <w:rFonts w:ascii="Arial" w:cs="Arial" w:eastAsia="Arial" w:hAnsi="Arial"/>
                <w:sz w:val="18"/>
                <w:szCs w:val="18"/>
                <w:color w:val="auto"/>
              </w:rPr>
              <w:t>2.1(a)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Subsidiary Charter Documents</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2.1(b)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Superior Offer</w:t>
            </w:r>
          </w:p>
        </w:tc>
        <w:tc>
          <w:tcPr>
            <w:tcW w:w="7260" w:type="dxa"/>
            <w:vAlign w:val="bottom"/>
          </w:tcPr>
          <w:p>
            <w:pPr>
              <w:ind w:left="5040"/>
              <w:spacing w:after="0"/>
              <w:rPr>
                <w:sz w:val="20"/>
                <w:szCs w:val="20"/>
                <w:color w:val="auto"/>
              </w:rPr>
            </w:pPr>
            <w:r>
              <w:rPr>
                <w:rFonts w:ascii="Arial" w:cs="Arial" w:eastAsia="Arial" w:hAnsi="Arial"/>
                <w:sz w:val="18"/>
                <w:szCs w:val="18"/>
                <w:color w:val="auto"/>
              </w:rPr>
              <w:t>5.3(h)(ii)</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Surviving Corporation</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Tax</w:t>
            </w:r>
          </w:p>
        </w:tc>
        <w:tc>
          <w:tcPr>
            <w:tcW w:w="7260" w:type="dxa"/>
            <w:vAlign w:val="bottom"/>
          </w:tcPr>
          <w:p>
            <w:pPr>
              <w:ind w:left="5040"/>
              <w:spacing w:after="0"/>
              <w:rPr>
                <w:sz w:val="20"/>
                <w:szCs w:val="20"/>
                <w:color w:val="auto"/>
              </w:rPr>
            </w:pPr>
            <w:r>
              <w:rPr>
                <w:rFonts w:ascii="Arial" w:cs="Arial" w:eastAsia="Arial" w:hAnsi="Arial"/>
                <w:sz w:val="18"/>
                <w:szCs w:val="18"/>
                <w:color w:val="auto"/>
              </w:rPr>
              <w:t>2.6(a)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Tax Authority</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2.6(a)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Tax Opinions</w:t>
            </w:r>
          </w:p>
        </w:tc>
        <w:tc>
          <w:tcPr>
            <w:tcW w:w="7260" w:type="dxa"/>
            <w:vAlign w:val="bottom"/>
          </w:tcPr>
          <w:p>
            <w:pPr>
              <w:ind w:left="5040"/>
              <w:spacing w:after="0"/>
              <w:rPr>
                <w:sz w:val="20"/>
                <w:szCs w:val="20"/>
                <w:color w:val="auto"/>
              </w:rPr>
            </w:pPr>
            <w:r>
              <w:rPr>
                <w:rFonts w:ascii="Arial" w:cs="Arial" w:eastAsia="Arial" w:hAnsi="Arial"/>
                <w:sz w:val="18"/>
                <w:szCs w:val="18"/>
                <w:color w:val="auto"/>
              </w:rPr>
              <w:t>5.12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Tax Returns</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2.6(a)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Taxes</w:t>
            </w:r>
          </w:p>
        </w:tc>
        <w:tc>
          <w:tcPr>
            <w:tcW w:w="7260" w:type="dxa"/>
            <w:vAlign w:val="bottom"/>
          </w:tcPr>
          <w:p>
            <w:pPr>
              <w:ind w:left="5040"/>
              <w:spacing w:after="0"/>
              <w:rPr>
                <w:sz w:val="20"/>
                <w:szCs w:val="20"/>
                <w:color w:val="auto"/>
              </w:rPr>
            </w:pPr>
            <w:r>
              <w:rPr>
                <w:rFonts w:ascii="Arial" w:cs="Arial" w:eastAsia="Arial" w:hAnsi="Arial"/>
                <w:sz w:val="18"/>
                <w:szCs w:val="18"/>
                <w:color w:val="auto"/>
              </w:rPr>
              <w:t>2.6(a)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Termination Agreement</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2.8(q)</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Termination Fee</w:t>
            </w:r>
          </w:p>
        </w:tc>
        <w:tc>
          <w:tcPr>
            <w:tcW w:w="7260" w:type="dxa"/>
            <w:vAlign w:val="bottom"/>
          </w:tcPr>
          <w:p>
            <w:pPr>
              <w:ind w:left="5040"/>
              <w:spacing w:after="0"/>
              <w:rPr>
                <w:sz w:val="20"/>
                <w:szCs w:val="20"/>
                <w:color w:val="auto"/>
              </w:rPr>
            </w:pPr>
            <w:r>
              <w:rPr>
                <w:rFonts w:ascii="Arial" w:cs="Arial" w:eastAsia="Arial" w:hAnsi="Arial"/>
                <w:sz w:val="18"/>
                <w:szCs w:val="18"/>
                <w:color w:val="auto"/>
              </w:rPr>
              <w:t>7.3(b)(i)</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Trade Secrets</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Triggering Event</w:t>
            </w:r>
          </w:p>
        </w:tc>
        <w:tc>
          <w:tcPr>
            <w:tcW w:w="7260" w:type="dxa"/>
            <w:vAlign w:val="bottom"/>
          </w:tcPr>
          <w:p>
            <w:pPr>
              <w:ind w:left="5040"/>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Un-rescinded UCC-1</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2.4(f)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Voting Agreements</w:t>
            </w:r>
          </w:p>
        </w:tc>
        <w:tc>
          <w:tcPr>
            <w:tcW w:w="7260" w:type="dxa"/>
            <w:vAlign w:val="bottom"/>
          </w:tcPr>
          <w:p>
            <w:pPr>
              <w:ind w:left="5040"/>
              <w:spacing w:after="0"/>
              <w:rPr>
                <w:sz w:val="20"/>
                <w:szCs w:val="20"/>
                <w:color w:val="auto"/>
              </w:rPr>
            </w:pPr>
            <w:r>
              <w:rPr>
                <w:rFonts w:ascii="Arial" w:cs="Arial" w:eastAsia="Arial" w:hAnsi="Arial"/>
                <w:sz w:val="18"/>
                <w:szCs w:val="18"/>
                <w:color w:val="auto"/>
              </w:rPr>
              <w:t>Recitals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Voting Debt</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2.2(c)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WARN</w:t>
            </w:r>
          </w:p>
        </w:tc>
        <w:tc>
          <w:tcPr>
            <w:tcW w:w="7260" w:type="dxa"/>
            <w:vAlign w:val="bottom"/>
          </w:tcPr>
          <w:p>
            <w:pPr>
              <w:ind w:left="5040"/>
              <w:spacing w:after="0"/>
              <w:rPr>
                <w:sz w:val="20"/>
                <w:szCs w:val="20"/>
                <w:color w:val="auto"/>
              </w:rPr>
            </w:pPr>
            <w:r>
              <w:rPr>
                <w:rFonts w:ascii="Arial" w:cs="Arial" w:eastAsia="Arial" w:hAnsi="Arial"/>
                <w:sz w:val="18"/>
                <w:szCs w:val="18"/>
                <w:color w:val="auto"/>
              </w:rPr>
              <w:t>2.16(a)</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-6693535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-6693535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This AGREEMENT AND PLAN OF MERGER (this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March 8, 2006, by and among Micron Technology, Inc., a Delaware corporation (“</w:t>
      </w:r>
      <w:r>
        <w:rPr>
          <w:rFonts w:ascii="Arial" w:cs="Arial" w:eastAsia="Arial" w:hAnsi="Arial"/>
          <w:sz w:val="18"/>
          <w:szCs w:val="18"/>
          <w:b w:val="1"/>
          <w:bCs w:val="1"/>
          <w:color w:val="auto"/>
        </w:rPr>
        <w:t>Parent</w:t>
      </w:r>
      <w:r>
        <w:rPr>
          <w:rFonts w:ascii="Arial" w:cs="Arial" w:eastAsia="Arial" w:hAnsi="Arial"/>
          <w:sz w:val="18"/>
          <w:szCs w:val="18"/>
          <w:color w:val="auto"/>
        </w:rPr>
        <w:t>”), March 2006 Merger Corp., a Delaware corporation and direct wholly owned subsidiary of Parent (“</w:t>
      </w:r>
      <w:r>
        <w:rPr>
          <w:rFonts w:ascii="Arial" w:cs="Arial" w:eastAsia="Arial" w:hAnsi="Arial"/>
          <w:sz w:val="18"/>
          <w:szCs w:val="18"/>
          <w:b w:val="1"/>
          <w:bCs w:val="1"/>
          <w:color w:val="auto"/>
        </w:rPr>
        <w:t>Merger Sub</w:t>
      </w:r>
      <w:r>
        <w:rPr>
          <w:rFonts w:ascii="Arial" w:cs="Arial" w:eastAsia="Arial" w:hAnsi="Arial"/>
          <w:sz w:val="18"/>
          <w:szCs w:val="18"/>
          <w:color w:val="auto"/>
        </w:rPr>
        <w:t>”), and Lexar Media,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440" w:firstLine="656"/>
        <w:spacing w:after="0" w:line="342" w:lineRule="auto"/>
        <w:tabs>
          <w:tab w:leader="none" w:pos="1282"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respective Boards of Directors of Parent, Merger Sub and the Company have deemed it advisable and in the best interests of their respective corporations and stockholders that Parent and the Company consummate the business combination and other transactions provided for herein.</w:t>
      </w:r>
    </w:p>
    <w:p>
      <w:pPr>
        <w:spacing w:after="0" w:line="123" w:lineRule="exact"/>
        <w:rPr>
          <w:rFonts w:ascii="Arial" w:cs="Arial" w:eastAsia="Arial" w:hAnsi="Arial"/>
          <w:sz w:val="16"/>
          <w:szCs w:val="16"/>
          <w:color w:val="auto"/>
        </w:rPr>
      </w:pPr>
    </w:p>
    <w:p>
      <w:pPr>
        <w:ind w:right="520" w:firstLine="656"/>
        <w:spacing w:after="0" w:line="277" w:lineRule="auto"/>
        <w:tabs>
          <w:tab w:leader="none" w:pos="127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respective Boards of Directors of Parent, Merger Sub and the Company have approved, in accordance with the Delaware General Corporation Law (“</w:t>
      </w:r>
      <w:r>
        <w:rPr>
          <w:rFonts w:ascii="Arial" w:cs="Arial" w:eastAsia="Arial" w:hAnsi="Arial"/>
          <w:sz w:val="18"/>
          <w:szCs w:val="18"/>
          <w:b w:val="1"/>
          <w:bCs w:val="1"/>
          <w:color w:val="auto"/>
        </w:rPr>
        <w:t>Delaware Law</w:t>
      </w:r>
      <w:r>
        <w:rPr>
          <w:rFonts w:ascii="Arial" w:cs="Arial" w:eastAsia="Arial" w:hAnsi="Arial"/>
          <w:sz w:val="18"/>
          <w:szCs w:val="18"/>
          <w:color w:val="auto"/>
        </w:rPr>
        <w:t>”), this Agreement and the transactions contemplated hereby, including the Merger.</w:t>
      </w:r>
    </w:p>
    <w:p>
      <w:pPr>
        <w:sectPr>
          <w:pgSz w:w="11900" w:h="16902" w:orient="portrait"/>
          <w:cols w:equalWidth="0" w:num="1">
            <w:col w:w="11440"/>
          </w:cols>
          <w:pgMar w:left="240" w:top="125" w:right="219" w:bottom="0" w:gutter="0" w:footer="0" w:header="0"/>
        </w:sectPr>
      </w:pPr>
    </w:p>
    <w:bookmarkStart w:id="7" w:name="page8"/>
    <w:bookmarkEnd w:id="7"/>
    <w:p>
      <w:pPr>
        <w:spacing w:after="0" w:line="114" w:lineRule="exact"/>
        <w:rPr>
          <w:sz w:val="20"/>
          <w:szCs w:val="20"/>
          <w:color w:val="auto"/>
        </w:rPr>
      </w:pPr>
    </w:p>
    <w:p>
      <w:pPr>
        <w:ind w:right="80" w:firstLine="656"/>
        <w:spacing w:after="0" w:line="264" w:lineRule="auto"/>
        <w:tabs>
          <w:tab w:leader="none" w:pos="1272"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Concurrently with the execution of this Agreement, and as a condition and inducement to Parent’s willingness to enter into this Agreement, all current executive officers and members of the Board of Directors of the Company are entering into Voting Agreements and irrevocable proxies in substantially the form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color w:val="auto"/>
        </w:rPr>
        <w:t>Voting Agreements</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right="140" w:firstLine="656"/>
        <w:spacing w:after="0" w:line="277" w:lineRule="auto"/>
        <w:tabs>
          <w:tab w:leader="none" w:pos="1282"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Concurrently with the execution of this Agreement, the parties are simultaneously entering into a license substantially in the form attached hereto as </w:t>
      </w:r>
      <w:r>
        <w:rPr>
          <w:rFonts w:ascii="Arial" w:cs="Arial" w:eastAsia="Arial" w:hAnsi="Arial"/>
          <w:sz w:val="18"/>
          <w:szCs w:val="18"/>
          <w:b w:val="1"/>
          <w:bCs w:val="1"/>
          <w:color w:val="auto"/>
        </w:rPr>
        <w:t>Exhibit B</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Board of Directors of the Company has resolved to recommend to its stockholders the adoption of this Agreement.</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Parent, as the sole stockholder of Merger Sub, has approved and adopted this Agreement and approved the Merger.</w:t>
      </w:r>
    </w:p>
    <w:p>
      <w:pPr>
        <w:spacing w:after="0" w:line="225" w:lineRule="exact"/>
        <w:rPr>
          <w:rFonts w:ascii="Arial" w:cs="Arial" w:eastAsia="Arial" w:hAnsi="Arial"/>
          <w:sz w:val="18"/>
          <w:szCs w:val="18"/>
          <w:color w:val="auto"/>
        </w:rPr>
      </w:pPr>
    </w:p>
    <w:p>
      <w:pPr>
        <w:ind w:right="60" w:firstLine="656"/>
        <w:spacing w:after="0" w:line="277" w:lineRule="auto"/>
        <w:tabs>
          <w:tab w:leader="none" w:pos="1282" w:val="left"/>
        </w:tabs>
        <w:numPr>
          <w:ilvl w:val="0"/>
          <w:numId w:val="5"/>
        </w:numPr>
        <w:rPr>
          <w:rFonts w:ascii="Arial" w:cs="Arial" w:eastAsia="Arial" w:hAnsi="Arial"/>
          <w:sz w:val="18"/>
          <w:szCs w:val="18"/>
          <w:color w:val="auto"/>
        </w:rPr>
      </w:pPr>
      <w:r>
        <w:rPr>
          <w:rFonts w:ascii="Arial" w:cs="Arial" w:eastAsia="Arial" w:hAnsi="Arial"/>
          <w:sz w:val="18"/>
          <w:szCs w:val="18"/>
          <w:color w:val="auto"/>
        </w:rPr>
        <w:t>Parent, Merger Sub and the Company each desire to make certain representations, warranties, covenants and agreements in connection with the Merger and also to prescribe certain conditions to the Merger.</w:t>
      </w:r>
    </w:p>
    <w:p>
      <w:pPr>
        <w:spacing w:after="0" w:line="170" w:lineRule="exact"/>
        <w:rPr>
          <w:rFonts w:ascii="Arial" w:cs="Arial" w:eastAsia="Arial" w:hAnsi="Arial"/>
          <w:sz w:val="18"/>
          <w:szCs w:val="18"/>
          <w:color w:val="auto"/>
        </w:rPr>
      </w:pPr>
    </w:p>
    <w:p>
      <w:pPr>
        <w:ind w:right="220" w:firstLine="656"/>
        <w:spacing w:after="0" w:line="264" w:lineRule="auto"/>
        <w:tabs>
          <w:tab w:leader="none" w:pos="1282"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United States federal income tax purposes, the parties intend that the Merger qualify as a “reorganization” under the provisions of Section 368(a) of the Internal Revenue Code of 1986, as amended, and the rules and regulations promulgated thereunder (the “</w:t>
      </w:r>
      <w:r>
        <w:rPr>
          <w:rFonts w:ascii="Arial" w:cs="Arial" w:eastAsia="Arial" w:hAnsi="Arial"/>
          <w:sz w:val="18"/>
          <w:szCs w:val="18"/>
          <w:b w:val="1"/>
          <w:bCs w:val="1"/>
          <w:color w:val="auto"/>
        </w:rPr>
        <w:t>Code</w:t>
      </w:r>
      <w:r>
        <w:rPr>
          <w:rFonts w:ascii="Arial" w:cs="Arial" w:eastAsia="Arial" w:hAnsi="Arial"/>
          <w:sz w:val="18"/>
          <w:szCs w:val="18"/>
          <w:color w:val="auto"/>
        </w:rPr>
        <w:t>”), and this Agreement will be, and hereby is, adopted as a “plan of reorganization” for purposes of Section 368(a) of the Code.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760" w:firstLine="648"/>
        <w:spacing w:after="0" w:line="347"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covenants, promises and representations set forth herein, and for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receipt and sufficiency of which are hereby acknowledged, the parties, intending to be legally bound, do hereby agree as follows: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MERGER</w:t>
      </w:r>
    </w:p>
    <w:p>
      <w:pPr>
        <w:spacing w:after="0" w:line="21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i w:val="1"/>
          <w:iCs w:val="1"/>
          <w:color w:val="auto"/>
        </w:rPr>
        <w:t>The Merger</w:t>
      </w:r>
      <w:r>
        <w:rPr>
          <w:rFonts w:ascii="Arial" w:cs="Arial" w:eastAsia="Arial" w:hAnsi="Arial"/>
          <w:sz w:val="18"/>
          <w:szCs w:val="18"/>
          <w:color w:val="auto"/>
        </w:rPr>
        <w:t>. At the Effective Time and subject to and upon the terms and conditions of this Agreement and the applicable provisions of Delaware Law, Merger Sub shall be merged with and into the Company (the “</w:t>
      </w:r>
      <w:r>
        <w:rPr>
          <w:rFonts w:ascii="Arial" w:cs="Arial" w:eastAsia="Arial" w:hAnsi="Arial"/>
          <w:sz w:val="18"/>
          <w:szCs w:val="18"/>
          <w:b w:val="1"/>
          <w:bCs w:val="1"/>
          <w:color w:val="auto"/>
        </w:rPr>
        <w:t>Merger</w:t>
      </w:r>
      <w:r>
        <w:rPr>
          <w:rFonts w:ascii="Arial" w:cs="Arial" w:eastAsia="Arial" w:hAnsi="Arial"/>
          <w:sz w:val="18"/>
          <w:szCs w:val="18"/>
          <w:color w:val="auto"/>
        </w:rPr>
        <w:t>”), the separate corporate existence of Merger Sub shall cease and the Company shall continue as the surviving corporation and as a wholly owned subsidiary of Parent. The surviving corporation after the Merger is hereinafter sometimes referred to as the “</w:t>
      </w:r>
      <w:r>
        <w:rPr>
          <w:rFonts w:ascii="Arial" w:cs="Arial" w:eastAsia="Arial" w:hAnsi="Arial"/>
          <w:sz w:val="18"/>
          <w:szCs w:val="18"/>
          <w:b w:val="1"/>
          <w:bCs w:val="1"/>
          <w:color w:val="auto"/>
        </w:rPr>
        <w:t>Surviving Corporation</w:t>
      </w:r>
      <w:r>
        <w:rPr>
          <w:rFonts w:ascii="Arial" w:cs="Arial" w:eastAsia="Arial" w:hAnsi="Arial"/>
          <w:sz w:val="18"/>
          <w:szCs w:val="18"/>
          <w:color w:val="auto"/>
        </w:rPr>
        <w: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b w:val="1"/>
          <w:bCs w:val="1"/>
          <w:i w:val="1"/>
          <w:iCs w:val="1"/>
          <w:color w:val="auto"/>
        </w:rPr>
        <w:t>Effective Time; Closing</w:t>
      </w:r>
      <w:r>
        <w:rPr>
          <w:rFonts w:ascii="Arial" w:cs="Arial" w:eastAsia="Arial" w:hAnsi="Arial"/>
          <w:sz w:val="16"/>
          <w:szCs w:val="16"/>
          <w:color w:val="auto"/>
        </w:rPr>
        <w:t>. Subject to the provisions of this Agreement, the parties hereto shall cause the Merger to be consummated by filing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Certificate of Merger with the Secretary of State of the State of Delaware in accordance with the relevant provisions of Delaware Law (the “</w:t>
      </w:r>
      <w:r>
        <w:rPr>
          <w:rFonts w:ascii="Arial" w:cs="Arial" w:eastAsia="Arial" w:hAnsi="Arial"/>
          <w:sz w:val="16"/>
          <w:szCs w:val="16"/>
          <w:b w:val="1"/>
          <w:bCs w:val="1"/>
          <w:color w:val="auto"/>
        </w:rPr>
        <w:t>Certificate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Merger</w:t>
      </w:r>
      <w:r>
        <w:rPr>
          <w:rFonts w:ascii="Arial" w:cs="Arial" w:eastAsia="Arial" w:hAnsi="Arial"/>
          <w:sz w:val="16"/>
          <w:szCs w:val="16"/>
          <w:color w:val="auto"/>
        </w:rPr>
        <w:t>”) (the time of such filing with the Secretary of State of the State of Delaware (or such later time as may be agreed in writing by the Company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Parent and specified in the Certificate of Merger) being the “</w:t>
      </w:r>
      <w:r>
        <w:rPr>
          <w:rFonts w:ascii="Arial" w:cs="Arial" w:eastAsia="Arial" w:hAnsi="Arial"/>
          <w:sz w:val="16"/>
          <w:szCs w:val="16"/>
          <w:b w:val="1"/>
          <w:bCs w:val="1"/>
          <w:color w:val="auto"/>
        </w:rPr>
        <w:t>Effective Time</w:t>
      </w:r>
      <w:r>
        <w:rPr>
          <w:rFonts w:ascii="Arial" w:cs="Arial" w:eastAsia="Arial" w:hAnsi="Arial"/>
          <w:sz w:val="16"/>
          <w:szCs w:val="16"/>
          <w:color w:val="auto"/>
        </w:rPr>
        <w:t>”) as soon as practicable on the Closing Date. The closing of the Merger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w:t>
      </w:r>
      <w:r>
        <w:rPr>
          <w:rFonts w:ascii="Arial" w:cs="Arial" w:eastAsia="Arial" w:hAnsi="Arial"/>
          <w:sz w:val="16"/>
          <w:szCs w:val="16"/>
          <w:color w:val="auto"/>
        </w:rPr>
        <w:t>”) shall take place at the offices of Skadden, Arps, Slate, Meagher &amp; Flom, LLP, located at 525 University Avenue, Suite 1100, Palo Alto, California,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 a time and date to be specified by the parties, which shall be no later than the third Business Day after the satisfaction or waiver of the conditions set forth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w:t>
      </w:r>
      <w:r>
        <w:rPr>
          <w:rFonts w:ascii="Arial" w:cs="Arial" w:eastAsia="Arial" w:hAnsi="Arial"/>
          <w:sz w:val="16"/>
          <w:szCs w:val="16"/>
          <w:b w:val="1"/>
          <w:bCs w:val="1"/>
          <w:color w:val="auto"/>
        </w:rPr>
        <w:t>Article VI</w:t>
      </w:r>
      <w:r>
        <w:rPr>
          <w:rFonts w:ascii="Arial" w:cs="Arial" w:eastAsia="Arial" w:hAnsi="Arial"/>
          <w:sz w:val="16"/>
          <w:szCs w:val="16"/>
          <w:color w:val="auto"/>
        </w:rPr>
        <w:t xml:space="preserve"> (other than those that by their terms are to be satisfied or waived at the Closing), or at such other time, date and location as the parties hereto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agree in writing. The date on which the Closing occurs is referred to herein as the “</w:t>
      </w:r>
      <w:r>
        <w:rPr>
          <w:rFonts w:ascii="Arial" w:cs="Arial" w:eastAsia="Arial" w:hAnsi="Arial"/>
          <w:sz w:val="17"/>
          <w:szCs w:val="17"/>
          <w:b w:val="1"/>
          <w:bCs w:val="1"/>
          <w:color w:val="auto"/>
        </w:rPr>
        <w:t>Closing Date</w:t>
      </w:r>
      <w:r>
        <w:rPr>
          <w:rFonts w:ascii="Arial" w:cs="Arial" w:eastAsia="Arial" w:hAnsi="Arial"/>
          <w:sz w:val="17"/>
          <w:szCs w:val="17"/>
          <w:color w:val="auto"/>
        </w:rPr>
        <w:t>.” “</w:t>
      </w:r>
      <w:r>
        <w:rPr>
          <w:rFonts w:ascii="Arial" w:cs="Arial" w:eastAsia="Arial" w:hAnsi="Arial"/>
          <w:sz w:val="17"/>
          <w:szCs w:val="17"/>
          <w:b w:val="1"/>
          <w:bCs w:val="1"/>
          <w:color w:val="auto"/>
        </w:rPr>
        <w:t>Business Day</w:t>
      </w:r>
      <w:r>
        <w:rPr>
          <w:rFonts w:ascii="Arial" w:cs="Arial" w:eastAsia="Arial" w:hAnsi="Arial"/>
          <w:sz w:val="17"/>
          <w:szCs w:val="17"/>
          <w:color w:val="auto"/>
        </w:rPr>
        <w:t>” shall mean each day that is not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Saturday, Sunday or other day on which banking institutions located in San Francisco, California are authorized or obligated by law or executive order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close.</w:t>
      </w:r>
    </w:p>
    <w:p>
      <w:pPr>
        <w:spacing w:after="0" w:line="211"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b w:val="1"/>
          <w:bCs w:val="1"/>
          <w:i w:val="1"/>
          <w:iCs w:val="1"/>
          <w:color w:val="auto"/>
        </w:rPr>
        <w:t>Effect of the Merger</w:t>
      </w:r>
      <w:r>
        <w:rPr>
          <w:rFonts w:ascii="Arial" w:cs="Arial" w:eastAsia="Arial" w:hAnsi="Arial"/>
          <w:sz w:val="18"/>
          <w:szCs w:val="18"/>
          <w:color w:val="auto"/>
        </w:rPr>
        <w:t>. At the Effective Time, the effect of the Merger shall be as provided in this Agreement, the Certificate of Merger and the applicable provisions of Delaware Law. Without limiting the generality of the foregoing, and subject thereto, at the Effective Time all the property, rights, privileges, powers and franchises of Company and Merger Sub shall vest in the Surviving Corporation, and all debts, liabilities and duties of Company and Merger Sub shall become the debts, liabilities and duties of the Surviving Corporation.</w:t>
      </w:r>
    </w:p>
    <w:p>
      <w:pPr>
        <w:spacing w:after="0" w:line="187" w:lineRule="exact"/>
        <w:rPr>
          <w:sz w:val="20"/>
          <w:szCs w:val="20"/>
          <w:color w:val="auto"/>
        </w:rPr>
      </w:pPr>
    </w:p>
    <w:p>
      <w:pPr>
        <w:jc w:val="both"/>
        <w:ind w:right="40" w:firstLine="648"/>
        <w:spacing w:after="0" w:line="297"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b w:val="1"/>
          <w:bCs w:val="1"/>
          <w:i w:val="1"/>
          <w:iCs w:val="1"/>
          <w:color w:val="auto"/>
        </w:rPr>
        <w:t>Certificate of Incorporation and Bylaws</w:t>
      </w:r>
      <w:r>
        <w:rPr>
          <w:rFonts w:ascii="Arial" w:cs="Arial" w:eastAsia="Arial" w:hAnsi="Arial"/>
          <w:sz w:val="16"/>
          <w:szCs w:val="16"/>
          <w:color w:val="auto"/>
        </w:rPr>
        <w:t xml:space="preserve">. At the Effective Time, the certificate of incorporation of the Company shall be amended and restated in its entirety to be identical to the certificate of incorporation of Merger Sub, as in effect immediately prior to the Effective Time, until thereafter amended in accordance with Delaware Law and as provided in such certificate of incorporation;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at the Effective Time, Article I of the certificate of incorporation of the Surviving Corporation shall be amended and restated in its entirety to read as follows: “The name of the corporation is Lexar Media, Inc.” At the Effective Time, the bylaws of the Company shall be amended and restated in their entirety to be identical to the bylaws of Merger Sub,</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as in effect immediately prior to the Effective Time, until thereafter amended in accordance with Delaware Law and as provided in such bylaws.</w:t>
      </w:r>
    </w:p>
    <w:p>
      <w:pPr>
        <w:spacing w:after="0" w:line="225"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 xml:space="preserve">1.5 </w:t>
      </w:r>
      <w:r>
        <w:rPr>
          <w:rFonts w:ascii="Arial" w:cs="Arial" w:eastAsia="Arial" w:hAnsi="Arial"/>
          <w:sz w:val="16"/>
          <w:szCs w:val="16"/>
          <w:b w:val="1"/>
          <w:bCs w:val="1"/>
          <w:i w:val="1"/>
          <w:iCs w:val="1"/>
          <w:color w:val="auto"/>
        </w:rPr>
        <w:t>Directors and Officers</w:t>
      </w:r>
      <w:r>
        <w:rPr>
          <w:rFonts w:ascii="Arial" w:cs="Arial" w:eastAsia="Arial" w:hAnsi="Arial"/>
          <w:sz w:val="16"/>
          <w:szCs w:val="16"/>
          <w:color w:val="auto"/>
        </w:rPr>
        <w:t>. Unless otherwise determined by Parent prior to the Effective Time, the initial directors of the Surviving Corporation shall be the directors of Merger Sub immediately prior to the Effective Time, until their respective successors are duly elected or appointed and qualified. Unless otherwise determined by Parent prior to the Effective Time, the initial officers of the Surviving Corporation shall be the officers of Merger Sub immediately prior to the Effective Time, until their respective successors are duly appointed. In addition, unless otherwise determined by Parent prior to the Effective Time, Parent, the Company and the Surviving Corporation shall take such action as reasonably requested by Parent to cause the directors and officers of Merger Sub immediately prior to the Effective Time to be the directors and officers, respectively of each of the Company’s Subsidiaries immediately after the Effective Time, each to hold office as a director or officer of each such Subsidiary in accordance with the provisions of the laws of the respective jurisdiction of organization and the respective bylaws or equivalent organizational documents of each such Subsidiary.</w:t>
      </w:r>
    </w:p>
    <w:p>
      <w:pPr>
        <w:spacing w:after="0" w:line="166"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 xml:space="preserve">1.6 </w:t>
      </w:r>
      <w:r>
        <w:rPr>
          <w:rFonts w:ascii="Arial" w:cs="Arial" w:eastAsia="Arial" w:hAnsi="Arial"/>
          <w:sz w:val="16"/>
          <w:szCs w:val="16"/>
          <w:b w:val="1"/>
          <w:bCs w:val="1"/>
          <w:i w:val="1"/>
          <w:iCs w:val="1"/>
          <w:color w:val="auto"/>
        </w:rPr>
        <w:t>Effect on Capital Stock</w:t>
      </w:r>
      <w:r>
        <w:rPr>
          <w:rFonts w:ascii="Arial" w:cs="Arial" w:eastAsia="Arial" w:hAnsi="Arial"/>
          <w:sz w:val="16"/>
          <w:szCs w:val="16"/>
          <w:color w:val="auto"/>
        </w:rPr>
        <w:t>. Subject to the terms and conditions of this Agreement, at the Effective Time, by virtue of the Merger and without any action on the part of Parent, Merger Sub, the Company or the holders of any shares of capital stock of the Company, the following shall occur:</w:t>
      </w:r>
    </w:p>
    <w:p>
      <w:pPr>
        <w:spacing w:after="0" w:line="120" w:lineRule="exact"/>
        <w:rPr>
          <w:sz w:val="20"/>
          <w:szCs w:val="20"/>
          <w:color w:val="auto"/>
        </w:rPr>
      </w:pPr>
    </w:p>
    <w:p>
      <w:pPr>
        <w:ind w:left="420" w:right="100" w:firstLine="1290"/>
        <w:spacing w:after="0" w:line="347" w:lineRule="auto"/>
        <w:tabs>
          <w:tab w:leader="none" w:pos="1954"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Company Common Stock</w:t>
      </w:r>
      <w:r>
        <w:rPr>
          <w:rFonts w:ascii="Arial" w:cs="Arial" w:eastAsia="Arial" w:hAnsi="Arial"/>
          <w:sz w:val="16"/>
          <w:szCs w:val="16"/>
          <w:color w:val="auto"/>
        </w:rPr>
        <w:t>. Each share of the common stock, par value $0.0001 per share, of the Company (“</w:t>
      </w:r>
      <w:r>
        <w:rPr>
          <w:rFonts w:ascii="Arial" w:cs="Arial" w:eastAsia="Arial" w:hAnsi="Arial"/>
          <w:sz w:val="16"/>
          <w:szCs w:val="16"/>
          <w:b w:val="1"/>
          <w:bCs w:val="1"/>
          <w:color w:val="auto"/>
        </w:rPr>
        <w:t>Company Common</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Stock</w:t>
      </w:r>
      <w:r>
        <w:rPr>
          <w:rFonts w:ascii="Arial" w:cs="Arial" w:eastAsia="Arial" w:hAnsi="Arial"/>
          <w:sz w:val="16"/>
          <w:szCs w:val="16"/>
          <w:color w:val="auto"/>
        </w:rPr>
        <w:t>”) issued and outstanding immediately prior to the Effective Time, other than any shares of Company Common Stock to be canceled pursuant to</w:t>
      </w:r>
    </w:p>
    <w:p>
      <w:pPr>
        <w:sectPr>
          <w:pgSz w:w="11900" w:h="16952" w:orient="portrait"/>
          <w:cols w:equalWidth="0" w:num="1">
            <w:col w:w="11400"/>
          </w:cols>
          <w:pgMar w:left="240" w:top="341" w:right="259" w:bottom="0" w:gutter="0" w:footer="0" w:header="0"/>
        </w:sectPr>
      </w:pPr>
    </w:p>
    <w:bookmarkStart w:id="8" w:name="page9"/>
    <w:bookmarkEnd w:id="8"/>
    <w:p>
      <w:pPr>
        <w:spacing w:after="0" w:line="68"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b w:val="1"/>
          <w:bCs w:val="1"/>
          <w:color w:val="auto"/>
        </w:rPr>
        <w:t>Section 1.6(c)</w:t>
      </w:r>
      <w:r>
        <w:rPr>
          <w:rFonts w:ascii="Arial" w:cs="Arial" w:eastAsia="Arial" w:hAnsi="Arial"/>
          <w:sz w:val="18"/>
          <w:szCs w:val="18"/>
          <w:color w:val="auto"/>
        </w:rPr>
        <w:t>, will be canceled and extinguished and automatically converted (subject to</w:t>
      </w:r>
      <w:r>
        <w:rPr>
          <w:rFonts w:ascii="Arial" w:cs="Arial" w:eastAsia="Arial" w:hAnsi="Arial"/>
          <w:sz w:val="18"/>
          <w:szCs w:val="18"/>
          <w:b w:val="1"/>
          <w:bCs w:val="1"/>
          <w:color w:val="auto"/>
        </w:rPr>
        <w:t xml:space="preserve"> Section 1.6(f)</w:t>
      </w:r>
      <w:r>
        <w:rPr>
          <w:rFonts w:ascii="Arial" w:cs="Arial" w:eastAsia="Arial" w:hAnsi="Arial"/>
          <w:sz w:val="18"/>
          <w:szCs w:val="18"/>
          <w:color w:val="auto"/>
        </w:rPr>
        <w:t>) into the right to receive 0.5625 of a validly</w:t>
      </w:r>
      <w:r>
        <w:rPr>
          <w:rFonts w:ascii="Arial" w:cs="Arial" w:eastAsia="Arial" w:hAnsi="Arial"/>
          <w:sz w:val="18"/>
          <w:szCs w:val="18"/>
          <w:b w:val="1"/>
          <w:bCs w:val="1"/>
          <w:color w:val="auto"/>
        </w:rPr>
        <w:t xml:space="preserve"> </w:t>
      </w:r>
      <w:r>
        <w:rPr>
          <w:rFonts w:ascii="Arial" w:cs="Arial" w:eastAsia="Arial" w:hAnsi="Arial"/>
          <w:sz w:val="18"/>
          <w:szCs w:val="18"/>
          <w:color w:val="auto"/>
        </w:rPr>
        <w:t>issued, fully paid and nonassessable share (the “</w:t>
      </w:r>
      <w:r>
        <w:rPr>
          <w:rFonts w:ascii="Arial" w:cs="Arial" w:eastAsia="Arial" w:hAnsi="Arial"/>
          <w:sz w:val="18"/>
          <w:szCs w:val="18"/>
          <w:b w:val="1"/>
          <w:bCs w:val="1"/>
          <w:color w:val="auto"/>
        </w:rPr>
        <w:t>Exchange Ratio</w:t>
      </w:r>
      <w:r>
        <w:rPr>
          <w:rFonts w:ascii="Arial" w:cs="Arial" w:eastAsia="Arial" w:hAnsi="Arial"/>
          <w:sz w:val="18"/>
          <w:szCs w:val="18"/>
          <w:color w:val="auto"/>
        </w:rPr>
        <w:t>”) of the common stock, par value $0.10 per share, of Parent (“</w:t>
      </w:r>
      <w:r>
        <w:rPr>
          <w:rFonts w:ascii="Arial" w:cs="Arial" w:eastAsia="Arial" w:hAnsi="Arial"/>
          <w:sz w:val="18"/>
          <w:szCs w:val="18"/>
          <w:b w:val="1"/>
          <w:bCs w:val="1"/>
          <w:color w:val="auto"/>
        </w:rPr>
        <w:t>Parent Common</w:t>
      </w:r>
      <w:r>
        <w:rPr>
          <w:rFonts w:ascii="Arial" w:cs="Arial" w:eastAsia="Arial" w:hAnsi="Arial"/>
          <w:sz w:val="18"/>
          <w:szCs w:val="18"/>
          <w:color w:val="auto"/>
        </w:rPr>
        <w:t xml:space="preserve"> </w:t>
      </w:r>
      <w:r>
        <w:rPr>
          <w:rFonts w:ascii="Arial" w:cs="Arial" w:eastAsia="Arial" w:hAnsi="Arial"/>
          <w:sz w:val="18"/>
          <w:szCs w:val="18"/>
          <w:b w:val="1"/>
          <w:bCs w:val="1"/>
          <w:color w:val="auto"/>
        </w:rPr>
        <w:t>Stock</w:t>
      </w:r>
      <w:r>
        <w:rPr>
          <w:rFonts w:ascii="Arial" w:cs="Arial" w:eastAsia="Arial" w:hAnsi="Arial"/>
          <w:sz w:val="18"/>
          <w:szCs w:val="18"/>
          <w:color w:val="auto"/>
        </w:rPr>
        <w:t>”).</w:t>
      </w:r>
    </w:p>
    <w:p>
      <w:pPr>
        <w:spacing w:after="0" w:line="180" w:lineRule="exact"/>
        <w:rPr>
          <w:sz w:val="20"/>
          <w:szCs w:val="20"/>
          <w:color w:val="auto"/>
        </w:rPr>
      </w:pPr>
    </w:p>
    <w:p>
      <w:pPr>
        <w:ind w:right="40" w:firstLine="1290"/>
        <w:spacing w:after="0" w:line="254" w:lineRule="auto"/>
        <w:tabs>
          <w:tab w:leader="none" w:pos="1544"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Repurchase Rights</w:t>
      </w:r>
      <w:r>
        <w:rPr>
          <w:rFonts w:ascii="Arial" w:cs="Arial" w:eastAsia="Arial" w:hAnsi="Arial"/>
          <w:sz w:val="18"/>
          <w:szCs w:val="18"/>
          <w:color w:val="auto"/>
        </w:rPr>
        <w:t>. If any shares of Company Common Stock outstanding immediately prior to the Effective Time are unvested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are subject to a repurchase option, risk of forfeiture or other condition (including, without limitation, restrictions on transferability) under any applicable restricted stock purchase agreement or other agreement or arrangement with the Company, then the shares of Parent Common Stock issued in exchange for such shares of Company Common Stock will also be unvested and subject to the same repurchase option, risk of forfeiture or other condition (including, without limitation, restrictions on transferability), and the certificates representing such shares of Parent Common Stock may accordingly be marked with appropriate legends. The Company shall use reasonable best efforts to provide that, from and after the Effective Time, the Surviving Corporation is entitled to exercise any such repurchase option or other right set forth in any such restricted stock purchase agreement or other agreement.</w:t>
      </w:r>
    </w:p>
    <w:p>
      <w:pPr>
        <w:spacing w:after="0" w:line="192" w:lineRule="exact"/>
        <w:rPr>
          <w:rFonts w:ascii="Arial" w:cs="Arial" w:eastAsia="Arial" w:hAnsi="Arial"/>
          <w:sz w:val="18"/>
          <w:szCs w:val="18"/>
          <w:color w:val="auto"/>
        </w:rPr>
      </w:pPr>
    </w:p>
    <w:p>
      <w:pPr>
        <w:ind w:right="80" w:firstLine="1290"/>
        <w:spacing w:after="0" w:line="264" w:lineRule="auto"/>
        <w:tabs>
          <w:tab w:leader="none" w:pos="1534"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Cancellation of Treasury and Parent Owned Stock</w:t>
      </w:r>
      <w:r>
        <w:rPr>
          <w:rFonts w:ascii="Arial" w:cs="Arial" w:eastAsia="Arial" w:hAnsi="Arial"/>
          <w:sz w:val="18"/>
          <w:szCs w:val="18"/>
          <w:color w:val="auto"/>
        </w:rPr>
        <w:t>. Each share of Company Common Stock held by the Company or Parent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direct or indirect wholly-owned subsidiary of the Company or of Parent immediately prior to the Effective Time shall be canceled and extinguished without any conversion thereof.</w:t>
      </w:r>
    </w:p>
    <w:p>
      <w:pPr>
        <w:spacing w:after="0" w:line="18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81280</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660" w:firstLine="1290"/>
        <w:spacing w:after="0" w:line="266" w:lineRule="auto"/>
        <w:tabs>
          <w:tab w:leader="none" w:pos="1544"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Capital Stock of Merger Sub</w:t>
      </w:r>
      <w:r>
        <w:rPr>
          <w:rFonts w:ascii="Arial" w:cs="Arial" w:eastAsia="Arial" w:hAnsi="Arial"/>
          <w:sz w:val="18"/>
          <w:szCs w:val="18"/>
          <w:color w:val="auto"/>
        </w:rPr>
        <w:t>. Each share of common stock, par value $0.001 per share, of Merger Sub (the “</w:t>
      </w:r>
      <w:r>
        <w:rPr>
          <w:rFonts w:ascii="Arial" w:cs="Arial" w:eastAsia="Arial" w:hAnsi="Arial"/>
          <w:sz w:val="18"/>
          <w:szCs w:val="18"/>
          <w:b w:val="1"/>
          <w:bCs w:val="1"/>
          <w:color w:val="auto"/>
        </w:rPr>
        <w:t>Merger Sub</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Common Stock</w:t>
      </w:r>
      <w:r>
        <w:rPr>
          <w:rFonts w:ascii="Arial" w:cs="Arial" w:eastAsia="Arial" w:hAnsi="Arial"/>
          <w:sz w:val="18"/>
          <w:szCs w:val="18"/>
          <w:color w:val="auto"/>
        </w:rPr>
        <w:t>”) issued and outstanding immediately prior to the Effective Time shall be converted into one validly issued, fully paid and</w:t>
      </w:r>
      <w:r>
        <w:rPr>
          <w:rFonts w:ascii="Arial" w:cs="Arial" w:eastAsia="Arial" w:hAnsi="Arial"/>
          <w:sz w:val="18"/>
          <w:szCs w:val="18"/>
          <w:b w:val="1"/>
          <w:bCs w:val="1"/>
          <w:color w:val="auto"/>
        </w:rPr>
        <w:t xml:space="preserve"> </w:t>
      </w:r>
      <w:r>
        <w:rPr>
          <w:rFonts w:ascii="Arial" w:cs="Arial" w:eastAsia="Arial" w:hAnsi="Arial"/>
          <w:sz w:val="18"/>
          <w:szCs w:val="18"/>
          <w:color w:val="auto"/>
        </w:rPr>
        <w:t>nonassessable share of common stock, par value $0.001 per share, of the Surviving Corporation.</w:t>
      </w:r>
    </w:p>
    <w:p>
      <w:pPr>
        <w:spacing w:after="0" w:line="180" w:lineRule="exact"/>
        <w:rPr>
          <w:rFonts w:ascii="Arial" w:cs="Arial" w:eastAsia="Arial" w:hAnsi="Arial"/>
          <w:sz w:val="18"/>
          <w:szCs w:val="18"/>
          <w:color w:val="auto"/>
        </w:rPr>
      </w:pPr>
    </w:p>
    <w:p>
      <w:pPr>
        <w:ind w:right="20" w:firstLine="1290"/>
        <w:spacing w:after="0" w:line="268" w:lineRule="auto"/>
        <w:tabs>
          <w:tab w:leader="none" w:pos="1534"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Stock Options; Employee Stock Purchase Plan</w:t>
      </w:r>
      <w:r>
        <w:rPr>
          <w:rFonts w:ascii="Arial" w:cs="Arial" w:eastAsia="Arial" w:hAnsi="Arial"/>
          <w:sz w:val="17"/>
          <w:szCs w:val="17"/>
          <w:color w:val="auto"/>
        </w:rPr>
        <w:t>. At the Effective Time, all Assumed Options outstanding under the Option Plans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shall be assumed by Parent in accordance with </w:t>
      </w:r>
      <w:r>
        <w:rPr>
          <w:rFonts w:ascii="Arial" w:cs="Arial" w:eastAsia="Arial" w:hAnsi="Arial"/>
          <w:sz w:val="17"/>
          <w:szCs w:val="17"/>
          <w:b w:val="1"/>
          <w:bCs w:val="1"/>
          <w:color w:val="auto"/>
        </w:rPr>
        <w:t>Section 5.9(a)</w:t>
      </w:r>
      <w:r>
        <w:rPr>
          <w:rFonts w:ascii="Arial" w:cs="Arial" w:eastAsia="Arial" w:hAnsi="Arial"/>
          <w:sz w:val="17"/>
          <w:szCs w:val="17"/>
          <w:color w:val="auto"/>
        </w:rPr>
        <w:t>. At the Effective Time, each Company Option that is either (A) held by any Person other than a current employee of the Company or any of its Subsidiaries or an employee of the Company who has terminated his or her employment within 90 days prior to the Effective Time (each such Company Option, a “</w:t>
      </w:r>
      <w:r>
        <w:rPr>
          <w:rFonts w:ascii="Arial" w:cs="Arial" w:eastAsia="Arial" w:hAnsi="Arial"/>
          <w:sz w:val="17"/>
          <w:szCs w:val="17"/>
          <w:b w:val="1"/>
          <w:bCs w:val="1"/>
          <w:color w:val="auto"/>
        </w:rPr>
        <w:t>Non-Employee Option</w:t>
      </w:r>
      <w:r>
        <w:rPr>
          <w:rFonts w:ascii="Arial" w:cs="Arial" w:eastAsia="Arial" w:hAnsi="Arial"/>
          <w:sz w:val="17"/>
          <w:szCs w:val="17"/>
          <w:color w:val="auto"/>
        </w:rPr>
        <w:t>”) or (B) has a per share exercise price greater than $9.00 (the “</w:t>
      </w:r>
      <w:r>
        <w:rPr>
          <w:rFonts w:ascii="Arial" w:cs="Arial" w:eastAsia="Arial" w:hAnsi="Arial"/>
          <w:sz w:val="17"/>
          <w:szCs w:val="17"/>
          <w:b w:val="1"/>
          <w:bCs w:val="1"/>
          <w:color w:val="auto"/>
        </w:rPr>
        <w:t>Per Share Merger Consideration</w:t>
      </w:r>
      <w:r>
        <w:rPr>
          <w:rFonts w:ascii="Arial" w:cs="Arial" w:eastAsia="Arial" w:hAnsi="Arial"/>
          <w:sz w:val="17"/>
          <w:szCs w:val="17"/>
          <w:color w:val="auto"/>
        </w:rPr>
        <w:t>”), (each, an “</w:t>
      </w:r>
      <w:r>
        <w:rPr>
          <w:rFonts w:ascii="Arial" w:cs="Arial" w:eastAsia="Arial" w:hAnsi="Arial"/>
          <w:sz w:val="17"/>
          <w:szCs w:val="17"/>
          <w:b w:val="1"/>
          <w:bCs w:val="1"/>
          <w:color w:val="auto"/>
        </w:rPr>
        <w:t>Out-of-the-Money Option</w:t>
      </w:r>
      <w:r>
        <w:rPr>
          <w:rFonts w:ascii="Arial" w:cs="Arial" w:eastAsia="Arial" w:hAnsi="Arial"/>
          <w:sz w:val="17"/>
          <w:szCs w:val="17"/>
          <w:color w:val="auto"/>
        </w:rPr>
        <w:t>,” and together with the Non-Employee Options, the “</w:t>
      </w:r>
      <w:r>
        <w:rPr>
          <w:rFonts w:ascii="Arial" w:cs="Arial" w:eastAsia="Arial" w:hAnsi="Arial"/>
          <w:sz w:val="17"/>
          <w:szCs w:val="17"/>
          <w:b w:val="1"/>
          <w:bCs w:val="1"/>
          <w:color w:val="auto"/>
        </w:rPr>
        <w:t>Cashed-Out</w:t>
      </w:r>
      <w:r>
        <w:rPr>
          <w:rFonts w:ascii="Arial" w:cs="Arial" w:eastAsia="Arial" w:hAnsi="Arial"/>
          <w:sz w:val="17"/>
          <w:szCs w:val="17"/>
          <w:color w:val="auto"/>
        </w:rPr>
        <w:t xml:space="preserve"> </w:t>
      </w:r>
      <w:r>
        <w:rPr>
          <w:rFonts w:ascii="Arial" w:cs="Arial" w:eastAsia="Arial" w:hAnsi="Arial"/>
          <w:sz w:val="17"/>
          <w:szCs w:val="17"/>
          <w:b w:val="1"/>
          <w:bCs w:val="1"/>
          <w:color w:val="auto"/>
        </w:rPr>
        <w:t>Options</w:t>
      </w:r>
      <w:r>
        <w:rPr>
          <w:rFonts w:ascii="Arial" w:cs="Arial" w:eastAsia="Arial" w:hAnsi="Arial"/>
          <w:sz w:val="17"/>
          <w:szCs w:val="17"/>
          <w:color w:val="auto"/>
        </w:rPr>
        <w:t>”), and, in each case, that is unexpired, unexercised and outstanding immediately prior to the Effective Time shall, on the terms and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the conditions set forth in this Agreement, terminate in its entirety at the Effective Time, and the holder of each Cashed-Out Option shall be entitled to receive therefor an amount of cash (rounded down to the nearest whole cent) equal to the product of (i) the number of shares of Company Common Stock that are subject to such Company Option and that are unexpired, unexercised and outstanding immediately prior to the Effective Time, and (ii) the excess, if any, of the Per Share Merger Consideration over the per share exercise price of such Company Option immediately prior to the Effective Time. Each Company Option that is unexpired, unexercised and outstanding immediately prior to the Effective Time and is not a Cashed-Out Option shall be an “</w:t>
      </w:r>
      <w:r>
        <w:rPr>
          <w:rFonts w:ascii="Arial" w:cs="Arial" w:eastAsia="Arial" w:hAnsi="Arial"/>
          <w:sz w:val="17"/>
          <w:szCs w:val="17"/>
          <w:b w:val="1"/>
          <w:bCs w:val="1"/>
          <w:color w:val="auto"/>
        </w:rPr>
        <w:t>Assumed Option</w:t>
      </w:r>
      <w:r>
        <w:rPr>
          <w:rFonts w:ascii="Arial" w:cs="Arial" w:eastAsia="Arial" w:hAnsi="Arial"/>
          <w:sz w:val="17"/>
          <w:szCs w:val="17"/>
          <w:color w:val="auto"/>
        </w:rPr>
        <w:t xml:space="preserve">.” Rights outstanding under the ESPP and any other employee stock purchase plan of the Company shall be treated as set forth in </w:t>
      </w:r>
      <w:r>
        <w:rPr>
          <w:rFonts w:ascii="Arial" w:cs="Arial" w:eastAsia="Arial" w:hAnsi="Arial"/>
          <w:sz w:val="17"/>
          <w:szCs w:val="17"/>
          <w:b w:val="1"/>
          <w:bCs w:val="1"/>
          <w:color w:val="auto"/>
        </w:rPr>
        <w:t>Section 5.9(c)</w:t>
      </w:r>
      <w:r>
        <w:rPr>
          <w:rFonts w:ascii="Arial" w:cs="Arial" w:eastAsia="Arial" w:hAnsi="Arial"/>
          <w:sz w:val="17"/>
          <w:szCs w:val="17"/>
          <w:color w:val="auto"/>
        </w:rPr>
        <w:t>.</w:t>
      </w:r>
    </w:p>
    <w:p>
      <w:pPr>
        <w:spacing w:after="0" w:line="187" w:lineRule="exact"/>
        <w:rPr>
          <w:rFonts w:ascii="Arial" w:cs="Arial" w:eastAsia="Arial" w:hAnsi="Arial"/>
          <w:sz w:val="17"/>
          <w:szCs w:val="17"/>
          <w:color w:val="auto"/>
        </w:rPr>
      </w:pPr>
    </w:p>
    <w:p>
      <w:pPr>
        <w:ind w:right="40" w:firstLine="1290"/>
        <w:spacing w:after="0" w:line="272" w:lineRule="auto"/>
        <w:tabs>
          <w:tab w:leader="none" w:pos="1553"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Fractional Shares</w:t>
      </w:r>
      <w:r>
        <w:rPr>
          <w:rFonts w:ascii="Arial" w:cs="Arial" w:eastAsia="Arial" w:hAnsi="Arial"/>
          <w:sz w:val="17"/>
          <w:szCs w:val="17"/>
          <w:color w:val="auto"/>
        </w:rPr>
        <w:t>. No fraction of a share of Parent Common Stock will be issued by virtue of the Merger, but in lieu thereof each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holder of shares of Company Common Stock who would otherwise be entitled to a fraction of a share of Parent Common Stock (after aggregating all fractional shares of Parent Common Stock that otherwise would be received by such holder) shall, upon surrender of such holder’s Certificate(s), receive from Parent an amount of cash (rounded to the nearest whole cent), without interest, less the amount of any withholding taxes as contemplated by </w:t>
      </w:r>
      <w:r>
        <w:rPr>
          <w:rFonts w:ascii="Arial" w:cs="Arial" w:eastAsia="Arial" w:hAnsi="Arial"/>
          <w:sz w:val="17"/>
          <w:szCs w:val="17"/>
          <w:b w:val="1"/>
          <w:bCs w:val="1"/>
          <w:color w:val="auto"/>
        </w:rPr>
        <w:t>Section 1.7(f)</w:t>
      </w:r>
      <w:r>
        <w:rPr>
          <w:rFonts w:ascii="Arial" w:cs="Arial" w:eastAsia="Arial" w:hAnsi="Arial"/>
          <w:sz w:val="17"/>
          <w:szCs w:val="17"/>
          <w:color w:val="auto"/>
        </w:rPr>
        <w:t>, which are required to be withheld with respect thereto, equal to the product of: (i) such fraction, multiplied by (ii) the average closing price of one share of Parent Common Stock for the ten (10) most recent trading days that Parent Common Stock has traded ending on the trading day one day prior to the Effective Time, as reported on the New York Stock Exchange (“</w:t>
      </w:r>
      <w:r>
        <w:rPr>
          <w:rFonts w:ascii="Arial" w:cs="Arial" w:eastAsia="Arial" w:hAnsi="Arial"/>
          <w:sz w:val="17"/>
          <w:szCs w:val="17"/>
          <w:b w:val="1"/>
          <w:bCs w:val="1"/>
          <w:color w:val="auto"/>
        </w:rPr>
        <w:t>NYSE</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firstLine="1290"/>
        <w:spacing w:after="0" w:line="259" w:lineRule="auto"/>
        <w:tabs>
          <w:tab w:leader="none" w:pos="1544"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 to Exchange Ratio</w:t>
      </w:r>
      <w:r>
        <w:rPr>
          <w:rFonts w:ascii="Arial" w:cs="Arial" w:eastAsia="Arial" w:hAnsi="Arial"/>
          <w:sz w:val="18"/>
          <w:szCs w:val="18"/>
          <w:color w:val="auto"/>
        </w:rPr>
        <w:t>. The Exchange Ratio shall be adjusted to reflect fully the appropriate effect of any stock split,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reverse stock split, stock dividend (including any dividend or distribution of securities convertible into Parent Common Stock or Company Common Stock), reorganization, recapitalization, reclassification or other like change with respect to Parent Common Stock or Company Common Stock having a record date on or after the date hereof and prior to the Effective Time.</w:t>
      </w:r>
    </w:p>
    <w:p>
      <w:pPr>
        <w:spacing w:after="0" w:line="18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81280</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b w:val="1"/>
          <w:bCs w:val="1"/>
          <w:i w:val="1"/>
          <w:iCs w:val="1"/>
          <w:color w:val="auto"/>
        </w:rPr>
        <w:t>Surrender of Certificates.</w:t>
      </w:r>
    </w:p>
    <w:p>
      <w:pPr>
        <w:spacing w:after="0" w:line="225" w:lineRule="exact"/>
        <w:rPr>
          <w:sz w:val="20"/>
          <w:szCs w:val="20"/>
          <w:color w:val="auto"/>
        </w:rPr>
      </w:pPr>
    </w:p>
    <w:p>
      <w:pPr>
        <w:ind w:right="280" w:firstLine="1290"/>
        <w:spacing w:after="0" w:line="277" w:lineRule="auto"/>
        <w:tabs>
          <w:tab w:leader="none" w:pos="1534"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Exchange Agent</w:t>
      </w:r>
      <w:r>
        <w:rPr>
          <w:rFonts w:ascii="Arial" w:cs="Arial" w:eastAsia="Arial" w:hAnsi="Arial"/>
          <w:sz w:val="18"/>
          <w:szCs w:val="18"/>
          <w:color w:val="auto"/>
        </w:rPr>
        <w:t>. Parent shall designate a bank or trust company reasonably satisfactory to the Company to act as the exchange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agent (the “</w:t>
      </w:r>
      <w:r>
        <w:rPr>
          <w:rFonts w:ascii="Arial" w:cs="Arial" w:eastAsia="Arial" w:hAnsi="Arial"/>
          <w:sz w:val="18"/>
          <w:szCs w:val="18"/>
          <w:b w:val="1"/>
          <w:bCs w:val="1"/>
          <w:color w:val="auto"/>
        </w:rPr>
        <w:t>Exchange Agent</w:t>
      </w:r>
      <w:r>
        <w:rPr>
          <w:rFonts w:ascii="Arial" w:cs="Arial" w:eastAsia="Arial" w:hAnsi="Arial"/>
          <w:sz w:val="18"/>
          <w:szCs w:val="18"/>
          <w:color w:val="auto"/>
        </w:rPr>
        <w:t>”) for the Merger.</w:t>
      </w:r>
    </w:p>
    <w:p>
      <w:pPr>
        <w:spacing w:after="0" w:line="170" w:lineRule="exact"/>
        <w:rPr>
          <w:rFonts w:ascii="Arial" w:cs="Arial" w:eastAsia="Arial" w:hAnsi="Arial"/>
          <w:sz w:val="18"/>
          <w:szCs w:val="18"/>
          <w:color w:val="auto"/>
        </w:rPr>
      </w:pPr>
    </w:p>
    <w:p>
      <w:pPr>
        <w:ind w:right="60" w:firstLine="1290"/>
        <w:spacing w:after="0" w:line="293" w:lineRule="auto"/>
        <w:tabs>
          <w:tab w:leader="none" w:pos="1544"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Parent to Provide Common Stock</w:t>
      </w:r>
      <w:r>
        <w:rPr>
          <w:rFonts w:ascii="Arial" w:cs="Arial" w:eastAsia="Arial" w:hAnsi="Arial"/>
          <w:sz w:val="16"/>
          <w:szCs w:val="16"/>
          <w:color w:val="auto"/>
        </w:rPr>
        <w:t>. Prior to the Effective Time, Parent shall enter into an agreement with the Exchange Agent,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reasonably satisfactory to the Company, which shall provide that Parent shall make available to the Exchange Agent for exchange in accordance with this Article I, the shares of Parent Common Stock issuable pursuant to </w:t>
      </w:r>
      <w:r>
        <w:rPr>
          <w:rFonts w:ascii="Arial" w:cs="Arial" w:eastAsia="Arial" w:hAnsi="Arial"/>
          <w:sz w:val="16"/>
          <w:szCs w:val="16"/>
          <w:b w:val="1"/>
          <w:bCs w:val="1"/>
          <w:color w:val="auto"/>
        </w:rPr>
        <w:t>Section 1.6(a)</w:t>
      </w:r>
      <w:r>
        <w:rPr>
          <w:rFonts w:ascii="Arial" w:cs="Arial" w:eastAsia="Arial" w:hAnsi="Arial"/>
          <w:sz w:val="16"/>
          <w:szCs w:val="16"/>
          <w:color w:val="auto"/>
        </w:rPr>
        <w:t xml:space="preserve"> in exchange for outstanding shares of Company Common Stock. In addition, Parent shall make available as necessary, cash in an amount sufficient for payment in lieu of fractional shares pursuant to </w:t>
      </w:r>
      <w:r>
        <w:rPr>
          <w:rFonts w:ascii="Arial" w:cs="Arial" w:eastAsia="Arial" w:hAnsi="Arial"/>
          <w:sz w:val="16"/>
          <w:szCs w:val="16"/>
          <w:b w:val="1"/>
          <w:bCs w:val="1"/>
          <w:color w:val="auto"/>
        </w:rPr>
        <w:t>Section 1.6(f)</w:t>
      </w:r>
      <w:r>
        <w:rPr>
          <w:rFonts w:ascii="Arial" w:cs="Arial" w:eastAsia="Arial" w:hAnsi="Arial"/>
          <w:sz w:val="16"/>
          <w:szCs w:val="16"/>
          <w:color w:val="auto"/>
        </w:rPr>
        <w:t xml:space="preserve"> and any dividends or distributions which holders of shares of Company Common Stock may be entitled pursuant to </w:t>
      </w:r>
      <w:r>
        <w:rPr>
          <w:rFonts w:ascii="Arial" w:cs="Arial" w:eastAsia="Arial" w:hAnsi="Arial"/>
          <w:sz w:val="16"/>
          <w:szCs w:val="16"/>
          <w:b w:val="1"/>
          <w:bCs w:val="1"/>
          <w:color w:val="auto"/>
        </w:rPr>
        <w:t>Section 1.7(d)</w:t>
      </w:r>
      <w:r>
        <w:rPr>
          <w:rFonts w:ascii="Arial" w:cs="Arial" w:eastAsia="Arial" w:hAnsi="Arial"/>
          <w:sz w:val="16"/>
          <w:szCs w:val="16"/>
          <w:color w:val="auto"/>
        </w:rPr>
        <w:t>. Any cash and Parent Common Stock deposited with the Exchange Agent shall hereinafter be referred to as the “</w:t>
      </w:r>
      <w:r>
        <w:rPr>
          <w:rFonts w:ascii="Arial" w:cs="Arial" w:eastAsia="Arial" w:hAnsi="Arial"/>
          <w:sz w:val="16"/>
          <w:szCs w:val="16"/>
          <w:b w:val="1"/>
          <w:bCs w:val="1"/>
          <w:color w:val="auto"/>
        </w:rPr>
        <w:t>Exchange Fund</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ind w:firstLine="1290"/>
        <w:spacing w:after="0" w:line="290" w:lineRule="auto"/>
        <w:tabs>
          <w:tab w:leader="none" w:pos="1534"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Exchange Procedures</w:t>
      </w:r>
      <w:r>
        <w:rPr>
          <w:rFonts w:ascii="Arial" w:cs="Arial" w:eastAsia="Arial" w:hAnsi="Arial"/>
          <w:sz w:val="16"/>
          <w:szCs w:val="16"/>
          <w:color w:val="auto"/>
        </w:rPr>
        <w:t>. As promptly as practicable after the Effective Time, Parent shall cause the Exchange Agent to mail to each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holder of record (as of the Effective Time) of a certificate or certificates (the “</w:t>
      </w:r>
      <w:r>
        <w:rPr>
          <w:rFonts w:ascii="Arial" w:cs="Arial" w:eastAsia="Arial" w:hAnsi="Arial"/>
          <w:sz w:val="16"/>
          <w:szCs w:val="16"/>
          <w:b w:val="1"/>
          <w:bCs w:val="1"/>
          <w:color w:val="auto"/>
        </w:rPr>
        <w:t>Certificates</w:t>
      </w:r>
      <w:r>
        <w:rPr>
          <w:rFonts w:ascii="Arial" w:cs="Arial" w:eastAsia="Arial" w:hAnsi="Arial"/>
          <w:sz w:val="16"/>
          <w:szCs w:val="16"/>
          <w:color w:val="auto"/>
        </w:rPr>
        <w:t xml:space="preserve">”) which immediately prior to the Effective Time represented outstanding shares of Company Common Stock whose shares were converted into the right to receive shares of Parent Common Stock pursuant to </w:t>
      </w:r>
      <w:r>
        <w:rPr>
          <w:rFonts w:ascii="Arial" w:cs="Arial" w:eastAsia="Arial" w:hAnsi="Arial"/>
          <w:sz w:val="16"/>
          <w:szCs w:val="16"/>
          <w:b w:val="1"/>
          <w:bCs w:val="1"/>
          <w:color w:val="auto"/>
        </w:rPr>
        <w:t>Section 1.6(a)</w:t>
      </w:r>
      <w:r>
        <w:rPr>
          <w:rFonts w:ascii="Arial" w:cs="Arial" w:eastAsia="Arial" w:hAnsi="Arial"/>
          <w:sz w:val="16"/>
          <w:szCs w:val="16"/>
          <w:color w:val="auto"/>
        </w:rPr>
        <w:t>, cash in lieu of any fractional shares pursuant to</w:t>
      </w:r>
      <w:r>
        <w:rPr>
          <w:rFonts w:ascii="Arial" w:cs="Arial" w:eastAsia="Arial" w:hAnsi="Arial"/>
          <w:sz w:val="16"/>
          <w:szCs w:val="16"/>
          <w:b w:val="1"/>
          <w:bCs w:val="1"/>
          <w:color w:val="auto"/>
        </w:rPr>
        <w:t xml:space="preserve"> Section 1.6(f) </w:t>
      </w:r>
      <w:r>
        <w:rPr>
          <w:rFonts w:ascii="Arial" w:cs="Arial" w:eastAsia="Arial" w:hAnsi="Arial"/>
          <w:sz w:val="16"/>
          <w:szCs w:val="16"/>
          <w:color w:val="auto"/>
        </w:rPr>
        <w:t>and any dividends or other distributions pursuant to</w:t>
      </w:r>
      <w:r>
        <w:rPr>
          <w:rFonts w:ascii="Arial" w:cs="Arial" w:eastAsia="Arial" w:hAnsi="Arial"/>
          <w:sz w:val="16"/>
          <w:szCs w:val="16"/>
          <w:b w:val="1"/>
          <w:bCs w:val="1"/>
          <w:color w:val="auto"/>
        </w:rPr>
        <w:t xml:space="preserve"> Section 1.7(d)</w:t>
      </w:r>
      <w:r>
        <w:rPr>
          <w:rFonts w:ascii="Arial" w:cs="Arial" w:eastAsia="Arial" w:hAnsi="Arial"/>
          <w:sz w:val="16"/>
          <w:szCs w:val="16"/>
          <w:color w:val="auto"/>
        </w:rPr>
        <w:t>: (i)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letter of transmittal (which shall specify that delivery shall be effected, and risk of loss and title to the Certificates shall pass, only upon delivery of the Certificates to the Exchange Agent and shall be in customary form and have such other provisions as Parent may reasonably specify and the Company shall reasonably approve prior to the Effective Time) and (ii) instructions for use in effecting the surrender of the Certificates in exchange for certificates representing whole shares of Parent Common Stock, cash in lieu of any fractional shares pursuant to </w:t>
      </w:r>
      <w:r>
        <w:rPr>
          <w:rFonts w:ascii="Arial" w:cs="Arial" w:eastAsia="Arial" w:hAnsi="Arial"/>
          <w:sz w:val="16"/>
          <w:szCs w:val="16"/>
          <w:b w:val="1"/>
          <w:bCs w:val="1"/>
          <w:color w:val="auto"/>
        </w:rPr>
        <w:t>Section 1.6(f)</w:t>
      </w:r>
      <w:r>
        <w:rPr>
          <w:rFonts w:ascii="Arial" w:cs="Arial" w:eastAsia="Arial" w:hAnsi="Arial"/>
          <w:sz w:val="16"/>
          <w:szCs w:val="16"/>
          <w:color w:val="auto"/>
        </w:rPr>
        <w:t xml:space="preserve"> and any dividends or other</w:t>
      </w:r>
    </w:p>
    <w:p>
      <w:pPr>
        <w:sectPr>
          <w:pgSz w:w="11900" w:h="16906" w:orient="portrait"/>
          <w:cols w:equalWidth="0" w:num="1">
            <w:col w:w="11000"/>
          </w:cols>
          <w:pgMar w:left="660" w:top="121" w:right="239" w:bottom="0" w:gutter="0" w:footer="0" w:header="0"/>
        </w:sectPr>
      </w:pPr>
    </w:p>
    <w:bookmarkStart w:id="9" w:name="page10"/>
    <w:bookmarkEnd w:id="9"/>
    <w:p>
      <w:pPr>
        <w:ind w:left="420" w:right="80"/>
        <w:spacing w:after="0" w:line="270" w:lineRule="auto"/>
        <w:rPr>
          <w:sz w:val="20"/>
          <w:szCs w:val="20"/>
          <w:color w:val="auto"/>
        </w:rPr>
      </w:pPr>
      <w:r>
        <w:rPr>
          <w:rFonts w:ascii="Arial" w:cs="Arial" w:eastAsia="Arial" w:hAnsi="Arial"/>
          <w:sz w:val="17"/>
          <w:szCs w:val="17"/>
          <w:color w:val="auto"/>
        </w:rPr>
        <w:t xml:space="preserve">distributions pursuant to </w:t>
      </w:r>
      <w:r>
        <w:rPr>
          <w:rFonts w:ascii="Arial" w:cs="Arial" w:eastAsia="Arial" w:hAnsi="Arial"/>
          <w:sz w:val="17"/>
          <w:szCs w:val="17"/>
          <w:b w:val="1"/>
          <w:bCs w:val="1"/>
          <w:color w:val="auto"/>
        </w:rPr>
        <w:t>Section 1.7(d)</w:t>
      </w:r>
      <w:r>
        <w:rPr>
          <w:rFonts w:ascii="Arial" w:cs="Arial" w:eastAsia="Arial" w:hAnsi="Arial"/>
          <w:sz w:val="17"/>
          <w:szCs w:val="17"/>
          <w:color w:val="auto"/>
        </w:rPr>
        <w:t xml:space="preserve">. Upon surrender of Certificates for cancellation to the Exchange Agent or to such other agent or agents as may be appointed by Parent, together with such letter of transmittal, duly completed and validly executed in accordance with the instructions thereto and such other documents as may reasonably be required by the Exchange Agent, the holder of such Certificates shall be entitled to receive in exchange therefor the number of whole shares of Parent Common Stock (after taking into account all Certificates surrendered by such holder) to which such holder is entitled pursuant to </w:t>
      </w:r>
      <w:r>
        <w:rPr>
          <w:rFonts w:ascii="Arial" w:cs="Arial" w:eastAsia="Arial" w:hAnsi="Arial"/>
          <w:sz w:val="17"/>
          <w:szCs w:val="17"/>
          <w:b w:val="1"/>
          <w:bCs w:val="1"/>
          <w:color w:val="auto"/>
        </w:rPr>
        <w:t>Section 1.6(a)</w:t>
      </w:r>
      <w:r>
        <w:rPr>
          <w:rFonts w:ascii="Arial" w:cs="Arial" w:eastAsia="Arial" w:hAnsi="Arial"/>
          <w:sz w:val="17"/>
          <w:szCs w:val="17"/>
          <w:color w:val="auto"/>
        </w:rPr>
        <w:t xml:space="preserve"> (which shall be in uncertificated book entry form unless a physical certificate is requested or is otherwise required by applicable law or regulation), payment in lieu of fractional shares which such holder has the right to receive pursuant to </w:t>
      </w:r>
      <w:r>
        <w:rPr>
          <w:rFonts w:ascii="Arial" w:cs="Arial" w:eastAsia="Arial" w:hAnsi="Arial"/>
          <w:sz w:val="17"/>
          <w:szCs w:val="17"/>
          <w:b w:val="1"/>
          <w:bCs w:val="1"/>
          <w:color w:val="auto"/>
        </w:rPr>
        <w:t>Section 1.6(f)</w:t>
      </w:r>
      <w:r>
        <w:rPr>
          <w:rFonts w:ascii="Arial" w:cs="Arial" w:eastAsia="Arial" w:hAnsi="Arial"/>
          <w:sz w:val="17"/>
          <w:szCs w:val="17"/>
          <w:color w:val="auto"/>
        </w:rPr>
        <w:t xml:space="preserve"> and any dividends or distributions payable pursuant to </w:t>
      </w:r>
      <w:r>
        <w:rPr>
          <w:rFonts w:ascii="Arial" w:cs="Arial" w:eastAsia="Arial" w:hAnsi="Arial"/>
          <w:sz w:val="17"/>
          <w:szCs w:val="17"/>
          <w:b w:val="1"/>
          <w:bCs w:val="1"/>
          <w:color w:val="auto"/>
        </w:rPr>
        <w:t>Section 1.7(d)</w:t>
      </w:r>
      <w:r>
        <w:rPr>
          <w:rFonts w:ascii="Arial" w:cs="Arial" w:eastAsia="Arial" w:hAnsi="Arial"/>
          <w:sz w:val="17"/>
          <w:szCs w:val="17"/>
          <w:color w:val="auto"/>
        </w:rPr>
        <w:t xml:space="preserve">, and the Certificates so surrendered shall forthwith be canceled. Until so surrendered, outstanding Certificates will be deemed from and after the Effective Time, for all corporate purposes, to evidence the ownership of the number of full shares of Parent Common Stock into which such shares of Company Common Stock shall have been so converted and the right to receive an amount in cash in lieu of the issuance of any fractional shares in accordance with </w:t>
      </w:r>
      <w:r>
        <w:rPr>
          <w:rFonts w:ascii="Arial" w:cs="Arial" w:eastAsia="Arial" w:hAnsi="Arial"/>
          <w:sz w:val="17"/>
          <w:szCs w:val="17"/>
          <w:b w:val="1"/>
          <w:bCs w:val="1"/>
          <w:color w:val="auto"/>
        </w:rPr>
        <w:t>Section 1.6(f)</w:t>
      </w:r>
      <w:r>
        <w:rPr>
          <w:rFonts w:ascii="Arial" w:cs="Arial" w:eastAsia="Arial" w:hAnsi="Arial"/>
          <w:sz w:val="17"/>
          <w:szCs w:val="17"/>
          <w:color w:val="auto"/>
        </w:rPr>
        <w:t xml:space="preserve"> and any dividends or distributions payable pursuant to </w:t>
      </w:r>
      <w:r>
        <w:rPr>
          <w:rFonts w:ascii="Arial" w:cs="Arial" w:eastAsia="Arial" w:hAnsi="Arial"/>
          <w:sz w:val="17"/>
          <w:szCs w:val="17"/>
          <w:b w:val="1"/>
          <w:bCs w:val="1"/>
          <w:color w:val="auto"/>
        </w:rPr>
        <w:t>Section</w:t>
      </w:r>
      <w:r>
        <w:rPr>
          <w:rFonts w:ascii="Arial" w:cs="Arial" w:eastAsia="Arial" w:hAnsi="Arial"/>
          <w:sz w:val="17"/>
          <w:szCs w:val="17"/>
          <w:color w:val="auto"/>
        </w:rPr>
        <w:t xml:space="preserve"> </w:t>
      </w:r>
      <w:r>
        <w:rPr>
          <w:rFonts w:ascii="Arial" w:cs="Arial" w:eastAsia="Arial" w:hAnsi="Arial"/>
          <w:sz w:val="17"/>
          <w:szCs w:val="17"/>
          <w:b w:val="1"/>
          <w:bCs w:val="1"/>
          <w:color w:val="auto"/>
        </w:rPr>
        <w:t>1.7(d)</w:t>
      </w:r>
      <w:r>
        <w:rPr>
          <w:rFonts w:ascii="Arial" w:cs="Arial" w:eastAsia="Arial" w:hAnsi="Arial"/>
          <w:sz w:val="17"/>
          <w:szCs w:val="17"/>
          <w:color w:val="auto"/>
        </w:rPr>
        <w:t>.</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20" w:right="20" w:firstLine="1290"/>
        <w:spacing w:after="0" w:line="270" w:lineRule="auto"/>
        <w:tabs>
          <w:tab w:leader="none" w:pos="1964"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Distributions With Respect to Unexchanged Shares</w:t>
      </w:r>
      <w:r>
        <w:rPr>
          <w:rFonts w:ascii="Arial" w:cs="Arial" w:eastAsia="Arial" w:hAnsi="Arial"/>
          <w:sz w:val="17"/>
          <w:szCs w:val="17"/>
          <w:color w:val="auto"/>
        </w:rPr>
        <w:t>. No dividends or other distributions declared or made after the date hereof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with respect to Parent Common Stock with a record date after the Effective Time and no payment in lieu of fractional shares pursuant to </w:t>
      </w:r>
      <w:r>
        <w:rPr>
          <w:rFonts w:ascii="Arial" w:cs="Arial" w:eastAsia="Arial" w:hAnsi="Arial"/>
          <w:sz w:val="17"/>
          <w:szCs w:val="17"/>
          <w:b w:val="1"/>
          <w:bCs w:val="1"/>
          <w:color w:val="auto"/>
        </w:rPr>
        <w:t>Section 1.6(f)</w:t>
      </w:r>
      <w:r>
        <w:rPr>
          <w:rFonts w:ascii="Arial" w:cs="Arial" w:eastAsia="Arial" w:hAnsi="Arial"/>
          <w:sz w:val="17"/>
          <w:szCs w:val="17"/>
          <w:color w:val="auto"/>
        </w:rPr>
        <w:t xml:space="preserve"> will be paid to the holders of any unsurrendered Certificates with respect to the shares of Parent Common Stock represented thereby until the holders of record of such Certificates shall surrender such Certificates. Subject to applicable law, following surrender of any such Certificates, the Exchange Agent shall deliver to the record holders thereof, without interest (i) promptly after such surrender, the number of whole shares of Parent Common Stock issued in exchange therefor along with payment in lieu of fractional shares pursuant to </w:t>
      </w:r>
      <w:r>
        <w:rPr>
          <w:rFonts w:ascii="Arial" w:cs="Arial" w:eastAsia="Arial" w:hAnsi="Arial"/>
          <w:sz w:val="17"/>
          <w:szCs w:val="17"/>
          <w:b w:val="1"/>
          <w:bCs w:val="1"/>
          <w:color w:val="auto"/>
        </w:rPr>
        <w:t>Section 1.6(f)</w:t>
      </w:r>
      <w:r>
        <w:rPr>
          <w:rFonts w:ascii="Arial" w:cs="Arial" w:eastAsia="Arial" w:hAnsi="Arial"/>
          <w:sz w:val="17"/>
          <w:szCs w:val="17"/>
          <w:color w:val="auto"/>
        </w:rPr>
        <w:t xml:space="preserve"> and the amount of any such dividends or other distributions with a record date after the Effective Time and theretofore paid with respect to such whole shares of Parent Common Stock and (ii) at the appropriate payment date, the amount of dividends or other distributions with a record date after the Effective Time and a payment date subsequent to such surrender payable with respect to such whole shares of Parent Common Stock.</w:t>
      </w:r>
    </w:p>
    <w:p>
      <w:pPr>
        <w:spacing w:after="0" w:line="181" w:lineRule="exact"/>
        <w:rPr>
          <w:rFonts w:ascii="Arial" w:cs="Arial" w:eastAsia="Arial" w:hAnsi="Arial"/>
          <w:sz w:val="17"/>
          <w:szCs w:val="17"/>
          <w:color w:val="auto"/>
        </w:rPr>
      </w:pPr>
    </w:p>
    <w:p>
      <w:pPr>
        <w:ind w:left="420" w:right="80" w:firstLine="1290"/>
        <w:spacing w:after="0" w:line="255" w:lineRule="auto"/>
        <w:tabs>
          <w:tab w:leader="none" w:pos="1954"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Transfers of Ownership</w:t>
      </w:r>
      <w:r>
        <w:rPr>
          <w:rFonts w:ascii="Arial" w:cs="Arial" w:eastAsia="Arial" w:hAnsi="Arial"/>
          <w:sz w:val="18"/>
          <w:szCs w:val="18"/>
          <w:color w:val="auto"/>
        </w:rPr>
        <w:t>. If shares of Parent Common Stock are to be issued in a name other than that in which the Certificates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surrendered in exchange therefor are registered, it will be a condition of the issuance thereof that the Certificates so surrendered will be properly endorsed and otherwise in proper form for transfer and that the Persons requesting such exchange will have paid to Parent or any agent designated by it any transfer or other Taxes required by reason of the issuance of shares of Parent Common Stock in any name other than that of the registered holder of the Certificates surrendered, or established to the reasonable satisfaction of Parent or any agent designated by it that such Tax has been paid or is not payable.</w:t>
      </w:r>
    </w:p>
    <w:p>
      <w:pPr>
        <w:spacing w:after="0" w:line="193" w:lineRule="exact"/>
        <w:rPr>
          <w:rFonts w:ascii="Arial" w:cs="Arial" w:eastAsia="Arial" w:hAnsi="Arial"/>
          <w:sz w:val="18"/>
          <w:szCs w:val="18"/>
          <w:color w:val="auto"/>
        </w:rPr>
      </w:pPr>
    </w:p>
    <w:p>
      <w:pPr>
        <w:ind w:left="420" w:right="20" w:firstLine="1290"/>
        <w:spacing w:after="0" w:line="271" w:lineRule="auto"/>
        <w:tabs>
          <w:tab w:leader="none" w:pos="1973"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Required Withholding</w:t>
      </w:r>
      <w:r>
        <w:rPr>
          <w:rFonts w:ascii="Arial" w:cs="Arial" w:eastAsia="Arial" w:hAnsi="Arial"/>
          <w:sz w:val="17"/>
          <w:szCs w:val="17"/>
          <w:color w:val="auto"/>
        </w:rPr>
        <w:t>. Each of the Exchange Agent and the Surviving Corporation shall be entitled to deduct and withhold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consideration payable or otherwise deliverable pursuant to this Agreement to any holder or former holder of Company Common Stock such amounts as may be required to be deducted or withheld therefrom under the Code or under any provision of state, local or foreign Tax law or under any other applicable Legal Requirements. To the extent such amounts are so deducted or withheld, the amount of such consideration shall be treated for all purposes under this Agreement as having been paid to the Person to whom such consideration would otherwise have been paid. For purposes of this Agreement, “</w:t>
      </w:r>
      <w:r>
        <w:rPr>
          <w:rFonts w:ascii="Arial" w:cs="Arial" w:eastAsia="Arial" w:hAnsi="Arial"/>
          <w:sz w:val="17"/>
          <w:szCs w:val="17"/>
          <w:b w:val="1"/>
          <w:bCs w:val="1"/>
          <w:color w:val="auto"/>
        </w:rPr>
        <w:t>Legal Requirements</w:t>
      </w:r>
      <w:r>
        <w:rPr>
          <w:rFonts w:ascii="Arial" w:cs="Arial" w:eastAsia="Arial" w:hAnsi="Arial"/>
          <w:sz w:val="17"/>
          <w:szCs w:val="17"/>
          <w:color w:val="auto"/>
        </w:rPr>
        <w:t>” shall mean any federal, state, local, municipal, foreign or other law, statute, constitution, principle of common law, resolution, ordinance, code, order, edict, decree, directive, rule, regulation, ruling or requirement issued, enacted, adopted, promulgated, implemented or otherwise put into effect by or under the authority of any Governmental Entity.</w:t>
      </w:r>
    </w:p>
    <w:p>
      <w:pPr>
        <w:spacing w:after="0" w:line="174" w:lineRule="exact"/>
        <w:rPr>
          <w:rFonts w:ascii="Arial" w:cs="Arial" w:eastAsia="Arial" w:hAnsi="Arial"/>
          <w:sz w:val="17"/>
          <w:szCs w:val="17"/>
          <w:color w:val="auto"/>
        </w:rPr>
      </w:pPr>
    </w:p>
    <w:p>
      <w:pPr>
        <w:ind w:left="420" w:right="20" w:firstLine="1290"/>
        <w:spacing w:after="0" w:line="266" w:lineRule="auto"/>
        <w:tabs>
          <w:tab w:leader="none" w:pos="1964"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No Liability</w:t>
      </w:r>
      <w:r>
        <w:rPr>
          <w:rFonts w:ascii="Arial" w:cs="Arial" w:eastAsia="Arial" w:hAnsi="Arial"/>
          <w:sz w:val="18"/>
          <w:szCs w:val="18"/>
          <w:color w:val="auto"/>
        </w:rPr>
        <w:t>. Notwithstanding anything to the contrary in this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Section 1.7</w:t>
      </w:r>
      <w:r>
        <w:rPr>
          <w:rFonts w:ascii="Arial" w:cs="Arial" w:eastAsia="Arial" w:hAnsi="Arial"/>
          <w:sz w:val="18"/>
          <w:szCs w:val="18"/>
          <w:color w:val="auto"/>
        </w:rPr>
        <w:t>, none of the Exchange Agent, the Surviving Corporation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any party hereto shall be liable to a holder of shares of Company Common Stock for any amount properly paid to a public official pursuant to any applicable abandoned property, escheat or similar Legal Requirements.</w:t>
      </w:r>
    </w:p>
    <w:p>
      <w:pPr>
        <w:spacing w:after="0" w:line="180" w:lineRule="exact"/>
        <w:rPr>
          <w:rFonts w:ascii="Arial" w:cs="Arial" w:eastAsia="Arial" w:hAnsi="Arial"/>
          <w:sz w:val="18"/>
          <w:szCs w:val="18"/>
          <w:color w:val="auto"/>
        </w:rPr>
      </w:pPr>
    </w:p>
    <w:p>
      <w:pPr>
        <w:ind w:left="420" w:right="200" w:firstLine="1290"/>
        <w:spacing w:after="0" w:line="342" w:lineRule="auto"/>
        <w:tabs>
          <w:tab w:leader="none" w:pos="1964"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Investment of Exchange Fund</w:t>
      </w:r>
      <w:r>
        <w:rPr>
          <w:rFonts w:ascii="Arial" w:cs="Arial" w:eastAsia="Arial" w:hAnsi="Arial"/>
          <w:sz w:val="16"/>
          <w:szCs w:val="16"/>
          <w:color w:val="auto"/>
        </w:rPr>
        <w:t>. The Exchange Agent shall invest any cash included in the Exchange Fund as directed by Parent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on a daily basis;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investment or loss thereon shall affect the amounts payable to Company stockholders pursuant to</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00"/>
        <w:spacing w:after="0" w:line="347"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b w:val="1"/>
          <w:bCs w:val="1"/>
          <w:color w:val="auto"/>
        </w:rPr>
        <w:t>Article I</w:t>
      </w:r>
      <w:r>
        <w:rPr>
          <w:rFonts w:ascii="Arial" w:cs="Arial" w:eastAsia="Arial" w:hAnsi="Arial"/>
          <w:sz w:val="16"/>
          <w:szCs w:val="16"/>
          <w:color w:val="auto"/>
        </w:rPr>
        <w:t xml:space="preserve">. Any interest and other income resulting from such investment shall become a part of the Exchange Fund, and any amounts in excess of the amounts payable to Company stockholders pursuant to this </w:t>
      </w:r>
      <w:r>
        <w:rPr>
          <w:rFonts w:ascii="Arial" w:cs="Arial" w:eastAsia="Arial" w:hAnsi="Arial"/>
          <w:sz w:val="16"/>
          <w:szCs w:val="16"/>
          <w:b w:val="1"/>
          <w:bCs w:val="1"/>
          <w:color w:val="auto"/>
        </w:rPr>
        <w:t>Article I</w:t>
      </w:r>
      <w:r>
        <w:rPr>
          <w:rFonts w:ascii="Arial" w:cs="Arial" w:eastAsia="Arial" w:hAnsi="Arial"/>
          <w:sz w:val="16"/>
          <w:szCs w:val="16"/>
          <w:color w:val="auto"/>
        </w:rPr>
        <w:t xml:space="preserve"> shall be paid to Parent as soon as practicable at the end of each calendar month.</w:t>
      </w:r>
    </w:p>
    <w:p>
      <w:pPr>
        <w:spacing w:after="0" w:line="120" w:lineRule="exact"/>
        <w:rPr>
          <w:sz w:val="20"/>
          <w:szCs w:val="20"/>
          <w:color w:val="auto"/>
        </w:rPr>
      </w:pPr>
    </w:p>
    <w:p>
      <w:pPr>
        <w:ind w:left="1960" w:hanging="250"/>
        <w:spacing w:after="0"/>
        <w:tabs>
          <w:tab w:leader="none" w:pos="1960" w:val="left"/>
        </w:tabs>
        <w:numPr>
          <w:ilvl w:val="1"/>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Termination of Exchange Fund</w:t>
      </w:r>
      <w:r>
        <w:rPr>
          <w:rFonts w:ascii="Arial" w:cs="Arial" w:eastAsia="Arial" w:hAnsi="Arial"/>
          <w:sz w:val="16"/>
          <w:szCs w:val="16"/>
          <w:color w:val="auto"/>
        </w:rPr>
        <w:t>. Any portion of the Exchange Fund which remains undistributed to the holders of Certificates six</w:t>
      </w:r>
    </w:p>
    <w:p>
      <w:pPr>
        <w:spacing w:after="0" w:line="46" w:lineRule="exact"/>
        <w:rPr>
          <w:rFonts w:ascii="Arial" w:cs="Arial" w:eastAsia="Arial" w:hAnsi="Arial"/>
          <w:sz w:val="16"/>
          <w:szCs w:val="16"/>
          <w:color w:val="auto"/>
        </w:rPr>
      </w:pPr>
    </w:p>
    <w:p>
      <w:pPr>
        <w:ind w:left="420" w:right="400" w:hanging="7"/>
        <w:spacing w:after="0" w:line="281" w:lineRule="auto"/>
        <w:tabs>
          <w:tab w:leader="none" w:pos="675"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months after the Effective Time shall be delivered to Parent, and any holders of the Certificates who have not surrendered such Certificates in compliance with this </w:t>
      </w:r>
      <w:r>
        <w:rPr>
          <w:rFonts w:ascii="Arial" w:cs="Arial" w:eastAsia="Arial" w:hAnsi="Arial"/>
          <w:sz w:val="16"/>
          <w:szCs w:val="16"/>
          <w:b w:val="1"/>
          <w:bCs w:val="1"/>
          <w:color w:val="auto"/>
        </w:rPr>
        <w:t>Section 1.7</w:t>
      </w:r>
      <w:r>
        <w:rPr>
          <w:rFonts w:ascii="Arial" w:cs="Arial" w:eastAsia="Arial" w:hAnsi="Arial"/>
          <w:sz w:val="16"/>
          <w:szCs w:val="16"/>
          <w:color w:val="auto"/>
        </w:rPr>
        <w:t xml:space="preserve"> shall after such delivery to Parent look only to Parent for the shares of Parent Common Stock pursuant to </w:t>
      </w:r>
      <w:r>
        <w:rPr>
          <w:rFonts w:ascii="Arial" w:cs="Arial" w:eastAsia="Arial" w:hAnsi="Arial"/>
          <w:sz w:val="16"/>
          <w:szCs w:val="16"/>
          <w:b w:val="1"/>
          <w:bCs w:val="1"/>
          <w:color w:val="auto"/>
        </w:rPr>
        <w:t>Section</w:t>
      </w:r>
    </w:p>
    <w:p>
      <w:pPr>
        <w:spacing w:after="0" w:line="1" w:lineRule="exact"/>
        <w:rPr>
          <w:rFonts w:ascii="Arial" w:cs="Arial" w:eastAsia="Arial" w:hAnsi="Arial"/>
          <w:sz w:val="16"/>
          <w:szCs w:val="16"/>
          <w:color w:val="auto"/>
        </w:rPr>
      </w:pPr>
    </w:p>
    <w:p>
      <w:pPr>
        <w:ind w:left="420" w:right="40"/>
        <w:spacing w:after="0" w:line="261" w:lineRule="auto"/>
        <w:rPr>
          <w:rFonts w:ascii="Arial" w:cs="Arial" w:eastAsia="Arial" w:hAnsi="Arial"/>
          <w:sz w:val="16"/>
          <w:szCs w:val="16"/>
          <w:color w:val="auto"/>
        </w:rPr>
      </w:pPr>
      <w:r>
        <w:rPr>
          <w:rFonts w:ascii="Arial" w:cs="Arial" w:eastAsia="Arial" w:hAnsi="Arial"/>
          <w:sz w:val="18"/>
          <w:szCs w:val="18"/>
          <w:b w:val="1"/>
          <w:bCs w:val="1"/>
          <w:color w:val="auto"/>
        </w:rPr>
        <w:t xml:space="preserve">1.6(a), </w:t>
      </w:r>
      <w:r>
        <w:rPr>
          <w:rFonts w:ascii="Arial" w:cs="Arial" w:eastAsia="Arial" w:hAnsi="Arial"/>
          <w:sz w:val="18"/>
          <w:szCs w:val="18"/>
          <w:color w:val="auto"/>
        </w:rPr>
        <w:t>cash in lieu of any fractional shares pursuant to</w:t>
      </w:r>
      <w:r>
        <w:rPr>
          <w:rFonts w:ascii="Arial" w:cs="Arial" w:eastAsia="Arial" w:hAnsi="Arial"/>
          <w:sz w:val="18"/>
          <w:szCs w:val="18"/>
          <w:b w:val="1"/>
          <w:bCs w:val="1"/>
          <w:color w:val="auto"/>
        </w:rPr>
        <w:t xml:space="preserve"> Section 1.6(f) </w:t>
      </w:r>
      <w:r>
        <w:rPr>
          <w:rFonts w:ascii="Arial" w:cs="Arial" w:eastAsia="Arial" w:hAnsi="Arial"/>
          <w:sz w:val="18"/>
          <w:szCs w:val="18"/>
          <w:color w:val="auto"/>
        </w:rPr>
        <w:t>and any dividends or other distributions pursuant to</w:t>
      </w:r>
      <w:r>
        <w:rPr>
          <w:rFonts w:ascii="Arial" w:cs="Arial" w:eastAsia="Arial" w:hAnsi="Arial"/>
          <w:sz w:val="18"/>
          <w:szCs w:val="18"/>
          <w:b w:val="1"/>
          <w:bCs w:val="1"/>
          <w:color w:val="auto"/>
        </w:rPr>
        <w:t xml:space="preserve"> Section 1.7(d) </w:t>
      </w:r>
      <w:r>
        <w:rPr>
          <w:rFonts w:ascii="Arial" w:cs="Arial" w:eastAsia="Arial" w:hAnsi="Arial"/>
          <w:sz w:val="18"/>
          <w:szCs w:val="18"/>
          <w:color w:val="auto"/>
        </w:rPr>
        <w:t>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shares of Company Common Stock formerly represented thereby.</w:t>
      </w:r>
    </w:p>
    <w:p>
      <w:pPr>
        <w:spacing w:after="0" w:line="184"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b w:val="1"/>
          <w:bCs w:val="1"/>
          <w:i w:val="1"/>
          <w:iCs w:val="1"/>
          <w:color w:val="auto"/>
        </w:rPr>
        <w:t>No Further Ownership Rights in Company Common Stock</w:t>
      </w:r>
      <w:r>
        <w:rPr>
          <w:rFonts w:ascii="Arial" w:cs="Arial" w:eastAsia="Arial" w:hAnsi="Arial"/>
          <w:sz w:val="18"/>
          <w:szCs w:val="18"/>
          <w:color w:val="auto"/>
        </w:rPr>
        <w:t xml:space="preserve">. All shares of Parent Common Stock issued upon the surrender for exchange of shares of Company Common Stock in accordance with the terms hereof (including any cash paid in respect thereof pursuant to </w:t>
      </w:r>
      <w:r>
        <w:rPr>
          <w:rFonts w:ascii="Arial" w:cs="Arial" w:eastAsia="Arial" w:hAnsi="Arial"/>
          <w:sz w:val="18"/>
          <w:szCs w:val="18"/>
          <w:b w:val="1"/>
          <w:bCs w:val="1"/>
          <w:color w:val="auto"/>
        </w:rPr>
        <w:t>Section 1.6(f)</w:t>
      </w:r>
      <w:r>
        <w:rPr>
          <w:rFonts w:ascii="Arial" w:cs="Arial" w:eastAsia="Arial" w:hAnsi="Arial"/>
          <w:sz w:val="18"/>
          <w:szCs w:val="18"/>
          <w:color w:val="auto"/>
        </w:rPr>
        <w:t xml:space="preserve"> and </w:t>
      </w:r>
      <w:r>
        <w:rPr>
          <w:rFonts w:ascii="Arial" w:cs="Arial" w:eastAsia="Arial" w:hAnsi="Arial"/>
          <w:sz w:val="18"/>
          <w:szCs w:val="18"/>
          <w:b w:val="1"/>
          <w:bCs w:val="1"/>
          <w:color w:val="auto"/>
        </w:rPr>
        <w:t>1.7(d)</w:t>
      </w:r>
      <w:r>
        <w:rPr>
          <w:rFonts w:ascii="Arial" w:cs="Arial" w:eastAsia="Arial" w:hAnsi="Arial"/>
          <w:sz w:val="18"/>
          <w:szCs w:val="18"/>
          <w:color w:val="auto"/>
        </w:rPr>
        <w:t>) shall be deemed to have been issued in full satisfaction of all rights pertaining to such shares of Company Common Stock, and there shall be no further registration of transfers on the records of the Surviving Corporation of shares of Company Common Stock which were outstanding immediately prior to the Effective Time. If, after the Effective Time, Certificates are presented to the Surviving Corporation for any reason, they shall be canceled and exchanged as provided in this Article I.</w:t>
      </w:r>
    </w:p>
    <w:p>
      <w:pPr>
        <w:spacing w:after="0" w:line="193"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 xml:space="preserve">1.9 </w:t>
      </w:r>
      <w:r>
        <w:rPr>
          <w:rFonts w:ascii="Arial" w:cs="Arial" w:eastAsia="Arial" w:hAnsi="Arial"/>
          <w:sz w:val="16"/>
          <w:szCs w:val="16"/>
          <w:b w:val="1"/>
          <w:bCs w:val="1"/>
          <w:i w:val="1"/>
          <w:iCs w:val="1"/>
          <w:color w:val="auto"/>
        </w:rPr>
        <w:t>Lost, Stolen or Destroyed Certificates</w:t>
      </w:r>
      <w:r>
        <w:rPr>
          <w:rFonts w:ascii="Arial" w:cs="Arial" w:eastAsia="Arial" w:hAnsi="Arial"/>
          <w:sz w:val="16"/>
          <w:szCs w:val="16"/>
          <w:color w:val="auto"/>
        </w:rPr>
        <w:t xml:space="preserve">. In the event any Certificates shall have been lost, stolen or destroyed, the Exchange Agent shall issue in exchange for such lost, stolen or destroyed Certificates, upon the making of an affidavit of that fact by the holder thereof, such shares of Parent Common Stock, cash for fractional shares, if any, as may be required pursuant to </w:t>
      </w:r>
      <w:r>
        <w:rPr>
          <w:rFonts w:ascii="Arial" w:cs="Arial" w:eastAsia="Arial" w:hAnsi="Arial"/>
          <w:sz w:val="16"/>
          <w:szCs w:val="16"/>
          <w:b w:val="1"/>
          <w:bCs w:val="1"/>
          <w:color w:val="auto"/>
        </w:rPr>
        <w:t>Section 1.6(f)</w:t>
      </w:r>
      <w:r>
        <w:rPr>
          <w:rFonts w:ascii="Arial" w:cs="Arial" w:eastAsia="Arial" w:hAnsi="Arial"/>
          <w:sz w:val="16"/>
          <w:szCs w:val="16"/>
          <w:color w:val="auto"/>
        </w:rPr>
        <w:t xml:space="preserve"> and any dividends or distributions payable pursuant to </w:t>
      </w:r>
      <w:r>
        <w:rPr>
          <w:rFonts w:ascii="Arial" w:cs="Arial" w:eastAsia="Arial" w:hAnsi="Arial"/>
          <w:sz w:val="16"/>
          <w:szCs w:val="16"/>
          <w:b w:val="1"/>
          <w:bCs w:val="1"/>
          <w:color w:val="auto"/>
        </w:rPr>
        <w:t>Section 1.7(d)</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Parent may, in its reasonable discretion and as a condition precedent to the issuance thereof, require the owner of such lost, stolen or</w:t>
      </w:r>
      <w:r>
        <w:rPr>
          <w:rFonts w:ascii="Arial" w:cs="Arial" w:eastAsia="Arial" w:hAnsi="Arial"/>
          <w:sz w:val="16"/>
          <w:szCs w:val="16"/>
          <w:i w:val="1"/>
          <w:iCs w:val="1"/>
          <w:color w:val="auto"/>
        </w:rPr>
        <w:t xml:space="preserve"> </w:t>
      </w:r>
      <w:r>
        <w:rPr>
          <w:rFonts w:ascii="Arial" w:cs="Arial" w:eastAsia="Arial" w:hAnsi="Arial"/>
          <w:sz w:val="16"/>
          <w:szCs w:val="16"/>
          <w:color w:val="auto"/>
        </w:rPr>
        <w:t>destroyed Certificates to deliver a bond in such sum as it may reasonably direct as indemnity against any claim that may be made against Parent, the Company or the Exchange Agent with respect to the Certificates alleged to have been lost, stolen or destroyed.</w:t>
      </w:r>
    </w:p>
    <w:p>
      <w:pPr>
        <w:sectPr>
          <w:pgSz w:w="11900" w:h="16838" w:orient="portrait"/>
          <w:cols w:equalWidth="0" w:num="1">
            <w:col w:w="11400"/>
          </w:cols>
          <w:pgMar w:left="240" w:top="121" w:right="259" w:bottom="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b w:val="1"/>
          <w:bCs w:val="1"/>
          <w:i w:val="1"/>
          <w:iCs w:val="1"/>
          <w:color w:val="auto"/>
        </w:rPr>
        <w:t>Further Action</w:t>
      </w:r>
      <w:r>
        <w:rPr>
          <w:rFonts w:ascii="Arial" w:cs="Arial" w:eastAsia="Arial" w:hAnsi="Arial"/>
          <w:sz w:val="18"/>
          <w:szCs w:val="18"/>
          <w:color w:val="auto"/>
        </w:rPr>
        <w:t>. At and after the Effective Time, the officers and directors of Parent and the Surviving Corporation will be authorized to execute and deliver, in the name and on behalf of the Company and Merger Sub, any deeds, bills of sale, assignments or assurances and to take and do, in the name and on behalf of the Company and Merger Sub, any other actions and things to vest, perfect or confirm of record or otherwise in the Surviving Corporation any and all right, title and interest in, to and under any of the rights, properties or assets acquired or to be acquired by the Surviving Corporation as a result of, or in connection with, the Merger.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The Company represents and warrants to Parent and Merger Sub, subject to the exceptions specifically disclosed in writing in the disclosure schedule (referencing the appropriate section or subsection;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information set forth in one section of the disclosure schedule shall be deemed to apply to each other section or subsection thereof to which its relevance is reasonably apparent on its face) supplied by the Company to Parent dated as of the date hereof (the “</w:t>
      </w:r>
      <w:r>
        <w:rPr>
          <w:rFonts w:ascii="Arial" w:cs="Arial" w:eastAsia="Arial" w:hAnsi="Arial"/>
          <w:sz w:val="18"/>
          <w:szCs w:val="18"/>
          <w:b w:val="1"/>
          <w:bCs w:val="1"/>
          <w:color w:val="auto"/>
        </w:rPr>
        <w:t>Company Disclosure Schedule</w:t>
      </w:r>
      <w:r>
        <w:rPr>
          <w:rFonts w:ascii="Arial" w:cs="Arial" w:eastAsia="Arial" w:hAnsi="Arial"/>
          <w:sz w:val="18"/>
          <w:szCs w:val="18"/>
          <w:color w:val="auto"/>
        </w:rPr>
        <w:t>”), as follows: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i w:val="1"/>
          <w:iCs w:val="1"/>
          <w:color w:val="auto"/>
        </w:rPr>
        <w:t>Organization; Standing and Power; Charter Documents; Subsidiaries</w:t>
      </w:r>
      <w:r>
        <w:rPr>
          <w:rFonts w:ascii="Arial" w:cs="Arial" w:eastAsia="Arial" w:hAnsi="Arial"/>
          <w:sz w:val="18"/>
          <w:szCs w:val="18"/>
          <w:color w:val="auto"/>
        </w:rPr>
        <w:t>.</w:t>
      </w:r>
    </w:p>
    <w:p>
      <w:pPr>
        <w:spacing w:after="0" w:line="225" w:lineRule="exact"/>
        <w:rPr>
          <w:sz w:val="20"/>
          <w:szCs w:val="20"/>
          <w:color w:val="auto"/>
        </w:rPr>
      </w:pPr>
    </w:p>
    <w:p>
      <w:pPr>
        <w:ind w:left="420" w:right="140" w:firstLine="1290"/>
        <w:spacing w:after="0" w:line="284" w:lineRule="auto"/>
        <w:tabs>
          <w:tab w:leader="none" w:pos="1954" w:val="left"/>
        </w:tabs>
        <w:numPr>
          <w:ilvl w:val="1"/>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Organization; Standing and Power</w:t>
      </w:r>
      <w:r>
        <w:rPr>
          <w:rFonts w:ascii="Arial" w:cs="Arial" w:eastAsia="Arial" w:hAnsi="Arial"/>
          <w:sz w:val="16"/>
          <w:szCs w:val="16"/>
          <w:color w:val="auto"/>
        </w:rPr>
        <w:t>. The Company and each of its Subsidiaries are each a corporation or other organization duly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organized, validly existing and in good standing under the laws of the jurisdiction of its incorporation or organization and each has the requisite corporate power and authority to own, lease and operate its properties and to carry on its business as currently conducted except where the failure to be so organized, validly existing and in good standing, individually or in the aggregate, would not reasonably be expected to be material to the Company. For purposes of this Agreement, “</w:t>
      </w:r>
      <w:r>
        <w:rPr>
          <w:rFonts w:ascii="Arial" w:cs="Arial" w:eastAsia="Arial" w:hAnsi="Arial"/>
          <w:sz w:val="16"/>
          <w:szCs w:val="16"/>
          <w:b w:val="1"/>
          <w:bCs w:val="1"/>
          <w:color w:val="auto"/>
        </w:rPr>
        <w:t>Subsidiary</w:t>
      </w:r>
      <w:r>
        <w:rPr>
          <w:rFonts w:ascii="Arial" w:cs="Arial" w:eastAsia="Arial" w:hAnsi="Arial"/>
          <w:sz w:val="16"/>
          <w:szCs w:val="16"/>
          <w:color w:val="auto"/>
        </w:rPr>
        <w:t>,” when used with respect to any party, shall mean any corporation, association, business entity, partnership, limited liability company or other Person of which such party, either alone or together with one or more Subsidiaries or by one or more Subsidiaries (i) directly or indirectly owns or controls securities or other interests representing more than 50% of the voting power of such Person or</w:t>
      </w:r>
    </w:p>
    <w:p>
      <w:pPr>
        <w:spacing w:after="0" w:line="2" w:lineRule="exact"/>
        <w:rPr>
          <w:rFonts w:ascii="Arial" w:cs="Arial" w:eastAsia="Arial" w:hAnsi="Arial"/>
          <w:sz w:val="16"/>
          <w:szCs w:val="16"/>
          <w:color w:val="auto"/>
        </w:rPr>
      </w:pPr>
    </w:p>
    <w:p>
      <w:pPr>
        <w:jc w:val="both"/>
        <w:ind w:left="420" w:right="600" w:hanging="7"/>
        <w:spacing w:after="0" w:line="255" w:lineRule="auto"/>
        <w:tabs>
          <w:tab w:leader="none" w:pos="68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 entitled, by Contract or otherwise, to elect, appoint or designate directors constituting a majority of the members of such Person’s board of directors or other governing body. For purposes of this Agreement, “</w:t>
      </w:r>
      <w:r>
        <w:rPr>
          <w:rFonts w:ascii="Arial" w:cs="Arial" w:eastAsia="Arial" w:hAnsi="Arial"/>
          <w:sz w:val="18"/>
          <w:szCs w:val="18"/>
          <w:b w:val="1"/>
          <w:bCs w:val="1"/>
          <w:color w:val="auto"/>
        </w:rPr>
        <w:t>Contract</w:t>
      </w:r>
      <w:r>
        <w:rPr>
          <w:rFonts w:ascii="Arial" w:cs="Arial" w:eastAsia="Arial" w:hAnsi="Arial"/>
          <w:sz w:val="18"/>
          <w:szCs w:val="18"/>
          <w:color w:val="auto"/>
        </w:rPr>
        <w:t>” shall mean any written or oral agreement, contract, arrangement, undertaking or other commitment that is legally binding.</w:t>
      </w:r>
    </w:p>
    <w:p>
      <w:pPr>
        <w:spacing w:after="0" w:line="190" w:lineRule="exact"/>
        <w:rPr>
          <w:rFonts w:ascii="Arial" w:cs="Arial" w:eastAsia="Arial" w:hAnsi="Arial"/>
          <w:sz w:val="18"/>
          <w:szCs w:val="18"/>
          <w:color w:val="auto"/>
        </w:rPr>
      </w:pPr>
    </w:p>
    <w:p>
      <w:pPr>
        <w:ind w:left="420" w:right="40" w:firstLine="1290"/>
        <w:spacing w:after="0" w:line="255" w:lineRule="auto"/>
        <w:tabs>
          <w:tab w:leader="none" w:pos="1964" w:val="left"/>
        </w:tabs>
        <w:numPr>
          <w:ilvl w:val="1"/>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Charter Documents</w:t>
      </w:r>
      <w:r>
        <w:rPr>
          <w:rFonts w:ascii="Arial" w:cs="Arial" w:eastAsia="Arial" w:hAnsi="Arial"/>
          <w:sz w:val="18"/>
          <w:szCs w:val="18"/>
          <w:color w:val="auto"/>
        </w:rPr>
        <w:t>. The Company has Made Available to Parent a true and correct copy of (i) the certificate of incorporation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bylaws of the Company, each as amended to date (collectively, the “</w:t>
      </w:r>
      <w:r>
        <w:rPr>
          <w:rFonts w:ascii="Arial" w:cs="Arial" w:eastAsia="Arial" w:hAnsi="Arial"/>
          <w:sz w:val="18"/>
          <w:szCs w:val="18"/>
          <w:b w:val="1"/>
          <w:bCs w:val="1"/>
          <w:color w:val="auto"/>
        </w:rPr>
        <w:t>Company Charter Documents</w:t>
      </w:r>
      <w:r>
        <w:rPr>
          <w:rFonts w:ascii="Arial" w:cs="Arial" w:eastAsia="Arial" w:hAnsi="Arial"/>
          <w:sz w:val="18"/>
          <w:szCs w:val="18"/>
          <w:color w:val="auto"/>
        </w:rPr>
        <w:t>”) and (ii) the certificate of incorporation and bylaws, or like organizational documents (collectively, “</w:t>
      </w:r>
      <w:r>
        <w:rPr>
          <w:rFonts w:ascii="Arial" w:cs="Arial" w:eastAsia="Arial" w:hAnsi="Arial"/>
          <w:sz w:val="18"/>
          <w:szCs w:val="18"/>
          <w:b w:val="1"/>
          <w:bCs w:val="1"/>
          <w:color w:val="auto"/>
        </w:rPr>
        <w:t>Subsidiary Charter Documents</w:t>
      </w:r>
      <w:r>
        <w:rPr>
          <w:rFonts w:ascii="Arial" w:cs="Arial" w:eastAsia="Arial" w:hAnsi="Arial"/>
          <w:sz w:val="18"/>
          <w:szCs w:val="18"/>
          <w:color w:val="auto"/>
        </w:rPr>
        <w:t>”), of each of its Subsidiaries that is a “significant subsidiary” within the meaning of Rule 1-02 of Regulation S-X promulgated by the SEC (a “</w:t>
      </w:r>
      <w:r>
        <w:rPr>
          <w:rFonts w:ascii="Arial" w:cs="Arial" w:eastAsia="Arial" w:hAnsi="Arial"/>
          <w:sz w:val="18"/>
          <w:szCs w:val="18"/>
          <w:b w:val="1"/>
          <w:bCs w:val="1"/>
          <w:color w:val="auto"/>
        </w:rPr>
        <w:t>Significant Subsidiary</w:t>
      </w:r>
      <w:r>
        <w:rPr>
          <w:rFonts w:ascii="Arial" w:cs="Arial" w:eastAsia="Arial" w:hAnsi="Arial"/>
          <w:sz w:val="18"/>
          <w:szCs w:val="18"/>
          <w:color w:val="auto"/>
        </w:rPr>
        <w:t>”), and each such instrument is in full force and effect. The Company is not in violation of any of the provisions of the Company Charter Documents and each of its Subsidiaries is not in material violation of its respective Subsidiary Charter Documents.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20" w:firstLine="1290"/>
        <w:spacing w:after="0" w:line="255" w:lineRule="auto"/>
        <w:tabs>
          <w:tab w:leader="none" w:pos="1954"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Subsidiaries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Section 2.1(c)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Company Disclosure Schedule sets forth each Subsidiary of the Company. The Company is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 or indirect owner of all of the outstanding shares of capital stock of, or other equity or voting interests in, each such Subsidiary and all such shares have been duly authorized, validly issued and are fully paid and nonassessable, free and clear of all pledges, claims, liens, charges, encumbrances, options and security interests of any kind or nature whatsoever (collectively, “</w:t>
      </w:r>
      <w:r>
        <w:rPr>
          <w:rFonts w:ascii="Arial" w:cs="Arial" w:eastAsia="Arial" w:hAnsi="Arial"/>
          <w:sz w:val="18"/>
          <w:szCs w:val="18"/>
          <w:b w:val="1"/>
          <w:bCs w:val="1"/>
          <w:color w:val="auto"/>
        </w:rPr>
        <w:t>Liens</w:t>
      </w:r>
      <w:r>
        <w:rPr>
          <w:rFonts w:ascii="Arial" w:cs="Arial" w:eastAsia="Arial" w:hAnsi="Arial"/>
          <w:sz w:val="18"/>
          <w:szCs w:val="18"/>
          <w:color w:val="auto"/>
        </w:rPr>
        <w:t>”), except for Permitted Liens and restrictions imposed by applicable securities laws. Other than the Subsidiaries of the Company, neither the Company nor any of its Subsidiaries owns any capital stock of, or other equity or voting interests of any nature in, or any interest convertible, exchangeable or exercisable for, capital stock of, or other equity or voting interests of any nature in, any other Person.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i w:val="1"/>
          <w:iCs w:val="1"/>
          <w:color w:val="auto"/>
        </w:rPr>
        <w:t>Capital Structure</w:t>
      </w:r>
      <w:r>
        <w:rPr>
          <w:rFonts w:ascii="Arial" w:cs="Arial" w:eastAsia="Arial" w:hAnsi="Arial"/>
          <w:sz w:val="18"/>
          <w:szCs w:val="18"/>
          <w:color w:val="auto"/>
        </w:rPr>
        <w:t>.</w:t>
      </w:r>
    </w:p>
    <w:p>
      <w:pPr>
        <w:spacing w:after="0" w:line="225" w:lineRule="exact"/>
        <w:rPr>
          <w:sz w:val="20"/>
          <w:szCs w:val="20"/>
          <w:color w:val="auto"/>
        </w:rPr>
      </w:pPr>
    </w:p>
    <w:p>
      <w:pPr>
        <w:ind w:left="1940" w:hanging="230"/>
        <w:spacing w:after="0"/>
        <w:tabs>
          <w:tab w:leader="none" w:pos="1940" w:val="left"/>
        </w:tabs>
        <w:numPr>
          <w:ilvl w:val="1"/>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Capital Stock</w:t>
      </w:r>
      <w:r>
        <w:rPr>
          <w:rFonts w:ascii="Arial" w:cs="Arial" w:eastAsia="Arial" w:hAnsi="Arial"/>
          <w:sz w:val="16"/>
          <w:szCs w:val="16"/>
          <w:color w:val="auto"/>
        </w:rPr>
        <w:t>. The authorized capital stock of the Company consists of: (i) 200,000,000 shares of Company Common Stock and</w:t>
      </w:r>
    </w:p>
    <w:p>
      <w:pPr>
        <w:spacing w:after="0" w:line="46" w:lineRule="exact"/>
        <w:rPr>
          <w:rFonts w:ascii="Arial" w:cs="Arial" w:eastAsia="Arial" w:hAnsi="Arial"/>
          <w:sz w:val="16"/>
          <w:szCs w:val="16"/>
          <w:color w:val="auto"/>
        </w:rPr>
      </w:pPr>
    </w:p>
    <w:p>
      <w:pPr>
        <w:ind w:left="420" w:right="100" w:hanging="7"/>
        <w:spacing w:after="0" w:line="290" w:lineRule="auto"/>
        <w:tabs>
          <w:tab w:leader="none" w:pos="685" w:val="left"/>
        </w:tabs>
        <w:numPr>
          <w:ilvl w:val="0"/>
          <w:numId w:val="17"/>
        </w:numPr>
        <w:rPr>
          <w:rFonts w:ascii="Arial" w:cs="Arial" w:eastAsia="Arial" w:hAnsi="Arial"/>
          <w:sz w:val="16"/>
          <w:szCs w:val="16"/>
          <w:color w:val="auto"/>
        </w:rPr>
      </w:pPr>
      <w:r>
        <w:rPr>
          <w:rFonts w:ascii="Arial" w:cs="Arial" w:eastAsia="Arial" w:hAnsi="Arial"/>
          <w:sz w:val="16"/>
          <w:szCs w:val="16"/>
          <w:color w:val="auto"/>
        </w:rPr>
        <w:t>10,000,000 shares of undesignated preferred stock, par value $0.0001 per share (the “</w:t>
      </w:r>
      <w:r>
        <w:rPr>
          <w:rFonts w:ascii="Arial" w:cs="Arial" w:eastAsia="Arial" w:hAnsi="Arial"/>
          <w:sz w:val="16"/>
          <w:szCs w:val="16"/>
          <w:b w:val="1"/>
          <w:bCs w:val="1"/>
          <w:color w:val="auto"/>
        </w:rPr>
        <w:t>Company Preferred Stock</w:t>
      </w:r>
      <w:r>
        <w:rPr>
          <w:rFonts w:ascii="Arial" w:cs="Arial" w:eastAsia="Arial" w:hAnsi="Arial"/>
          <w:sz w:val="16"/>
          <w:szCs w:val="16"/>
          <w:color w:val="auto"/>
        </w:rPr>
        <w:t>”). As of the close of business on March 2, 2006: (i) 81,594,594 shares of Company Common Stock were issued and outstanding (excluding shares of Company Common Stock held by the Company in its treasury), (ii) no shares of Company Common Stock were held by the Company in its treasury and (iii) no shares of Company Preferred Stock were issued or outstanding. No shares of Company Common Stock are owned or held by any Subsidiary of the Company. All outstanding shares of Company Common Stock are duly authorized, validly issued, fully paid and non-assessable and are not subject to preemptive rights created by statute, the Company Charter Documents, or any agreement to which the Company is a party or by which it is bound.</w:t>
      </w:r>
    </w:p>
    <w:p>
      <w:pPr>
        <w:spacing w:after="0" w:line="164" w:lineRule="exact"/>
        <w:rPr>
          <w:rFonts w:ascii="Arial" w:cs="Arial" w:eastAsia="Arial" w:hAnsi="Arial"/>
          <w:sz w:val="16"/>
          <w:szCs w:val="16"/>
          <w:color w:val="auto"/>
        </w:rPr>
      </w:pPr>
    </w:p>
    <w:p>
      <w:pPr>
        <w:ind w:left="420" w:right="80" w:firstLine="1290"/>
        <w:spacing w:after="0" w:line="286" w:lineRule="auto"/>
        <w:tabs>
          <w:tab w:leader="none" w:pos="1964" w:val="left"/>
        </w:tabs>
        <w:numPr>
          <w:ilvl w:val="1"/>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Company Options</w:t>
      </w:r>
      <w:r>
        <w:rPr>
          <w:rFonts w:ascii="Arial" w:cs="Arial" w:eastAsia="Arial" w:hAnsi="Arial"/>
          <w:sz w:val="16"/>
          <w:szCs w:val="16"/>
          <w:color w:val="auto"/>
        </w:rPr>
        <w:t>. As of the close of business on March 2, 2006: (i) 20,070,455 shares of Company Common Stock are issuable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upon the exercise of outstanding options to purchase Company Common Stock under the Company’s 2000 Equity Incentive Plan and the Company’s 1996 Stock Option/Stock Issuance Plan (collectively, the “</w:t>
      </w:r>
      <w:r>
        <w:rPr>
          <w:rFonts w:ascii="Arial" w:cs="Arial" w:eastAsia="Arial" w:hAnsi="Arial"/>
          <w:sz w:val="16"/>
          <w:szCs w:val="16"/>
          <w:b w:val="1"/>
          <w:bCs w:val="1"/>
          <w:color w:val="auto"/>
        </w:rPr>
        <w:t>Option Plans</w:t>
      </w:r>
      <w:r>
        <w:rPr>
          <w:rFonts w:ascii="Arial" w:cs="Arial" w:eastAsia="Arial" w:hAnsi="Arial"/>
          <w:sz w:val="16"/>
          <w:szCs w:val="16"/>
          <w:color w:val="auto"/>
        </w:rPr>
        <w:t>”) (such options, whether payable in cash, shares or otherwise granted under or pursuant to the Option Plans are referred to in this Agreement as “</w:t>
      </w:r>
      <w:r>
        <w:rPr>
          <w:rFonts w:ascii="Arial" w:cs="Arial" w:eastAsia="Arial" w:hAnsi="Arial"/>
          <w:sz w:val="16"/>
          <w:szCs w:val="16"/>
          <w:b w:val="1"/>
          <w:bCs w:val="1"/>
          <w:color w:val="auto"/>
        </w:rPr>
        <w:t>Company Options</w:t>
      </w:r>
      <w:r>
        <w:rPr>
          <w:rFonts w:ascii="Arial" w:cs="Arial" w:eastAsia="Arial" w:hAnsi="Arial"/>
          <w:sz w:val="16"/>
          <w:szCs w:val="16"/>
          <w:color w:val="auto"/>
        </w:rPr>
        <w:t>”), the weighted average exercise price of such Company Options is $6.23, and 15,683,189 of such Company Options are vested and exercisable; (ii) 6,301,825 shares of Company Common Stock are available for future grant under the Option Plans; (iii) 2,650,228 shares of Company Common Stock are issuable under the Company’s Employee Stock Purchase Plan (the “</w:t>
      </w:r>
      <w:r>
        <w:rPr>
          <w:rFonts w:ascii="Arial" w:cs="Arial" w:eastAsia="Arial" w:hAnsi="Arial"/>
          <w:sz w:val="16"/>
          <w:szCs w:val="16"/>
          <w:b w:val="1"/>
          <w:bCs w:val="1"/>
          <w:color w:val="auto"/>
        </w:rPr>
        <w:t>ESPP</w:t>
      </w:r>
      <w:r>
        <w:rPr>
          <w:rFonts w:ascii="Arial" w:cs="Arial" w:eastAsia="Arial" w:hAnsi="Arial"/>
          <w:sz w:val="16"/>
          <w:szCs w:val="16"/>
          <w:color w:val="auto"/>
        </w:rPr>
        <w:t xml:space="preserve">”); and (iv) there are no shares of Company Common Stock issuable upon the exercise of outstanding options to purchase Company Common Stock that were not issued under the Option Plans. </w:t>
      </w:r>
      <w:r>
        <w:rPr>
          <w:rFonts w:ascii="Arial" w:cs="Arial" w:eastAsia="Arial" w:hAnsi="Arial"/>
          <w:sz w:val="16"/>
          <w:szCs w:val="16"/>
          <w:b w:val="1"/>
          <w:bCs w:val="1"/>
          <w:color w:val="auto"/>
        </w:rPr>
        <w:t>Section 2.2(b)(i)</w:t>
      </w:r>
      <w:r>
        <w:rPr>
          <w:rFonts w:ascii="Arial" w:cs="Arial" w:eastAsia="Arial" w:hAnsi="Arial"/>
          <w:sz w:val="16"/>
          <w:szCs w:val="16"/>
          <w:color w:val="auto"/>
        </w:rPr>
        <w:t xml:space="preserve"> of the Company Disclosure Schedule sets forth a list of each outstanding Company Option: (a) the name of the holder of such Company Option; (b) the number of shares of Company Common Stock subject to such Company Option; (c) the exercise price of such Company Option; (d) the date on which such Company Option was granted or issued; (e) the Option Plan under which such Company Option was issued and whether such Company Option is an “incentive stock option” (as defined in Section 422 of the Code) or a nonqualified stock option; (f) for each Company Option, whether such Company Option is held by a Person who is not an employee of the Company or any of its Subsidiaries; and (g) the applicable vesting schedule, if any, and the extent</w:t>
      </w:r>
    </w:p>
    <w:p>
      <w:pPr>
        <w:sectPr>
          <w:pgSz w:w="11900" w:h="16838" w:orient="portrait"/>
          <w:cols w:equalWidth="0" w:num="1">
            <w:col w:w="11420"/>
          </w:cols>
          <w:pgMar w:left="240" w:top="125" w:right="239" w:bottom="0" w:gutter="0" w:footer="0" w:header="0"/>
        </w:sectPr>
      </w:pP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11" w:name="page12"/>
    <w:bookmarkEnd w:id="11"/>
    <w:p>
      <w:pPr>
        <w:spacing w:after="0" w:line="114" w:lineRule="exact"/>
        <w:rPr>
          <w:sz w:val="20"/>
          <w:szCs w:val="20"/>
          <w:color w:val="auto"/>
        </w:rPr>
      </w:pPr>
    </w:p>
    <w:p>
      <w:pPr>
        <w:ind w:right="240"/>
        <w:spacing w:after="0" w:line="288" w:lineRule="auto"/>
        <w:rPr>
          <w:sz w:val="20"/>
          <w:szCs w:val="20"/>
          <w:color w:val="auto"/>
        </w:rPr>
      </w:pPr>
      <w:r>
        <w:rPr>
          <w:rFonts w:ascii="Arial" w:cs="Arial" w:eastAsia="Arial" w:hAnsi="Arial"/>
          <w:sz w:val="16"/>
          <w:szCs w:val="16"/>
          <w:color w:val="auto"/>
        </w:rPr>
        <w:t xml:space="preserve">to which such Company Option is vested and exercisable as of the date hereof; (h) the date on which such Company Option expires. All shares of Company Common Stock subject to issuance under the Option Plans and the ESPP, upon issuance on the terms and conditions specified in the instruments pursuant to which they are issuable, would be duly authorized, validly issued, fully paid and nonassessable. Except as set forth in </w:t>
      </w:r>
      <w:r>
        <w:rPr>
          <w:rFonts w:ascii="Arial" w:cs="Arial" w:eastAsia="Arial" w:hAnsi="Arial"/>
          <w:sz w:val="15"/>
          <w:szCs w:val="15"/>
          <w:b w:val="1"/>
          <w:bCs w:val="1"/>
          <w:color w:val="auto"/>
        </w:rPr>
        <w:t>Section</w:t>
      </w:r>
    </w:p>
    <w:p>
      <w:pPr>
        <w:ind w:right="200"/>
        <w:spacing w:after="0" w:line="288" w:lineRule="auto"/>
        <w:rPr>
          <w:sz w:val="20"/>
          <w:szCs w:val="20"/>
          <w:color w:val="auto"/>
        </w:rPr>
      </w:pPr>
      <w:r>
        <w:rPr>
          <w:rFonts w:ascii="Arial" w:cs="Arial" w:eastAsia="Arial" w:hAnsi="Arial"/>
          <w:sz w:val="16"/>
          <w:szCs w:val="16"/>
          <w:b w:val="1"/>
          <w:bCs w:val="1"/>
          <w:color w:val="auto"/>
        </w:rPr>
        <w:t xml:space="preserve">2.2(b)(ii) </w:t>
      </w:r>
      <w:r>
        <w:rPr>
          <w:rFonts w:ascii="Arial" w:cs="Arial" w:eastAsia="Arial" w:hAnsi="Arial"/>
          <w:sz w:val="16"/>
          <w:szCs w:val="16"/>
          <w:color w:val="auto"/>
        </w:rPr>
        <w:t>of the Company Disclosure Schedule, there are no commitments or agreements of any character to which the Company is bound obligating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to accelerate the vesting or exercisability of any Company Option as a result of the Merger (whether alone or upon the occurrence of any additional or subsequent events). </w:t>
      </w:r>
      <w:r>
        <w:rPr>
          <w:rFonts w:ascii="Arial" w:cs="Arial" w:eastAsia="Arial" w:hAnsi="Arial"/>
          <w:sz w:val="16"/>
          <w:szCs w:val="16"/>
          <w:b w:val="1"/>
          <w:bCs w:val="1"/>
          <w:color w:val="auto"/>
        </w:rPr>
        <w:t>Section 2.2(b)(iii)</w:t>
      </w:r>
      <w:r>
        <w:rPr>
          <w:rFonts w:ascii="Arial" w:cs="Arial" w:eastAsia="Arial" w:hAnsi="Arial"/>
          <w:sz w:val="16"/>
          <w:szCs w:val="16"/>
          <w:color w:val="auto"/>
        </w:rPr>
        <w:t xml:space="preserve"> of the Company Disclosure Schedule sets forth the aggregate amount credited to the accounts of participants in the ESPP for, and as of, the end of the most recent bi-weekly payroll period ending prior to the date hereof. There are no outstanding or authorized stock appreciation, phantom stock, profit participation or other similar rights with respect to the Company. Since the Company’s initial public offering, each outstanding Company Option has been granted with an exercise price no less than the fair market value of the shares of Company Common stock subject to such Company Options on the date of grant.</w:t>
      </w:r>
    </w:p>
    <w:p>
      <w:pPr>
        <w:spacing w:after="0" w:line="165" w:lineRule="exact"/>
        <w:rPr>
          <w:sz w:val="20"/>
          <w:szCs w:val="20"/>
          <w:color w:val="auto"/>
        </w:rPr>
      </w:pPr>
    </w:p>
    <w:p>
      <w:pPr>
        <w:ind w:left="20" w:right="80" w:firstLine="1290"/>
        <w:spacing w:after="0" w:line="289" w:lineRule="auto"/>
        <w:tabs>
          <w:tab w:leader="none" w:pos="1554" w:val="left"/>
        </w:tabs>
        <w:numPr>
          <w:ilvl w:val="0"/>
          <w:numId w:val="18"/>
        </w:numPr>
        <w:rPr>
          <w:rFonts w:ascii="Arial" w:cs="Arial" w:eastAsia="Arial" w:hAnsi="Arial"/>
          <w:sz w:val="17"/>
          <w:szCs w:val="17"/>
          <w:color w:val="auto"/>
        </w:rPr>
      </w:pPr>
      <w:r>
        <w:rPr>
          <w:rFonts w:ascii="Arial" w:cs="Arial" w:eastAsia="Arial" w:hAnsi="Arial"/>
          <w:sz w:val="17"/>
          <w:szCs w:val="17"/>
          <w:b w:val="1"/>
          <w:bCs w:val="1"/>
          <w:i w:val="1"/>
          <w:iCs w:val="1"/>
          <w:color w:val="auto"/>
        </w:rPr>
        <w:t>Voting Debt</w:t>
      </w:r>
      <w:r>
        <w:rPr>
          <w:rFonts w:ascii="Arial" w:cs="Arial" w:eastAsia="Arial" w:hAnsi="Arial"/>
          <w:sz w:val="17"/>
          <w:szCs w:val="17"/>
          <w:color w:val="auto"/>
        </w:rPr>
        <w:t>. Except as set forth in</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Section 2.2(c)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Company Disclosure Schedule, no bonds, debentures, notes or other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indebtedness of the Company or any of its Subsidiaries having the right to vote on any matters on which stockholders may vote (or which is convertible into, or exchangeable for, securities having such right) are issued or outstanding as of the date hereof (collectively, “</w:t>
      </w:r>
      <w:r>
        <w:rPr>
          <w:rFonts w:ascii="Arial" w:cs="Arial" w:eastAsia="Arial" w:hAnsi="Arial"/>
          <w:sz w:val="17"/>
          <w:szCs w:val="17"/>
          <w:b w:val="1"/>
          <w:bCs w:val="1"/>
          <w:color w:val="auto"/>
        </w:rPr>
        <w:t>Voting Debt</w:t>
      </w:r>
      <w:r>
        <w:rPr>
          <w:rFonts w:ascii="Arial" w:cs="Arial" w:eastAsia="Arial" w:hAnsi="Arial"/>
          <w:sz w:val="17"/>
          <w:szCs w:val="17"/>
          <w:color w:val="auto"/>
        </w:rPr>
        <w:t>”).</w:t>
      </w:r>
    </w:p>
    <w:p>
      <w:pPr>
        <w:spacing w:after="0" w:line="158" w:lineRule="exact"/>
        <w:rPr>
          <w:rFonts w:ascii="Arial" w:cs="Arial" w:eastAsia="Arial" w:hAnsi="Arial"/>
          <w:sz w:val="17"/>
          <w:szCs w:val="17"/>
          <w:color w:val="auto"/>
        </w:rPr>
      </w:pPr>
    </w:p>
    <w:p>
      <w:pPr>
        <w:ind w:left="20" w:right="20" w:firstLine="1290"/>
        <w:spacing w:after="0" w:line="286" w:lineRule="auto"/>
        <w:tabs>
          <w:tab w:leader="none" w:pos="1564" w:val="left"/>
        </w:tabs>
        <w:numPr>
          <w:ilvl w:val="0"/>
          <w:numId w:val="18"/>
        </w:numPr>
        <w:rPr>
          <w:rFonts w:ascii="Arial" w:cs="Arial" w:eastAsia="Arial" w:hAnsi="Arial"/>
          <w:sz w:val="16"/>
          <w:szCs w:val="16"/>
          <w:color w:val="auto"/>
        </w:rPr>
      </w:pPr>
      <w:r>
        <w:rPr>
          <w:rFonts w:ascii="Arial" w:cs="Arial" w:eastAsia="Arial" w:hAnsi="Arial"/>
          <w:sz w:val="16"/>
          <w:szCs w:val="16"/>
          <w:b w:val="1"/>
          <w:bCs w:val="1"/>
          <w:i w:val="1"/>
          <w:iCs w:val="1"/>
          <w:color w:val="auto"/>
        </w:rPr>
        <w:t>Other Securities</w:t>
      </w:r>
      <w:r>
        <w:rPr>
          <w:rFonts w:ascii="Arial" w:cs="Arial" w:eastAsia="Arial" w:hAnsi="Arial"/>
          <w:sz w:val="16"/>
          <w:szCs w:val="16"/>
          <w:color w:val="auto"/>
        </w:rPr>
        <w:t>. Except as otherwise set forth in</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2.2(b)</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2.2(c)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2.2(d)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Company Disclosure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Schedule, as of the date hereof, there are no securities, options, warrants, calls, rights, contracts, commitments, agreements, instruments, arrangements, understandings, obligations or undertakings of any kind to which the Company or any of its Subsidiaries is a party or by which any of them is bound obligating (or purporting to obligate) the Company or any of its Subsidiaries to (including on a deferred basis) issue, deliver or sell, or cause to be issued, delivered or sold, additional shares of capital stock, Voting Debt, other voting securities or any securities convertible into shares of capital stock, Voting Debt or other voting securities of the Company or any of its Subsidiaries, or obligating the Company or any of its Subsidiaries to issue, grant, extend or enter into any such security, option, warrant, call, right, commitment, agreement, instrument, arrangement, understanding, obligation or undertaking. There are no outstanding Contracts to which the Company or any of its Subsidiaries is a party or by which any of them is bound obligating the Company or any of its Subsidiaries to (i) repurchase, redeem or otherwise acquire any shares of capital stock of, or other equity or voting interests in, the Company or any of its Subsidiaries or (ii) dispose of any shares of the capital stock of, or other equity or voting interests in, any of its Subsidiaries. The Company is not a party to any voting agreement with respect to shares of the capital stock of, or other equity or voting interests in, the Company or any of its Subsidiaries and, to the Company’s Knowledge, other than the Voting Agreements and the irrevocable proxies granted pursuant to the Voting Agreements, there are no irrevocable proxies and no voting agreements, voting trusts, rights plans, anti-takeover plans or registration rights agreements with respect to any shares of the capital stock of, or other equity or voting interests in, the Company or any of its Significant Subsidiaries to which the Company or any of its Subsidiaries is a party or by which any of them are bound.</w:t>
      </w:r>
    </w:p>
    <w:p>
      <w:pPr>
        <w:spacing w:after="0" w:line="17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81280</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right="60" w:firstLine="1290"/>
        <w:spacing w:after="0" w:line="288" w:lineRule="auto"/>
        <w:tabs>
          <w:tab w:leader="none" w:pos="1554" w:val="left"/>
        </w:tabs>
        <w:numPr>
          <w:ilvl w:val="1"/>
          <w:numId w:val="19"/>
        </w:numPr>
        <w:rPr>
          <w:rFonts w:ascii="Arial" w:cs="Arial" w:eastAsia="Arial" w:hAnsi="Arial"/>
          <w:sz w:val="16"/>
          <w:szCs w:val="16"/>
          <w:color w:val="auto"/>
        </w:rPr>
      </w:pPr>
      <w:r>
        <w:rPr>
          <w:rFonts w:ascii="Arial" w:cs="Arial" w:eastAsia="Arial" w:hAnsi="Arial"/>
          <w:sz w:val="16"/>
          <w:szCs w:val="16"/>
          <w:b w:val="1"/>
          <w:bCs w:val="1"/>
          <w:i w:val="1"/>
          <w:iCs w:val="1"/>
          <w:color w:val="auto"/>
        </w:rPr>
        <w:t>No Changes</w:t>
      </w:r>
      <w:r>
        <w:rPr>
          <w:rFonts w:ascii="Arial" w:cs="Arial" w:eastAsia="Arial" w:hAnsi="Arial"/>
          <w:sz w:val="16"/>
          <w:szCs w:val="16"/>
          <w:color w:val="auto"/>
        </w:rPr>
        <w:t>. Since the close of business on March 2, 2006 and through the date hereof, other than (i) pursuant to the exercise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Options outstanding as of the close of business on March 2, 2006 issued pursuant to the Option Plans, (ii) under the ESPP or (iii) repurchases from employees following their termination pursuant to the terms of their pre-existing stock option or purchase agreements, there has been no change in</w:t>
      </w:r>
    </w:p>
    <w:p>
      <w:pPr>
        <w:ind w:left="20" w:right="40" w:hanging="7"/>
        <w:spacing w:after="0" w:line="255" w:lineRule="auto"/>
        <w:tabs>
          <w:tab w:leader="none" w:pos="3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outstanding capital stock of the Company, (B) the number of Company Options outstanding, or (C) the number of other options, warrants or other rights to purchase capital stock of the Company, which, individually or in the aggregate, would constitute a material change in the capitalization of the Company.</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i w:val="1"/>
          <w:iCs w:val="1"/>
          <w:color w:val="auto"/>
        </w:rPr>
        <w:t>Authority; No Conflict; Necessary Consents</w:t>
      </w:r>
      <w:r>
        <w:rPr>
          <w:rFonts w:ascii="Arial" w:cs="Arial" w:eastAsia="Arial" w:hAnsi="Arial"/>
          <w:sz w:val="18"/>
          <w:szCs w:val="18"/>
          <w:color w:val="auto"/>
        </w:rPr>
        <w:t>.</w:t>
      </w:r>
    </w:p>
    <w:p>
      <w:pPr>
        <w:spacing w:after="0" w:line="225" w:lineRule="exact"/>
        <w:rPr>
          <w:sz w:val="20"/>
          <w:szCs w:val="20"/>
          <w:color w:val="auto"/>
        </w:rPr>
      </w:pPr>
    </w:p>
    <w:p>
      <w:pPr>
        <w:ind w:left="20" w:firstLine="1290"/>
        <w:spacing w:after="0" w:line="268" w:lineRule="auto"/>
        <w:tabs>
          <w:tab w:leader="none" w:pos="1554" w:val="left"/>
        </w:tabs>
        <w:numPr>
          <w:ilvl w:val="0"/>
          <w:numId w:val="21"/>
        </w:numPr>
        <w:rPr>
          <w:rFonts w:ascii="Arial" w:cs="Arial" w:eastAsia="Arial" w:hAnsi="Arial"/>
          <w:sz w:val="17"/>
          <w:szCs w:val="17"/>
          <w:color w:val="auto"/>
        </w:rPr>
      </w:pPr>
      <w:r>
        <w:rPr>
          <w:rFonts w:ascii="Arial" w:cs="Arial" w:eastAsia="Arial" w:hAnsi="Arial"/>
          <w:sz w:val="17"/>
          <w:szCs w:val="17"/>
          <w:b w:val="1"/>
          <w:bCs w:val="1"/>
          <w:i w:val="1"/>
          <w:iCs w:val="1"/>
          <w:color w:val="auto"/>
        </w:rPr>
        <w:t>Authority</w:t>
      </w:r>
      <w:r>
        <w:rPr>
          <w:rFonts w:ascii="Arial" w:cs="Arial" w:eastAsia="Arial" w:hAnsi="Arial"/>
          <w:sz w:val="17"/>
          <w:szCs w:val="17"/>
          <w:color w:val="auto"/>
        </w:rPr>
        <w:t>. The Company has all requisite corporate power and authority to enter into this Agreement and to consummate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transactions contemplated hereby (including, without limitation, the actions required by </w:t>
      </w:r>
      <w:r>
        <w:rPr>
          <w:rFonts w:ascii="Arial" w:cs="Arial" w:eastAsia="Arial" w:hAnsi="Arial"/>
          <w:sz w:val="17"/>
          <w:szCs w:val="17"/>
          <w:b w:val="1"/>
          <w:bCs w:val="1"/>
          <w:color w:val="auto"/>
        </w:rPr>
        <w:t>Section 5.13</w:t>
      </w:r>
      <w:r>
        <w:rPr>
          <w:rFonts w:ascii="Arial" w:cs="Arial" w:eastAsia="Arial" w:hAnsi="Arial"/>
          <w:sz w:val="17"/>
          <w:szCs w:val="17"/>
          <w:color w:val="auto"/>
        </w:rPr>
        <w:t xml:space="preserve">), subject, in the case of consummation of the Merger, to obtaining the adoption of this Agreement by the Company’s stockholders as contemplated in </w:t>
      </w:r>
      <w:r>
        <w:rPr>
          <w:rFonts w:ascii="Arial" w:cs="Arial" w:eastAsia="Arial" w:hAnsi="Arial"/>
          <w:sz w:val="17"/>
          <w:szCs w:val="17"/>
          <w:b w:val="1"/>
          <w:bCs w:val="1"/>
          <w:color w:val="auto"/>
        </w:rPr>
        <w:t>Section 5.2</w:t>
      </w:r>
      <w:r>
        <w:rPr>
          <w:rFonts w:ascii="Arial" w:cs="Arial" w:eastAsia="Arial" w:hAnsi="Arial"/>
          <w:sz w:val="17"/>
          <w:szCs w:val="17"/>
          <w:color w:val="auto"/>
        </w:rPr>
        <w:t xml:space="preserve">. The execution and delivery of this Agreement and the consummation of the transactions contemplated hereby (including, without limitation, the actions required by </w:t>
      </w:r>
      <w:r>
        <w:rPr>
          <w:rFonts w:ascii="Arial" w:cs="Arial" w:eastAsia="Arial" w:hAnsi="Arial"/>
          <w:sz w:val="17"/>
          <w:szCs w:val="17"/>
          <w:b w:val="1"/>
          <w:bCs w:val="1"/>
          <w:color w:val="auto"/>
        </w:rPr>
        <w:t>Section 5.13</w:t>
      </w:r>
      <w:r>
        <w:rPr>
          <w:rFonts w:ascii="Arial" w:cs="Arial" w:eastAsia="Arial" w:hAnsi="Arial"/>
          <w:sz w:val="17"/>
          <w:szCs w:val="17"/>
          <w:color w:val="auto"/>
        </w:rPr>
        <w:t xml:space="preserve">) have been duly authorized by all necessary corporate action on the part of the Company and no further action is required on the part of the Company to authorize the execution and delivery of this Agreement or to consummate the Merger and the other transactions contemplated hereby (including, without limitation, the actions required by </w:t>
      </w:r>
      <w:r>
        <w:rPr>
          <w:rFonts w:ascii="Arial" w:cs="Arial" w:eastAsia="Arial" w:hAnsi="Arial"/>
          <w:sz w:val="17"/>
          <w:szCs w:val="17"/>
          <w:b w:val="1"/>
          <w:bCs w:val="1"/>
          <w:color w:val="auto"/>
        </w:rPr>
        <w:t>Section 5.13</w:t>
      </w:r>
      <w:r>
        <w:rPr>
          <w:rFonts w:ascii="Arial" w:cs="Arial" w:eastAsia="Arial" w:hAnsi="Arial"/>
          <w:sz w:val="17"/>
          <w:szCs w:val="17"/>
          <w:color w:val="auto"/>
        </w:rPr>
        <w:t xml:space="preserve">), subject only to the adoption of this Agreement by the Company’s stockholders as contemplated by </w:t>
      </w:r>
      <w:r>
        <w:rPr>
          <w:rFonts w:ascii="Arial" w:cs="Arial" w:eastAsia="Arial" w:hAnsi="Arial"/>
          <w:sz w:val="17"/>
          <w:szCs w:val="17"/>
          <w:b w:val="1"/>
          <w:bCs w:val="1"/>
          <w:color w:val="auto"/>
        </w:rPr>
        <w:t xml:space="preserve">Section 5.2 </w:t>
      </w:r>
      <w:r>
        <w:rPr>
          <w:rFonts w:ascii="Arial" w:cs="Arial" w:eastAsia="Arial" w:hAnsi="Arial"/>
          <w:sz w:val="17"/>
          <w:szCs w:val="17"/>
          <w:color w:val="auto"/>
        </w:rPr>
        <w:t>and the filing of the Certificate of Merger pursuant to Delaware Law. The affirmative vote of the holders of a majority of the outstanding</w:t>
      </w:r>
      <w:r>
        <w:rPr>
          <w:rFonts w:ascii="Arial" w:cs="Arial" w:eastAsia="Arial" w:hAnsi="Arial"/>
          <w:sz w:val="17"/>
          <w:szCs w:val="17"/>
          <w:b w:val="1"/>
          <w:bCs w:val="1"/>
          <w:color w:val="auto"/>
        </w:rPr>
        <w:t xml:space="preserve"> </w:t>
      </w:r>
      <w:r>
        <w:rPr>
          <w:rFonts w:ascii="Arial" w:cs="Arial" w:eastAsia="Arial" w:hAnsi="Arial"/>
          <w:sz w:val="17"/>
          <w:szCs w:val="17"/>
          <w:color w:val="auto"/>
        </w:rPr>
        <w:t>shares of Company Common Stock is the only vote of the holders of any class or series of Company capital stock necessary to adopt this Agreement and consummate the Merger. This Agreement has been duly executed and delivered by the Company and assuming due authorization, execution and delivery by Parent and Merger Sub, constitutes the valid and binding obligation of the Company, enforceable against the Company in accordance with its terms, subject to applicable bankruptcy, insolvency, reorganization, moratorium or other laws relating to or affecting the rights and remedies of creditors generally and to general principles of equity.</w:t>
      </w:r>
    </w:p>
    <w:p>
      <w:pPr>
        <w:spacing w:after="0" w:line="187" w:lineRule="exact"/>
        <w:rPr>
          <w:rFonts w:ascii="Arial" w:cs="Arial" w:eastAsia="Arial" w:hAnsi="Arial"/>
          <w:sz w:val="17"/>
          <w:szCs w:val="17"/>
          <w:color w:val="auto"/>
        </w:rPr>
      </w:pPr>
    </w:p>
    <w:p>
      <w:pPr>
        <w:ind w:left="20" w:right="20" w:firstLine="1290"/>
        <w:spacing w:after="0" w:line="297" w:lineRule="auto"/>
        <w:tabs>
          <w:tab w:leader="none" w:pos="1564"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The Board of Directors of the Company has, by resolution adopted by unanimous vote at a meeting of all Directors duly called and held and, as of the date hereof, has not subsequently rescinded or modified in any way duly (i) determined that the Merger is fair to, and in the best interests of, the Company and its stockholders and declared the Merger to be advisable, (ii) approved this Agreement and the transactions contemplated hereby (including, without limitation, the actions required by </w:t>
      </w:r>
      <w:r>
        <w:rPr>
          <w:rFonts w:ascii="Arial" w:cs="Arial" w:eastAsia="Arial" w:hAnsi="Arial"/>
          <w:sz w:val="16"/>
          <w:szCs w:val="16"/>
          <w:b w:val="1"/>
          <w:bCs w:val="1"/>
          <w:color w:val="auto"/>
        </w:rPr>
        <w:t>Section 5.13</w:t>
      </w:r>
      <w:r>
        <w:rPr>
          <w:rFonts w:ascii="Arial" w:cs="Arial" w:eastAsia="Arial" w:hAnsi="Arial"/>
          <w:sz w:val="16"/>
          <w:szCs w:val="16"/>
          <w:color w:val="auto"/>
        </w:rPr>
        <w:t>), including the Merger, and (iii) recommended that the stockholders of the Company adopt this Agreement and directed that such matter be submitted to the Company’s stockholders at the Stockholders’ Meeting.</w:t>
      </w:r>
    </w:p>
    <w:p>
      <w:pPr>
        <w:spacing w:after="0" w:line="158" w:lineRule="exact"/>
        <w:rPr>
          <w:rFonts w:ascii="Arial" w:cs="Arial" w:eastAsia="Arial" w:hAnsi="Arial"/>
          <w:sz w:val="16"/>
          <w:szCs w:val="16"/>
          <w:color w:val="auto"/>
        </w:rPr>
      </w:pPr>
    </w:p>
    <w:p>
      <w:pPr>
        <w:ind w:left="20" w:right="580" w:firstLine="1290"/>
        <w:spacing w:after="0" w:line="342" w:lineRule="auto"/>
        <w:tabs>
          <w:tab w:leader="none" w:pos="1554" w:val="left"/>
        </w:tabs>
        <w:numPr>
          <w:ilvl w:val="0"/>
          <w:numId w:val="21"/>
        </w:numPr>
        <w:rPr>
          <w:rFonts w:ascii="Arial" w:cs="Arial" w:eastAsia="Arial" w:hAnsi="Arial"/>
          <w:sz w:val="16"/>
          <w:szCs w:val="16"/>
          <w:color w:val="auto"/>
        </w:rPr>
      </w:pPr>
      <w:r>
        <w:rPr>
          <w:rFonts w:ascii="Arial" w:cs="Arial" w:eastAsia="Arial" w:hAnsi="Arial"/>
          <w:sz w:val="16"/>
          <w:szCs w:val="16"/>
          <w:b w:val="1"/>
          <w:bCs w:val="1"/>
          <w:i w:val="1"/>
          <w:iCs w:val="1"/>
          <w:color w:val="auto"/>
        </w:rPr>
        <w:t>No Conflict</w:t>
      </w:r>
      <w:r>
        <w:rPr>
          <w:rFonts w:ascii="Arial" w:cs="Arial" w:eastAsia="Arial" w:hAnsi="Arial"/>
          <w:sz w:val="16"/>
          <w:szCs w:val="16"/>
          <w:color w:val="auto"/>
        </w:rPr>
        <w:t>. The execution and delivery by the Company of this Agreement and the consummation of the transactions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contemplated hereby (including, without limitation, the actions required by </w:t>
      </w:r>
      <w:r>
        <w:rPr>
          <w:rFonts w:ascii="Arial" w:cs="Arial" w:eastAsia="Arial" w:hAnsi="Arial"/>
          <w:sz w:val="16"/>
          <w:szCs w:val="16"/>
          <w:b w:val="1"/>
          <w:bCs w:val="1"/>
          <w:color w:val="auto"/>
        </w:rPr>
        <w:t>Section 5.13</w:t>
      </w:r>
      <w:r>
        <w:rPr>
          <w:rFonts w:ascii="Arial" w:cs="Arial" w:eastAsia="Arial" w:hAnsi="Arial"/>
          <w:sz w:val="16"/>
          <w:szCs w:val="16"/>
          <w:color w:val="auto"/>
        </w:rPr>
        <w:t>) will not (i) conflict with or violate any provision of the</w:t>
      </w:r>
    </w:p>
    <w:p>
      <w:pPr>
        <w:spacing w:after="0" w:line="12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81280</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 xml:space="preserve">Company Charter Documents or any Subsidiary Charter Documents of any Subsidiary of the Company, (ii) subject to obtaining the adoption of this Agreement by the Company’s stockholders as contemplated in </w:t>
      </w:r>
      <w:r>
        <w:rPr>
          <w:rFonts w:ascii="Arial" w:cs="Arial" w:eastAsia="Arial" w:hAnsi="Arial"/>
          <w:sz w:val="16"/>
          <w:szCs w:val="16"/>
          <w:b w:val="1"/>
          <w:bCs w:val="1"/>
          <w:color w:val="auto"/>
        </w:rPr>
        <w:t>Section 5.2</w:t>
      </w:r>
      <w:r>
        <w:rPr>
          <w:rFonts w:ascii="Arial" w:cs="Arial" w:eastAsia="Arial" w:hAnsi="Arial"/>
          <w:sz w:val="16"/>
          <w:szCs w:val="16"/>
          <w:color w:val="auto"/>
        </w:rPr>
        <w:t xml:space="preserve"> and compliance with the requirements set forth in </w:t>
      </w:r>
      <w:r>
        <w:rPr>
          <w:rFonts w:ascii="Arial" w:cs="Arial" w:eastAsia="Arial" w:hAnsi="Arial"/>
          <w:sz w:val="16"/>
          <w:szCs w:val="16"/>
          <w:b w:val="1"/>
          <w:bCs w:val="1"/>
          <w:color w:val="auto"/>
        </w:rPr>
        <w:t>Section 2.3(d)</w:t>
      </w:r>
      <w:r>
        <w:rPr>
          <w:rFonts w:ascii="Arial" w:cs="Arial" w:eastAsia="Arial" w:hAnsi="Arial"/>
          <w:sz w:val="16"/>
          <w:szCs w:val="16"/>
          <w:color w:val="auto"/>
        </w:rPr>
        <w:t>, conflict with or violate any Legal Requirements applicable to the Company or any of its Subsidiaries or by which the Company or any of its Subsidiaries or any</w:t>
      </w:r>
    </w:p>
    <w:p>
      <w:pPr>
        <w:sectPr>
          <w:pgSz w:w="11900" w:h="16952" w:orient="portrait"/>
          <w:cols w:equalWidth="0" w:num="1">
            <w:col w:w="11020"/>
          </w:cols>
          <w:pgMar w:left="640" w:top="584" w:right="239" w:bottom="0" w:gutter="0" w:footer="0" w:header="0"/>
        </w:sectPr>
      </w:pPr>
    </w:p>
    <w:bookmarkStart w:id="12" w:name="page13"/>
    <w:bookmarkEnd w:id="12"/>
    <w:p>
      <w:pPr>
        <w:spacing w:after="0" w:line="286" w:lineRule="auto"/>
        <w:rPr>
          <w:sz w:val="20"/>
          <w:szCs w:val="20"/>
          <w:color w:val="auto"/>
        </w:rPr>
      </w:pPr>
      <w:r>
        <w:rPr>
          <w:rFonts w:ascii="Arial" w:cs="Arial" w:eastAsia="Arial" w:hAnsi="Arial"/>
          <w:sz w:val="16"/>
          <w:szCs w:val="16"/>
          <w:color w:val="auto"/>
        </w:rPr>
        <w:t xml:space="preserve">of their respective properties or assets (whether tangible or intangible) is bound or affected, except for such conflicts or violations that would not reasonably be expected to be material to the Company and its Subsidiaries, taken as a whole, or (iii) except with respect to the transactions contemplated by </w:t>
      </w:r>
      <w:r>
        <w:rPr>
          <w:rFonts w:ascii="Arial" w:cs="Arial" w:eastAsia="Arial" w:hAnsi="Arial"/>
          <w:sz w:val="16"/>
          <w:szCs w:val="16"/>
          <w:b w:val="1"/>
          <w:bCs w:val="1"/>
          <w:color w:val="auto"/>
        </w:rPr>
        <w:t>Section 5.13</w:t>
      </w:r>
      <w:r>
        <w:rPr>
          <w:rFonts w:ascii="Arial" w:cs="Arial" w:eastAsia="Arial" w:hAnsi="Arial"/>
          <w:sz w:val="16"/>
          <w:szCs w:val="16"/>
          <w:color w:val="auto"/>
        </w:rPr>
        <w:t xml:space="preserve"> of this Agreement, result in any material breach of or constitute a material default (or an event that with notice or lapse of time or both would become a material default) under, or materially impair the Company’s rights or to the Company’s Knowledge, alter the rights or obligations of any third party under, or give to others any rights of termination, amendment, acceleration or cancellation of any Company Material Contract, or result in the creation of a Lien on any of the properties or assets of the Company or any of its Subsidiaries other than Permitted Liens. The Company represents and warrants that the initial transfer, assignment or conveyance of patents, patent applications or draft patent applications to IP LLC as contemplated by </w:t>
      </w:r>
      <w:r>
        <w:rPr>
          <w:rFonts w:ascii="Arial" w:cs="Arial" w:eastAsia="Arial" w:hAnsi="Arial"/>
          <w:sz w:val="16"/>
          <w:szCs w:val="16"/>
          <w:b w:val="1"/>
          <w:bCs w:val="1"/>
          <w:color w:val="auto"/>
        </w:rPr>
        <w:t>Section 5.13</w:t>
      </w:r>
      <w:r>
        <w:rPr>
          <w:rFonts w:ascii="Arial" w:cs="Arial" w:eastAsia="Arial" w:hAnsi="Arial"/>
          <w:sz w:val="16"/>
          <w:szCs w:val="16"/>
          <w:color w:val="auto"/>
        </w:rPr>
        <w:t xml:space="preserve"> of this Agreement, while IP LLC is a wholly owned Subsidiary of the Company, will not of itself be a breach or violation of any of the Company Material Contracts. Otherwise, the Company makes no representation or warranty that the Company Material Contracts will not be breached or adversely affected as a result of the transactions contemplated by </w:t>
      </w:r>
      <w:r>
        <w:rPr>
          <w:rFonts w:ascii="Arial" w:cs="Arial" w:eastAsia="Arial" w:hAnsi="Arial"/>
          <w:sz w:val="16"/>
          <w:szCs w:val="16"/>
          <w:b w:val="1"/>
          <w:bCs w:val="1"/>
          <w:color w:val="auto"/>
        </w:rPr>
        <w:t>Section 5.13</w:t>
      </w:r>
      <w:r>
        <w:rPr>
          <w:rFonts w:ascii="Arial" w:cs="Arial" w:eastAsia="Arial" w:hAnsi="Arial"/>
          <w:sz w:val="16"/>
          <w:szCs w:val="16"/>
          <w:color w:val="auto"/>
        </w:rPr>
        <w:t xml:space="preserve"> hereunder. </w:t>
      </w:r>
      <w:r>
        <w:rPr>
          <w:rFonts w:ascii="Arial" w:cs="Arial" w:eastAsia="Arial" w:hAnsi="Arial"/>
          <w:sz w:val="16"/>
          <w:szCs w:val="16"/>
          <w:b w:val="1"/>
          <w:bCs w:val="1"/>
          <w:color w:val="auto"/>
        </w:rPr>
        <w:t>Section 2.3(c)</w:t>
      </w:r>
      <w:r>
        <w:rPr>
          <w:rFonts w:ascii="Arial" w:cs="Arial" w:eastAsia="Arial" w:hAnsi="Arial"/>
          <w:sz w:val="16"/>
          <w:szCs w:val="16"/>
          <w:color w:val="auto"/>
        </w:rPr>
        <w:t xml:space="preserve"> of the Company Disclosure Schedule lists all consents, waivers and approvals required to be obtained in connection with the consummation of the transactions contemplated hereby (including, without limitation, the actions required by </w:t>
      </w:r>
      <w:r>
        <w:rPr>
          <w:rFonts w:ascii="Arial" w:cs="Arial" w:eastAsia="Arial" w:hAnsi="Arial"/>
          <w:sz w:val="16"/>
          <w:szCs w:val="16"/>
          <w:b w:val="1"/>
          <w:bCs w:val="1"/>
          <w:color w:val="auto"/>
        </w:rPr>
        <w:t>Section 5.13</w:t>
      </w:r>
      <w:r>
        <w:rPr>
          <w:rFonts w:ascii="Arial" w:cs="Arial" w:eastAsia="Arial" w:hAnsi="Arial"/>
          <w:sz w:val="16"/>
          <w:szCs w:val="16"/>
          <w:color w:val="auto"/>
        </w:rPr>
        <w:t>) under any Contract to which the Company or any of its Subsidiaries is a party or by which the Company or any of its Subsidiaries is bound or any of their properties or assets is bound or affected, which if not obtained or made would not, individually or in the aggregate, reasonably be expected to have a Material Adverse Effect on the Company.</w:t>
      </w:r>
    </w:p>
    <w:p>
      <w:pPr>
        <w:spacing w:after="0" w:line="172" w:lineRule="exact"/>
        <w:rPr>
          <w:sz w:val="20"/>
          <w:szCs w:val="20"/>
          <w:color w:val="auto"/>
        </w:rPr>
      </w:pPr>
    </w:p>
    <w:p>
      <w:pPr>
        <w:ind w:left="20" w:right="100" w:firstLine="1290"/>
        <w:spacing w:after="0" w:line="287" w:lineRule="auto"/>
        <w:tabs>
          <w:tab w:leader="none" w:pos="1564" w:val="left"/>
        </w:tabs>
        <w:numPr>
          <w:ilvl w:val="0"/>
          <w:numId w:val="22"/>
        </w:numPr>
        <w:rPr>
          <w:rFonts w:ascii="Arial" w:cs="Arial" w:eastAsia="Arial" w:hAnsi="Arial"/>
          <w:sz w:val="16"/>
          <w:szCs w:val="16"/>
          <w:color w:val="auto"/>
        </w:rPr>
      </w:pPr>
      <w:r>
        <w:rPr>
          <w:rFonts w:ascii="Arial" w:cs="Arial" w:eastAsia="Arial" w:hAnsi="Arial"/>
          <w:sz w:val="16"/>
          <w:szCs w:val="16"/>
          <w:b w:val="1"/>
          <w:bCs w:val="1"/>
          <w:i w:val="1"/>
          <w:iCs w:val="1"/>
          <w:color w:val="auto"/>
        </w:rPr>
        <w:t>Necessary Consents</w:t>
      </w:r>
      <w:r>
        <w:rPr>
          <w:rFonts w:ascii="Arial" w:cs="Arial" w:eastAsia="Arial" w:hAnsi="Arial"/>
          <w:sz w:val="16"/>
          <w:szCs w:val="16"/>
          <w:color w:val="auto"/>
        </w:rPr>
        <w:t>. No consent, waiver, approval, order or authorization of, or registration, declaration or filing with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supranational, national, state, municipal, local or foreign government, any instrumentality, subdivision, court, administrative agency or commission or other governmental authority or instrumentality or any quasi-governmental or private body exercising any regulatory, taxing, importing or other governmental or quasi-governmental authority (a ”</w:t>
      </w:r>
      <w:r>
        <w:rPr>
          <w:rFonts w:ascii="Arial" w:cs="Arial" w:eastAsia="Arial" w:hAnsi="Arial"/>
          <w:sz w:val="16"/>
          <w:szCs w:val="16"/>
          <w:b w:val="1"/>
          <w:bCs w:val="1"/>
          <w:color w:val="auto"/>
        </w:rPr>
        <w:t>Governmental Entity</w:t>
      </w:r>
      <w:r>
        <w:rPr>
          <w:rFonts w:ascii="Arial" w:cs="Arial" w:eastAsia="Arial" w:hAnsi="Arial"/>
          <w:sz w:val="16"/>
          <w:szCs w:val="16"/>
          <w:color w:val="auto"/>
        </w:rPr>
        <w:t xml:space="preserve">”) is required to be obtained or made by the Company in connection with the execution and delivery of this Agreement by the Company or the consummation of the Merger by the Company and other transactions contemplated hereby (including, without limitation, the actions required by </w:t>
      </w:r>
      <w:r>
        <w:rPr>
          <w:rFonts w:ascii="Arial" w:cs="Arial" w:eastAsia="Arial" w:hAnsi="Arial"/>
          <w:sz w:val="16"/>
          <w:szCs w:val="16"/>
          <w:b w:val="1"/>
          <w:bCs w:val="1"/>
          <w:color w:val="auto"/>
        </w:rPr>
        <w:t>Section 5.13</w:t>
      </w:r>
      <w:r>
        <w:rPr>
          <w:rFonts w:ascii="Arial" w:cs="Arial" w:eastAsia="Arial" w:hAnsi="Arial"/>
          <w:sz w:val="16"/>
          <w:szCs w:val="16"/>
          <w:color w:val="auto"/>
        </w:rPr>
        <w:t>) and thereby, except for (i) the filing of the Certificate of Merger with the Secretary of State of the State of Delaware and appropriate documents with the relevant authorities of other states in which the Company or Parent are qualified to do business, (ii) the filing and effectiveness of the Registration Statement with the United States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in accordance with the requirements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and the rules and regulations promulgated thereunder, (iii) the filing of the Notification and Report Forms with the United States Federal Trade Commission (“</w:t>
      </w:r>
      <w:r>
        <w:rPr>
          <w:rFonts w:ascii="Arial" w:cs="Arial" w:eastAsia="Arial" w:hAnsi="Arial"/>
          <w:sz w:val="16"/>
          <w:szCs w:val="16"/>
          <w:b w:val="1"/>
          <w:bCs w:val="1"/>
          <w:color w:val="auto"/>
        </w:rPr>
        <w:t>FTC</w:t>
      </w:r>
      <w:r>
        <w:rPr>
          <w:rFonts w:ascii="Arial" w:cs="Arial" w:eastAsia="Arial" w:hAnsi="Arial"/>
          <w:sz w:val="16"/>
          <w:szCs w:val="16"/>
          <w:color w:val="auto"/>
        </w:rPr>
        <w:t>”) and the Antitrust Division of the United States Department of Justice (“</w:t>
      </w:r>
      <w:r>
        <w:rPr>
          <w:rFonts w:ascii="Arial" w:cs="Arial" w:eastAsia="Arial" w:hAnsi="Arial"/>
          <w:sz w:val="16"/>
          <w:szCs w:val="16"/>
          <w:b w:val="1"/>
          <w:bCs w:val="1"/>
          <w:color w:val="auto"/>
        </w:rPr>
        <w:t>DOJ</w:t>
      </w:r>
      <w:r>
        <w:rPr>
          <w:rFonts w:ascii="Arial" w:cs="Arial" w:eastAsia="Arial" w:hAnsi="Arial"/>
          <w:sz w:val="16"/>
          <w:szCs w:val="16"/>
          <w:color w:val="auto"/>
        </w:rPr>
        <w:t>”) required by the Hart-Scott-Rodino Antitrust</w:t>
      </w:r>
    </w:p>
    <w:p>
      <w:pPr>
        <w:spacing w:after="0" w:line="17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81280</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Improvements Act of 1976, as amended (“</w:t>
      </w:r>
      <w:r>
        <w:rPr>
          <w:rFonts w:ascii="Arial" w:cs="Arial" w:eastAsia="Arial" w:hAnsi="Arial"/>
          <w:sz w:val="16"/>
          <w:szCs w:val="16"/>
          <w:b w:val="1"/>
          <w:bCs w:val="1"/>
          <w:color w:val="auto"/>
        </w:rPr>
        <w:t>HSR Act</w:t>
      </w:r>
      <w:r>
        <w:rPr>
          <w:rFonts w:ascii="Arial" w:cs="Arial" w:eastAsia="Arial" w:hAnsi="Arial"/>
          <w:sz w:val="16"/>
          <w:szCs w:val="16"/>
          <w:color w:val="auto"/>
        </w:rPr>
        <w:t xml:space="preserve">”) and the expiration or termination of the applicable waiting period under the HSR Act and such consents, waivers, approvals, orders, authorizations, registrations, declarations and filings as may be required under the foreign merger control regulations identified in </w:t>
      </w:r>
      <w:r>
        <w:rPr>
          <w:rFonts w:ascii="Arial" w:cs="Arial" w:eastAsia="Arial" w:hAnsi="Arial"/>
          <w:sz w:val="16"/>
          <w:szCs w:val="16"/>
          <w:b w:val="1"/>
          <w:bCs w:val="1"/>
          <w:color w:val="auto"/>
        </w:rPr>
        <w:t>Section 2.3(d)</w:t>
      </w:r>
      <w:r>
        <w:rPr>
          <w:rFonts w:ascii="Arial" w:cs="Arial" w:eastAsia="Arial" w:hAnsi="Arial"/>
          <w:sz w:val="16"/>
          <w:szCs w:val="16"/>
          <w:color w:val="auto"/>
        </w:rPr>
        <w:t xml:space="preserve"> of the Company Disclosure Schedule, (iv) approval of the Company’s stockholders as contemplated in </w:t>
      </w:r>
      <w:r>
        <w:rPr>
          <w:rFonts w:ascii="Arial" w:cs="Arial" w:eastAsia="Arial" w:hAnsi="Arial"/>
          <w:sz w:val="16"/>
          <w:szCs w:val="16"/>
          <w:b w:val="1"/>
          <w:bCs w:val="1"/>
          <w:color w:val="auto"/>
        </w:rPr>
        <w:t>Section</w:t>
      </w:r>
    </w:p>
    <w:p>
      <w:pPr>
        <w:spacing w:after="0" w:line="2"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color w:val="auto"/>
        </w:rPr>
        <w:t>5.2</w:t>
      </w:r>
      <w:r>
        <w:rPr>
          <w:rFonts w:ascii="Arial" w:cs="Arial" w:eastAsia="Arial" w:hAnsi="Arial"/>
          <w:sz w:val="17"/>
          <w:szCs w:val="17"/>
          <w:color w:val="auto"/>
        </w:rPr>
        <w:t>, (v) such other filings and notifications as may be required to be made by the Company under federal, state or foreign securities laws or the rules and</w:t>
      </w:r>
      <w:r>
        <w:rPr>
          <w:rFonts w:ascii="Arial" w:cs="Arial" w:eastAsia="Arial" w:hAnsi="Arial"/>
          <w:sz w:val="17"/>
          <w:szCs w:val="17"/>
          <w:b w:val="1"/>
          <w:bCs w:val="1"/>
          <w:color w:val="auto"/>
        </w:rPr>
        <w:t xml:space="preserve"> </w:t>
      </w:r>
      <w:r>
        <w:rPr>
          <w:rFonts w:ascii="Arial" w:cs="Arial" w:eastAsia="Arial" w:hAnsi="Arial"/>
          <w:sz w:val="17"/>
          <w:szCs w:val="17"/>
          <w:color w:val="auto"/>
        </w:rPr>
        <w:t>regulations of the Nasdaq National Market and (vi) such other consents, waivers, approvals, orders, authorizations, registrations, declarations and filings which, if not obtained or made would not, individually or in the aggregate, reasonably be expected to materially affect the ability of the Company to consummate the Merger or have a Material Adverse Effect on the Company. The consents, approvals, orders, authorizations, registrations, declarations and filings set forth in (i) through (v) are referred to herein as the “</w:t>
      </w:r>
      <w:r>
        <w:rPr>
          <w:rFonts w:ascii="Arial" w:cs="Arial" w:eastAsia="Arial" w:hAnsi="Arial"/>
          <w:sz w:val="17"/>
          <w:szCs w:val="17"/>
          <w:b w:val="1"/>
          <w:bCs w:val="1"/>
          <w:color w:val="auto"/>
        </w:rPr>
        <w:t>Necessary Consents</w:t>
      </w:r>
      <w:r>
        <w:rPr>
          <w:rFonts w:ascii="Arial" w:cs="Arial" w:eastAsia="Arial" w:hAnsi="Arial"/>
          <w:sz w:val="17"/>
          <w:szCs w:val="17"/>
          <w:color w:val="auto"/>
        </w:rPr>
        <w:t>.”</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b w:val="1"/>
          <w:bCs w:val="1"/>
          <w:i w:val="1"/>
          <w:iCs w:val="1"/>
          <w:color w:val="auto"/>
        </w:rPr>
        <w:t>SEC Filings; Financial Statements; Internal Controls</w:t>
      </w:r>
      <w:r>
        <w:rPr>
          <w:rFonts w:ascii="Arial" w:cs="Arial" w:eastAsia="Arial" w:hAnsi="Arial"/>
          <w:sz w:val="18"/>
          <w:szCs w:val="18"/>
          <w:color w:val="auto"/>
        </w:rPr>
        <w:t>.</w:t>
      </w:r>
    </w:p>
    <w:p>
      <w:pPr>
        <w:spacing w:after="0" w:line="225" w:lineRule="exact"/>
        <w:rPr>
          <w:sz w:val="20"/>
          <w:szCs w:val="20"/>
          <w:color w:val="auto"/>
        </w:rPr>
      </w:pPr>
    </w:p>
    <w:p>
      <w:pPr>
        <w:ind w:left="20" w:firstLine="1290"/>
        <w:spacing w:after="0" w:line="285" w:lineRule="auto"/>
        <w:tabs>
          <w:tab w:leader="none" w:pos="1554" w:val="left"/>
        </w:tabs>
        <w:numPr>
          <w:ilvl w:val="0"/>
          <w:numId w:val="23"/>
        </w:numPr>
        <w:rPr>
          <w:rFonts w:ascii="Arial" w:cs="Arial" w:eastAsia="Arial" w:hAnsi="Arial"/>
          <w:sz w:val="16"/>
          <w:szCs w:val="16"/>
          <w:color w:val="auto"/>
        </w:rPr>
      </w:pPr>
      <w:r>
        <w:rPr>
          <w:rFonts w:ascii="Arial" w:cs="Arial" w:eastAsia="Arial" w:hAnsi="Arial"/>
          <w:sz w:val="16"/>
          <w:szCs w:val="16"/>
          <w:b w:val="1"/>
          <w:bCs w:val="1"/>
          <w:i w:val="1"/>
          <w:iCs w:val="1"/>
          <w:color w:val="auto"/>
        </w:rPr>
        <w:t>SEC Filings</w:t>
      </w:r>
      <w:r>
        <w:rPr>
          <w:rFonts w:ascii="Arial" w:cs="Arial" w:eastAsia="Arial" w:hAnsi="Arial"/>
          <w:sz w:val="16"/>
          <w:szCs w:val="16"/>
          <w:color w:val="auto"/>
        </w:rPr>
        <w:t>. The Company has timely filed all required registration statements, prospectuses, reports, schedules, forms,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statements and other documents (including exhibits and all other information incorporated by reference) required to be filed by it with the SEC since January 1, 2003. All such required registration statements, prospectuses, reports, schedules, forms, statements and other documents, as each of the foregoing have been amended since the time of their filing, (including those that the Company may file subsequent to the date hereof) are referred to herein as the “</w:t>
      </w:r>
      <w:r>
        <w:rPr>
          <w:rFonts w:ascii="Arial" w:cs="Arial" w:eastAsia="Arial" w:hAnsi="Arial"/>
          <w:sz w:val="16"/>
          <w:szCs w:val="16"/>
          <w:b w:val="1"/>
          <w:bCs w:val="1"/>
          <w:color w:val="auto"/>
        </w:rPr>
        <w:t>Company SEC Reports</w:t>
      </w:r>
      <w:r>
        <w:rPr>
          <w:rFonts w:ascii="Arial" w:cs="Arial" w:eastAsia="Arial" w:hAnsi="Arial"/>
          <w:sz w:val="16"/>
          <w:szCs w:val="16"/>
          <w:color w:val="auto"/>
        </w:rPr>
        <w:t>.” As of their respective dates, the Company SEC Reports (i) were prepared in accordance with, and complied in all material respects with, the requirements of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or the Exchange Act, as the case may be, and, in each case, the rules and regulations promulgated thereunder applicable to such Company SEC Reports and (ii) did not at the time they were filed contain any untrue statement of a material fact or omit to state a material fact required to be stated therein or necessary in order to make the statements therein, in the light of the circumstances under which they were made, not misleading, except to the extent revised: (A) in the case of Company SEC Reports filed on or prior to the date of this Agreement that were amended or superseded on or prior to the date of this Agreement, by the filing of the applicable amending or superseding Company SEC Report; and (B) in the case of Company SEC Reports filed after the date of this Agreement that are amended or superseded prior to the Closing, by the filing of the applicable amending or superseding Company SEC Report. None of the Company’s Subsidiaries is required to file any forms, reports or other documents with the SEC. The Company has Made Available to Parent complete and correct copies of all amendments and modifications to the Company SEC Reports effected prior to the date of this Agreement that have not yet been filed by the Company with the SEC but which are required to be filed. The Company has Made Available to Parent true, correct and complete copies of all correspondence, other than transmittal correspondence, between the SEC, on the one hand, and the Company and any of its Subsidiaries, on the other, since January 1, 2003, including all SEC comment letters and responses to such comment letters by or on behalf of the Company. To the Company’s Knowledge, as of the date hereof, none of the Company SEC Reports is the subject of ongoing SEC review or outstanding SEC comment. Each of the principal executive officers of the Company and the principal</w:t>
      </w:r>
    </w:p>
    <w:p>
      <w:pPr>
        <w:spacing w:after="0" w:line="38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81280</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financial officer of the Company (or each former principal executive officer of the Company and each former principal financial officer of the Company, as applicable) has made all certifications required by Rule 13a-14 or Rule 15d-14 under the Exchange Act or Sections 302 and 906 of the Sarbanes-Oxley Act of 2002 with respect to the Company SEC Reports. For purposes of the preceding sentence, “principal executive officer” and “principal financial officer” shall have the meanings given to such terms in the Sarbanes-Oxley Act of 2002.</w:t>
      </w:r>
    </w:p>
    <w:p>
      <w:pPr>
        <w:spacing w:after="0" w:line="187" w:lineRule="exact"/>
        <w:rPr>
          <w:sz w:val="20"/>
          <w:szCs w:val="20"/>
          <w:color w:val="auto"/>
        </w:rPr>
      </w:pPr>
    </w:p>
    <w:p>
      <w:pPr>
        <w:jc w:val="both"/>
        <w:ind w:left="20" w:right="80" w:firstLine="1290"/>
        <w:spacing w:after="0" w:line="286" w:lineRule="auto"/>
        <w:tabs>
          <w:tab w:leader="none" w:pos="1564" w:val="left"/>
        </w:tabs>
        <w:numPr>
          <w:ilvl w:val="1"/>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Financial Statements</w:t>
      </w:r>
      <w:r>
        <w:rPr>
          <w:rFonts w:ascii="Arial" w:cs="Arial" w:eastAsia="Arial" w:hAnsi="Arial"/>
          <w:sz w:val="16"/>
          <w:szCs w:val="16"/>
          <w:color w:val="auto"/>
        </w:rPr>
        <w:t>. Each of the consolidated financial statements (including, in each case, any related notes thereto) contained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Company SEC Reports and the consolidated statement of operations, consolidated statement of cash flows and consolidated balance sheet for the year ended, and as of, December 31, 2005 (the “</w:t>
      </w:r>
      <w:r>
        <w:rPr>
          <w:rFonts w:ascii="Arial" w:cs="Arial" w:eastAsia="Arial" w:hAnsi="Arial"/>
          <w:sz w:val="16"/>
          <w:szCs w:val="16"/>
          <w:b w:val="1"/>
          <w:bCs w:val="1"/>
          <w:color w:val="auto"/>
        </w:rPr>
        <w:t>Company Financials</w:t>
      </w:r>
      <w:r>
        <w:rPr>
          <w:rFonts w:ascii="Arial" w:cs="Arial" w:eastAsia="Arial" w:hAnsi="Arial"/>
          <w:sz w:val="16"/>
          <w:szCs w:val="16"/>
          <w:color w:val="auto"/>
        </w:rPr>
        <w:t>”) Made Available to Parent, including each Company SEC Report filed after the date hereof until the Closing: (i) complied as to form in all material respects with the published rules and regulations of the SEC with respect thereto,</w:t>
      </w:r>
    </w:p>
    <w:p>
      <w:pPr>
        <w:spacing w:after="0" w:line="1" w:lineRule="exact"/>
        <w:rPr>
          <w:rFonts w:ascii="Arial" w:cs="Arial" w:eastAsia="Arial" w:hAnsi="Arial"/>
          <w:sz w:val="16"/>
          <w:szCs w:val="16"/>
          <w:color w:val="auto"/>
        </w:rPr>
      </w:pPr>
    </w:p>
    <w:p>
      <w:pPr>
        <w:ind w:left="280" w:hanging="267"/>
        <w:spacing w:after="0"/>
        <w:tabs>
          <w:tab w:leader="none" w:pos="2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was prepared in accordance with United States generally accepted accounting principles (“</w:t>
      </w:r>
      <w:r>
        <w:rPr>
          <w:rFonts w:ascii="Arial" w:cs="Arial" w:eastAsia="Arial" w:hAnsi="Arial"/>
          <w:sz w:val="16"/>
          <w:szCs w:val="16"/>
          <w:b w:val="1"/>
          <w:bCs w:val="1"/>
          <w:color w:val="auto"/>
        </w:rPr>
        <w:t>GAAP</w:t>
      </w:r>
      <w:r>
        <w:rPr>
          <w:rFonts w:ascii="Arial" w:cs="Arial" w:eastAsia="Arial" w:hAnsi="Arial"/>
          <w:sz w:val="16"/>
          <w:szCs w:val="16"/>
          <w:color w:val="auto"/>
        </w:rPr>
        <w:t>”) applied on a consistent basis throughout the</w:t>
      </w:r>
    </w:p>
    <w:p>
      <w:pPr>
        <w:sectPr>
          <w:pgSz w:w="11900" w:h="16838" w:orient="portrait"/>
          <w:cols w:equalWidth="0" w:num="1">
            <w:col w:w="11000"/>
          </w:cols>
          <w:pgMar w:left="640" w:top="125" w:right="259" w:bottom="0" w:gutter="0" w:footer="0" w:header="0"/>
        </w:sectPr>
      </w:pPr>
    </w:p>
    <w:bookmarkStart w:id="13" w:name="page14"/>
    <w:bookmarkEnd w:id="13"/>
    <w:p>
      <w:pPr>
        <w:spacing w:after="0" w:line="87" w:lineRule="exact"/>
        <w:rPr>
          <w:sz w:val="20"/>
          <w:szCs w:val="20"/>
          <w:color w:val="auto"/>
        </w:rPr>
      </w:pPr>
    </w:p>
    <w:p>
      <w:pPr>
        <w:ind w:left="420"/>
        <w:spacing w:after="0" w:line="285" w:lineRule="auto"/>
        <w:rPr>
          <w:sz w:val="20"/>
          <w:szCs w:val="20"/>
          <w:color w:val="auto"/>
        </w:rPr>
      </w:pPr>
      <w:r>
        <w:rPr>
          <w:rFonts w:ascii="Arial" w:cs="Arial" w:eastAsia="Arial" w:hAnsi="Arial"/>
          <w:sz w:val="16"/>
          <w:szCs w:val="16"/>
          <w:color w:val="auto"/>
        </w:rPr>
        <w:t>periods covered (except as may be indicated in the notes thereto or, in the case of unaudited interim financial statements, as may be permitted by the rules of the SEC and except that the unaudited financial statements may not contain footnotes and are subject to normal and recurring year-end adjustments) and (iii) fairly presented in all material respects the consolidated financial position of the Company and its consolidated Subsidiaries as at the respective dates thereof and the consolidated results of the Company’s operations and cash flows for the periods indicated (subject, in the case of unaudited quarterly statements, to normal year-end audit adjustments). The Company does not intend to correct or restate, and to the Company’s Knowledge, there is not any basis to correct or restate any of the Company Financials. The consolidated balance sheet of the Company and its consolidated subsidiaries as of December 31, 2005 Made Available to Parent is hereinafter referred to as the “</w:t>
      </w:r>
      <w:r>
        <w:rPr>
          <w:rFonts w:ascii="Arial" w:cs="Arial" w:eastAsia="Arial" w:hAnsi="Arial"/>
          <w:sz w:val="16"/>
          <w:szCs w:val="16"/>
          <w:b w:val="1"/>
          <w:bCs w:val="1"/>
          <w:color w:val="auto"/>
        </w:rPr>
        <w:t>Company Balance Sheet</w:t>
      </w:r>
      <w:r>
        <w:rPr>
          <w:rFonts w:ascii="Arial" w:cs="Arial" w:eastAsia="Arial" w:hAnsi="Arial"/>
          <w:sz w:val="16"/>
          <w:szCs w:val="16"/>
          <w:color w:val="auto"/>
        </w:rPr>
        <w:t>.” Except as disclosed in the Company Financials, since the date of the Company Balance Sheet, neither the Company nor any of its Subsidiaries has any liabilities (absolute, accrued, contingent or otherwise) of a nature required to be disclosed on a consolidated balance sheet or in the related notes to the consolidated financial statement prepared in accordance with GAAP, except for (i) liabilities incurred since the date of the Company Balance Sheet in the ordinary course of business consistent with past practice, (ii) liabilities incurred in connection with this Agreement or the transactions contemplated hereby and (iii) liabilities that would not reasonably be expected to be material to the Company and its Subsidiaries, taken as a whole. The Company has not had any disagreement with PricewaterhouseCoopers, its independent public accountants, regarding material accounting matters or policies during any of its past three full fiscal years or during the current fiscal year-to-date. The books and records of the Company and each Subsidiary have been, and are being, maintained in accordance with applicable legal and accounting requirements and the Company Financials are consistent with such books and records. Neither the Company nor any of its Subsidiaries is a party to, or has any commitment to become a party to, any “off-balance sheet arrangements” (as defined in Item 303(a) of Regulation S-K of the SEC).</w:t>
      </w:r>
    </w:p>
    <w:p>
      <w:pPr>
        <w:spacing w:after="0" w:line="175" w:lineRule="exact"/>
        <w:rPr>
          <w:sz w:val="20"/>
          <w:szCs w:val="20"/>
          <w:color w:val="auto"/>
        </w:rPr>
      </w:pPr>
    </w:p>
    <w:p>
      <w:pPr>
        <w:ind w:left="420" w:right="160" w:firstLine="1290"/>
        <w:spacing w:after="0" w:line="308" w:lineRule="auto"/>
        <w:tabs>
          <w:tab w:leader="none" w:pos="1954" w:val="left"/>
        </w:tabs>
        <w:numPr>
          <w:ilvl w:val="0"/>
          <w:numId w:val="26"/>
        </w:numPr>
        <w:rPr>
          <w:rFonts w:ascii="Arial" w:cs="Arial" w:eastAsia="Arial" w:hAnsi="Arial"/>
          <w:sz w:val="17"/>
          <w:szCs w:val="17"/>
          <w:color w:val="auto"/>
        </w:rPr>
      </w:pPr>
      <w:r>
        <w:rPr>
          <w:rFonts w:ascii="Arial" w:cs="Arial" w:eastAsia="Arial" w:hAnsi="Arial"/>
          <w:sz w:val="17"/>
          <w:szCs w:val="17"/>
          <w:b w:val="1"/>
          <w:bCs w:val="1"/>
          <w:i w:val="1"/>
          <w:iCs w:val="1"/>
          <w:color w:val="auto"/>
        </w:rPr>
        <w:t>Internal Controls</w:t>
      </w:r>
      <w:r>
        <w:rPr>
          <w:rFonts w:ascii="Arial" w:cs="Arial" w:eastAsia="Arial" w:hAnsi="Arial"/>
          <w:sz w:val="17"/>
          <w:szCs w:val="17"/>
          <w:color w:val="auto"/>
        </w:rPr>
        <w:t>. The Company has established and maintains a system of internal controls over financial reporting required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Rules 13a-15(f) or 15d-15(f) of the Exchange Act designed to provide reasonable assurances regarding the reliability of financial</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0"/>
        <w:spacing w:after="0" w:line="285" w:lineRule="auto"/>
        <w:rPr>
          <w:sz w:val="20"/>
          <w:szCs w:val="20"/>
          <w:color w:val="auto"/>
        </w:rPr>
      </w:pPr>
      <w:r>
        <w:rPr>
          <w:rFonts w:ascii="Arial" w:cs="Arial" w:eastAsia="Arial" w:hAnsi="Arial"/>
          <w:sz w:val="16"/>
          <w:szCs w:val="16"/>
          <w:color w:val="auto"/>
        </w:rPr>
        <w:t>reporting and the preparation of its consolidated financial statements in accordance with GAAP and including those policies and procedures that: (i) require the maintenance of records that, in reasonable detail, accurately and fairly reflect the transactions and dispositions of the assets of the Company and its Subsidiaries; (ii) provide reasonable assurance that material information relating to the Company and its Subsidiaries is promptly made known to the officers responsible for establishing and maintaining the system of internal controls; (iii) provide reasonable assurance that transactions are recorded as necessary to permit preparation of financial statements in accordance with GAAP, and that receipts and expenditures of the Company and its Subsidiaries are being made only in accordance with authorizations of management and the Board of Directors of the Company; (iv) provide reasonable assurance that the reporting of assets is compared with existing assets at regular intervals and appropriate action is taken with respect to any differences; and (v) provide reasonable assurance regarding prevention or timely detection of unauthorized acquisition, use or disposition of the assets of the Company and its Subsidiaries. As of December 31, 2005 (i) there were no “material weaknesses” (as defined by the Public Company Accounting Oversight Board) and (ii) there was no series of multiple “significant deficiencies” (as defined by the Public Company Accounting Oversight Board) that are reasonably likely to collectively represent a “material weakness” in the design or operation of the Company’s internal controls. Since December 31, 2005, neither the Company nor any of its Subsidiaries (including any current Employee/Service Provider thereof) nor, to the Company’s Knowledge, the Company’s independent auditors have identified or been made aware of (A) any significant deficiency or material weakness in the system of internal controls utilized by the Company and its Subsidiaries, (B) any fraud, whether or not material, that involves the Company’s management or other employees who have a role in the preparation of financial statements or the internal controls utilized by the Company and its Subsidiaries or (C) any material claim or allegation regarding any of the foregoing.</w:t>
      </w:r>
    </w:p>
    <w:p>
      <w:pPr>
        <w:spacing w:after="0" w:line="178" w:lineRule="exact"/>
        <w:rPr>
          <w:sz w:val="20"/>
          <w:szCs w:val="20"/>
          <w:color w:val="auto"/>
        </w:rPr>
      </w:pPr>
    </w:p>
    <w:p>
      <w:pPr>
        <w:ind w:left="420" w:right="60" w:firstLine="1290"/>
        <w:spacing w:after="0" w:line="257" w:lineRule="auto"/>
        <w:tabs>
          <w:tab w:leader="none" w:pos="1964"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Disclosure Controls</w:t>
      </w:r>
      <w:r>
        <w:rPr>
          <w:rFonts w:ascii="Arial" w:cs="Arial" w:eastAsia="Arial" w:hAnsi="Arial"/>
          <w:sz w:val="18"/>
          <w:szCs w:val="18"/>
          <w:color w:val="auto"/>
        </w:rPr>
        <w:t>. The Company has established and maintains disclosure controls and procedures required by Rules 13a-15(e)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15d-15(e) of the Exchange Act to ensure that all material information relating to the Company and its Subsidiaries required to be disclosed by the Company in the reports that it files or submits under the Exchange Act is recorded, processed, summarized and reported within the time periods specified in the SEC’s rules and forms and is accumulated and communicated to the Company’s management to allow timely decisions regarding required disclosure.</w:t>
      </w:r>
    </w:p>
    <w:p>
      <w:pPr>
        <w:spacing w:after="0" w:line="188" w:lineRule="exact"/>
        <w:rPr>
          <w:rFonts w:ascii="Arial" w:cs="Arial" w:eastAsia="Arial" w:hAnsi="Arial"/>
          <w:sz w:val="18"/>
          <w:szCs w:val="18"/>
          <w:color w:val="auto"/>
        </w:rPr>
      </w:pPr>
    </w:p>
    <w:p>
      <w:pPr>
        <w:ind w:left="420" w:right="80" w:firstLine="1290"/>
        <w:spacing w:after="0" w:line="272" w:lineRule="auto"/>
        <w:tabs>
          <w:tab w:leader="none" w:pos="1954" w:val="left"/>
        </w:tabs>
        <w:numPr>
          <w:ilvl w:val="0"/>
          <w:numId w:val="27"/>
        </w:numPr>
        <w:rPr>
          <w:rFonts w:ascii="Arial" w:cs="Arial" w:eastAsia="Arial" w:hAnsi="Arial"/>
          <w:sz w:val="17"/>
          <w:szCs w:val="17"/>
          <w:color w:val="auto"/>
        </w:rPr>
      </w:pPr>
      <w:r>
        <w:rPr>
          <w:rFonts w:ascii="Arial" w:cs="Arial" w:eastAsia="Arial" w:hAnsi="Arial"/>
          <w:sz w:val="17"/>
          <w:szCs w:val="17"/>
          <w:b w:val="1"/>
          <w:bCs w:val="1"/>
          <w:i w:val="1"/>
          <w:iCs w:val="1"/>
          <w:color w:val="auto"/>
        </w:rPr>
        <w:t>Other Controls and Procedures</w:t>
      </w:r>
      <w:r>
        <w:rPr>
          <w:rFonts w:ascii="Arial" w:cs="Arial" w:eastAsia="Arial" w:hAnsi="Arial"/>
          <w:sz w:val="17"/>
          <w:szCs w:val="17"/>
          <w:color w:val="auto"/>
        </w:rPr>
        <w:t>. The Company has established and maintains a system of controls and procedures sufficient to (i)</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assurance that any significant deficiencies or material weaknesses in the design or operation of internal controls which are reasonably likely to materially and adversely affect the ability to record, process, summarize and report financial information, and any fraud that is detected by the Company, whether or not material, that involves the Company’s management or other employees who have a role in the preparation of financial statements or the internal controls utilized by the Company and its Subsidiaries, are adequately and promptly disclosed to the Company’s independent auditors and the audit committee of the Company’s Board of Directors and (ii) provide reasonable assurance that access to assets is permitted only in accordance with management’s general or specific authorization.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20" w:firstLine="1290"/>
        <w:spacing w:after="0" w:line="272" w:lineRule="auto"/>
        <w:tabs>
          <w:tab w:leader="none" w:pos="1973" w:val="left"/>
        </w:tabs>
        <w:numPr>
          <w:ilvl w:val="0"/>
          <w:numId w:val="28"/>
        </w:numPr>
        <w:rPr>
          <w:rFonts w:ascii="Arial" w:cs="Arial" w:eastAsia="Arial" w:hAnsi="Arial"/>
          <w:sz w:val="17"/>
          <w:szCs w:val="17"/>
          <w:color w:val="auto"/>
        </w:rPr>
      </w:pPr>
      <w:r>
        <w:rPr>
          <w:rFonts w:ascii="Arial" w:cs="Arial" w:eastAsia="Arial" w:hAnsi="Arial"/>
          <w:sz w:val="17"/>
          <w:szCs w:val="17"/>
          <w:b w:val="1"/>
          <w:bCs w:val="1"/>
          <w:i w:val="1"/>
          <w:iCs w:val="1"/>
          <w:color w:val="auto"/>
        </w:rPr>
        <w:t>Indebtedness</w:t>
      </w:r>
      <w:r>
        <w:rPr>
          <w:rFonts w:ascii="Arial" w:cs="Arial" w:eastAsia="Arial" w:hAnsi="Arial"/>
          <w:sz w:val="17"/>
          <w:szCs w:val="17"/>
          <w:color w:val="auto"/>
        </w:rPr>
        <w:t>. All indebtedness other than equipment financings and leases (i) with respect to which a UCC-1 Financing Statement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has been filed on which the Company or any of its Subsidiaries is listed as a debtor, and regarding which a UCC-3 Termination Statement has not been filed (“</w:t>
      </w:r>
      <w:r>
        <w:rPr>
          <w:rFonts w:ascii="Arial" w:cs="Arial" w:eastAsia="Arial" w:hAnsi="Arial"/>
          <w:sz w:val="17"/>
          <w:szCs w:val="17"/>
          <w:b w:val="1"/>
          <w:bCs w:val="1"/>
          <w:color w:val="auto"/>
        </w:rPr>
        <w:t>Un-rescinded UCC-1</w:t>
      </w:r>
      <w:r>
        <w:rPr>
          <w:rFonts w:ascii="Arial" w:cs="Arial" w:eastAsia="Arial" w:hAnsi="Arial"/>
          <w:sz w:val="17"/>
          <w:szCs w:val="17"/>
          <w:color w:val="auto"/>
        </w:rPr>
        <w:t>”), or (ii) with respect to which a notice of security interest covering any of the Company’s patents or patent applications has been recorded in the United States Patent and Trademark Office and for which a subsequent release of such security interest has not been recorded, is set forth in Section 2.4(f) of the Company Disclosure Schedule (“</w:t>
      </w:r>
      <w:r>
        <w:rPr>
          <w:rFonts w:ascii="Arial" w:cs="Arial" w:eastAsia="Arial" w:hAnsi="Arial"/>
          <w:sz w:val="17"/>
          <w:szCs w:val="17"/>
          <w:b w:val="1"/>
          <w:bCs w:val="1"/>
          <w:color w:val="auto"/>
        </w:rPr>
        <w:t>Indebtedness</w:t>
      </w:r>
      <w:r>
        <w:rPr>
          <w:rFonts w:ascii="Arial" w:cs="Arial" w:eastAsia="Arial" w:hAnsi="Arial"/>
          <w:sz w:val="17"/>
          <w:szCs w:val="17"/>
          <w:color w:val="auto"/>
        </w:rPr>
        <w:t>”). Except with respect to the Wells Fargo indebtedness as set forth in Section 2.4(f) of the Company Disclosure Schedule, all Indebtedness has been fully satisfied and extinguished and is not the subject of any claim or dispute as to the satisfaction of such Indebtedness, in whole or in part.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b w:val="1"/>
          <w:bCs w:val="1"/>
          <w:i w:val="1"/>
          <w:iCs w:val="1"/>
          <w:color w:val="auto"/>
        </w:rPr>
        <w:t>Absence of Certain Changes or Events</w:t>
      </w:r>
      <w:r>
        <w:rPr>
          <w:rFonts w:ascii="Arial" w:cs="Arial" w:eastAsia="Arial" w:hAnsi="Arial"/>
          <w:sz w:val="16"/>
          <w:szCs w:val="16"/>
          <w:color w:val="auto"/>
        </w:rPr>
        <w:t>. Since the date of the Company Balance Sheet through the date hereof, there has not been, accrued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arisen:</w:t>
      </w:r>
    </w:p>
    <w:p>
      <w:pPr>
        <w:spacing w:after="0" w:line="211" w:lineRule="exact"/>
        <w:rPr>
          <w:sz w:val="20"/>
          <w:szCs w:val="20"/>
          <w:color w:val="auto"/>
        </w:rPr>
      </w:pPr>
    </w:p>
    <w:p>
      <w:pPr>
        <w:ind w:left="1940" w:hanging="230"/>
        <w:spacing w:after="0"/>
        <w:tabs>
          <w:tab w:leader="none" w:pos="1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Material Adverse Effect on the Company;</w:t>
      </w:r>
    </w:p>
    <w:p>
      <w:pPr>
        <w:spacing w:after="0" w:line="225" w:lineRule="exact"/>
        <w:rPr>
          <w:rFonts w:ascii="Arial" w:cs="Arial" w:eastAsia="Arial" w:hAnsi="Arial"/>
          <w:sz w:val="18"/>
          <w:szCs w:val="18"/>
          <w:color w:val="auto"/>
        </w:rPr>
      </w:pPr>
    </w:p>
    <w:p>
      <w:pPr>
        <w:ind w:left="420" w:right="100" w:firstLine="1290"/>
        <w:spacing w:after="0" w:line="312" w:lineRule="auto"/>
        <w:tabs>
          <w:tab w:leader="none" w:pos="1964"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acquisition by the Company or any Subsidiary of, or agreement by the Company or any Subsidiary to acquire by merging or consolidating with, or by purchasing all or substantially all of the assets of a business for an amount in excess of $250,000 or equity securities of, or by any other manner, any business or corporation, partnership, association or other business organization or division thereof; or other acquisition or</w:t>
      </w:r>
    </w:p>
    <w:p>
      <w:pPr>
        <w:sectPr>
          <w:pgSz w:w="11900" w:h="16925" w:orient="portrait"/>
          <w:cols w:equalWidth="0" w:num="1">
            <w:col w:w="11400"/>
          </w:cols>
          <w:pgMar w:left="240" w:top="125" w:right="259" w:bottom="0" w:gutter="0" w:footer="0" w:header="0"/>
        </w:sectPr>
      </w:pPr>
    </w:p>
    <w:bookmarkStart w:id="14" w:name="page15"/>
    <w:bookmarkEnd w:id="14"/>
    <w:p>
      <w:pPr>
        <w:spacing w:after="0" w:line="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agreement to acquire all or substantially all of the assets of a business for consideration in excess of $250,000 or any equity securities, or any solicitation of, or participation in, any negotiations with respect to any of the foregoing;</w:t>
      </w:r>
    </w:p>
    <w:p>
      <w:pPr>
        <w:spacing w:after="0" w:line="170" w:lineRule="exact"/>
        <w:rPr>
          <w:sz w:val="20"/>
          <w:szCs w:val="20"/>
          <w:color w:val="auto"/>
        </w:rPr>
      </w:pPr>
    </w:p>
    <w:p>
      <w:pPr>
        <w:jc w:val="both"/>
        <w:ind w:right="20" w:firstLine="1290"/>
        <w:spacing w:after="0" w:line="259" w:lineRule="auto"/>
        <w:tabs>
          <w:tab w:leader="none" w:pos="1534"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entry into, amendment or termination by the Company or any of its Subsidiaries of any Contract, agreement in principle, letter of intent, memorandum of understanding or similar agreement with respect to a joint venture, strategic partnership or alliance, or supply arrangement (in each case, other than agreements entered into in the ordinary course of business consistent with past practice) material to the Company and its Subsidiaries, taken as a whole;</w:t>
      </w:r>
    </w:p>
    <w:p>
      <w:pPr>
        <w:spacing w:after="0" w:line="186" w:lineRule="exact"/>
        <w:rPr>
          <w:rFonts w:ascii="Arial" w:cs="Arial" w:eastAsia="Arial" w:hAnsi="Arial"/>
          <w:sz w:val="18"/>
          <w:szCs w:val="18"/>
          <w:color w:val="auto"/>
        </w:rPr>
      </w:pPr>
    </w:p>
    <w:p>
      <w:pPr>
        <w:ind w:right="120" w:firstLine="1290"/>
        <w:spacing w:after="0" w:line="255" w:lineRule="auto"/>
        <w:tabs>
          <w:tab w:leader="none" w:pos="15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declaration, setting aside or payment of any dividend on, or other distribution (whether in cash, stock or property) in respect of, any of the Company’s or any of its Subsidiaries’ capital stock (other than any distribution, payment or dividend by any of the Company’s Subsidiaries to the Company or to any of the other Company Subsidiaries), or any purchase, redemption or other acquisition by the Company or any of its Subsidiaries of any of the Company’s or any of its Subsidiaries’ capital stock or any other securities of the Company or any options, warrants, calls or rights to acquire any such shares or other securities (except for rights to repurchase Company Common Stock granted to its Employee/Service Providers);</w:t>
      </w:r>
    </w:p>
    <w:p>
      <w:pPr>
        <w:spacing w:after="0" w:line="193" w:lineRule="exact"/>
        <w:rPr>
          <w:rFonts w:ascii="Arial" w:cs="Arial" w:eastAsia="Arial" w:hAnsi="Arial"/>
          <w:sz w:val="18"/>
          <w:szCs w:val="18"/>
          <w:color w:val="auto"/>
        </w:rPr>
      </w:pPr>
    </w:p>
    <w:p>
      <w:pPr>
        <w:ind w:left="1520" w:hanging="230"/>
        <w:spacing w:after="0"/>
        <w:tabs>
          <w:tab w:leader="none" w:pos="1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split, combination or reclassification of any of the Company’s or any of its Subsidiaries’ capital stock;</w:t>
      </w:r>
    </w:p>
    <w:p>
      <w:pPr>
        <w:spacing w:after="0" w:line="22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81280</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00" w:firstLine="1290"/>
        <w:spacing w:after="0" w:line="259" w:lineRule="auto"/>
        <w:tabs>
          <w:tab w:leader="none" w:pos="1553"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granting by the Company or any of its Subsidiaries, whether orally or in writing, of any (i) increase in compensation or fringe benefits payable or otherwise due to officers of the Company or any Subsidiary or (ii) material increase in compensation or fringe benefits payable or otherwise due to any non-officer employees of the Company or any Subsidiary whose annual base salary is in excess of $100,000 other than in the ordinary course of business consistent with past practice;</w:t>
      </w:r>
    </w:p>
    <w:p>
      <w:pPr>
        <w:spacing w:after="0" w:line="186" w:lineRule="exact"/>
        <w:rPr>
          <w:rFonts w:ascii="Arial" w:cs="Arial" w:eastAsia="Arial" w:hAnsi="Arial"/>
          <w:sz w:val="18"/>
          <w:szCs w:val="18"/>
          <w:color w:val="auto"/>
        </w:rPr>
      </w:pPr>
    </w:p>
    <w:p>
      <w:pPr>
        <w:ind w:right="160" w:firstLine="1290"/>
        <w:spacing w:after="0" w:line="257" w:lineRule="auto"/>
        <w:tabs>
          <w:tab w:leader="none" w:pos="15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change by the Company or any of its Subsidiaries of severance, termination or bonus policies and practices (excluding sales commissions) or any entry by the Company or any of its Subsidiaries into, or amendment of, any currently effective employment, severance, termination or indemnification agreement or any agreement the benefits of which are contingent or the terms of which are materially altered upon the occurrence of a transaction involving the Company of the nature contemplated hereby (either alone or upon the occurrence of additional or subsequent events);</w:t>
      </w:r>
    </w:p>
    <w:p>
      <w:pPr>
        <w:spacing w:after="0" w:line="188" w:lineRule="exact"/>
        <w:rPr>
          <w:rFonts w:ascii="Arial" w:cs="Arial" w:eastAsia="Arial" w:hAnsi="Arial"/>
          <w:sz w:val="18"/>
          <w:szCs w:val="18"/>
          <w:color w:val="auto"/>
        </w:rPr>
      </w:pPr>
    </w:p>
    <w:p>
      <w:pPr>
        <w:ind w:left="1540" w:hanging="250"/>
        <w:spacing w:after="0"/>
        <w:tabs>
          <w:tab w:leader="none" w:pos="1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material amendment or termination with respect to any Company Material Contract;</w:t>
      </w:r>
    </w:p>
    <w:p>
      <w:pPr>
        <w:spacing w:after="0" w:line="225" w:lineRule="exact"/>
        <w:rPr>
          <w:rFonts w:ascii="Arial" w:cs="Arial" w:eastAsia="Arial" w:hAnsi="Arial"/>
          <w:sz w:val="18"/>
          <w:szCs w:val="18"/>
          <w:color w:val="auto"/>
        </w:rPr>
      </w:pPr>
    </w:p>
    <w:p>
      <w:pPr>
        <w:ind w:right="180" w:firstLine="1290"/>
        <w:spacing w:after="0" w:line="302" w:lineRule="auto"/>
        <w:tabs>
          <w:tab w:leader="none" w:pos="1543"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any Contract entered into by the Company or any of its Subsidiaries relating to its assets or business (including the acquisition or disposition of any assets or property) or any relinquishment by the Company or any of its Subsidiaries of any Contract or other right, in each case having a stated contract amount or involving obligations or entitlements with a value of more than $500,000 in each individual case (other than Contracts with customers, suppliers, distributors and representatives entered into in the ordinary course of business, consistent with past practice);</w:t>
      </w:r>
    </w:p>
    <w:p>
      <w:pPr>
        <w:spacing w:after="0" w:line="154" w:lineRule="exact"/>
        <w:rPr>
          <w:rFonts w:ascii="Arial" w:cs="Arial" w:eastAsia="Arial" w:hAnsi="Arial"/>
          <w:sz w:val="16"/>
          <w:szCs w:val="16"/>
          <w:color w:val="auto"/>
        </w:rPr>
      </w:pPr>
    </w:p>
    <w:p>
      <w:pPr>
        <w:ind w:left="1540" w:hanging="250"/>
        <w:spacing w:after="0"/>
        <w:tabs>
          <w:tab w:leader="none" w:pos="15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any material change by the Company in its accounting methods, principles or practices, except as required by concurrent changes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 GAAP;</w:t>
      </w:r>
    </w:p>
    <w:p>
      <w:pPr>
        <w:spacing w:after="0" w:line="210" w:lineRule="exact"/>
        <w:rPr>
          <w:rFonts w:ascii="Arial" w:cs="Arial" w:eastAsia="Arial" w:hAnsi="Arial"/>
          <w:sz w:val="16"/>
          <w:szCs w:val="16"/>
          <w:color w:val="auto"/>
        </w:rPr>
      </w:pPr>
    </w:p>
    <w:p>
      <w:pPr>
        <w:ind w:right="160" w:firstLine="1290"/>
        <w:spacing w:after="0" w:line="259" w:lineRule="auto"/>
        <w:tabs>
          <w:tab w:leader="none" w:pos="15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debt, capital lease or other debt or equity financing transaction by the Company or any of its Subsidiaries or entry into any agreement by the Company or any of its Subsidiaries in connection with any such transaction, except for capital leases entered into in the ordinary course of business consistent with past practice which are not, individually or in the aggregate, material to the Company and its Subsidiaries taken as a whole;</w:t>
      </w:r>
    </w:p>
    <w:p>
      <w:pPr>
        <w:spacing w:after="0" w:line="186" w:lineRule="exact"/>
        <w:rPr>
          <w:rFonts w:ascii="Arial" w:cs="Arial" w:eastAsia="Arial" w:hAnsi="Arial"/>
          <w:sz w:val="18"/>
          <w:szCs w:val="18"/>
          <w:color w:val="auto"/>
        </w:rPr>
      </w:pPr>
    </w:p>
    <w:p>
      <w:pPr>
        <w:ind w:right="80" w:firstLine="1290"/>
        <w:spacing w:after="0" w:line="277" w:lineRule="auto"/>
        <w:tabs>
          <w:tab w:leader="none" w:pos="1543"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grants of any material refunds, credits, rebates or other allowances by the Company or any of its Subsidiaries to any customer, reseller or distributor, in each case, other than in the ordinary course of business consistent with past practice;</w:t>
      </w:r>
    </w:p>
    <w:p>
      <w:pPr>
        <w:spacing w:after="0" w:line="170" w:lineRule="exact"/>
        <w:rPr>
          <w:rFonts w:ascii="Arial" w:cs="Arial" w:eastAsia="Arial" w:hAnsi="Arial"/>
          <w:sz w:val="18"/>
          <w:szCs w:val="18"/>
          <w:color w:val="auto"/>
        </w:rPr>
      </w:pPr>
    </w:p>
    <w:p>
      <w:pPr>
        <w:ind w:right="300" w:firstLine="1290"/>
        <w:spacing w:after="0" w:line="277" w:lineRule="auto"/>
        <w:tabs>
          <w:tab w:leader="none" w:pos="1601"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material change in the level of product returns or policies relating to accounts receivable or reserves, bad debts or rights to accounts receivable experienced by the Company or any of its Subsidiaries;</w:t>
      </w:r>
    </w:p>
    <w:p>
      <w:pPr>
        <w:spacing w:after="0" w:line="170" w:lineRule="exact"/>
        <w:rPr>
          <w:rFonts w:ascii="Arial" w:cs="Arial" w:eastAsia="Arial" w:hAnsi="Arial"/>
          <w:sz w:val="18"/>
          <w:szCs w:val="18"/>
          <w:color w:val="auto"/>
        </w:rPr>
      </w:pPr>
    </w:p>
    <w:p>
      <w:pPr>
        <w:ind w:right="180" w:firstLine="1290"/>
        <w:spacing w:after="0" w:line="277" w:lineRule="auto"/>
        <w:tabs>
          <w:tab w:leader="none" w:pos="15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material restructuring activities by the Company or any of its Subsidiaries, including any material reductions in force, or any lease terminations or restructuring of contracts;</w:t>
      </w:r>
    </w:p>
    <w:p>
      <w:pPr>
        <w:spacing w:after="0" w:line="17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81280</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580" w:firstLine="1290"/>
        <w:spacing w:after="0" w:line="277" w:lineRule="auto"/>
        <w:tabs>
          <w:tab w:leader="none" w:pos="1544"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license or encumbrance of any properties or assets except the license or encumbrance of property or assets which is not material, individually or in the aggregate, to the business of the Company or any of its Subsidiaries;</w:t>
      </w:r>
    </w:p>
    <w:p>
      <w:pPr>
        <w:spacing w:after="0" w:line="170" w:lineRule="exact"/>
        <w:rPr>
          <w:rFonts w:ascii="Arial" w:cs="Arial" w:eastAsia="Arial" w:hAnsi="Arial"/>
          <w:sz w:val="18"/>
          <w:szCs w:val="18"/>
          <w:color w:val="auto"/>
        </w:rPr>
      </w:pPr>
    </w:p>
    <w:p>
      <w:pPr>
        <w:ind w:right="140" w:firstLine="1290"/>
        <w:spacing w:after="0" w:line="255" w:lineRule="auto"/>
        <w:tabs>
          <w:tab w:leader="none" w:pos="1544"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loan, advance or capital contribution by the Company or any of its Subsidiaries to, or investment in, any Person other than (i) loans or advances to Employees/Service Providers in connection with business related travel and expenses, in each case in the ordinary course of business consistent with past practice; (ii) loans, advances or capital contributions or investments by the Company to or in any wholly owned Subsidiary, by any wholly owned Subsidiary in the Company, or by a wholly owned Subsidiary of the Company in any other wholly owned Subsidiary of the Company; or (iii) loans or advances to third parties consistent with past practice that are not, individually or in the aggregate, material to the Company and its Subsidiaries, taken as a whole;</w:t>
      </w:r>
    </w:p>
    <w:p>
      <w:pPr>
        <w:spacing w:after="0" w:line="193" w:lineRule="exact"/>
        <w:rPr>
          <w:rFonts w:ascii="Arial" w:cs="Arial" w:eastAsia="Arial" w:hAnsi="Arial"/>
          <w:sz w:val="18"/>
          <w:szCs w:val="18"/>
          <w:color w:val="auto"/>
        </w:rPr>
      </w:pPr>
    </w:p>
    <w:p>
      <w:pPr>
        <w:ind w:right="480" w:firstLine="1290"/>
        <w:spacing w:after="0" w:line="277" w:lineRule="auto"/>
        <w:tabs>
          <w:tab w:leader="none" w:pos="1544"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material purchases of fixed assets or other long term assets other than in the ordinary course of business and in a manner consistent with past practice;</w:t>
      </w:r>
    </w:p>
    <w:p>
      <w:pPr>
        <w:spacing w:after="0" w:line="170" w:lineRule="exact"/>
        <w:rPr>
          <w:rFonts w:ascii="Arial" w:cs="Arial" w:eastAsia="Arial" w:hAnsi="Arial"/>
          <w:sz w:val="18"/>
          <w:szCs w:val="18"/>
          <w:color w:val="auto"/>
        </w:rPr>
      </w:pPr>
    </w:p>
    <w:p>
      <w:pPr>
        <w:ind w:firstLine="1290"/>
        <w:spacing w:after="0" w:line="264" w:lineRule="auto"/>
        <w:tabs>
          <w:tab w:leader="none" w:pos="1553"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amendment of any material Tax Returns, any adoption of or change in any material election in respect of Taxes, adoption or change in any accounting method in respect of Taxes, agreement or settlement of any closing agreement relating to an Audit, or consent to any waiver of the statutory period of limitations in respect of any Audit;</w:t>
      </w:r>
    </w:p>
    <w:p>
      <w:pPr>
        <w:sectPr>
          <w:pgSz w:w="11900" w:h="16891" w:orient="portrait"/>
          <w:cols w:equalWidth="0" w:num="1">
            <w:col w:w="11000"/>
          </w:cols>
          <w:pgMar w:left="660" w:top="125" w:right="239" w:bottom="0" w:gutter="0" w:footer="0" w:header="0"/>
        </w:sectPr>
      </w:pPr>
    </w:p>
    <w:bookmarkStart w:id="15" w:name="page16"/>
    <w:bookmarkEnd w:id="15"/>
    <w:p>
      <w:pPr>
        <w:ind w:left="420" w:right="280" w:firstLine="1290"/>
        <w:spacing w:after="0" w:line="286" w:lineRule="auto"/>
        <w:tabs>
          <w:tab w:leader="none" w:pos="1945"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material revaluation, or any indication that such a revaluation is required under GAAP, by the Company of any of its assets, including, without limitation, writing down the value of long-term or short-term investments, fixed assets, goodwill, intangible assets, deferred tax assets, or writing off notes or accounts receivable other than in the ordinary course of business consistent with past practice;</w:t>
      </w:r>
    </w:p>
    <w:p>
      <w:pPr>
        <w:spacing w:after="0" w:line="165" w:lineRule="exact"/>
        <w:rPr>
          <w:rFonts w:ascii="Arial" w:cs="Arial" w:eastAsia="Arial" w:hAnsi="Arial"/>
          <w:sz w:val="17"/>
          <w:szCs w:val="17"/>
          <w:color w:val="auto"/>
        </w:rPr>
      </w:pPr>
    </w:p>
    <w:p>
      <w:pPr>
        <w:ind w:left="1960" w:hanging="250"/>
        <w:spacing w:after="0"/>
        <w:tabs>
          <w:tab w:leader="none" w:pos="19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significant deficiency or material weakness identified in the system of internal controls utilized by the Company and its</w:t>
      </w:r>
    </w:p>
    <w:p>
      <w:pPr>
        <w:spacing w:after="0" w:line="34" w:lineRule="exact"/>
        <w:rPr>
          <w:rFonts w:ascii="Arial" w:cs="Arial" w:eastAsia="Arial" w:hAnsi="Arial"/>
          <w:sz w:val="17"/>
          <w:szCs w:val="17"/>
          <w:color w:val="auto"/>
        </w:rPr>
      </w:pPr>
    </w:p>
    <w:p>
      <w:pPr>
        <w:ind w:left="420"/>
        <w:spacing w:after="0"/>
        <w:rPr>
          <w:rFonts w:ascii="Arial" w:cs="Arial" w:eastAsia="Arial" w:hAnsi="Arial"/>
          <w:sz w:val="17"/>
          <w:szCs w:val="17"/>
          <w:color w:val="auto"/>
        </w:rPr>
      </w:pPr>
      <w:r>
        <w:rPr>
          <w:rFonts w:ascii="Arial" w:cs="Arial" w:eastAsia="Arial" w:hAnsi="Arial"/>
          <w:sz w:val="18"/>
          <w:szCs w:val="18"/>
          <w:color w:val="auto"/>
        </w:rPr>
        <w:t>Subsidiaries; or</w:t>
      </w:r>
    </w:p>
    <w:p>
      <w:pPr>
        <w:spacing w:after="0" w:line="210" w:lineRule="exact"/>
        <w:rPr>
          <w:rFonts w:ascii="Arial" w:cs="Arial" w:eastAsia="Arial" w:hAnsi="Arial"/>
          <w:sz w:val="17"/>
          <w:szCs w:val="17"/>
          <w:color w:val="auto"/>
        </w:rPr>
      </w:pPr>
    </w:p>
    <w:p>
      <w:pPr>
        <w:ind w:left="1960" w:hanging="250"/>
        <w:spacing w:after="0"/>
        <w:tabs>
          <w:tab w:leader="none" w:pos="19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commencement or settlement of any lawsuit, any overt threat of any lawsuit or other proceeding by the Company or any</w:t>
      </w:r>
    </w:p>
    <w:p>
      <w:pPr>
        <w:spacing w:after="0" w:line="34" w:lineRule="exact"/>
        <w:rPr>
          <w:rFonts w:ascii="Arial" w:cs="Arial" w:eastAsia="Arial" w:hAnsi="Arial"/>
          <w:sz w:val="17"/>
          <w:szCs w:val="17"/>
          <w:color w:val="auto"/>
        </w:rPr>
      </w:pPr>
    </w:p>
    <w:p>
      <w:pPr>
        <w:ind w:left="420"/>
        <w:spacing w:after="0"/>
        <w:rPr>
          <w:rFonts w:ascii="Arial" w:cs="Arial" w:eastAsia="Arial" w:hAnsi="Arial"/>
          <w:sz w:val="17"/>
          <w:szCs w:val="17"/>
          <w:color w:val="auto"/>
        </w:rPr>
      </w:pPr>
      <w:r>
        <w:rPr>
          <w:rFonts w:ascii="Arial" w:cs="Arial" w:eastAsia="Arial" w:hAnsi="Arial"/>
          <w:sz w:val="18"/>
          <w:szCs w:val="18"/>
          <w:color w:val="auto"/>
        </w:rPr>
        <w:t>Subsidiary.</w:t>
      </w:r>
    </w:p>
    <w:p>
      <w:pPr>
        <w:spacing w:after="0" w:line="21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b w:val="1"/>
          <w:bCs w:val="1"/>
          <w:i w:val="1"/>
          <w:iCs w:val="1"/>
          <w:color w:val="auto"/>
        </w:rPr>
        <w:t>Taxes</w:t>
      </w:r>
      <w:r>
        <w:rPr>
          <w:rFonts w:ascii="Arial" w:cs="Arial" w:eastAsia="Arial" w:hAnsi="Arial"/>
          <w:sz w:val="18"/>
          <w:szCs w:val="18"/>
          <w:color w:val="auto"/>
        </w:rPr>
        <w:t>.</w:t>
      </w:r>
    </w:p>
    <w:p>
      <w:pPr>
        <w:spacing w:after="0" w:line="221" w:lineRule="exact"/>
        <w:rPr>
          <w:sz w:val="20"/>
          <w:szCs w:val="20"/>
          <w:color w:val="auto"/>
        </w:rPr>
      </w:pPr>
    </w:p>
    <w:p>
      <w:pPr>
        <w:ind w:right="280" w:firstLine="1305"/>
        <w:spacing w:after="0" w:line="256" w:lineRule="auto"/>
        <w:tabs>
          <w:tab w:leader="none" w:pos="1611" w:val="left"/>
        </w:tabs>
        <w:numPr>
          <w:ilvl w:val="0"/>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Definitions</w:t>
      </w:r>
      <w:r>
        <w:rPr>
          <w:rFonts w:ascii="Arial" w:cs="Arial" w:eastAsia="Arial" w:hAnsi="Arial"/>
          <w:sz w:val="18"/>
          <w:szCs w:val="18"/>
          <w:color w:val="auto"/>
        </w:rPr>
        <w:t>. “</w:t>
      </w:r>
      <w:r>
        <w:rPr>
          <w:rFonts w:ascii="Arial" w:cs="Arial" w:eastAsia="Arial" w:hAnsi="Arial"/>
          <w:sz w:val="18"/>
          <w:szCs w:val="18"/>
          <w:b w:val="1"/>
          <w:bCs w:val="1"/>
          <w:color w:val="auto"/>
        </w:rPr>
        <w:t>Tax</w:t>
      </w:r>
      <w:r>
        <w:rPr>
          <w:rFonts w:ascii="Arial" w:cs="Arial" w:eastAsia="Arial" w:hAnsi="Arial"/>
          <w:sz w:val="18"/>
          <w:szCs w:val="18"/>
          <w:color w:val="auto"/>
        </w:rPr>
        <w:t>” or “</w:t>
      </w:r>
      <w:r>
        <w:rPr>
          <w:rFonts w:ascii="Arial" w:cs="Arial" w:eastAsia="Arial" w:hAnsi="Arial"/>
          <w:sz w:val="18"/>
          <w:szCs w:val="18"/>
          <w:b w:val="1"/>
          <w:bCs w:val="1"/>
          <w:color w:val="auto"/>
        </w:rPr>
        <w:t>Taxes</w:t>
      </w:r>
      <w:r>
        <w:rPr>
          <w:rFonts w:ascii="Arial" w:cs="Arial" w:eastAsia="Arial" w:hAnsi="Arial"/>
          <w:sz w:val="18"/>
          <w:szCs w:val="18"/>
          <w:color w:val="auto"/>
        </w:rPr>
        <w:t>” means all Federal, state, local, and foreign taxes, and other assessments of a similar nature (whether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imposed directly or through withholding), including any interest, additions to tax, or penalties applicable thereto, imposed by any Tax Authority. “</w:t>
      </w:r>
      <w:r>
        <w:rPr>
          <w:rFonts w:ascii="Arial" w:cs="Arial" w:eastAsia="Arial" w:hAnsi="Arial"/>
          <w:sz w:val="18"/>
          <w:szCs w:val="18"/>
          <w:b w:val="1"/>
          <w:bCs w:val="1"/>
          <w:color w:val="auto"/>
        </w:rPr>
        <w:t>Tax</w:t>
      </w:r>
      <w:r>
        <w:rPr>
          <w:rFonts w:ascii="Arial" w:cs="Arial" w:eastAsia="Arial" w:hAnsi="Arial"/>
          <w:sz w:val="18"/>
          <w:szCs w:val="18"/>
          <w:color w:val="auto"/>
        </w:rPr>
        <w:t xml:space="preserve"> </w:t>
      </w:r>
      <w:r>
        <w:rPr>
          <w:rFonts w:ascii="Arial" w:cs="Arial" w:eastAsia="Arial" w:hAnsi="Arial"/>
          <w:sz w:val="18"/>
          <w:szCs w:val="18"/>
          <w:b w:val="1"/>
          <w:bCs w:val="1"/>
          <w:color w:val="auto"/>
        </w:rPr>
        <w:t>Authority</w:t>
      </w:r>
      <w:r>
        <w:rPr>
          <w:rFonts w:ascii="Arial" w:cs="Arial" w:eastAsia="Arial" w:hAnsi="Arial"/>
          <w:sz w:val="18"/>
          <w:szCs w:val="18"/>
          <w:color w:val="auto"/>
        </w:rPr>
        <w:t>” means the IRS and any other domestic or foreign governmental authority responsible for the administration of any Taxes. “</w:t>
      </w:r>
      <w:r>
        <w:rPr>
          <w:rFonts w:ascii="Arial" w:cs="Arial" w:eastAsia="Arial" w:hAnsi="Arial"/>
          <w:sz w:val="18"/>
          <w:szCs w:val="18"/>
          <w:b w:val="1"/>
          <w:bCs w:val="1"/>
          <w:color w:val="auto"/>
        </w:rPr>
        <w:t>Audit</w:t>
      </w:r>
      <w:r>
        <w:rPr>
          <w:rFonts w:ascii="Arial" w:cs="Arial" w:eastAsia="Arial" w:hAnsi="Arial"/>
          <w:sz w:val="18"/>
          <w:szCs w:val="18"/>
          <w:color w:val="auto"/>
        </w:rPr>
        <w:t>” means any</w:t>
      </w:r>
      <w:r>
        <w:rPr>
          <w:rFonts w:ascii="Arial" w:cs="Arial" w:eastAsia="Arial" w:hAnsi="Arial"/>
          <w:sz w:val="18"/>
          <w:szCs w:val="18"/>
          <w:b w:val="1"/>
          <w:bCs w:val="1"/>
          <w:color w:val="auto"/>
        </w:rPr>
        <w:t xml:space="preserve"> </w:t>
      </w:r>
      <w:r>
        <w:rPr>
          <w:rFonts w:ascii="Arial" w:cs="Arial" w:eastAsia="Arial" w:hAnsi="Arial"/>
          <w:sz w:val="18"/>
          <w:szCs w:val="18"/>
          <w:color w:val="auto"/>
        </w:rPr>
        <w:t>audit, assessment, examination, written claim, or other written inquiry relating to Taxes by any Tax Authority or any judicial or administrative proceeding relating to Taxes. “</w:t>
      </w:r>
      <w:r>
        <w:rPr>
          <w:rFonts w:ascii="Arial" w:cs="Arial" w:eastAsia="Arial" w:hAnsi="Arial"/>
          <w:sz w:val="18"/>
          <w:szCs w:val="18"/>
          <w:b w:val="1"/>
          <w:bCs w:val="1"/>
          <w:color w:val="auto"/>
        </w:rPr>
        <w:t>Tax Returns</w:t>
      </w:r>
      <w:r>
        <w:rPr>
          <w:rFonts w:ascii="Arial" w:cs="Arial" w:eastAsia="Arial" w:hAnsi="Arial"/>
          <w:sz w:val="18"/>
          <w:szCs w:val="18"/>
          <w:color w:val="auto"/>
        </w:rPr>
        <w:t>” mean all federal, state, local, and foreign tax returns, declarations, statements, reports, schedules, forms, and information returns and any amendments thereto.</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620" w:hanging="315"/>
        <w:spacing w:after="0"/>
        <w:tabs>
          <w:tab w:leader="none" w:pos="1620"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Tax Returns and Audits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0" w:firstLine="2277"/>
        <w:spacing w:after="0" w:line="264" w:lineRule="auto"/>
        <w:tabs>
          <w:tab w:leader="none" w:pos="2592"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Company and each of its Subsidiaries has timely filed (or has had timely filed on its behalf) with the appropriate Tax Authorities all Tax Returns required to be filed by the Company and each of its Subsidiaries, and such Tax Returns are true, correct, and complete in all material respects.</w:t>
      </w:r>
    </w:p>
    <w:p>
      <w:pPr>
        <w:spacing w:after="0" w:line="181" w:lineRule="exact"/>
        <w:rPr>
          <w:rFonts w:ascii="Arial" w:cs="Arial" w:eastAsia="Arial" w:hAnsi="Arial"/>
          <w:sz w:val="18"/>
          <w:szCs w:val="18"/>
          <w:color w:val="auto"/>
        </w:rPr>
      </w:pPr>
    </w:p>
    <w:p>
      <w:pPr>
        <w:ind w:right="20" w:firstLine="2277"/>
        <w:spacing w:after="0" w:line="297" w:lineRule="auto"/>
        <w:tabs>
          <w:tab w:leader="none" w:pos="2603"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material Taxes for which the Company or any of its Subsidiaries is or may be liable in respect of taxable periods (or portions thereof) ending on or before the date of the Company Balance Sheet, whether or not shown (or required to be shown) on a Tax Return, have been timely paid, or in the case of Taxes not yet due and payable, an adequate accrual in accordance with GAAP specifically in respect of such Taxes has been established on the Company Financials. All liabilities for Taxes attributable to the period commencing on the date following the date of the Company Balance Sheet were incurred in the ordinary course of business and are consistent in type and amount with Taxes attributable to similar prior periods.</w:t>
      </w:r>
    </w:p>
    <w:p>
      <w:pPr>
        <w:spacing w:after="0" w:line="158" w:lineRule="exact"/>
        <w:rPr>
          <w:rFonts w:ascii="Arial" w:cs="Arial" w:eastAsia="Arial" w:hAnsi="Arial"/>
          <w:sz w:val="16"/>
          <w:szCs w:val="16"/>
          <w:color w:val="auto"/>
        </w:rPr>
      </w:pPr>
    </w:p>
    <w:p>
      <w:pPr>
        <w:ind w:left="2620" w:hanging="343"/>
        <w:spacing w:after="0"/>
        <w:tabs>
          <w:tab w:leader="none" w:pos="2620" w:val="left"/>
        </w:tabs>
        <w:numPr>
          <w:ilvl w:val="1"/>
          <w:numId w:val="35"/>
        </w:numPr>
        <w:rPr>
          <w:rFonts w:ascii="Arial" w:cs="Arial" w:eastAsia="Arial" w:hAnsi="Arial"/>
          <w:sz w:val="17"/>
          <w:szCs w:val="17"/>
          <w:color w:val="auto"/>
        </w:rPr>
      </w:pPr>
      <w:r>
        <w:rPr>
          <w:rFonts w:ascii="Arial" w:cs="Arial" w:eastAsia="Arial" w:hAnsi="Arial"/>
          <w:sz w:val="17"/>
          <w:szCs w:val="17"/>
          <w:color w:val="auto"/>
        </w:rPr>
        <w:t>Except for Permitted Liens, there are no liens for Taxes upon any property or assets of the Company or any of its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Subsidiaries.</w:t>
      </w:r>
    </w:p>
    <w:p>
      <w:pPr>
        <w:spacing w:after="0" w:line="210" w:lineRule="exact"/>
        <w:rPr>
          <w:rFonts w:ascii="Arial" w:cs="Arial" w:eastAsia="Arial" w:hAnsi="Arial"/>
          <w:sz w:val="17"/>
          <w:szCs w:val="17"/>
          <w:color w:val="auto"/>
        </w:rPr>
      </w:pPr>
    </w:p>
    <w:p>
      <w:pPr>
        <w:ind w:right="120" w:firstLine="2277"/>
        <w:spacing w:after="0" w:line="277" w:lineRule="auto"/>
        <w:tabs>
          <w:tab w:leader="none" w:pos="2605" w:val="left"/>
        </w:tabs>
        <w:numPr>
          <w:ilvl w:val="1"/>
          <w:numId w:val="35"/>
        </w:numPr>
        <w:rPr>
          <w:rFonts w:ascii="Arial" w:cs="Arial" w:eastAsia="Arial" w:hAnsi="Arial"/>
          <w:sz w:val="18"/>
          <w:szCs w:val="18"/>
          <w:color w:val="auto"/>
        </w:rPr>
      </w:pPr>
      <w:r>
        <w:rPr>
          <w:rFonts w:ascii="Arial" w:cs="Arial" w:eastAsia="Arial" w:hAnsi="Arial"/>
          <w:sz w:val="18"/>
          <w:szCs w:val="18"/>
          <w:color w:val="auto"/>
        </w:rPr>
        <w:t>No Federal, state, local or foreign Audits are presently pending with regard to any Taxes or Tax Returns of the Company and its Subsidiaries and to the Knowledge of the Company, no such Audit is threatened.</w:t>
      </w:r>
    </w:p>
    <w:p>
      <w:pPr>
        <w:spacing w:after="0" w:line="170" w:lineRule="exact"/>
        <w:rPr>
          <w:rFonts w:ascii="Arial" w:cs="Arial" w:eastAsia="Arial" w:hAnsi="Arial"/>
          <w:sz w:val="18"/>
          <w:szCs w:val="18"/>
          <w:color w:val="auto"/>
        </w:rPr>
      </w:pPr>
    </w:p>
    <w:p>
      <w:pPr>
        <w:jc w:val="both"/>
        <w:ind w:right="20" w:firstLine="2277"/>
        <w:spacing w:after="0" w:line="264" w:lineRule="auto"/>
        <w:tabs>
          <w:tab w:leader="none" w:pos="2593"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There are no outstanding requests, agreements, consents or waivers to extend the statutory period of limitations applicable to the assessment of any Taxes or deficiencies against the Company or any of its Subsidiaries, and no power of attorney granted by the Company or any of its Subsidiaries with respect to any Taxes is currently in force.</w:t>
      </w:r>
    </w:p>
    <w:p>
      <w:pPr>
        <w:spacing w:after="0" w:line="181" w:lineRule="exact"/>
        <w:rPr>
          <w:rFonts w:ascii="Arial" w:cs="Arial" w:eastAsia="Arial" w:hAnsi="Arial"/>
          <w:sz w:val="18"/>
          <w:szCs w:val="18"/>
          <w:color w:val="auto"/>
        </w:rPr>
      </w:pPr>
    </w:p>
    <w:p>
      <w:pPr>
        <w:ind w:left="2620" w:hanging="343"/>
        <w:spacing w:after="0"/>
        <w:tabs>
          <w:tab w:leader="none" w:pos="2620" w:val="left"/>
        </w:tabs>
        <w:numPr>
          <w:ilvl w:val="1"/>
          <w:numId w:val="35"/>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a party to any agreement providing for the allocation, indemnification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 sharing of Taxes.</w:t>
      </w:r>
    </w:p>
    <w:p>
      <w:pPr>
        <w:spacing w:after="0" w:line="210" w:lineRule="exact"/>
        <w:rPr>
          <w:rFonts w:ascii="Arial" w:cs="Arial" w:eastAsia="Arial" w:hAnsi="Arial"/>
          <w:sz w:val="16"/>
          <w:szCs w:val="16"/>
          <w:color w:val="auto"/>
        </w:rPr>
      </w:pPr>
    </w:p>
    <w:p>
      <w:pPr>
        <w:ind w:right="220" w:firstLine="2277"/>
        <w:spacing w:after="0" w:line="257" w:lineRule="auto"/>
        <w:tabs>
          <w:tab w:leader="none" w:pos="2617" w:val="left"/>
        </w:tabs>
        <w:numPr>
          <w:ilvl w:val="1"/>
          <w:numId w:val="35"/>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(i) been a member of an affiliated group (within the meaning of Section 1504 of the Code) or an affiliated, combined, consolidated, unitary, or similar group for state, local or foreign Tax purposes, other than the group of which the Company is the common parent or (ii) any liability for or in respect of the Taxes of, or determined by reference to the Tax liability of, another Person (other than the Company or any of its Subsidiaries) under Treasury Regulation Section 1.1502-6 (or any similar provision of state, local or foreign law), as a transferee or successor, by Contract or otherwise.</w:t>
      </w:r>
    </w:p>
    <w:p>
      <w:pPr>
        <w:spacing w:after="0" w:line="188" w:lineRule="exact"/>
        <w:rPr>
          <w:rFonts w:ascii="Arial" w:cs="Arial" w:eastAsia="Arial" w:hAnsi="Arial"/>
          <w:sz w:val="18"/>
          <w:szCs w:val="18"/>
          <w:color w:val="auto"/>
        </w:rPr>
      </w:pPr>
    </w:p>
    <w:p>
      <w:pPr>
        <w:ind w:right="160" w:firstLine="2277"/>
        <w:spacing w:after="0" w:line="259" w:lineRule="auto"/>
        <w:tabs>
          <w:tab w:leader="none" w:pos="2719" w:val="left"/>
        </w:tabs>
        <w:numPr>
          <w:ilvl w:val="1"/>
          <w:numId w:val="35"/>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constituted either a “distributing corporation” or a “controlled corporation” in a distribution of stock qualifying for tax-free treatment under Section 355 of the Code (x) in the two (2) years prior to the date of this Agreement or (y) in a distribution which could otherwise constitute part of a “plan” or “series of related transactions” (within the meaning of Section 355(e) of the Code) in conjunction with the Merger.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40" w:firstLine="2277"/>
        <w:spacing w:after="0" w:line="308" w:lineRule="auto"/>
        <w:tabs>
          <w:tab w:leader="none" w:pos="2643" w:val="left"/>
        </w:tabs>
        <w:numPr>
          <w:ilvl w:val="1"/>
          <w:numId w:val="36"/>
        </w:numPr>
        <w:rPr>
          <w:rFonts w:ascii="Arial" w:cs="Arial" w:eastAsia="Arial" w:hAnsi="Arial"/>
          <w:sz w:val="17"/>
          <w:szCs w:val="17"/>
          <w:color w:val="auto"/>
        </w:rPr>
      </w:pPr>
      <w:r>
        <w:rPr>
          <w:rFonts w:ascii="Arial" w:cs="Arial" w:eastAsia="Arial" w:hAnsi="Arial"/>
          <w:sz w:val="17"/>
          <w:szCs w:val="17"/>
          <w:color w:val="auto"/>
        </w:rPr>
        <w:t>There are no outstanding options, warrants, securities convertible into stock or other contractual obligations that might reasonably be treated for Federal income tax purposes as stock or another equity interest in the Company or any of its Subsidiaries.</w:t>
      </w:r>
    </w:p>
    <w:p>
      <w:pPr>
        <w:spacing w:after="0" w:line="146" w:lineRule="exact"/>
        <w:rPr>
          <w:rFonts w:ascii="Arial" w:cs="Arial" w:eastAsia="Arial" w:hAnsi="Arial"/>
          <w:sz w:val="17"/>
          <w:szCs w:val="17"/>
          <w:color w:val="auto"/>
        </w:rPr>
      </w:pPr>
    </w:p>
    <w:p>
      <w:pPr>
        <w:ind w:right="240" w:firstLine="2277"/>
        <w:spacing w:after="0" w:line="264" w:lineRule="auto"/>
        <w:tabs>
          <w:tab w:leader="none" w:pos="2632" w:val="left"/>
        </w:tabs>
        <w:numPr>
          <w:ilvl w:val="1"/>
          <w:numId w:val="36"/>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agreed or is required to include in income any adjustment under Section 481(c) of the Code (or an analogous provision of state, local, or foreign law) by reason of a change in accounting method or otherwise in respect of the current or any future taxable period.</w:t>
      </w:r>
    </w:p>
    <w:p>
      <w:pPr>
        <w:spacing w:after="0" w:line="181" w:lineRule="exact"/>
        <w:rPr>
          <w:rFonts w:ascii="Arial" w:cs="Arial" w:eastAsia="Arial" w:hAnsi="Arial"/>
          <w:sz w:val="18"/>
          <w:szCs w:val="18"/>
          <w:color w:val="auto"/>
        </w:rPr>
      </w:pPr>
    </w:p>
    <w:p>
      <w:pPr>
        <w:ind w:left="2660" w:hanging="383"/>
        <w:spacing w:after="0"/>
        <w:tabs>
          <w:tab w:leader="none" w:pos="26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Neither the Company nor any Subsidiary has (A) entered into any Advance Pricing Agreement or similar agreement or</w:t>
      </w:r>
    </w:p>
    <w:p>
      <w:pPr>
        <w:spacing w:after="0" w:line="46" w:lineRule="exact"/>
        <w:rPr>
          <w:rFonts w:ascii="Arial" w:cs="Arial" w:eastAsia="Arial" w:hAnsi="Arial"/>
          <w:sz w:val="16"/>
          <w:szCs w:val="16"/>
          <w:color w:val="auto"/>
        </w:rPr>
      </w:pPr>
    </w:p>
    <w:p>
      <w:pPr>
        <w:ind w:firstLine="8"/>
        <w:spacing w:after="0" w:line="261" w:lineRule="auto"/>
        <w:tabs>
          <w:tab w:leader="none" w:pos="285"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received written notice from a Tax Authority regarding any transfer pricing inquiry under Section 482 of the Code (or a similar provision of state, local, or foreign Law) that remains unresolved.</w:t>
      </w:r>
    </w:p>
    <w:p>
      <w:pPr>
        <w:sectPr>
          <w:pgSz w:w="11900" w:h="16838" w:orient="portrait"/>
          <w:cols w:equalWidth="0" w:num="1">
            <w:col w:w="11420"/>
          </w:cols>
          <w:pgMar w:left="240" w:top="341" w:right="239" w:bottom="18" w:gutter="0" w:footer="0" w:header="0"/>
        </w:sectPr>
      </w:pPr>
    </w:p>
    <w:bookmarkStart w:id="16" w:name="page17"/>
    <w:bookmarkEnd w:id="16"/>
    <w:p>
      <w:pPr>
        <w:spacing w:after="0" w:line="79" w:lineRule="exact"/>
        <w:rPr>
          <w:sz w:val="20"/>
          <w:szCs w:val="20"/>
          <w:color w:val="auto"/>
        </w:rPr>
      </w:pPr>
    </w:p>
    <w:p>
      <w:pPr>
        <w:ind w:right="180" w:firstLine="2277"/>
        <w:spacing w:after="0" w:line="264" w:lineRule="auto"/>
        <w:tabs>
          <w:tab w:leader="none" w:pos="2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does not have and has not had a permanent establishment in any foreign country, as defined in any applicable Tax treaty or convention between the United States and such foreign country, in respect of which a Tax Return is required to be filed and remains unfiled.</w:t>
      </w:r>
    </w:p>
    <w:p>
      <w:pPr>
        <w:spacing w:after="0" w:line="181" w:lineRule="exact"/>
        <w:rPr>
          <w:rFonts w:ascii="Arial" w:cs="Arial" w:eastAsia="Arial" w:hAnsi="Arial"/>
          <w:sz w:val="18"/>
          <w:szCs w:val="18"/>
          <w:color w:val="auto"/>
        </w:rPr>
      </w:pPr>
    </w:p>
    <w:p>
      <w:pPr>
        <w:ind w:firstLine="2277"/>
        <w:spacing w:after="0" w:line="277" w:lineRule="auto"/>
        <w:tabs>
          <w:tab w:leader="none" w:pos="2719"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“participated” in a “reportable transaction” (as defined in §1.6011-4 of the United States Treasury Regulations promulgated under the Code) and is required to file an IRS Form 8886.</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b w:val="1"/>
          <w:bCs w:val="1"/>
          <w:i w:val="1"/>
          <w:iCs w:val="1"/>
          <w:color w:val="auto"/>
        </w:rPr>
        <w:t>Title to Properties</w:t>
      </w:r>
      <w:r>
        <w:rPr>
          <w:rFonts w:ascii="Arial" w:cs="Arial" w:eastAsia="Arial" w:hAnsi="Arial"/>
          <w:sz w:val="18"/>
          <w:szCs w:val="18"/>
          <w:color w:val="auto"/>
        </w:rPr>
        <w:t>.</w:t>
      </w:r>
    </w:p>
    <w:p>
      <w:pPr>
        <w:spacing w:after="0" w:line="221" w:lineRule="exact"/>
        <w:rPr>
          <w:sz w:val="20"/>
          <w:szCs w:val="20"/>
          <w:color w:val="auto"/>
        </w:rPr>
      </w:pPr>
    </w:p>
    <w:p>
      <w:pPr>
        <w:ind w:left="420" w:right="40" w:firstLine="1290"/>
        <w:spacing w:after="0" w:line="287" w:lineRule="auto"/>
        <w:tabs>
          <w:tab w:leader="none" w:pos="1954" w:val="left"/>
        </w:tabs>
        <w:numPr>
          <w:ilvl w:val="0"/>
          <w:numId w:val="39"/>
        </w:numPr>
        <w:rPr>
          <w:rFonts w:ascii="Arial" w:cs="Arial" w:eastAsia="Arial" w:hAnsi="Arial"/>
          <w:sz w:val="16"/>
          <w:szCs w:val="16"/>
          <w:color w:val="auto"/>
        </w:rPr>
      </w:pPr>
      <w:r>
        <w:rPr>
          <w:rFonts w:ascii="Arial" w:cs="Arial" w:eastAsia="Arial" w:hAnsi="Arial"/>
          <w:sz w:val="16"/>
          <w:szCs w:val="16"/>
          <w:b w:val="1"/>
          <w:bCs w:val="1"/>
          <w:i w:val="1"/>
          <w:iCs w:val="1"/>
          <w:color w:val="auto"/>
        </w:rPr>
        <w:t>Properties</w:t>
      </w:r>
      <w:r>
        <w:rPr>
          <w:rFonts w:ascii="Arial" w:cs="Arial" w:eastAsia="Arial" w:hAnsi="Arial"/>
          <w:sz w:val="16"/>
          <w:szCs w:val="16"/>
          <w:color w:val="auto"/>
        </w:rPr>
        <w:t>. Neither the Company nor any of its Subsidiaries owns any real property.</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2.7(a)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Company Disclosure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Schedule sets forth a list of all real property currently leased, licensed or subleased by the Company or any of its Subsidiaries or otherwise used or occupied by the Company or any of its Subsidiaries (the “</w:t>
      </w:r>
      <w:r>
        <w:rPr>
          <w:rFonts w:ascii="Arial" w:cs="Arial" w:eastAsia="Arial" w:hAnsi="Arial"/>
          <w:sz w:val="16"/>
          <w:szCs w:val="16"/>
          <w:b w:val="1"/>
          <w:bCs w:val="1"/>
          <w:color w:val="auto"/>
        </w:rPr>
        <w:t>Leased Real Property</w:t>
      </w:r>
      <w:r>
        <w:rPr>
          <w:rFonts w:ascii="Arial" w:cs="Arial" w:eastAsia="Arial" w:hAnsi="Arial"/>
          <w:sz w:val="16"/>
          <w:szCs w:val="16"/>
          <w:color w:val="auto"/>
        </w:rPr>
        <w:t xml:space="preserve">”). All Lease Documents are in full force and effect, are valid and effective in accordance with their respective terms, and there is not, under any of the Lease Documents, any material existing breach, default or event of default (or event which with notice or lapse of time, or both, would constitute a default) by the Company or its Subsidiaries or, to the Company’s Knowledge, any third party under any of the Lease Documents, in each case subject to applicable bankruptcy, insolvency, reorganization, moratorium or other laws relating to or affecting the rights and remedies of creditors generally and to general principles of equity. Except as set forth on </w:t>
      </w:r>
      <w:r>
        <w:rPr>
          <w:rFonts w:ascii="Arial" w:cs="Arial" w:eastAsia="Arial" w:hAnsi="Arial"/>
          <w:sz w:val="16"/>
          <w:szCs w:val="16"/>
          <w:b w:val="1"/>
          <w:bCs w:val="1"/>
          <w:color w:val="auto"/>
        </w:rPr>
        <w:t>Section 2.7(a)</w:t>
      </w:r>
      <w:r>
        <w:rPr>
          <w:rFonts w:ascii="Arial" w:cs="Arial" w:eastAsia="Arial" w:hAnsi="Arial"/>
          <w:sz w:val="16"/>
          <w:szCs w:val="16"/>
          <w:color w:val="auto"/>
        </w:rPr>
        <w:t xml:space="preserve"> of the Company Disclosure Schedule, (i) no parties other than the Company or any of its Subsidiaries have a right to occupy any material Leased Real Property, (ii) the Leased Real Property is used only for the operation of the business of the Company and its Subsidiaries, (iii) the Leased Real Property and the physical assets of the Company and the Subsidiaries are, in all material respects, in good condition and repair and regularly maintained in accordance with standard industry practice, (iv) to the Company’s Knowledge, the Leased Real Property is in compliance, in all material respects, with Legal Requirements and (v) neither the Company nor any of its Subsidiaries will be required to incur any material cost or expense for any restoration or surrender obligations, or any other material costs otherwise qualifying as asset retirement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0" w:right="540"/>
        <w:spacing w:after="0" w:line="342" w:lineRule="auto"/>
        <w:rPr>
          <w:sz w:val="20"/>
          <w:szCs w:val="20"/>
          <w:color w:val="auto"/>
        </w:rPr>
      </w:pPr>
      <w:r>
        <w:rPr>
          <w:rFonts w:ascii="Arial" w:cs="Arial" w:eastAsia="Arial" w:hAnsi="Arial"/>
          <w:sz w:val="16"/>
          <w:szCs w:val="16"/>
          <w:color w:val="auto"/>
        </w:rPr>
        <w:t>obligations under Financial Accounting Standards Board Statement of Financial Accounting Standard No. 143 “Accounting for Asset Retirement Obligations,” upon the expiration or earlier termination of any leases or other occupancy agreements for the Leased Real Property.</w:t>
      </w:r>
    </w:p>
    <w:p>
      <w:pPr>
        <w:spacing w:after="0" w:line="124" w:lineRule="exact"/>
        <w:rPr>
          <w:sz w:val="20"/>
          <w:szCs w:val="20"/>
          <w:color w:val="auto"/>
        </w:rPr>
      </w:pPr>
    </w:p>
    <w:p>
      <w:pPr>
        <w:ind w:left="420" w:firstLine="1290"/>
        <w:spacing w:after="0" w:line="308" w:lineRule="auto"/>
        <w:tabs>
          <w:tab w:leader="none" w:pos="1964" w:val="left"/>
        </w:tabs>
        <w:numPr>
          <w:ilvl w:val="1"/>
          <w:numId w:val="40"/>
        </w:numPr>
        <w:rPr>
          <w:rFonts w:ascii="Arial" w:cs="Arial" w:eastAsia="Arial" w:hAnsi="Arial"/>
          <w:sz w:val="17"/>
          <w:szCs w:val="17"/>
          <w:color w:val="auto"/>
        </w:rPr>
      </w:pPr>
      <w:r>
        <w:rPr>
          <w:rFonts w:ascii="Arial" w:cs="Arial" w:eastAsia="Arial" w:hAnsi="Arial"/>
          <w:sz w:val="17"/>
          <w:szCs w:val="17"/>
          <w:b w:val="1"/>
          <w:bCs w:val="1"/>
          <w:i w:val="1"/>
          <w:iCs w:val="1"/>
          <w:color w:val="auto"/>
        </w:rPr>
        <w:t>Documents</w:t>
      </w:r>
      <w:r>
        <w:rPr>
          <w:rFonts w:ascii="Arial" w:cs="Arial" w:eastAsia="Arial" w:hAnsi="Arial"/>
          <w:sz w:val="17"/>
          <w:szCs w:val="17"/>
          <w:color w:val="auto"/>
        </w:rPr>
        <w:t>. The Company has Made Available to Parent true, correct and complete copies of all Contracts under which the Leased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Real Property is currently leased, licensed, subleased used or occupied by the Company or any of its Subsidiaries (“</w:t>
      </w:r>
      <w:r>
        <w:rPr>
          <w:rFonts w:ascii="Arial" w:cs="Arial" w:eastAsia="Arial" w:hAnsi="Arial"/>
          <w:sz w:val="17"/>
          <w:szCs w:val="17"/>
          <w:b w:val="1"/>
          <w:bCs w:val="1"/>
          <w:color w:val="auto"/>
        </w:rPr>
        <w:t>Lease Documents</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420" w:right="40" w:firstLine="1290"/>
        <w:spacing w:after="0" w:line="284" w:lineRule="auto"/>
        <w:tabs>
          <w:tab w:leader="none" w:pos="1954" w:val="left"/>
        </w:tabs>
        <w:numPr>
          <w:ilvl w:val="1"/>
          <w:numId w:val="40"/>
        </w:numPr>
        <w:rPr>
          <w:rFonts w:ascii="Arial" w:cs="Arial" w:eastAsia="Arial" w:hAnsi="Arial"/>
          <w:sz w:val="16"/>
          <w:szCs w:val="16"/>
          <w:color w:val="auto"/>
        </w:rPr>
      </w:pPr>
      <w:r>
        <w:rPr>
          <w:rFonts w:ascii="Arial" w:cs="Arial" w:eastAsia="Arial" w:hAnsi="Arial"/>
          <w:sz w:val="16"/>
          <w:szCs w:val="16"/>
          <w:b w:val="1"/>
          <w:bCs w:val="1"/>
          <w:i w:val="1"/>
          <w:iCs w:val="1"/>
          <w:color w:val="auto"/>
        </w:rPr>
        <w:t>Valid Title</w:t>
      </w:r>
      <w:r>
        <w:rPr>
          <w:rFonts w:ascii="Arial" w:cs="Arial" w:eastAsia="Arial" w:hAnsi="Arial"/>
          <w:sz w:val="16"/>
          <w:szCs w:val="16"/>
          <w:color w:val="auto"/>
        </w:rPr>
        <w:t>. The Company and each of its Subsidiaries have good and valid title to, or, in the case of leased properties and assets,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valid leasehold interests in, all of their material tangible properties and assets, real, personal and mixed, reflected in the latest Company Financials included in the Company SEC Reports, free and clear of any Liens except (i) with respect to Liens securing obligations reflected in the Company Balance Sheet, (ii) (A) statutory liens for Taxes or other payments that are not yet due and payable; (B) statutory liens to secure obligations to landlords, lessors or renters under leases or rental agreements; (C) deposits or pledges made in connection with, or to secure payment of, workers’ compensation, unemployment insurance or similar programs mandated by Legal Requirements; (D) statutory liens in favor of carriers, warehousemen, mechanics and materialmen, to secure claims for labor, materials or supplies and other like liens; and (E) statutory purchase money liens (clauses (A), (B), (C), (D) and</w:t>
      </w:r>
    </w:p>
    <w:p>
      <w:pPr>
        <w:spacing w:after="0" w:line="2" w:lineRule="exact"/>
        <w:rPr>
          <w:rFonts w:ascii="Arial" w:cs="Arial" w:eastAsia="Arial" w:hAnsi="Arial"/>
          <w:sz w:val="16"/>
          <w:szCs w:val="16"/>
          <w:color w:val="auto"/>
        </w:rPr>
      </w:pPr>
    </w:p>
    <w:p>
      <w:pPr>
        <w:ind w:left="420" w:right="20" w:hanging="7"/>
        <w:spacing w:after="0" w:line="253" w:lineRule="auto"/>
        <w:tabs>
          <w:tab w:leader="none" w:pos="6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collectively, the “</w:t>
      </w:r>
      <w:r>
        <w:rPr>
          <w:rFonts w:ascii="Arial" w:cs="Arial" w:eastAsia="Arial" w:hAnsi="Arial"/>
          <w:sz w:val="18"/>
          <w:szCs w:val="18"/>
          <w:b w:val="1"/>
          <w:bCs w:val="1"/>
          <w:color w:val="auto"/>
        </w:rPr>
        <w:t>Permitted Liens</w:t>
      </w:r>
      <w:r>
        <w:rPr>
          <w:rFonts w:ascii="Arial" w:cs="Arial" w:eastAsia="Arial" w:hAnsi="Arial"/>
          <w:sz w:val="18"/>
          <w:szCs w:val="18"/>
          <w:color w:val="auto"/>
        </w:rPr>
        <w:t>”) and (iii) such imperfections of title and Liens, if any, which do not materially impair the continued use of the properties or assets subject thereto or affected thereby, or otherwise materially impair business operations at such properties. The rights, properties and assets presently owned, leased or licensed by the Company and its Subsidiaries include all rights, properties and assets necessary to permit the Company and its Subsidiaries to conduct their business in all material respects in the same manner as their businesses have been conducted prior to the date hereof.</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2.8 </w:t>
      </w:r>
      <w:r>
        <w:rPr>
          <w:rFonts w:ascii="Arial" w:cs="Arial" w:eastAsia="Arial" w:hAnsi="Arial"/>
          <w:sz w:val="17"/>
          <w:szCs w:val="17"/>
          <w:b w:val="1"/>
          <w:bCs w:val="1"/>
          <w:i w:val="1"/>
          <w:iCs w:val="1"/>
          <w:color w:val="auto"/>
        </w:rPr>
        <w:t>Intellectual Property</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Definitions</w:t>
      </w:r>
      <w:r>
        <w:rPr>
          <w:rFonts w:ascii="Arial" w:cs="Arial" w:eastAsia="Arial" w:hAnsi="Arial"/>
          <w:sz w:val="17"/>
          <w:szCs w:val="17"/>
          <w:color w:val="auto"/>
        </w:rPr>
        <w:t>. For all purposes of this Agreement, the following terms shall have the following respective meanings:</w:t>
      </w:r>
    </w:p>
    <w:p>
      <w:pPr>
        <w:spacing w:after="0" w:line="237" w:lineRule="exact"/>
        <w:rPr>
          <w:sz w:val="20"/>
          <w:szCs w:val="20"/>
          <w:color w:val="auto"/>
        </w:rPr>
      </w:pPr>
    </w:p>
    <w:p>
      <w:pPr>
        <w:ind w:right="140" w:firstLine="194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Intellectual Property</w:t>
      </w:r>
      <w:r>
        <w:rPr>
          <w:rFonts w:ascii="Arial" w:cs="Arial" w:eastAsia="Arial" w:hAnsi="Arial"/>
          <w:sz w:val="18"/>
          <w:szCs w:val="18"/>
          <w:color w:val="auto"/>
        </w:rPr>
        <w:t>” shall mean any and all Intellectual Property and Intellectual Property Rights that are owned by, or exclusively licensed to, the Company or its Subsidiaries.</w:t>
      </w:r>
    </w:p>
    <w:p>
      <w:pPr>
        <w:spacing w:after="0" w:line="170" w:lineRule="exact"/>
        <w:rPr>
          <w:sz w:val="20"/>
          <w:szCs w:val="20"/>
          <w:color w:val="auto"/>
        </w:rPr>
      </w:pPr>
    </w:p>
    <w:p>
      <w:pPr>
        <w:ind w:right="220" w:firstLine="194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Products</w:t>
      </w:r>
      <w:r>
        <w:rPr>
          <w:rFonts w:ascii="Arial" w:cs="Arial" w:eastAsia="Arial" w:hAnsi="Arial"/>
          <w:sz w:val="18"/>
          <w:szCs w:val="18"/>
          <w:color w:val="auto"/>
        </w:rPr>
        <w:t>” shall mean all products and services developed or under development by or on behalf of the Company or any of its Subsidiaries and owned, made, provided, distributed, imported, sold or licensed by or on behalf of the Company and any of its Subsidiaries, excluding any products or services developed, supplied or licensed by a third party (other than such products made pursuant to a design or design criteria, a substantial portion of which is supplied by or on behalf of the Company or any of its Subsidiaries) and resold, bundled or otherwise distributed by the Company.</w:t>
      </w:r>
    </w:p>
    <w:p>
      <w:pPr>
        <w:spacing w:after="0" w:line="188" w:lineRule="exact"/>
        <w:rPr>
          <w:sz w:val="20"/>
          <w:szCs w:val="20"/>
          <w:color w:val="auto"/>
        </w:rPr>
      </w:pPr>
    </w:p>
    <w:p>
      <w:pPr>
        <w:ind w:right="360" w:firstLine="194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Registered Intellectual Property</w:t>
      </w:r>
      <w:r>
        <w:rPr>
          <w:rFonts w:ascii="Arial" w:cs="Arial" w:eastAsia="Arial" w:hAnsi="Arial"/>
          <w:sz w:val="18"/>
          <w:szCs w:val="18"/>
          <w:color w:val="auto"/>
        </w:rPr>
        <w:t>” shall mean any Company Intellectual Property with respect to which legal rights have been registered, filed, or issued by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under the authority of any governmental authority responsible for issuing or registering any of the Intellectual Property or Intellectual Property Rights.</w:t>
      </w:r>
    </w:p>
    <w:p>
      <w:pPr>
        <w:spacing w:after="0" w:line="237" w:lineRule="exact"/>
        <w:rPr>
          <w:sz w:val="20"/>
          <w:szCs w:val="20"/>
          <w:color w:val="auto"/>
        </w:rPr>
      </w:pPr>
    </w:p>
    <w:p>
      <w:pPr>
        <w:ind w:right="40" w:firstLine="194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Intellectual Property</w:t>
      </w:r>
      <w:r>
        <w:rPr>
          <w:rFonts w:ascii="Arial" w:cs="Arial" w:eastAsia="Arial" w:hAnsi="Arial"/>
          <w:sz w:val="18"/>
          <w:szCs w:val="18"/>
          <w:color w:val="auto"/>
        </w:rPr>
        <w:t>” shall mean any or all of the following (i) original works of authorship including computer programs, source code and executable code, whether embodied in software, firmware or otherwise, documentation, designs, files and records, (ii) inventions (whether or not patentable), discoveries, improvements and technology, (iii) proprietary and confidential information, trade secrets and know how, (iv) databases, data compilations and collections and technical data, (v) logos, trade names, trade dress, trademarks and service marks, (vi) domain names, web addresses and sites, (vii) tools, methods and processes and (viii) schematics.</w:t>
      </w:r>
    </w:p>
    <w:p>
      <w:pPr>
        <w:spacing w:after="0" w:line="188" w:lineRule="exact"/>
        <w:rPr>
          <w:sz w:val="20"/>
          <w:szCs w:val="20"/>
          <w:color w:val="auto"/>
        </w:rPr>
      </w:pPr>
    </w:p>
    <w:p>
      <w:pPr>
        <w:ind w:right="80" w:firstLine="1945"/>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Intellectual Property Rights</w:t>
      </w:r>
      <w:r>
        <w:rPr>
          <w:rFonts w:ascii="Arial" w:cs="Arial" w:eastAsia="Arial" w:hAnsi="Arial"/>
          <w:sz w:val="16"/>
          <w:szCs w:val="16"/>
          <w:color w:val="auto"/>
        </w:rPr>
        <w:t>” shall mean worldwide common law and statutory rights associated with (i) patents and patent applications, (ii) copyrights, copyright registrations and copyright applications and “moral rights,” (iii) trade and industrial secrets and confidential information (including, to the extent kept confidential by the Company, customer lists, customer contact information, customer correspondence and customer licensing and purchasing histories relating to its current and former customers) (“</w:t>
      </w:r>
      <w:r>
        <w:rPr>
          <w:rFonts w:ascii="Arial" w:cs="Arial" w:eastAsia="Arial" w:hAnsi="Arial"/>
          <w:sz w:val="16"/>
          <w:szCs w:val="16"/>
          <w:b w:val="1"/>
          <w:bCs w:val="1"/>
          <w:color w:val="auto"/>
        </w:rPr>
        <w:t>Trade Secrets</w:t>
      </w:r>
      <w:r>
        <w:rPr>
          <w:rFonts w:ascii="Arial" w:cs="Arial" w:eastAsia="Arial" w:hAnsi="Arial"/>
          <w:sz w:val="16"/>
          <w:szCs w:val="16"/>
          <w:color w:val="auto"/>
        </w:rPr>
        <w:t>”), (iv) other proprietary rights relating to intangible</w:t>
      </w:r>
    </w:p>
    <w:p>
      <w:pPr>
        <w:sectPr>
          <w:pgSz w:w="11900" w:h="16918" w:orient="portrait"/>
          <w:cols w:equalWidth="0" w:num="1">
            <w:col w:w="11420"/>
          </w:cols>
          <w:pgMar w:left="240" w:top="125" w:right="239" w:bottom="0" w:gutter="0" w:footer="0" w:header="0"/>
        </w:sectPr>
      </w:pPr>
    </w:p>
    <w:bookmarkStart w:id="17" w:name="page18"/>
    <w:bookmarkEnd w:id="17"/>
    <w:p>
      <w:pPr>
        <w:ind w:right="220"/>
        <w:spacing w:after="0" w:line="277" w:lineRule="auto"/>
        <w:rPr>
          <w:sz w:val="20"/>
          <w:szCs w:val="20"/>
          <w:color w:val="auto"/>
        </w:rPr>
      </w:pPr>
      <w:r>
        <w:rPr>
          <w:rFonts w:ascii="Arial" w:cs="Arial" w:eastAsia="Arial" w:hAnsi="Arial"/>
          <w:sz w:val="18"/>
          <w:szCs w:val="18"/>
          <w:color w:val="auto"/>
        </w:rPr>
        <w:t>intellectual property, (v) trademarks, trade names and service marks, (vi) divisions, continuations, renewals, reissuances and extensions of the foregoing (as applicable) and (vii) the right to enforce and recover remedies for any of the foregoing.</w:t>
      </w:r>
    </w:p>
    <w:p>
      <w:pPr>
        <w:spacing w:after="0" w:line="166" w:lineRule="exact"/>
        <w:rPr>
          <w:sz w:val="20"/>
          <w:szCs w:val="20"/>
          <w:color w:val="auto"/>
        </w:rPr>
      </w:pPr>
    </w:p>
    <w:p>
      <w:pPr>
        <w:ind w:right="280" w:firstLine="194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Lexar License Agreements</w:t>
      </w:r>
      <w:r>
        <w:rPr>
          <w:rFonts w:ascii="Arial" w:cs="Arial" w:eastAsia="Arial" w:hAnsi="Arial"/>
          <w:sz w:val="18"/>
          <w:szCs w:val="18"/>
          <w:color w:val="auto"/>
        </w:rPr>
        <w:t xml:space="preserve">” shall mean the license agreements listed and defined in </w:t>
      </w:r>
      <w:r>
        <w:rPr>
          <w:rFonts w:ascii="Arial" w:cs="Arial" w:eastAsia="Arial" w:hAnsi="Arial"/>
          <w:sz w:val="18"/>
          <w:szCs w:val="18"/>
          <w:b w:val="1"/>
          <w:bCs w:val="1"/>
          <w:color w:val="auto"/>
        </w:rPr>
        <w:t>Section 2.8-1</w:t>
      </w:r>
      <w:r>
        <w:rPr>
          <w:rFonts w:ascii="Arial" w:cs="Arial" w:eastAsia="Arial" w:hAnsi="Arial"/>
          <w:sz w:val="18"/>
          <w:szCs w:val="18"/>
          <w:color w:val="auto"/>
        </w:rPr>
        <w:t xml:space="preserve"> of the Company Disclosure Schedule as the “Lexar License Agreements”.</w:t>
      </w:r>
    </w:p>
    <w:p>
      <w:pPr>
        <w:spacing w:after="0" w:line="166" w:lineRule="exact"/>
        <w:rPr>
          <w:sz w:val="20"/>
          <w:szCs w:val="20"/>
          <w:color w:val="auto"/>
        </w:rPr>
      </w:pPr>
    </w:p>
    <w:p>
      <w:pPr>
        <w:ind w:right="40" w:firstLine="194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Open Source</w:t>
      </w:r>
      <w:r>
        <w:rPr>
          <w:rFonts w:ascii="Arial" w:cs="Arial" w:eastAsia="Arial" w:hAnsi="Arial"/>
          <w:sz w:val="18"/>
          <w:szCs w:val="18"/>
          <w:color w:val="auto"/>
        </w:rPr>
        <w:t>” shall mean Intellectual Property or Intellectual Property Rights of the Company or its Subsidiaries, of a third party, or in the public domain, that constitutes open source, public source or freeware Intellectual Property, or any modification or derivative thereof, including any version of any software licensed pursuant to any GNU general public license or GNU lesser general public license or other software that is licensed pursuant to a license that purports to require the distribution of or access to Source Code or purports to restrict one’s ability to charge for distribution of or to use software for commercial purposes.</w:t>
      </w:r>
    </w:p>
    <w:p>
      <w:pPr>
        <w:spacing w:after="0" w:line="188" w:lineRule="exact"/>
        <w:rPr>
          <w:sz w:val="20"/>
          <w:szCs w:val="20"/>
          <w:color w:val="auto"/>
        </w:rPr>
      </w:pPr>
    </w:p>
    <w:p>
      <w:pPr>
        <w:ind w:right="120" w:firstLine="1945"/>
        <w:spacing w:after="0" w:line="30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Shrink-Wrapped Code</w:t>
      </w:r>
      <w:r>
        <w:rPr>
          <w:rFonts w:ascii="Arial" w:cs="Arial" w:eastAsia="Arial" w:hAnsi="Arial"/>
          <w:sz w:val="16"/>
          <w:szCs w:val="16"/>
          <w:color w:val="auto"/>
        </w:rPr>
        <w:t>” shall mean generally commercially available off-the-shelf software code or programs where available for a</w:t>
      </w:r>
      <w:r>
        <w:rPr>
          <w:rFonts w:ascii="Arial" w:cs="Arial" w:eastAsia="Arial" w:hAnsi="Arial"/>
          <w:sz w:val="17"/>
          <w:szCs w:val="17"/>
          <w:color w:val="auto"/>
        </w:rPr>
        <w:t xml:space="preserve"> </w:t>
      </w:r>
      <w:r>
        <w:rPr>
          <w:rFonts w:ascii="Arial" w:cs="Arial" w:eastAsia="Arial" w:hAnsi="Arial"/>
          <w:sz w:val="16"/>
          <w:szCs w:val="16"/>
          <w:color w:val="auto"/>
        </w:rPr>
        <w:t>cost of not more than $10,000 for a perpetual license for a single user or work station (or $75,000 in the aggregate for all users and work stations).</w:t>
      </w:r>
    </w:p>
    <w:p>
      <w:pPr>
        <w:spacing w:after="0" w:line="151" w:lineRule="exact"/>
        <w:rPr>
          <w:sz w:val="20"/>
          <w:szCs w:val="20"/>
          <w:color w:val="auto"/>
        </w:rPr>
      </w:pPr>
    </w:p>
    <w:p>
      <w:pPr>
        <w:ind w:right="640" w:firstLine="19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Source Code</w:t>
      </w:r>
      <w:r>
        <w:rPr>
          <w:rFonts w:ascii="Arial" w:cs="Arial" w:eastAsia="Arial" w:hAnsi="Arial"/>
          <w:sz w:val="17"/>
          <w:szCs w:val="17"/>
          <w:color w:val="auto"/>
        </w:rPr>
        <w:t>” shall mean computer software and code, in a form other than object code form, including related programmer</w:t>
      </w:r>
      <w:r>
        <w:rPr>
          <w:rFonts w:ascii="Arial" w:cs="Arial" w:eastAsia="Arial" w:hAnsi="Arial"/>
          <w:sz w:val="18"/>
          <w:szCs w:val="18"/>
          <w:color w:val="auto"/>
        </w:rPr>
        <w:t xml:space="preserve"> </w:t>
      </w:r>
      <w:r>
        <w:rPr>
          <w:rFonts w:ascii="Arial" w:cs="Arial" w:eastAsia="Arial" w:hAnsi="Arial"/>
          <w:sz w:val="17"/>
          <w:szCs w:val="17"/>
          <w:color w:val="auto"/>
        </w:rPr>
        <w:t>comments and annotations, which may be printed out or displayed in readily human readable form.</w:t>
      </w:r>
    </w:p>
    <w:p>
      <w:pPr>
        <w:spacing w:after="0" w:line="170" w:lineRule="exact"/>
        <w:rPr>
          <w:sz w:val="20"/>
          <w:szCs w:val="20"/>
          <w:color w:val="auto"/>
        </w:rPr>
      </w:pPr>
    </w:p>
    <w:p>
      <w:pPr>
        <w:ind w:left="420" w:right="20" w:firstLine="1290"/>
        <w:spacing w:after="0" w:line="266" w:lineRule="auto"/>
        <w:tabs>
          <w:tab w:leader="none" w:pos="1954"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No Default/No Conflict</w:t>
      </w:r>
      <w:r>
        <w:rPr>
          <w:rFonts w:ascii="Arial" w:cs="Arial" w:eastAsia="Arial" w:hAnsi="Arial"/>
          <w:sz w:val="18"/>
          <w:szCs w:val="18"/>
          <w:color w:val="auto"/>
        </w:rPr>
        <w:t>. Except with respect to the transactions contemplated by</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Section 5.13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this Agreement,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consummation of the transactions contemplated by this Agreement will neither violate nor by their terms result in the breach, modification, cancellation, termination, suspension of, or acceleration of any payments with respect to, any Contract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0"/>
        <w:spacing w:after="0" w:line="268" w:lineRule="auto"/>
        <w:rPr>
          <w:sz w:val="20"/>
          <w:szCs w:val="20"/>
          <w:color w:val="auto"/>
        </w:rPr>
      </w:pPr>
      <w:r>
        <w:rPr>
          <w:rFonts w:ascii="Arial" w:cs="Arial" w:eastAsia="Arial" w:hAnsi="Arial"/>
          <w:sz w:val="17"/>
          <w:szCs w:val="17"/>
          <w:color w:val="auto"/>
        </w:rPr>
        <w:t>providing for the license or other use of Company Intellectual Property or the license or other use by the Company or its Subsidiaries of Intellectual Property or Intellectual Property Rights of a third party, in each case which is material to the business of the Company (“</w:t>
      </w:r>
      <w:r>
        <w:rPr>
          <w:rFonts w:ascii="Arial" w:cs="Arial" w:eastAsia="Arial" w:hAnsi="Arial"/>
          <w:sz w:val="17"/>
          <w:szCs w:val="17"/>
          <w:b w:val="1"/>
          <w:bCs w:val="1"/>
          <w:color w:val="auto"/>
        </w:rPr>
        <w:t>Intellectual Property</w:t>
      </w:r>
      <w:r>
        <w:rPr>
          <w:rFonts w:ascii="Arial" w:cs="Arial" w:eastAsia="Arial" w:hAnsi="Arial"/>
          <w:sz w:val="17"/>
          <w:szCs w:val="17"/>
          <w:color w:val="auto"/>
        </w:rPr>
        <w:t xml:space="preserve"> </w:t>
      </w:r>
      <w:r>
        <w:rPr>
          <w:rFonts w:ascii="Arial" w:cs="Arial" w:eastAsia="Arial" w:hAnsi="Arial"/>
          <w:sz w:val="17"/>
          <w:szCs w:val="17"/>
          <w:b w:val="1"/>
          <w:bCs w:val="1"/>
          <w:color w:val="auto"/>
        </w:rPr>
        <w:t>Contracts</w:t>
      </w:r>
      <w:r>
        <w:rPr>
          <w:rFonts w:ascii="Arial" w:cs="Arial" w:eastAsia="Arial" w:hAnsi="Arial"/>
          <w:sz w:val="17"/>
          <w:szCs w:val="17"/>
          <w:color w:val="auto"/>
        </w:rPr>
        <w:t>”). Subject to the last two sentences of this</w:t>
      </w:r>
      <w:r>
        <w:rPr>
          <w:rFonts w:ascii="Arial" w:cs="Arial" w:eastAsia="Arial" w:hAnsi="Arial"/>
          <w:sz w:val="17"/>
          <w:szCs w:val="17"/>
          <w:b w:val="1"/>
          <w:bCs w:val="1"/>
          <w:color w:val="auto"/>
        </w:rPr>
        <w:t xml:space="preserve"> Section 2.8(a)</w:t>
      </w:r>
      <w:r>
        <w:rPr>
          <w:rFonts w:ascii="Arial" w:cs="Arial" w:eastAsia="Arial" w:hAnsi="Arial"/>
          <w:sz w:val="17"/>
          <w:szCs w:val="17"/>
          <w:color w:val="auto"/>
        </w:rPr>
        <w:t>, each of the Company and its Subsidiaries is in material compliance with, and has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not materially breached any term of any such Intellectual Property Contract and, to the Company’s Knowledge, all other parties to such Intellectual Property Contracts are in compliance with, and have not materially breached any term thereof. Subject to the last two sentences of this </w:t>
      </w:r>
      <w:r>
        <w:rPr>
          <w:rFonts w:ascii="Arial" w:cs="Arial" w:eastAsia="Arial" w:hAnsi="Arial"/>
          <w:sz w:val="17"/>
          <w:szCs w:val="17"/>
          <w:b w:val="1"/>
          <w:bCs w:val="1"/>
          <w:color w:val="auto"/>
        </w:rPr>
        <w:t>Section 2.8(a)</w:t>
      </w:r>
      <w:r>
        <w:rPr>
          <w:rFonts w:ascii="Arial" w:cs="Arial" w:eastAsia="Arial" w:hAnsi="Arial"/>
          <w:sz w:val="17"/>
          <w:szCs w:val="17"/>
          <w:color w:val="auto"/>
        </w:rPr>
        <w:t xml:space="preserve">, following the Closing Date, the Surviving Corporation will be permitted to exercise all of the Company’s and its Subsidiaries’ material rights under such Intellectual Property Contracts to the same extent the Company and its Subsidiaries would have been able to had the transactions contemplated by this Agreement not occurred and, except as set forth in the Company Disclosure Schedule for Section 2.8(e), without the payment of any additional amounts or consideration other than ongoing fees, royalties or payments which the Company or any of its Subsidiaries would otherwise be required to pay. The Company represents and warrants that the initial transfer, assignment or conveyance of patents, patent applications or draft patent applications to IP LLC as contemplated by </w:t>
      </w:r>
      <w:r>
        <w:rPr>
          <w:rFonts w:ascii="Arial" w:cs="Arial" w:eastAsia="Arial" w:hAnsi="Arial"/>
          <w:sz w:val="17"/>
          <w:szCs w:val="17"/>
          <w:b w:val="1"/>
          <w:bCs w:val="1"/>
          <w:color w:val="auto"/>
        </w:rPr>
        <w:t>Section 5.13</w:t>
      </w:r>
      <w:r>
        <w:rPr>
          <w:rFonts w:ascii="Arial" w:cs="Arial" w:eastAsia="Arial" w:hAnsi="Arial"/>
          <w:sz w:val="17"/>
          <w:szCs w:val="17"/>
          <w:color w:val="auto"/>
        </w:rPr>
        <w:t xml:space="preserve"> of this Agreement, while IP LLC is a wholly owned Subsidiary of the Company, will not of itself be a breach or violation of any of the Lexar License Agreements. Other than with respect to the initial transfer referred to in the immediately preceding sentence, the Company makes no representation or warranty that the Lexar License Agreements will not be breached or adversely affected as a result of the transactions contemplated by </w:t>
      </w:r>
      <w:r>
        <w:rPr>
          <w:rFonts w:ascii="Arial" w:cs="Arial" w:eastAsia="Arial" w:hAnsi="Arial"/>
          <w:sz w:val="17"/>
          <w:szCs w:val="17"/>
          <w:b w:val="1"/>
          <w:bCs w:val="1"/>
          <w:color w:val="auto"/>
        </w:rPr>
        <w:t>Section 5.13</w:t>
      </w:r>
      <w:r>
        <w:rPr>
          <w:rFonts w:ascii="Arial" w:cs="Arial" w:eastAsia="Arial" w:hAnsi="Arial"/>
          <w:sz w:val="17"/>
          <w:szCs w:val="17"/>
          <w:color w:val="auto"/>
        </w:rPr>
        <w:t xml:space="preserve"> hereunder.</w:t>
      </w:r>
    </w:p>
    <w:p>
      <w:pPr>
        <w:spacing w:after="0" w:line="185" w:lineRule="exact"/>
        <w:rPr>
          <w:sz w:val="20"/>
          <w:szCs w:val="20"/>
          <w:color w:val="auto"/>
        </w:rPr>
      </w:pPr>
    </w:p>
    <w:p>
      <w:pPr>
        <w:ind w:left="420" w:right="20" w:firstLine="1290"/>
        <w:spacing w:after="0" w:line="257" w:lineRule="auto"/>
        <w:tabs>
          <w:tab w:leader="none" w:pos="1964"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No Infringement</w:t>
      </w:r>
      <w:r>
        <w:rPr>
          <w:rFonts w:ascii="Arial" w:cs="Arial" w:eastAsia="Arial" w:hAnsi="Arial"/>
          <w:sz w:val="18"/>
          <w:szCs w:val="18"/>
          <w:color w:val="auto"/>
        </w:rPr>
        <w:t>. To the Company’s Knowledge, the operation of the business of the Company and its Subsidiaries as currently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conducted, including the design, development, use, import, branding, advertising, promotion, marketing, manufacture and sale of the Company Products do not infringe or misappropriate, any Intellectual Property Rights of any third party, or violate any right to privacy or publicity of any third party or constitute unfair competition or trade practices under the laws of any jurisdiction in which the Company or any of its Subsidiaries are currently doing business.</w:t>
      </w:r>
    </w:p>
    <w:p>
      <w:pPr>
        <w:spacing w:after="0" w:line="188" w:lineRule="exact"/>
        <w:rPr>
          <w:rFonts w:ascii="Arial" w:cs="Arial" w:eastAsia="Arial" w:hAnsi="Arial"/>
          <w:sz w:val="18"/>
          <w:szCs w:val="18"/>
          <w:color w:val="auto"/>
        </w:rPr>
      </w:pPr>
    </w:p>
    <w:p>
      <w:pPr>
        <w:ind w:left="420" w:right="220" w:firstLine="1290"/>
        <w:spacing w:after="0" w:line="302" w:lineRule="auto"/>
        <w:tabs>
          <w:tab w:leader="none" w:pos="1954"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Notice</w:t>
      </w:r>
      <w:r>
        <w:rPr>
          <w:rFonts w:ascii="Arial" w:cs="Arial" w:eastAsia="Arial" w:hAnsi="Arial"/>
          <w:sz w:val="16"/>
          <w:szCs w:val="16"/>
          <w:color w:val="auto"/>
        </w:rPr>
        <w:t>. Neither the Company nor any of its Subsidiaries has in the last three years (and to the Company’s Knowledge, in the last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six years) received written notice from any third party claiming that the Company, any of its Subsidiaries, any Company Product or Company Intellectual Property infringes or misappropriates any Intellectual Property Rights of any third party, violates any rights to privacy or publicity or constitutes unfair competition or trade practices under the laws of any jurisdiction (nor does the Company have Knowledge of any basis therefor).</w:t>
      </w:r>
    </w:p>
    <w:p>
      <w:pPr>
        <w:spacing w:after="0" w:line="154" w:lineRule="exact"/>
        <w:rPr>
          <w:rFonts w:ascii="Arial" w:cs="Arial" w:eastAsia="Arial" w:hAnsi="Arial"/>
          <w:sz w:val="16"/>
          <w:szCs w:val="16"/>
          <w:color w:val="auto"/>
        </w:rPr>
      </w:pPr>
    </w:p>
    <w:p>
      <w:pPr>
        <w:ind w:left="420" w:right="160" w:firstLine="1290"/>
        <w:spacing w:after="0" w:line="259" w:lineRule="auto"/>
        <w:tabs>
          <w:tab w:leader="none" w:pos="1964"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Third Party Infringers. </w:t>
      </w:r>
      <w:r>
        <w:rPr>
          <w:rFonts w:ascii="Arial" w:cs="Arial" w:eastAsia="Arial" w:hAnsi="Arial"/>
          <w:sz w:val="18"/>
          <w:szCs w:val="18"/>
          <w:color w:val="auto"/>
        </w:rPr>
        <w:t>To the Company’s Knowledge, no Person is infringing, misappropriating or otherwise violating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Intellectual Property. Within the past three years (and to the Company’s Knowledge, within the past six years), neither the Company nor any of its Subsidiaries have asserted or threatened in writing or, to the Company’s Knowledge, orally any claim against any Person alleging any infringement, misappropriation or violation of any Company Intellectual Property.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20" w:right="100" w:firstLine="1290"/>
        <w:spacing w:after="0" w:line="271" w:lineRule="auto"/>
        <w:tabs>
          <w:tab w:leader="none" w:pos="1954" w:val="left"/>
        </w:tabs>
        <w:numPr>
          <w:ilvl w:val="0"/>
          <w:numId w:val="44"/>
        </w:numPr>
        <w:rPr>
          <w:rFonts w:ascii="Arial" w:cs="Arial" w:eastAsia="Arial" w:hAnsi="Arial"/>
          <w:sz w:val="17"/>
          <w:szCs w:val="17"/>
          <w:color w:val="auto"/>
        </w:rPr>
      </w:pPr>
      <w:r>
        <w:rPr>
          <w:rFonts w:ascii="Arial" w:cs="Arial" w:eastAsia="Arial" w:hAnsi="Arial"/>
          <w:sz w:val="17"/>
          <w:szCs w:val="17"/>
          <w:b w:val="1"/>
          <w:bCs w:val="1"/>
          <w:i w:val="1"/>
          <w:iCs w:val="1"/>
          <w:color w:val="auto"/>
        </w:rPr>
        <w:t>Transaction</w:t>
      </w:r>
      <w:r>
        <w:rPr>
          <w:rFonts w:ascii="Arial" w:cs="Arial" w:eastAsia="Arial" w:hAnsi="Arial"/>
          <w:sz w:val="17"/>
          <w:szCs w:val="17"/>
          <w:color w:val="auto"/>
        </w:rPr>
        <w:t>. Except with respect to the transactions contemplated by</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Section 5.13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this Agreement, neither this Agreement nor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the consummation of the transactions contemplated hereby, will result in the Surviving Corporation or, to the Company’s Knowledge, Parent or any of Parent’s Subsidiaries which are Subsidiaries as of the date hereof: (i) granting to any third party any incremental right to or with respect to any material Intellectual Property Rights owned by, or licensed to, any of them, (ii) being bound by, or subject to, any incremental non-compete or other incremental material restriction on the operation or scope of their respective businesses or (iii) being obligated to pay any incremental royalties or other material amounts, or offer any incremental discounts, to any third party. As used in </w:t>
      </w:r>
      <w:r>
        <w:rPr>
          <w:rFonts w:ascii="Arial" w:cs="Arial" w:eastAsia="Arial" w:hAnsi="Arial"/>
          <w:sz w:val="17"/>
          <w:szCs w:val="17"/>
          <w:b w:val="1"/>
          <w:bCs w:val="1"/>
          <w:color w:val="auto"/>
        </w:rPr>
        <w:t>Sections 2.8(e)</w:t>
      </w:r>
      <w:r>
        <w:rPr>
          <w:rFonts w:ascii="Arial" w:cs="Arial" w:eastAsia="Arial" w:hAnsi="Arial"/>
          <w:sz w:val="17"/>
          <w:szCs w:val="17"/>
          <w:color w:val="auto"/>
        </w:rPr>
        <w:t xml:space="preserve"> and </w:t>
      </w:r>
      <w:r>
        <w:rPr>
          <w:rFonts w:ascii="Arial" w:cs="Arial" w:eastAsia="Arial" w:hAnsi="Arial"/>
          <w:sz w:val="17"/>
          <w:szCs w:val="17"/>
          <w:b w:val="1"/>
          <w:bCs w:val="1"/>
          <w:color w:val="auto"/>
        </w:rPr>
        <w:t>2.8(i)</w:t>
      </w:r>
      <w:r>
        <w:rPr>
          <w:rFonts w:ascii="Arial" w:cs="Arial" w:eastAsia="Arial" w:hAnsi="Arial"/>
          <w:sz w:val="17"/>
          <w:szCs w:val="17"/>
          <w:color w:val="auto"/>
        </w:rPr>
        <w:t>, an “incremental” right, non-compete, restriction, royalty or discount refers to a right, non-compete, restriction, royalty or discount, as applicable, in excess of the rights, non-competes, restrictions, royalties or discounts payable that would have been required to be offered or granted, as applicable, had the parties not entered into this Agreement or consummated the transactions contemplated hereby.</w:t>
      </w:r>
    </w:p>
    <w:p>
      <w:pPr>
        <w:spacing w:after="0" w:line="178" w:lineRule="exact"/>
        <w:rPr>
          <w:rFonts w:ascii="Arial" w:cs="Arial" w:eastAsia="Arial" w:hAnsi="Arial"/>
          <w:sz w:val="17"/>
          <w:szCs w:val="17"/>
          <w:color w:val="auto"/>
        </w:rPr>
      </w:pPr>
    </w:p>
    <w:p>
      <w:pPr>
        <w:ind w:left="420" w:right="40" w:firstLine="1290"/>
        <w:spacing w:after="0" w:line="302" w:lineRule="auto"/>
        <w:tabs>
          <w:tab w:leader="none" w:pos="1973" w:val="left"/>
        </w:tabs>
        <w:numPr>
          <w:ilvl w:val="0"/>
          <w:numId w:val="44"/>
        </w:numPr>
        <w:rPr>
          <w:rFonts w:ascii="Arial" w:cs="Arial" w:eastAsia="Arial" w:hAnsi="Arial"/>
          <w:sz w:val="16"/>
          <w:szCs w:val="16"/>
          <w:color w:val="auto"/>
        </w:rPr>
      </w:pPr>
      <w:r>
        <w:rPr>
          <w:rFonts w:ascii="Arial" w:cs="Arial" w:eastAsia="Arial" w:hAnsi="Arial"/>
          <w:sz w:val="16"/>
          <w:szCs w:val="16"/>
          <w:b w:val="1"/>
          <w:bCs w:val="1"/>
          <w:i w:val="1"/>
          <w:iCs w:val="1"/>
          <w:color w:val="auto"/>
        </w:rPr>
        <w:t>Intellectual Property</w:t>
      </w:r>
      <w:r>
        <w:rPr>
          <w:rFonts w:ascii="Arial" w:cs="Arial" w:eastAsia="Arial" w:hAnsi="Arial"/>
          <w:sz w:val="16"/>
          <w:szCs w:val="16"/>
          <w:color w:val="auto"/>
        </w:rPr>
        <w:t>. The Company and its Subsidiaries have taken commercially reasonable steps to obtain, maintain and protect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Intellectual Property. Without limiting the foregoing, each of the Company and its Subsidiaries has executed with each current and former employee, consultant and contractor who created any material Company Intellectual Property sufficient proprietary information and confidentiality agreements which (i) assign or obligate the employee, consultant or contractor to assign to the Company and its Subsidiaries all right, title and interest</w:t>
      </w:r>
    </w:p>
    <w:p>
      <w:pPr>
        <w:sectPr>
          <w:pgSz w:w="11900" w:h="16838" w:orient="portrait"/>
          <w:cols w:equalWidth="0" w:num="1">
            <w:col w:w="11420"/>
          </w:cols>
          <w:pgMar w:left="240" w:top="125" w:right="239" w:bottom="0" w:gutter="0" w:footer="0" w:header="0"/>
        </w:sectPr>
      </w:pPr>
    </w:p>
    <w:bookmarkStart w:id="18" w:name="page19"/>
    <w:bookmarkEnd w:id="18"/>
    <w:p>
      <w:pPr>
        <w:spacing w:after="0" w:line="76" w:lineRule="exact"/>
        <w:rPr>
          <w:sz w:val="20"/>
          <w:szCs w:val="20"/>
          <w:color w:val="auto"/>
        </w:rPr>
      </w:pPr>
    </w:p>
    <w:p>
      <w:pPr>
        <w:ind w:left="20" w:right="180"/>
        <w:spacing w:after="0" w:line="277" w:lineRule="auto"/>
        <w:rPr>
          <w:sz w:val="20"/>
          <w:szCs w:val="20"/>
          <w:color w:val="auto"/>
        </w:rPr>
      </w:pPr>
      <w:r>
        <w:rPr>
          <w:rFonts w:ascii="Arial" w:cs="Arial" w:eastAsia="Arial" w:hAnsi="Arial"/>
          <w:sz w:val="18"/>
          <w:szCs w:val="18"/>
          <w:color w:val="auto"/>
        </w:rPr>
        <w:t>(including the sole right to enforce) in any Intellectual Property or Intellectual Property Rights arising therefrom and (ii) provide reasonable protection for trade secrets of the Company and its Subsidiaries.</w:t>
      </w:r>
    </w:p>
    <w:p>
      <w:pPr>
        <w:spacing w:after="0" w:line="170" w:lineRule="exact"/>
        <w:rPr>
          <w:sz w:val="20"/>
          <w:szCs w:val="20"/>
          <w:color w:val="auto"/>
        </w:rPr>
      </w:pPr>
    </w:p>
    <w:p>
      <w:pPr>
        <w:ind w:left="20" w:firstLine="1290"/>
        <w:spacing w:after="0" w:line="253" w:lineRule="auto"/>
        <w:tabs>
          <w:tab w:leader="none" w:pos="1564"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No Order</w:t>
      </w:r>
      <w:r>
        <w:rPr>
          <w:rFonts w:ascii="Arial" w:cs="Arial" w:eastAsia="Arial" w:hAnsi="Arial"/>
          <w:sz w:val="18"/>
          <w:szCs w:val="18"/>
          <w:color w:val="auto"/>
        </w:rPr>
        <w:t>. Except as may arise after the date of this Agreement and before the Closing Date out of litigations currently pending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date of this Agreement in which the Company or a Subsidiary is party, there are no consents, settlements, judgments, injunctions, decrees, awards, stipulations, orders or similar litigation-related, inter partes or adversarial-related, or government-imposed obligations to which the Company or a Subsidiary is a party or are otherwise bound, that do or, to the Company’s Knowledge, may: (i) restrict the rights of the Company or any of its Subsidiaries to use, transfer, license or enforce any of its Intellectual Property Rights, (ii) restrict the conduct of the business of the Company or any of its Subsidiaries in order to accommodate a third party’s Intellectual Property Rights or (iii) grant any third party any right with respect to any Company Intellectual Property Rights. There are no consents, settlements, judgments, injunctions, decrees, awards, stipulations, orders or similar litigation-related, inter partes or adversarial-related, or government-imposed obligations to which the Company or a Subsidiary is a party or are otherwise bound, that do or, to the Company’s Knowledge, may restrict the rights of the Company or any of its Subsidiaries to transfer or assign any of its Intellectual Property Rights.</w:t>
      </w:r>
    </w:p>
    <w:p>
      <w:pPr>
        <w:spacing w:after="0" w:line="194" w:lineRule="exact"/>
        <w:rPr>
          <w:rFonts w:ascii="Arial" w:cs="Arial" w:eastAsia="Arial" w:hAnsi="Arial"/>
          <w:sz w:val="18"/>
          <w:szCs w:val="18"/>
          <w:color w:val="auto"/>
        </w:rPr>
      </w:pPr>
    </w:p>
    <w:p>
      <w:pPr>
        <w:jc w:val="both"/>
        <w:ind w:left="20" w:right="60" w:firstLine="1290"/>
        <w:spacing w:after="0" w:line="342" w:lineRule="auto"/>
        <w:tabs>
          <w:tab w:leader="none" w:pos="1564" w:val="left"/>
        </w:tabs>
        <w:numPr>
          <w:ilvl w:val="0"/>
          <w:numId w:val="45"/>
        </w:numPr>
        <w:rPr>
          <w:rFonts w:ascii="Arial" w:cs="Arial" w:eastAsia="Arial" w:hAnsi="Arial"/>
          <w:sz w:val="16"/>
          <w:szCs w:val="16"/>
          <w:color w:val="auto"/>
        </w:rPr>
      </w:pPr>
      <w:r>
        <w:rPr>
          <w:rFonts w:ascii="Arial" w:cs="Arial" w:eastAsia="Arial" w:hAnsi="Arial"/>
          <w:sz w:val="16"/>
          <w:szCs w:val="16"/>
          <w:b w:val="1"/>
          <w:bCs w:val="1"/>
          <w:i w:val="1"/>
          <w:iCs w:val="1"/>
          <w:color w:val="auto"/>
        </w:rPr>
        <w:t>Open Source</w:t>
      </w:r>
      <w:r>
        <w:rPr>
          <w:rFonts w:ascii="Arial" w:cs="Arial" w:eastAsia="Arial" w:hAnsi="Arial"/>
          <w:sz w:val="16"/>
          <w:szCs w:val="16"/>
          <w:color w:val="auto"/>
        </w:rPr>
        <w:t>. To the Company’s Knowledge, no Open Source has been used in, incorporated into, integrated or bundled with,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current Company Product, and no Open Source development tools have been used in the development or compilation of, any current Company Product.</w:t>
      </w:r>
    </w:p>
    <w:p>
      <w:pPr>
        <w:spacing w:after="0" w:line="12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81280</wp:posOffset>
            </wp:positionV>
            <wp:extent cx="726757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 w:right="20" w:firstLine="1290"/>
        <w:spacing w:after="0" w:line="271" w:lineRule="auto"/>
        <w:tabs>
          <w:tab w:leader="none" w:pos="1563" w:val="left"/>
        </w:tabs>
        <w:numPr>
          <w:ilvl w:val="0"/>
          <w:numId w:val="46"/>
        </w:numPr>
        <w:rPr>
          <w:rFonts w:ascii="Arial" w:cs="Arial" w:eastAsia="Arial" w:hAnsi="Arial"/>
          <w:sz w:val="17"/>
          <w:szCs w:val="17"/>
          <w:color w:val="auto"/>
        </w:rPr>
      </w:pPr>
      <w:r>
        <w:rPr>
          <w:rFonts w:ascii="Arial" w:cs="Arial" w:eastAsia="Arial" w:hAnsi="Arial"/>
          <w:sz w:val="17"/>
          <w:szCs w:val="17"/>
          <w:b w:val="1"/>
          <w:bCs w:val="1"/>
          <w:i w:val="1"/>
          <w:iCs w:val="1"/>
          <w:color w:val="auto"/>
        </w:rPr>
        <w:t>Source Code</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Section 2.8(i)</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Company Disclosure Schedule identifies each Intellectual Property Contract pursuant to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has deposited with an escrow agent or any other Person, any of its Source Code. The execution of this Agreement and the consummation of the transactions contemplated by this Agreement will not result in a release of any Source Code owned by the Company or any of its Subsidiaries or the grant of incremental rights to a Person with regard to such Source Code. The Company and its Subsidiaries have not taken any action that will, or would reasonably be expected to, result in the disclosure or delivery of any Source Code owned by the Company or any of its Subsidiaries under any Contract. To the Company’s Knowledge, no event has occurred, and no circumstance or condition exists, that (with or without notice or lapse of time, or both) will, or would reasonably be expected to, result in the disclosure or delivery by the Company, any of its Subsidiaries or any Person acting on their behalf to any Person of any Source Code owned by the Company or any of its Subsidiaries under any Contract, and no such Source Code has been disclosed, delivered or licensed to a third party.</w:t>
      </w:r>
    </w:p>
    <w:p>
      <w:pPr>
        <w:spacing w:after="0" w:line="178" w:lineRule="exact"/>
        <w:rPr>
          <w:rFonts w:ascii="Arial" w:cs="Arial" w:eastAsia="Arial" w:hAnsi="Arial"/>
          <w:sz w:val="17"/>
          <w:szCs w:val="17"/>
          <w:color w:val="auto"/>
        </w:rPr>
      </w:pPr>
    </w:p>
    <w:p>
      <w:pPr>
        <w:ind w:left="1560" w:hanging="250"/>
        <w:spacing w:after="0"/>
        <w:tabs>
          <w:tab w:leader="none" w:pos="1560" w:val="left"/>
        </w:tabs>
        <w:numPr>
          <w:ilvl w:val="0"/>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Software</w:t>
      </w:r>
      <w:r>
        <w:rPr>
          <w:rFonts w:ascii="Arial" w:cs="Arial" w:eastAsia="Arial" w:hAnsi="Arial"/>
          <w:sz w:val="16"/>
          <w:szCs w:val="16"/>
          <w:color w:val="auto"/>
        </w:rPr>
        <w:t>. To the Knowledge of the Company, all Company Products and Company Intellectual Property (and all parts thereof) are</w:t>
      </w:r>
    </w:p>
    <w:p>
      <w:pPr>
        <w:spacing w:after="0" w:line="46" w:lineRule="exact"/>
        <w:rPr>
          <w:rFonts w:ascii="Arial" w:cs="Arial" w:eastAsia="Arial" w:hAnsi="Arial"/>
          <w:sz w:val="16"/>
          <w:szCs w:val="16"/>
          <w:color w:val="auto"/>
        </w:rPr>
      </w:pPr>
    </w:p>
    <w:p>
      <w:pPr>
        <w:ind w:left="20" w:right="200"/>
        <w:spacing w:after="0" w:line="273" w:lineRule="auto"/>
        <w:rPr>
          <w:rFonts w:ascii="Arial" w:cs="Arial" w:eastAsia="Arial" w:hAnsi="Arial"/>
          <w:sz w:val="16"/>
          <w:szCs w:val="16"/>
          <w:color w:val="auto"/>
        </w:rPr>
      </w:pPr>
      <w:r>
        <w:rPr>
          <w:rFonts w:ascii="Arial" w:cs="Arial" w:eastAsia="Arial" w:hAnsi="Arial"/>
          <w:sz w:val="17"/>
          <w:szCs w:val="17"/>
          <w:color w:val="auto"/>
        </w:rPr>
        <w:t>free of: (i) any disabling codes or instructions and any “back door,” “time bomb,” “Trojan horse,” “worm,” “drop dead device,” “virus” or other software routines or hardware components that permit unauthorized access or the unauthorized disruption, impairment, disablement or erasure of such Company Product or Company Intellectual Property (or all parts thereof) or data or other software of users (“</w:t>
      </w:r>
      <w:r>
        <w:rPr>
          <w:rFonts w:ascii="Arial" w:cs="Arial" w:eastAsia="Arial" w:hAnsi="Arial"/>
          <w:sz w:val="17"/>
          <w:szCs w:val="17"/>
          <w:b w:val="1"/>
          <w:bCs w:val="1"/>
          <w:color w:val="auto"/>
        </w:rPr>
        <w:t>Contaminants</w:t>
      </w:r>
      <w:r>
        <w:rPr>
          <w:rFonts w:ascii="Arial" w:cs="Arial" w:eastAsia="Arial" w:hAnsi="Arial"/>
          <w:sz w:val="17"/>
          <w:szCs w:val="17"/>
          <w:color w:val="auto"/>
        </w:rPr>
        <w:t>”); and (ii) any critical defects, including without limitation any critical error or omission in the processing of any transactions.</w:t>
      </w:r>
    </w:p>
    <w:p>
      <w:pPr>
        <w:spacing w:after="0" w:line="176" w:lineRule="exact"/>
        <w:rPr>
          <w:rFonts w:ascii="Arial" w:cs="Arial" w:eastAsia="Arial" w:hAnsi="Arial"/>
          <w:sz w:val="16"/>
          <w:szCs w:val="16"/>
          <w:color w:val="auto"/>
        </w:rPr>
      </w:pPr>
    </w:p>
    <w:p>
      <w:pPr>
        <w:ind w:left="20" w:right="60" w:firstLine="1290"/>
        <w:spacing w:after="0" w:line="254" w:lineRule="auto"/>
        <w:tabs>
          <w:tab w:leader="none" w:pos="1564"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Information Technology</w:t>
      </w:r>
      <w:r>
        <w:rPr>
          <w:rFonts w:ascii="Arial" w:cs="Arial" w:eastAsia="Arial" w:hAnsi="Arial"/>
          <w:sz w:val="18"/>
          <w:szCs w:val="18"/>
          <w:color w:val="auto"/>
        </w:rPr>
        <w:t>. The Company and its Subsidiaries have taken commercially reasonable steps and implemented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commercially reasonable procedures intended to ensure that information technology systems used in connection with the operation of the Company and its Subsidiaries are free from Contaminants. The Company and its Subsidiaries have appropriate disaster recovery plans, procedures and facilities for their businesses and have taken commercially reasonable steps to safeguard the information technology systems utilized in the operation of the business of the Company and its Subsidiaries as it is currently conducted. To the Company’s Knowledge, there have been no unauthorized intrusions or breaches of the security of the information technology systems. The Company and its Subsidiaries have implemented security patches or upgrades that are generally available for the Company’s information technology systems where, in the Company’s reasonable judgment, such patches or upgrades are required.</w:t>
      </w:r>
    </w:p>
    <w:p>
      <w:pPr>
        <w:spacing w:after="0" w:line="192" w:lineRule="exact"/>
        <w:rPr>
          <w:rFonts w:ascii="Arial" w:cs="Arial" w:eastAsia="Arial" w:hAnsi="Arial"/>
          <w:sz w:val="18"/>
          <w:szCs w:val="18"/>
          <w:color w:val="auto"/>
        </w:rPr>
      </w:pPr>
    </w:p>
    <w:p>
      <w:pPr>
        <w:jc w:val="both"/>
        <w:ind w:left="20" w:firstLine="1290"/>
        <w:spacing w:after="0" w:line="259" w:lineRule="auto"/>
        <w:tabs>
          <w:tab w:leader="none" w:pos="1563"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Licenses-In</w:t>
      </w:r>
      <w:r>
        <w:rPr>
          <w:rFonts w:ascii="Arial" w:cs="Arial" w:eastAsia="Arial" w:hAnsi="Arial"/>
          <w:sz w:val="18"/>
          <w:szCs w:val="18"/>
          <w:color w:val="auto"/>
        </w:rPr>
        <w:t>. Other than (i) licenses to Shrink-Wrapped Code and (ii) non-disclosure agreements entered into in the ordinary course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of business, </w:t>
      </w:r>
      <w:r>
        <w:rPr>
          <w:rFonts w:ascii="Arial" w:cs="Arial" w:eastAsia="Arial" w:hAnsi="Arial"/>
          <w:sz w:val="18"/>
          <w:szCs w:val="18"/>
          <w:b w:val="1"/>
          <w:bCs w:val="1"/>
          <w:color w:val="auto"/>
        </w:rPr>
        <w:t>Section 2.8(l)</w:t>
      </w:r>
      <w:r>
        <w:rPr>
          <w:rFonts w:ascii="Arial" w:cs="Arial" w:eastAsia="Arial" w:hAnsi="Arial"/>
          <w:sz w:val="18"/>
          <w:szCs w:val="18"/>
          <w:color w:val="auto"/>
        </w:rPr>
        <w:t xml:space="preserve"> of the Company Disclosure Schedule lists all Contracts that are material to the business of the Company or its Subsidiaries to which the Company or any of its Subsidiaries is a party and under which the Company or any of its Subsidiaries has been granted or provided any rights to Intellectual Property or Intellectual Property Rights by a third party.</w:t>
      </w:r>
    </w:p>
    <w:p>
      <w:pPr>
        <w:spacing w:after="0" w:line="186" w:lineRule="exact"/>
        <w:rPr>
          <w:rFonts w:ascii="Arial" w:cs="Arial" w:eastAsia="Arial" w:hAnsi="Arial"/>
          <w:sz w:val="18"/>
          <w:szCs w:val="18"/>
          <w:color w:val="auto"/>
        </w:rPr>
      </w:pPr>
    </w:p>
    <w:p>
      <w:pPr>
        <w:ind w:left="20" w:right="520" w:firstLine="1290"/>
        <w:spacing w:after="0" w:line="277" w:lineRule="auto"/>
        <w:tabs>
          <w:tab w:leader="none" w:pos="1621"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Licenses-Out</w:t>
      </w:r>
      <w:r>
        <w:rPr>
          <w:rFonts w:ascii="Arial" w:cs="Arial" w:eastAsia="Arial" w:hAnsi="Arial"/>
          <w:sz w:val="18"/>
          <w:szCs w:val="18"/>
          <w:color w:val="auto"/>
        </w:rPr>
        <w:t>. Other than (i) written non-disclosure agreements and (ii) non-exclusive licenses and related agreements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 thereto (including software and</w:t>
      </w:r>
    </w:p>
    <w:p>
      <w:pPr>
        <w:spacing w:after="0" w:line="17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81280</wp:posOffset>
            </wp:positionV>
            <wp:extent cx="7267575"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maintenance and support agreements) of current Company Products to end-users (in each case, pursuant to written agreements that have been entered into in the ordinary course of business that do not materially differ in substance from the Company’s standard form(s)), </w:t>
      </w:r>
      <w:r>
        <w:rPr>
          <w:rFonts w:ascii="Arial" w:cs="Arial" w:eastAsia="Arial" w:hAnsi="Arial"/>
          <w:sz w:val="18"/>
          <w:szCs w:val="18"/>
          <w:b w:val="1"/>
          <w:bCs w:val="1"/>
          <w:color w:val="auto"/>
        </w:rPr>
        <w:t>Section 2.8(m)</w:t>
      </w:r>
      <w:r>
        <w:rPr>
          <w:rFonts w:ascii="Arial" w:cs="Arial" w:eastAsia="Arial" w:hAnsi="Arial"/>
          <w:sz w:val="18"/>
          <w:szCs w:val="18"/>
          <w:color w:val="auto"/>
        </w:rPr>
        <w:t xml:space="preserve"> of the Company Disclosure Schedule lists all Contracts related to Company Intellectual Property that are material to the business of the Company or its Subsidiaries to which the Company or any of its Subsidiaries is a party.</w:t>
      </w:r>
    </w:p>
    <w:p>
      <w:pPr>
        <w:spacing w:after="0" w:line="187" w:lineRule="exact"/>
        <w:rPr>
          <w:sz w:val="20"/>
          <w:szCs w:val="20"/>
          <w:color w:val="auto"/>
        </w:rPr>
      </w:pPr>
    </w:p>
    <w:p>
      <w:pPr>
        <w:ind w:left="20" w:right="120" w:firstLine="1290"/>
        <w:spacing w:after="0" w:line="255" w:lineRule="auto"/>
        <w:tabs>
          <w:tab w:leader="none" w:pos="1564"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Trade Secrets</w:t>
      </w:r>
      <w:r>
        <w:rPr>
          <w:rFonts w:ascii="Arial" w:cs="Arial" w:eastAsia="Arial" w:hAnsi="Arial"/>
          <w:sz w:val="18"/>
          <w:szCs w:val="18"/>
          <w:color w:val="auto"/>
        </w:rPr>
        <w:t>. (i) The Company and its Subsidiaries have taken commercially reasonable steps to protect their Trade Secrets,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Trade Secrets of third parties provided under written agreement obligating the Company or its Subsidiaries to protect the same, according to the laws of the applicable jurisdictions where such Trade Secrets are developed, practiced or disclosed, (ii) the Company and its Subsidiaries have used commercially reasonable efforts to enforce a policy requiring all personnel and third parties having access to such Trade Secrets to execute a written agreement which provides reasonable protection for such Trade Secrets, (iii) except pursuant to such agreements, there has been no disclosure by the Company or any of its Subsidiaries of any such Trade Secrets and (iv) to the Company’s Knowledge, no party to any such agreement is in breach thereof.</w:t>
      </w:r>
    </w:p>
    <w:p>
      <w:pPr>
        <w:spacing w:after="0" w:line="189" w:lineRule="exact"/>
        <w:rPr>
          <w:rFonts w:ascii="Arial" w:cs="Arial" w:eastAsia="Arial" w:hAnsi="Arial"/>
          <w:sz w:val="18"/>
          <w:szCs w:val="18"/>
          <w:color w:val="auto"/>
        </w:rPr>
      </w:pPr>
    </w:p>
    <w:p>
      <w:pPr>
        <w:ind w:left="20" w:right="60" w:firstLine="1290"/>
        <w:spacing w:after="0" w:line="297" w:lineRule="auto"/>
        <w:tabs>
          <w:tab w:leader="none" w:pos="1564" w:val="left"/>
        </w:tabs>
        <w:numPr>
          <w:ilvl w:val="0"/>
          <w:numId w:val="47"/>
        </w:numPr>
        <w:rPr>
          <w:rFonts w:ascii="Arial" w:cs="Arial" w:eastAsia="Arial" w:hAnsi="Arial"/>
          <w:sz w:val="16"/>
          <w:szCs w:val="16"/>
          <w:color w:val="auto"/>
        </w:rPr>
      </w:pPr>
      <w:r>
        <w:rPr>
          <w:rFonts w:ascii="Arial" w:cs="Arial" w:eastAsia="Arial" w:hAnsi="Arial"/>
          <w:sz w:val="16"/>
          <w:szCs w:val="16"/>
          <w:b w:val="1"/>
          <w:bCs w:val="1"/>
          <w:i w:val="1"/>
          <w:iCs w:val="1"/>
          <w:color w:val="auto"/>
        </w:rPr>
        <w:t>Privacy</w:t>
      </w:r>
      <w:r>
        <w:rPr>
          <w:rFonts w:ascii="Arial" w:cs="Arial" w:eastAsia="Arial" w:hAnsi="Arial"/>
          <w:sz w:val="16"/>
          <w:szCs w:val="16"/>
          <w:color w:val="auto"/>
        </w:rPr>
        <w:t>. To the Company’s Knowledge, the Company and its Subsidiaries have complied with all applicable laws relating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privacy, data protection, and the collection and use of personal information, and the Company and its Subsidiaries have complied with their respective internal privacy policies and guidelines, if any, relating to privacy, data protection, and the collection and use of personal information collected, used, or held for use by the Company and its Subsidiaries in the conduct of their business. To the Company’s Knowledge, the Company and its Subsidiaries take reasonable measures to ensure that such information is protected against unauthorized access, use, modification, or other misuse. To the Company’s</w:t>
      </w:r>
    </w:p>
    <w:p>
      <w:pPr>
        <w:sectPr>
          <w:pgSz w:w="11900" w:h="16914" w:orient="portrait"/>
          <w:cols w:equalWidth="0" w:num="1">
            <w:col w:w="11020"/>
          </w:cols>
          <w:pgMar w:left="640" w:top="125" w:right="239" w:bottom="0" w:gutter="0" w:footer="0" w:header="0"/>
        </w:sectPr>
      </w:pPr>
    </w:p>
    <w:bookmarkStart w:id="19" w:name="page20"/>
    <w:bookmarkEnd w:id="19"/>
    <w:p>
      <w:pPr>
        <w:spacing w:after="0" w:line="75" w:lineRule="exact"/>
        <w:rPr>
          <w:sz w:val="20"/>
          <w:szCs w:val="20"/>
          <w:color w:val="auto"/>
        </w:rPr>
      </w:pPr>
    </w:p>
    <w:p>
      <w:pPr>
        <w:ind w:left="420" w:right="80"/>
        <w:spacing w:after="0" w:line="302" w:lineRule="auto"/>
        <w:rPr>
          <w:sz w:val="20"/>
          <w:szCs w:val="20"/>
          <w:color w:val="auto"/>
        </w:rPr>
      </w:pPr>
      <w:r>
        <w:rPr>
          <w:rFonts w:ascii="Arial" w:cs="Arial" w:eastAsia="Arial" w:hAnsi="Arial"/>
          <w:sz w:val="16"/>
          <w:szCs w:val="16"/>
          <w:color w:val="auto"/>
        </w:rPr>
        <w:t>Knowledge, the execution, delivery and performance of this Agreement complies with all applicable laws relating to privacy and the Company’s and its Subsidiaries’ applicable privacy policies. True copies of the Company’s privacy policies and guidelines have been Made Available to Parent, and to the Company’s Knowledge, the Company and its Subsidiaries have at all times made all disclosure to users or customers required by applicable laws and none of such disclosures have been inaccurate in any material respect or materially misleading or deceptive or in violation of any applicable laws.</w:t>
      </w:r>
    </w:p>
    <w:p>
      <w:pPr>
        <w:spacing w:after="0" w:line="150" w:lineRule="exact"/>
        <w:rPr>
          <w:sz w:val="20"/>
          <w:szCs w:val="20"/>
          <w:color w:val="auto"/>
        </w:rPr>
      </w:pPr>
    </w:p>
    <w:p>
      <w:pPr>
        <w:ind w:left="420" w:right="60" w:firstLine="1290"/>
        <w:spacing w:after="0" w:line="273" w:lineRule="auto"/>
        <w:tabs>
          <w:tab w:leader="none" w:pos="1964" w:val="left"/>
        </w:tabs>
        <w:numPr>
          <w:ilvl w:val="0"/>
          <w:numId w:val="48"/>
        </w:numPr>
        <w:rPr>
          <w:rFonts w:ascii="Arial" w:cs="Arial" w:eastAsia="Arial" w:hAnsi="Arial"/>
          <w:sz w:val="17"/>
          <w:szCs w:val="17"/>
          <w:color w:val="auto"/>
        </w:rPr>
      </w:pPr>
      <w:r>
        <w:rPr>
          <w:rFonts w:ascii="Arial" w:cs="Arial" w:eastAsia="Arial" w:hAnsi="Arial"/>
          <w:sz w:val="17"/>
          <w:szCs w:val="17"/>
          <w:b w:val="1"/>
          <w:bCs w:val="1"/>
          <w:i w:val="1"/>
          <w:iCs w:val="1"/>
          <w:color w:val="auto"/>
        </w:rPr>
        <w:t>Ownership of Intellectual Property Rights</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Section 2.8(p)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Company Disclosure Schedule lists all Company Registered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Intellectual Property, identifying in each case the inventors/authors, status, filing/grant dates, issuance/registration/application number, maintenance and other fees and deadlines for Company Registered Intellectual Property filed, registered or issued in the United States within the next six months, thereof as applicable. Except as further set forth on </w:t>
      </w:r>
      <w:r>
        <w:rPr>
          <w:rFonts w:ascii="Arial" w:cs="Arial" w:eastAsia="Arial" w:hAnsi="Arial"/>
          <w:sz w:val="17"/>
          <w:szCs w:val="17"/>
          <w:b w:val="1"/>
          <w:bCs w:val="1"/>
          <w:color w:val="auto"/>
        </w:rPr>
        <w:t>Section 2.8(p)</w:t>
      </w:r>
      <w:r>
        <w:rPr>
          <w:rFonts w:ascii="Arial" w:cs="Arial" w:eastAsia="Arial" w:hAnsi="Arial"/>
          <w:sz w:val="17"/>
          <w:szCs w:val="17"/>
          <w:color w:val="auto"/>
        </w:rPr>
        <w:t xml:space="preserve"> of the Company Disclosure Schedule with respect to Company Intellectual Property that has been exclusively licensed to a third party or with respect to Company patents which a third party has an option to acquire, the Company or its Subsidiaries own all right, title, and interest (including the sole right to enforce) free and clear of all Liens, in and to all Company Intellectual Property, and with respect to the Company Registered Intellectual</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Property, are listed in the records of the appropriate United States, state or foreign authority as the sole owner for each item thereof.</w:t>
      </w:r>
    </w:p>
    <w:p>
      <w:pPr>
        <w:spacing w:after="0" w:line="225" w:lineRule="exact"/>
        <w:rPr>
          <w:sz w:val="20"/>
          <w:szCs w:val="20"/>
          <w:color w:val="auto"/>
        </w:rPr>
      </w:pPr>
    </w:p>
    <w:p>
      <w:pPr>
        <w:ind w:left="420" w:right="120" w:firstLine="1290"/>
        <w:spacing w:after="0" w:line="257" w:lineRule="auto"/>
        <w:tabs>
          <w:tab w:leader="none" w:pos="1964"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Validity and Enforceability</w:t>
      </w:r>
      <w:r>
        <w:rPr>
          <w:rFonts w:ascii="Arial" w:cs="Arial" w:eastAsia="Arial" w:hAnsi="Arial"/>
          <w:sz w:val="18"/>
          <w:szCs w:val="18"/>
          <w:color w:val="auto"/>
        </w:rPr>
        <w:t>. To the Company’s Knowledge: (i) the Company Intellectual Property is subsisting, in full force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 is valid and enforceable, and (in the case of Company Registered Intellectual Property) has not expired or been cancelled or abandoned; and (ii) all necessary prosecution, registration, maintenance and renewal fees due on or before the Closing Date have been made, and all documents, recordations and certificates, required as of the Closing Date for the purposes of maintaining such Company Registered Intellectual Property have been filed.</w:t>
      </w:r>
    </w:p>
    <w:p>
      <w:pPr>
        <w:spacing w:after="0" w:line="184" w:lineRule="exact"/>
        <w:rPr>
          <w:rFonts w:ascii="Arial" w:cs="Arial" w:eastAsia="Arial" w:hAnsi="Arial"/>
          <w:sz w:val="18"/>
          <w:szCs w:val="18"/>
          <w:color w:val="auto"/>
        </w:rPr>
      </w:pPr>
    </w:p>
    <w:p>
      <w:pPr>
        <w:ind w:left="420" w:right="60" w:firstLine="1290"/>
        <w:spacing w:after="0" w:line="295" w:lineRule="auto"/>
        <w:tabs>
          <w:tab w:leader="none" w:pos="1973" w:val="left"/>
        </w:tabs>
        <w:numPr>
          <w:ilvl w:val="0"/>
          <w:numId w:val="49"/>
        </w:numPr>
        <w:rPr>
          <w:rFonts w:ascii="Arial" w:cs="Arial" w:eastAsia="Arial" w:hAnsi="Arial"/>
          <w:sz w:val="16"/>
          <w:szCs w:val="16"/>
          <w:color w:val="auto"/>
        </w:rPr>
      </w:pPr>
      <w:r>
        <w:rPr>
          <w:rFonts w:ascii="Arial" w:cs="Arial" w:eastAsia="Arial" w:hAnsi="Arial"/>
          <w:sz w:val="16"/>
          <w:szCs w:val="16"/>
          <w:b w:val="1"/>
          <w:bCs w:val="1"/>
          <w:i w:val="1"/>
          <w:iCs w:val="1"/>
          <w:color w:val="auto"/>
        </w:rPr>
        <w:t>Termination Agreement</w:t>
      </w:r>
      <w:r>
        <w:rPr>
          <w:rFonts w:ascii="Arial" w:cs="Arial" w:eastAsia="Arial" w:hAnsi="Arial"/>
          <w:sz w:val="16"/>
          <w:szCs w:val="16"/>
          <w:color w:val="auto"/>
        </w:rPr>
        <w:t>. That certain license agreement set forth in</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2.8(r)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Company Disclosure Schedule has been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terminated and a true, correct and complete copy of the termination agreement (the “</w:t>
      </w:r>
      <w:r>
        <w:rPr>
          <w:rFonts w:ascii="Arial" w:cs="Arial" w:eastAsia="Arial" w:hAnsi="Arial"/>
          <w:sz w:val="16"/>
          <w:szCs w:val="16"/>
          <w:b w:val="1"/>
          <w:bCs w:val="1"/>
          <w:color w:val="auto"/>
        </w:rPr>
        <w:t>Termination Agreement</w:t>
      </w:r>
      <w:r>
        <w:rPr>
          <w:rFonts w:ascii="Arial" w:cs="Arial" w:eastAsia="Arial" w:hAnsi="Arial"/>
          <w:sz w:val="16"/>
          <w:szCs w:val="16"/>
          <w:color w:val="auto"/>
        </w:rPr>
        <w:t>”) with respect to such license agreement has been delivered to Parent and there are no other Contracts relating to the Termination Agreement or entered into in connection therewith between the parties thereto. The Termination Agreement is valid and in full force and effect, and no person has challenged or, to the Company’s Knowledge, threatened to challenge the validity or effectiveness of the Termination Agreement. The total cash consideration payable by the Company in connection with the Termination Agreement shall not exceed the amount set forth in Section 2.8(r) of the Company Disclosure Schedule.</w:t>
      </w:r>
    </w:p>
    <w:p>
      <w:pPr>
        <w:spacing w:after="0" w:line="156" w:lineRule="exact"/>
        <w:rPr>
          <w:sz w:val="20"/>
          <w:szCs w:val="20"/>
          <w:color w:val="auto"/>
        </w:rPr>
      </w:pPr>
    </w:p>
    <w:p>
      <w:pPr>
        <w:ind w:right="140" w:firstLine="648"/>
        <w:spacing w:after="0" w:line="295"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b w:val="1"/>
          <w:bCs w:val="1"/>
          <w:i w:val="1"/>
          <w:iCs w:val="1"/>
          <w:color w:val="auto"/>
        </w:rPr>
        <w:t>Restrictions on Business Activities</w:t>
      </w:r>
      <w:r>
        <w:rPr>
          <w:rFonts w:ascii="Arial" w:cs="Arial" w:eastAsia="Arial" w:hAnsi="Arial"/>
          <w:sz w:val="16"/>
          <w:szCs w:val="16"/>
          <w:color w:val="auto"/>
        </w:rPr>
        <w:t xml:space="preserve">. Except as set forth in </w:t>
      </w:r>
      <w:r>
        <w:rPr>
          <w:rFonts w:ascii="Arial" w:cs="Arial" w:eastAsia="Arial" w:hAnsi="Arial"/>
          <w:sz w:val="16"/>
          <w:szCs w:val="16"/>
          <w:b w:val="1"/>
          <w:bCs w:val="1"/>
          <w:color w:val="auto"/>
        </w:rPr>
        <w:t>Section 2.9</w:t>
      </w:r>
      <w:r>
        <w:rPr>
          <w:rFonts w:ascii="Arial" w:cs="Arial" w:eastAsia="Arial" w:hAnsi="Arial"/>
          <w:sz w:val="16"/>
          <w:szCs w:val="16"/>
          <w:color w:val="auto"/>
        </w:rPr>
        <w:t xml:space="preserve"> of the Company Disclosure Schedule, neither the Company nor any of its Subsidiaries is party to or bound by any Contract containing any covenant (a) limiting in any material respect the right of the Company or any of its Subsidiaries to engage or compete in any line of business, to make use of any material Company Intellectual Property or to compete with any Person, (b) granting any exclusive distribution rights, (c) providing “most favored nations” terms for Company Products, or (d) which otherwise adversely affects or would reasonably be expected to adversely affect the right of the Company and its Subsidiaries to sell, distribute or manufacture any Company Products or material Company Intellectual Property or to purchase or otherwise obtain any material software, components, parts or subassemblies.</w:t>
      </w:r>
    </w:p>
    <w:p>
      <w:pPr>
        <w:spacing w:after="0" w:line="16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 xml:space="preserve">2.10 </w:t>
      </w:r>
      <w:r>
        <w:rPr>
          <w:rFonts w:ascii="Arial" w:cs="Arial" w:eastAsia="Arial" w:hAnsi="Arial"/>
          <w:sz w:val="17"/>
          <w:szCs w:val="17"/>
          <w:b w:val="1"/>
          <w:bCs w:val="1"/>
          <w:i w:val="1"/>
          <w:iCs w:val="1"/>
          <w:color w:val="auto"/>
        </w:rPr>
        <w:t>Governmental Authorizations</w:t>
      </w:r>
      <w:r>
        <w:rPr>
          <w:rFonts w:ascii="Arial" w:cs="Arial" w:eastAsia="Arial" w:hAnsi="Arial"/>
          <w:sz w:val="17"/>
          <w:szCs w:val="17"/>
          <w:color w:val="auto"/>
        </w:rPr>
        <w:t>. Each material consent, license, permit, grant or other authorization (i) pursuant to which the Company or any of its Subsidiaries currently operates or holds any material interest in any of their respective properties or (ii) which is required for the operation of the Company’s or any of its Subsidiaries’ business as currently conducted or the holding of any such interest (“</w:t>
      </w:r>
      <w:r>
        <w:rPr>
          <w:rFonts w:ascii="Arial" w:cs="Arial" w:eastAsia="Arial" w:hAnsi="Arial"/>
          <w:sz w:val="17"/>
          <w:szCs w:val="17"/>
          <w:b w:val="1"/>
          <w:bCs w:val="1"/>
          <w:color w:val="auto"/>
        </w:rPr>
        <w:t>Governmental Authorizations</w:t>
      </w:r>
      <w:r>
        <w:rPr>
          <w:rFonts w:ascii="Arial" w:cs="Arial" w:eastAsia="Arial" w:hAnsi="Arial"/>
          <w:sz w:val="17"/>
          <w:szCs w:val="17"/>
          <w:color w:val="auto"/>
        </w:rPr>
        <w:t>”) has been issued or granted to the Company or any of its Subsidiaries, as the case may be, and are in full force and effect in all material respects. As of the date hereof, neither the Company nor any of its Subsidiaries has received any written notification from a Governmental Entity regarding any pending suspension or cancellation of any of the Governmental Authorizations and, to the Company’s Knowledge, threatened suspension or cancellation.</w:t>
      </w:r>
    </w:p>
    <w:p>
      <w:pPr>
        <w:spacing w:after="0" w:line="174"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b w:val="1"/>
          <w:bCs w:val="1"/>
          <w:i w:val="1"/>
          <w:iCs w:val="1"/>
          <w:color w:val="auto"/>
        </w:rPr>
        <w:t>Litigation</w:t>
      </w:r>
      <w:r>
        <w:rPr>
          <w:rFonts w:ascii="Arial" w:cs="Arial" w:eastAsia="Arial" w:hAnsi="Arial"/>
          <w:sz w:val="18"/>
          <w:szCs w:val="18"/>
          <w:color w:val="auto"/>
        </w:rPr>
        <w:t xml:space="preserve">. Except as set forth in </w:t>
      </w:r>
      <w:r>
        <w:rPr>
          <w:rFonts w:ascii="Arial" w:cs="Arial" w:eastAsia="Arial" w:hAnsi="Arial"/>
          <w:sz w:val="18"/>
          <w:szCs w:val="18"/>
          <w:b w:val="1"/>
          <w:bCs w:val="1"/>
          <w:color w:val="auto"/>
        </w:rPr>
        <w:t>Section 2.11</w:t>
      </w:r>
      <w:r>
        <w:rPr>
          <w:rFonts w:ascii="Arial" w:cs="Arial" w:eastAsia="Arial" w:hAnsi="Arial"/>
          <w:sz w:val="18"/>
          <w:szCs w:val="18"/>
          <w:color w:val="auto"/>
        </w:rPr>
        <w:t xml:space="preserve"> of the Company Disclosure Schedule, there is no action, suit, claim or proceeding pending or, to the Company’s Knowledge, threatened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against the Company, any of its Subsidiaries or any of their respective properties (tangible or intangible). There is no investigation or other proceeding pending or, to the Company’s Knowledge, threatened against the Company, any of its Subsidiaries or any of their respective properties (tangible or intangible) by or before any Governmental Entity. There are not currently, nor, to the Company’s Knowledge, have there been since January 1, 2003, any internal investigations or inquiries being conducted by the Company, the Company’s Board of Directors (or any committee thereof) or any third party at the request of any of the foregoing concerning any financial, accounting, Tax, conflict of interest, illegal activity, fraudulent or deceptive conduct or other misfeasance or malfeasance issues. There is no action, suit, proceeding, arbitration or, to the Company’s Knowledge, investigation involving the Company, which the Company presently intends to initiate.</w:t>
      </w:r>
    </w:p>
    <w:p>
      <w:pPr>
        <w:spacing w:after="0" w:line="18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b w:val="1"/>
          <w:bCs w:val="1"/>
          <w:i w:val="1"/>
          <w:iCs w:val="1"/>
          <w:color w:val="auto"/>
        </w:rPr>
        <w:t>Compliance with Law</w:t>
      </w:r>
      <w:r>
        <w:rPr>
          <w:rFonts w:ascii="Arial" w:cs="Arial" w:eastAsia="Arial" w:hAnsi="Arial"/>
          <w:sz w:val="18"/>
          <w:szCs w:val="18"/>
          <w:color w:val="auto"/>
        </w:rPr>
        <w:t>. Neither the Company nor any of its Subsidiaries is in violation or default in any material respect of any Legal Requirements applicable to the Company or any of its Subsidiaries or by which the Company or any of its Subsidiaries is bound or any of their respective properties is bound or affected. There is no agreement, judgment, injunction, order or decree binding upon the Company or any of its Subsidiaries which has or would reasonably be expected to have the effect of prohibiting or impairing any business practice of the Company or any of its Subsidiaries in such a way as to be material and adverse to the Company and its Subsidiaries, taken as a whole.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b w:val="1"/>
          <w:bCs w:val="1"/>
          <w:i w:val="1"/>
          <w:iCs w:val="1"/>
          <w:color w:val="auto"/>
        </w:rPr>
        <w:t>Environmental Matters</w:t>
      </w:r>
      <w:r>
        <w:rPr>
          <w:rFonts w:ascii="Arial" w:cs="Arial" w:eastAsia="Arial" w:hAnsi="Arial"/>
          <w:sz w:val="18"/>
          <w:szCs w:val="18"/>
          <w:color w:val="auto"/>
        </w:rPr>
        <w:t>.</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i w:val="1"/>
          <w:iCs w:val="1"/>
          <w:color w:val="auto"/>
        </w:rPr>
        <w:t>Definitions</w:t>
      </w:r>
      <w:r>
        <w:rPr>
          <w:rFonts w:ascii="Arial" w:cs="Arial" w:eastAsia="Arial" w:hAnsi="Arial"/>
          <w:sz w:val="18"/>
          <w:szCs w:val="18"/>
          <w:color w:val="auto"/>
        </w:rPr>
        <w:t>. For all purposes of this Agreement, the following terms shall have the following respective meanings:</w:t>
      </w:r>
    </w:p>
    <w:p>
      <w:pPr>
        <w:spacing w:after="0" w:line="221" w:lineRule="exact"/>
        <w:rPr>
          <w:sz w:val="20"/>
          <w:szCs w:val="20"/>
          <w:color w:val="auto"/>
        </w:rPr>
      </w:pPr>
    </w:p>
    <w:p>
      <w:pPr>
        <w:ind w:firstLine="1945"/>
        <w:spacing w:after="0" w:line="298" w:lineRule="auto"/>
        <w:rPr>
          <w:sz w:val="20"/>
          <w:szCs w:val="20"/>
          <w:color w:val="auto"/>
        </w:rPr>
      </w:pPr>
      <w:r>
        <w:rPr>
          <w:rFonts w:ascii="Arial" w:cs="Arial" w:eastAsia="Arial" w:hAnsi="Arial"/>
          <w:sz w:val="16"/>
          <w:szCs w:val="16"/>
          <w:b w:val="1"/>
          <w:bCs w:val="1"/>
          <w:color w:val="auto"/>
        </w:rPr>
        <w:t xml:space="preserve">“Environmental Claim” </w:t>
      </w:r>
      <w:r>
        <w:rPr>
          <w:rFonts w:ascii="Arial" w:cs="Arial" w:eastAsia="Arial" w:hAnsi="Arial"/>
          <w:sz w:val="16"/>
          <w:szCs w:val="16"/>
          <w:color w:val="auto"/>
        </w:rPr>
        <w:t>means any claim, action, cause of action, suit, proceeding, investigation, order, demand or notice (in</w:t>
      </w:r>
      <w:r>
        <w:rPr>
          <w:rFonts w:ascii="Arial" w:cs="Arial" w:eastAsia="Arial" w:hAnsi="Arial"/>
          <w:sz w:val="16"/>
          <w:szCs w:val="16"/>
          <w:b w:val="1"/>
          <w:bCs w:val="1"/>
          <w:color w:val="auto"/>
        </w:rPr>
        <w:t xml:space="preserve"> </w:t>
      </w:r>
      <w:r>
        <w:rPr>
          <w:rFonts w:ascii="Arial" w:cs="Arial" w:eastAsia="Arial" w:hAnsi="Arial"/>
          <w:sz w:val="16"/>
          <w:szCs w:val="16"/>
          <w:color w:val="auto"/>
        </w:rPr>
        <w:t>each instance in writing) by any Person alleging potential liability (including, without limitation, potential liability for investigatory costs, cleanup costs, governmental response costs, natural resources damages, property damages, personal injuries, or penalties) arising out of, based on or resulting from (a) the presence, or release into the environment, of, or exposure to, any Material of Environmental Concern at any location, whether or not owned or operated by the Company or any of its Subsidiaries or (b) circumstances forming the basis of any violation, or alleged violation, of any Environmental Law.</w:t>
      </w:r>
    </w:p>
    <w:p>
      <w:pPr>
        <w:sectPr>
          <w:pgSz w:w="11900" w:h="16914" w:orient="portrait"/>
          <w:cols w:equalWidth="0" w:num="1">
            <w:col w:w="11420"/>
          </w:cols>
          <w:pgMar w:left="240" w:top="125" w:right="239" w:bottom="0" w:gutter="0" w:footer="0" w:header="0"/>
        </w:sectPr>
      </w:pPr>
    </w:p>
    <w:bookmarkStart w:id="20" w:name="page21"/>
    <w:bookmarkEnd w:id="20"/>
    <w:p>
      <w:pPr>
        <w:ind w:right="20" w:firstLine="1945"/>
        <w:spacing w:after="0" w:line="303" w:lineRule="auto"/>
        <w:rPr>
          <w:sz w:val="20"/>
          <w:szCs w:val="20"/>
          <w:color w:val="auto"/>
        </w:rPr>
      </w:pPr>
      <w:r>
        <w:rPr>
          <w:rFonts w:ascii="Arial" w:cs="Arial" w:eastAsia="Arial" w:hAnsi="Arial"/>
          <w:sz w:val="16"/>
          <w:szCs w:val="16"/>
          <w:b w:val="1"/>
          <w:bCs w:val="1"/>
          <w:color w:val="auto"/>
        </w:rPr>
        <w:t xml:space="preserve">“Environmental Laws” </w:t>
      </w:r>
      <w:r>
        <w:rPr>
          <w:rFonts w:ascii="Arial" w:cs="Arial" w:eastAsia="Arial" w:hAnsi="Arial"/>
          <w:sz w:val="16"/>
          <w:szCs w:val="16"/>
          <w:color w:val="auto"/>
        </w:rPr>
        <w:t>mean all applicable federal, state, local and foreign laws, regulations, ordinances, and common law</w:t>
      </w:r>
      <w:r>
        <w:rPr>
          <w:rFonts w:ascii="Arial" w:cs="Arial" w:eastAsia="Arial" w:hAnsi="Arial"/>
          <w:sz w:val="16"/>
          <w:szCs w:val="16"/>
          <w:b w:val="1"/>
          <w:bCs w:val="1"/>
          <w:color w:val="auto"/>
        </w:rPr>
        <w:t xml:space="preserve"> </w:t>
      </w:r>
      <w:r>
        <w:rPr>
          <w:rFonts w:ascii="Arial" w:cs="Arial" w:eastAsia="Arial" w:hAnsi="Arial"/>
          <w:sz w:val="16"/>
          <w:szCs w:val="16"/>
          <w:color w:val="auto"/>
        </w:rPr>
        <w:t>relating to pollution or protection of human health (to the extent relating to exposure to Materials of Environmental Concern) or protection of the environment (including, without limitation, ambient air, surface water, ground water, land surface or subsurface strata, and natural resources), including, without limitation, laws and regulations relating to emissions, discharges, releases or threatened releases of, or exposure to, Materials of Environmental Concern.</w:t>
      </w:r>
    </w:p>
    <w:p>
      <w:pPr>
        <w:spacing w:after="0" w:line="151" w:lineRule="exact"/>
        <w:rPr>
          <w:sz w:val="20"/>
          <w:szCs w:val="20"/>
          <w:color w:val="auto"/>
        </w:rPr>
      </w:pPr>
    </w:p>
    <w:p>
      <w:pPr>
        <w:ind w:right="20" w:firstLine="1945"/>
        <w:spacing w:after="0" w:line="266" w:lineRule="auto"/>
        <w:rPr>
          <w:sz w:val="20"/>
          <w:szCs w:val="20"/>
          <w:color w:val="auto"/>
        </w:rPr>
      </w:pPr>
      <w:r>
        <w:rPr>
          <w:rFonts w:ascii="Arial" w:cs="Arial" w:eastAsia="Arial" w:hAnsi="Arial"/>
          <w:sz w:val="18"/>
          <w:szCs w:val="18"/>
          <w:b w:val="1"/>
          <w:bCs w:val="1"/>
          <w:color w:val="auto"/>
        </w:rPr>
        <w:t xml:space="preserve">“Materials of Environmental Concern” </w:t>
      </w:r>
      <w:r>
        <w:rPr>
          <w:rFonts w:ascii="Arial" w:cs="Arial" w:eastAsia="Arial" w:hAnsi="Arial"/>
          <w:sz w:val="18"/>
          <w:szCs w:val="18"/>
          <w:color w:val="auto"/>
        </w:rPr>
        <w:t>means hazardous chemicals, pollutants, contaminants, wastes, toxic substances,</w:t>
      </w:r>
      <w:r>
        <w:rPr>
          <w:rFonts w:ascii="Arial" w:cs="Arial" w:eastAsia="Arial" w:hAnsi="Arial"/>
          <w:sz w:val="18"/>
          <w:szCs w:val="18"/>
          <w:b w:val="1"/>
          <w:bCs w:val="1"/>
          <w:color w:val="auto"/>
        </w:rPr>
        <w:t xml:space="preserve"> </w:t>
      </w:r>
      <w:r>
        <w:rPr>
          <w:rFonts w:ascii="Arial" w:cs="Arial" w:eastAsia="Arial" w:hAnsi="Arial"/>
          <w:sz w:val="18"/>
          <w:szCs w:val="18"/>
          <w:color w:val="auto"/>
        </w:rPr>
        <w:t>hazardous substances, petroleum and petroleum products, asbestos or asbestos-containing materials or products, polychlorinated biphenyls, lead or lead-based paints or materials, radon, toxic fungus, toxic mold, mycotoxins or other hazardous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substances that would reasonably be expected to have an adverse effect on human health or the environment.</w:t>
      </w:r>
    </w:p>
    <w:p>
      <w:pPr>
        <w:spacing w:after="0" w:line="225" w:lineRule="exact"/>
        <w:rPr>
          <w:sz w:val="20"/>
          <w:szCs w:val="20"/>
          <w:color w:val="auto"/>
        </w:rPr>
      </w:pPr>
    </w:p>
    <w:p>
      <w:pPr>
        <w:ind w:left="420" w:right="100" w:firstLine="1290"/>
        <w:spacing w:after="0" w:line="257" w:lineRule="auto"/>
        <w:tabs>
          <w:tab w:leader="none" w:pos="1964"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Environmental Compliance</w:t>
      </w:r>
      <w:r>
        <w:rPr>
          <w:rFonts w:ascii="Arial" w:cs="Arial" w:eastAsia="Arial" w:hAnsi="Arial"/>
          <w:sz w:val="18"/>
          <w:szCs w:val="18"/>
          <w:color w:val="auto"/>
        </w:rPr>
        <w:t>. The Company and its Subsidiaries are in compliance in all material respects with the Environmental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Laws, which compliance includes, but is not limited to, the possession by the Company and its Subsidiaries of all material permits and other governmental authorizations required under the Environmental Laws, and compliance with the terms and conditions thereof. Neither the Company nor any of its Subsidiaries has received any written communication, whether from a Governmental Entity, citizens group, employee or otherwise, that alleges that the Company or any of its Subsidiaries are not in such compliance.</w:t>
      </w:r>
    </w:p>
    <w:p>
      <w:pPr>
        <w:spacing w:after="0" w:line="188" w:lineRule="exact"/>
        <w:rPr>
          <w:rFonts w:ascii="Arial" w:cs="Arial" w:eastAsia="Arial" w:hAnsi="Arial"/>
          <w:sz w:val="18"/>
          <w:szCs w:val="18"/>
          <w:color w:val="auto"/>
        </w:rPr>
      </w:pPr>
    </w:p>
    <w:p>
      <w:pPr>
        <w:ind w:left="420" w:right="120" w:firstLine="1290"/>
        <w:spacing w:after="0" w:line="273" w:lineRule="auto"/>
        <w:tabs>
          <w:tab w:leader="none" w:pos="1954" w:val="left"/>
        </w:tabs>
        <w:numPr>
          <w:ilvl w:val="0"/>
          <w:numId w:val="50"/>
        </w:numPr>
        <w:rPr>
          <w:rFonts w:ascii="Arial" w:cs="Arial" w:eastAsia="Arial" w:hAnsi="Arial"/>
          <w:sz w:val="17"/>
          <w:szCs w:val="17"/>
          <w:color w:val="auto"/>
        </w:rPr>
      </w:pPr>
      <w:r>
        <w:rPr>
          <w:rFonts w:ascii="Arial" w:cs="Arial" w:eastAsia="Arial" w:hAnsi="Arial"/>
          <w:sz w:val="17"/>
          <w:szCs w:val="17"/>
          <w:b w:val="1"/>
          <w:bCs w:val="1"/>
          <w:i w:val="1"/>
          <w:iCs w:val="1"/>
          <w:color w:val="auto"/>
        </w:rPr>
        <w:t>Environmental Liabilities</w:t>
      </w:r>
      <w:r>
        <w:rPr>
          <w:rFonts w:ascii="Arial" w:cs="Arial" w:eastAsia="Arial" w:hAnsi="Arial"/>
          <w:sz w:val="17"/>
          <w:szCs w:val="17"/>
          <w:color w:val="auto"/>
        </w:rPr>
        <w:t>. There is no material Environmental Claim pending or, to the Company’s Knowledge, threatened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against the Company, any of its Subsidiaries or against any Person whose liability for any Environmental Claim the Company or any of its Subsidiaries have contractually retained or assumed. In addition, there has been no past or present release, emission, discharge, presence or disposal of any Material of Environmental Concern, that would reasonably be expected to form the basis of any material Environmental Claim against the Company, any of its Subsidiaries or against any Person whose liability for any Environmental Claim the Company or any of its Subsidiaries have contractually retained or assumed, or otherwise result in any material costs or liabilities under Environmental Law.</w:t>
      </w:r>
    </w:p>
    <w:p>
      <w:pPr>
        <w:spacing w:after="0" w:line="178" w:lineRule="exact"/>
        <w:rPr>
          <w:rFonts w:ascii="Arial" w:cs="Arial" w:eastAsia="Arial" w:hAnsi="Arial"/>
          <w:sz w:val="17"/>
          <w:szCs w:val="17"/>
          <w:color w:val="auto"/>
        </w:rPr>
      </w:pPr>
    </w:p>
    <w:p>
      <w:pPr>
        <w:ind w:left="420" w:right="120" w:firstLine="1290"/>
        <w:spacing w:after="0" w:line="259" w:lineRule="auto"/>
        <w:tabs>
          <w:tab w:leader="none" w:pos="1964"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Environmental Information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has provided to Parent all nonprivileged and material assessments, reports, data,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results of investigations or audits that are in the possession or control of or the Company or its Subsidiaries regarding environmental matters pertaining to or the environmental condition of the business of the Company and its Subsidiaries, or the compliance (or noncompliance) by the Company and its Subsidiaries with any Environmental Laws.</w:t>
      </w:r>
    </w:p>
    <w:p>
      <w:pPr>
        <w:spacing w:after="0" w:line="186" w:lineRule="exact"/>
        <w:rPr>
          <w:rFonts w:ascii="Arial" w:cs="Arial" w:eastAsia="Arial" w:hAnsi="Arial"/>
          <w:sz w:val="18"/>
          <w:szCs w:val="18"/>
          <w:color w:val="auto"/>
        </w:rPr>
      </w:pPr>
    </w:p>
    <w:p>
      <w:pPr>
        <w:ind w:left="420" w:right="20" w:firstLine="1290"/>
        <w:spacing w:after="0" w:line="257" w:lineRule="auto"/>
        <w:tabs>
          <w:tab w:leader="none" w:pos="1954"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Environmental Obligations</w:t>
      </w:r>
      <w:r>
        <w:rPr>
          <w:rFonts w:ascii="Arial" w:cs="Arial" w:eastAsia="Arial" w:hAnsi="Arial"/>
          <w:sz w:val="18"/>
          <w:szCs w:val="18"/>
          <w:color w:val="auto"/>
        </w:rPr>
        <w:t>. Neither the Company nor any of its Subsidiaries is required under any Environmental Law by virtue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transactions set forth herein and contemplated hereby or as a condition to the effectiveness of any transactions contemplated hereby, (i) to perform a site assessment for Materials of Environmental Concern, (ii) to remove or remediate Materials of Environmental Concern, (iii) to give notice to or receive approval from any Governmental Entity or (iv) to record or deliver to any Person any disclosure document or statement pertaining to environmental matters.</w:t>
      </w:r>
    </w:p>
    <w:p>
      <w:pPr>
        <w:spacing w:after="0" w:line="188"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b w:val="1"/>
          <w:bCs w:val="1"/>
          <w:i w:val="1"/>
          <w:iCs w:val="1"/>
          <w:color w:val="auto"/>
        </w:rPr>
        <w:t>Brokers’ and Finders’ Fees</w:t>
      </w:r>
      <w:r>
        <w:rPr>
          <w:rFonts w:ascii="Arial" w:cs="Arial" w:eastAsia="Arial" w:hAnsi="Arial"/>
          <w:sz w:val="17"/>
          <w:szCs w:val="17"/>
          <w:color w:val="auto"/>
        </w:rPr>
        <w:t>. Except for fees payable to Deutsche Bank pursuant to an engagement letter dated February 9, 2006, a copy of which has been provided to Parent, neither the Company nor any of its Subsidiaries has incurred, nor will it incur, directly or indirectly, any liability for brokerage or finders’ fees or agents’ commissions, fees related to investment banking or similar advisory services or any similar charges in connection with this Agreement or any transaction contemplated hereby, nor has the Company or any of its Subsidiaries entered into any indemnification agreement or arrangement with any Person specifically in connection with this Agreement and the transactions contemplated hereby.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b w:val="1"/>
          <w:bCs w:val="1"/>
          <w:i w:val="1"/>
          <w:iCs w:val="1"/>
          <w:color w:val="auto"/>
        </w:rPr>
        <w:t>Transactions with Affiliates</w:t>
      </w:r>
      <w:r>
        <w:rPr>
          <w:rFonts w:ascii="Arial" w:cs="Arial" w:eastAsia="Arial" w:hAnsi="Arial"/>
          <w:sz w:val="18"/>
          <w:szCs w:val="18"/>
          <w:color w:val="auto"/>
        </w:rPr>
        <w:t>. Except as set forth in the Company SEC Reports, since the date of the Company’s last proxy statement filed with the SEC, no event has occurred as of the date hereof that would be required to be reported by the Company pursuant to Item 404 of Regulation S-K promulgated by the SEC.</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b w:val="1"/>
          <w:bCs w:val="1"/>
          <w:i w:val="1"/>
          <w:iCs w:val="1"/>
          <w:color w:val="auto"/>
        </w:rPr>
        <w:t>Employee Benefit Plans and Compensation</w:t>
      </w:r>
      <w:r>
        <w:rPr>
          <w:rFonts w:ascii="Arial" w:cs="Arial" w:eastAsia="Arial" w:hAnsi="Arial"/>
          <w:sz w:val="18"/>
          <w:szCs w:val="18"/>
          <w:color w:val="auto"/>
        </w:rPr>
        <w:t>.</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i w:val="1"/>
          <w:iCs w:val="1"/>
          <w:color w:val="auto"/>
        </w:rPr>
        <w:t>Definitions</w:t>
      </w:r>
      <w:r>
        <w:rPr>
          <w:rFonts w:ascii="Arial" w:cs="Arial" w:eastAsia="Arial" w:hAnsi="Arial"/>
          <w:sz w:val="18"/>
          <w:szCs w:val="18"/>
          <w:color w:val="auto"/>
        </w:rPr>
        <w:t>. For all purposes of this Agreement, the following terms shall have the following respective meanings:</w:t>
      </w:r>
    </w:p>
    <w:p>
      <w:pPr>
        <w:spacing w:after="0" w:line="221" w:lineRule="exact"/>
        <w:rPr>
          <w:sz w:val="20"/>
          <w:szCs w:val="20"/>
          <w:color w:val="auto"/>
        </w:rPr>
      </w:pPr>
    </w:p>
    <w:p>
      <w:pPr>
        <w:ind w:firstLine="1945"/>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 Employee Plan</w:t>
      </w:r>
      <w:r>
        <w:rPr>
          <w:rFonts w:ascii="Arial" w:cs="Arial" w:eastAsia="Arial" w:hAnsi="Arial"/>
          <w:sz w:val="17"/>
          <w:szCs w:val="17"/>
          <w:color w:val="auto"/>
        </w:rPr>
        <w:t>” shall mean any plan, program, policy, practice, contract, agreement or other arrangement providing for compensation, severance, termination pay, deferred compensation, performance awards, stock or equity-related awards, welfare benefits, retirement benefits, fringe benefits or other employee benefits or remuneration of any kind, whether written, unwritten or otherwise, funded or unfunded, including each “employee benefit plan,” within the meaning of Section 3(3) of ERISA which is maintained, contributed to, or required to be contributed to, by the Company, any of its Subsidiaries or any ERISA Affiliate for the benefit of any Employee/Service Provider, or with respect to which the Company, any of its Subsidiaries or any ERISA Affiliate has or may have any liability or obligation and any International Employee Plan.</w:t>
      </w:r>
    </w:p>
    <w:p>
      <w:pPr>
        <w:spacing w:after="0" w:line="17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COBRA</w:t>
      </w:r>
      <w:r>
        <w:rPr>
          <w:rFonts w:ascii="Arial" w:cs="Arial" w:eastAsia="Arial" w:hAnsi="Arial"/>
          <w:sz w:val="18"/>
          <w:szCs w:val="18"/>
          <w:color w:val="auto"/>
        </w:rPr>
        <w:t>” shall mean the Consolidated Omnibus Budget Reconciliation Act of 1985, as amended.</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w:t>
      </w:r>
      <w:r>
        <w:rPr>
          <w:rFonts w:ascii="Arial" w:cs="Arial" w:eastAsia="Arial" w:hAnsi="Arial"/>
          <w:sz w:val="18"/>
          <w:szCs w:val="18"/>
          <w:color w:val="auto"/>
        </w:rPr>
        <w:t>” shall mean the United States Department of Labor.</w:t>
      </w:r>
    </w:p>
    <w:p>
      <w:pPr>
        <w:spacing w:after="0" w:line="225" w:lineRule="exact"/>
        <w:rPr>
          <w:sz w:val="20"/>
          <w:szCs w:val="20"/>
          <w:color w:val="auto"/>
        </w:rPr>
      </w:pPr>
    </w:p>
    <w:p>
      <w:pPr>
        <w:ind w:right="120" w:firstLine="1945"/>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Employee/Service Provider</w:t>
      </w:r>
      <w:r>
        <w:rPr>
          <w:rFonts w:ascii="Arial" w:cs="Arial" w:eastAsia="Arial" w:hAnsi="Arial"/>
          <w:sz w:val="16"/>
          <w:szCs w:val="16"/>
          <w:color w:val="auto"/>
        </w:rPr>
        <w:t>” shall mean any current or former employee, including officers, consultant, independent contractor or director of the Company, any of its Subsidiaries or any ERISA Affiliate, excluding consultants and independent contractors who are not individuals.</w:t>
      </w:r>
    </w:p>
    <w:p>
      <w:pPr>
        <w:spacing w:after="0" w:line="116" w:lineRule="exact"/>
        <w:rPr>
          <w:sz w:val="20"/>
          <w:szCs w:val="20"/>
          <w:color w:val="auto"/>
        </w:rPr>
      </w:pPr>
    </w:p>
    <w:p>
      <w:pPr>
        <w:ind w:right="100" w:firstLine="1945"/>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Employee Agreement</w:t>
      </w:r>
      <w:r>
        <w:rPr>
          <w:rFonts w:ascii="Arial" w:cs="Arial" w:eastAsia="Arial" w:hAnsi="Arial"/>
          <w:sz w:val="16"/>
          <w:szCs w:val="16"/>
          <w:color w:val="auto"/>
        </w:rPr>
        <w:t>” shall mean each management, employment, severance, separation, settlement, consulting, contractor, change of control, relocation, repatriation, expatriation, loan, visa, work permit or other agreement, or contract (including, any offer letter which provides for any term of employment other than employment at will or any agreement providing for acceleration of Company Options or any other agreement providing</w:t>
      </w:r>
    </w:p>
    <w:p>
      <w:pPr>
        <w:sectPr>
          <w:pgSz w:w="11900" w:h="16838" w:orient="portrait"/>
          <w:cols w:equalWidth="0" w:num="1">
            <w:col w:w="11420"/>
          </w:cols>
          <w:pgMar w:left="240" w:top="337" w:right="239" w:bottom="0" w:gutter="0" w:footer="0" w:header="0"/>
        </w:sectPr>
      </w:pPr>
    </w:p>
    <w:bookmarkStart w:id="21" w:name="page22"/>
    <w:bookmarkEnd w:id="21"/>
    <w:p>
      <w:pPr>
        <w:ind w:right="500"/>
        <w:spacing w:after="0" w:line="308" w:lineRule="auto"/>
        <w:rPr>
          <w:sz w:val="20"/>
          <w:szCs w:val="20"/>
          <w:color w:val="auto"/>
        </w:rPr>
      </w:pPr>
      <w:r>
        <w:rPr>
          <w:rFonts w:ascii="Arial" w:cs="Arial" w:eastAsia="Arial" w:hAnsi="Arial"/>
          <w:sz w:val="17"/>
          <w:szCs w:val="17"/>
          <w:color w:val="auto"/>
        </w:rPr>
        <w:t>for compensation or benefits) between the Company, any of its Subsidiaries or any ERISA Affiliate and any director or any Employee/Service Provider pursuant to which the Company or any of its Subsidiaries has or may have any current or future liabilities or obligations.</w:t>
      </w:r>
    </w:p>
    <w:p>
      <w:pPr>
        <w:spacing w:after="0" w:line="14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shall mean the Employee Retirement Income Security Act of 1974, as amended.</w:t>
      </w:r>
    </w:p>
    <w:p>
      <w:pPr>
        <w:spacing w:after="0" w:line="225" w:lineRule="exact"/>
        <w:rPr>
          <w:sz w:val="20"/>
          <w:szCs w:val="20"/>
          <w:color w:val="auto"/>
        </w:rPr>
      </w:pPr>
    </w:p>
    <w:p>
      <w:pPr>
        <w:ind w:right="320" w:firstLine="1945"/>
        <w:spacing w:after="0" w:line="282"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color w:val="auto"/>
        </w:rPr>
        <w:t>ERISA Affiliate</w:t>
      </w:r>
      <w:r>
        <w:rPr>
          <w:rFonts w:ascii="Arial" w:cs="Arial" w:eastAsia="Arial" w:hAnsi="Arial"/>
          <w:sz w:val="18"/>
          <w:szCs w:val="18"/>
          <w:color w:val="auto"/>
        </w:rPr>
        <w:t>” shall mean any other Person under common control with the Company or any of its Subsidiaries within the</w:t>
      </w:r>
      <w:r>
        <w:rPr>
          <w:rFonts w:ascii="Arial" w:cs="Arial" w:eastAsia="Arial" w:hAnsi="Arial"/>
          <w:sz w:val="18"/>
          <w:szCs w:val="18"/>
          <w:i w:val="1"/>
          <w:iCs w:val="1"/>
          <w:color w:val="auto"/>
        </w:rPr>
        <w:t xml:space="preserve"> </w:t>
      </w:r>
      <w:r>
        <w:rPr>
          <w:rFonts w:ascii="Arial" w:cs="Arial" w:eastAsia="Arial" w:hAnsi="Arial"/>
          <w:sz w:val="18"/>
          <w:szCs w:val="18"/>
          <w:color w:val="auto"/>
        </w:rPr>
        <w:t>meaning of Section 414(b), (c), (m) or (o) of the Code, and the regulations issued thereunder.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HIPAA</w:t>
      </w:r>
      <w:r>
        <w:rPr>
          <w:rFonts w:ascii="Arial" w:cs="Arial" w:eastAsia="Arial" w:hAnsi="Arial"/>
          <w:sz w:val="18"/>
          <w:szCs w:val="18"/>
          <w:color w:val="auto"/>
        </w:rPr>
        <w:t>” shall mean the Health Insurance Portability and Accountability Act of 1996, as amended.</w:t>
      </w:r>
    </w:p>
    <w:p>
      <w:pPr>
        <w:spacing w:after="0" w:line="225" w:lineRule="exact"/>
        <w:rPr>
          <w:sz w:val="20"/>
          <w:szCs w:val="20"/>
          <w:color w:val="auto"/>
        </w:rPr>
      </w:pPr>
    </w:p>
    <w:p>
      <w:pPr>
        <w:ind w:right="80" w:firstLine="19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International Employee Plan</w:t>
      </w:r>
      <w:r>
        <w:rPr>
          <w:rFonts w:ascii="Arial" w:cs="Arial" w:eastAsia="Arial" w:hAnsi="Arial"/>
          <w:sz w:val="17"/>
          <w:szCs w:val="17"/>
          <w:color w:val="auto"/>
        </w:rPr>
        <w:t>” shall mean any plan, program, policy, practice, contract, agreement or other arrangement that is described in the definition of Company Employee Plan or Employee Agreement that has been adopted or maintained by the Company, any of its Subsidiaries or any ERISA Affiliate, whether formally or informally, or with respect to which the Company, any of its Subsidiaries or any ERISA Affiliate will or may have any liability, for the benefit of Employees/Service Providers who perform services outside the United States.</w:t>
      </w:r>
    </w:p>
    <w:p>
      <w:pPr>
        <w:spacing w:after="0" w:line="16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IRS</w:t>
      </w:r>
      <w:r>
        <w:rPr>
          <w:rFonts w:ascii="Arial" w:cs="Arial" w:eastAsia="Arial" w:hAnsi="Arial"/>
          <w:sz w:val="18"/>
          <w:szCs w:val="18"/>
          <w:color w:val="auto"/>
        </w:rPr>
        <w:t>” shall mean the United States Internal Revenue Service.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Pension Plan</w:t>
      </w:r>
      <w:r>
        <w:rPr>
          <w:rFonts w:ascii="Arial" w:cs="Arial" w:eastAsia="Arial" w:hAnsi="Arial"/>
          <w:sz w:val="17"/>
          <w:szCs w:val="17"/>
          <w:color w:val="auto"/>
        </w:rPr>
        <w:t>” shall mean each Company Employee Plan that is an “employee pension benefit plan,” within the meaning of</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Section 3(2) of ERISA.</w:t>
      </w:r>
    </w:p>
    <w:p>
      <w:pPr>
        <w:spacing w:after="0" w:line="20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WARN”</w:t>
      </w:r>
      <w:r>
        <w:rPr>
          <w:rFonts w:ascii="Arial" w:cs="Arial" w:eastAsia="Arial" w:hAnsi="Arial"/>
          <w:sz w:val="18"/>
          <w:szCs w:val="18"/>
          <w:color w:val="auto"/>
        </w:rPr>
        <w:t xml:space="preserve"> shall mean the Worker Adjustment and Retraining Notification Act of 1989.</w:t>
      </w:r>
    </w:p>
    <w:p>
      <w:pPr>
        <w:spacing w:after="0" w:line="225" w:lineRule="exact"/>
        <w:rPr>
          <w:sz w:val="20"/>
          <w:szCs w:val="20"/>
          <w:color w:val="auto"/>
        </w:rPr>
      </w:pPr>
    </w:p>
    <w:p>
      <w:pPr>
        <w:ind w:left="420" w:right="40" w:firstLine="1290"/>
        <w:spacing w:after="0" w:line="272" w:lineRule="auto"/>
        <w:tabs>
          <w:tab w:leader="none" w:pos="1964" w:val="left"/>
        </w:tabs>
        <w:numPr>
          <w:ilvl w:val="1"/>
          <w:numId w:val="51"/>
        </w:numPr>
        <w:rPr>
          <w:rFonts w:ascii="Arial" w:cs="Arial" w:eastAsia="Arial" w:hAnsi="Arial"/>
          <w:sz w:val="17"/>
          <w:szCs w:val="17"/>
          <w:color w:val="auto"/>
        </w:rPr>
      </w:pPr>
      <w:r>
        <w:rPr>
          <w:rFonts w:ascii="Arial" w:cs="Arial" w:eastAsia="Arial" w:hAnsi="Arial"/>
          <w:sz w:val="17"/>
          <w:szCs w:val="17"/>
          <w:b w:val="1"/>
          <w:bCs w:val="1"/>
          <w:i w:val="1"/>
          <w:iCs w:val="1"/>
          <w:color w:val="auto"/>
        </w:rPr>
        <w:t>Schedule</w:t>
      </w:r>
      <w:r>
        <w:rPr>
          <w:rFonts w:ascii="Arial" w:cs="Arial" w:eastAsia="Arial" w:hAnsi="Arial"/>
          <w:sz w:val="17"/>
          <w:szCs w:val="17"/>
          <w:b w:val="1"/>
          <w:bCs w:val="1"/>
          <w:color w:val="auto"/>
        </w:rPr>
        <w:t>. Section 2.16(b)(i)</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Company Disclosure Schedule contains an accurate and complete list of each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Employee Plan and each Employee Agreement (except for offers letters or employment agreements to International Employees to the extent any such letter or agreement provides solely statutorily mandated severance or notice periods). </w:t>
      </w:r>
      <w:r>
        <w:rPr>
          <w:rFonts w:ascii="Arial" w:cs="Arial" w:eastAsia="Arial" w:hAnsi="Arial"/>
          <w:sz w:val="17"/>
          <w:szCs w:val="17"/>
          <w:b w:val="1"/>
          <w:bCs w:val="1"/>
          <w:color w:val="auto"/>
        </w:rPr>
        <w:t>Section 2.16(b)(ii)</w:t>
      </w:r>
      <w:r>
        <w:rPr>
          <w:rFonts w:ascii="Arial" w:cs="Arial" w:eastAsia="Arial" w:hAnsi="Arial"/>
          <w:sz w:val="17"/>
          <w:szCs w:val="17"/>
          <w:color w:val="auto"/>
        </w:rPr>
        <w:t xml:space="preserve"> of the Company Disclosure Schedule sets forth a table setting forth the name and annual base salary of each employee of the Company and each of its Subsidiaries whose base salary currently exceeds $100,000 per year as of the date hereof. To the Company’s Knowledge, no employee listed on </w:t>
      </w:r>
      <w:r>
        <w:rPr>
          <w:rFonts w:ascii="Arial" w:cs="Arial" w:eastAsia="Arial" w:hAnsi="Arial"/>
          <w:sz w:val="17"/>
          <w:szCs w:val="17"/>
          <w:b w:val="1"/>
          <w:bCs w:val="1"/>
          <w:color w:val="auto"/>
        </w:rPr>
        <w:t>Section 2.16(b)(ii)</w:t>
      </w:r>
      <w:r>
        <w:rPr>
          <w:rFonts w:ascii="Arial" w:cs="Arial" w:eastAsia="Arial" w:hAnsi="Arial"/>
          <w:sz w:val="17"/>
          <w:szCs w:val="17"/>
          <w:color w:val="auto"/>
        </w:rPr>
        <w:t xml:space="preserve"> of the Company Disclosure Schedule intends to terminate his or her employment for any reason. </w:t>
      </w:r>
      <w:r>
        <w:rPr>
          <w:rFonts w:ascii="Arial" w:cs="Arial" w:eastAsia="Arial" w:hAnsi="Arial"/>
          <w:sz w:val="17"/>
          <w:szCs w:val="17"/>
          <w:b w:val="1"/>
          <w:bCs w:val="1"/>
          <w:color w:val="auto"/>
        </w:rPr>
        <w:t>Section 2.16(b)(iii)</w:t>
      </w:r>
      <w:r>
        <w:rPr>
          <w:rFonts w:ascii="Arial" w:cs="Arial" w:eastAsia="Arial" w:hAnsi="Arial"/>
          <w:sz w:val="17"/>
          <w:szCs w:val="17"/>
          <w:color w:val="auto"/>
        </w:rPr>
        <w:t xml:space="preserve"> of the Company Disclosure Schedule contains an accurate and complete list of all Persons that have a consulting or advisory relationship with the Company or any of its Subsidiaries that is subject to ongoing obligations that would reasonably be expected to exceed $100,000 per year.</w:t>
      </w:r>
    </w:p>
    <w:p>
      <w:pPr>
        <w:spacing w:after="0" w:line="176" w:lineRule="exact"/>
        <w:rPr>
          <w:rFonts w:ascii="Arial" w:cs="Arial" w:eastAsia="Arial" w:hAnsi="Arial"/>
          <w:sz w:val="17"/>
          <w:szCs w:val="17"/>
          <w:color w:val="auto"/>
        </w:rPr>
      </w:pPr>
    </w:p>
    <w:p>
      <w:pPr>
        <w:ind w:left="420" w:right="60" w:firstLine="1290"/>
        <w:spacing w:after="0" w:line="291" w:lineRule="auto"/>
        <w:tabs>
          <w:tab w:leader="none" w:pos="1954" w:val="left"/>
        </w:tabs>
        <w:numPr>
          <w:ilvl w:val="1"/>
          <w:numId w:val="51"/>
        </w:numPr>
        <w:rPr>
          <w:rFonts w:ascii="Arial" w:cs="Arial" w:eastAsia="Arial" w:hAnsi="Arial"/>
          <w:sz w:val="16"/>
          <w:szCs w:val="16"/>
          <w:color w:val="auto"/>
        </w:rPr>
      </w:pPr>
      <w:r>
        <w:rPr>
          <w:rFonts w:ascii="Arial" w:cs="Arial" w:eastAsia="Arial" w:hAnsi="Arial"/>
          <w:sz w:val="16"/>
          <w:szCs w:val="16"/>
          <w:b w:val="1"/>
          <w:bCs w:val="1"/>
          <w:i w:val="1"/>
          <w:iCs w:val="1"/>
          <w:color w:val="auto"/>
        </w:rPr>
        <w:t>Documents</w:t>
      </w:r>
      <w:r>
        <w:rPr>
          <w:rFonts w:ascii="Arial" w:cs="Arial" w:eastAsia="Arial" w:hAnsi="Arial"/>
          <w:sz w:val="16"/>
          <w:szCs w:val="16"/>
          <w:color w:val="auto"/>
        </w:rPr>
        <w:t>. The Company and each of its Subsidiaries have Made Available to Parent (i) correct and complete copies of 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documents embodying each Company Employee Plan and each Employee Agreement including all amendments thereto and all related trust documents,</w:t>
      </w:r>
    </w:p>
    <w:p>
      <w:pPr>
        <w:ind w:left="420" w:right="80" w:hanging="7"/>
        <w:spacing w:after="0" w:line="288" w:lineRule="auto"/>
        <w:tabs>
          <w:tab w:leader="none" w:pos="685"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three most recent annual reports (Form Series 5500 and all schedules and financial statements attached thereto), if any, required under ERISA or the Code in connection with each Company Employee Plan, (iii) if the Company Employee Plan is funded, the most recent annual and periodic accounting of Company Employee Plan assets, (iv) the most recent summary plan description together with the summary(ies) of material modifications thereto, if any, required under ERISA with respect to each Company Employee Plan, (v) all material written agreements and contracts relating to each Company Employee Plan, including administrative service agreements and group insurance contracts, (vi) all communications material to any Employee/Service Provider or Employees/Service Providers relating to any Company Employee Plan or any proposed Company Employee Plan, in each case, relating to any amendments, terminations, establishments, increases or decreases in benefits, acceleration of payments or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0" w:right="240"/>
        <w:spacing w:after="0" w:line="255" w:lineRule="auto"/>
        <w:rPr>
          <w:sz w:val="20"/>
          <w:szCs w:val="20"/>
          <w:color w:val="auto"/>
        </w:rPr>
      </w:pPr>
      <w:r>
        <w:rPr>
          <w:rFonts w:ascii="Arial" w:cs="Arial" w:eastAsia="Arial" w:hAnsi="Arial"/>
          <w:sz w:val="18"/>
          <w:szCs w:val="18"/>
          <w:color w:val="auto"/>
        </w:rPr>
        <w:t>vesting schedules or other events which could result in any liability to the Company or any of its Subsidiaries, (vii) all material correspondence to or from any Governmental Entity relating to any Company Employee Plan, (viii) forms of COBRA notices and related outsourcing contracts, (ix) all policies pertaining to fiduciary liability insurance covering the fiduciaries for each Company Employee Plan, (x) all discrimination tests for each Company Employee Plan for the three most recent plan years, (xi) all registration statements, annual reports (Form 11-K and all attachments thereto) and prospectuses prepared in connection with each Company Employee Plan, (xii) forms of HIPAA Privacy Notices and forms of Business Associate Agreements to the extent required under HIPAA and (xiii) the most recent IRS determination or opinion letter issued with respect to each Company Employee Plan.</w:t>
      </w:r>
    </w:p>
    <w:p>
      <w:pPr>
        <w:spacing w:after="0" w:line="189" w:lineRule="exact"/>
        <w:rPr>
          <w:sz w:val="20"/>
          <w:szCs w:val="20"/>
          <w:color w:val="auto"/>
        </w:rPr>
      </w:pPr>
    </w:p>
    <w:p>
      <w:pPr>
        <w:ind w:left="420" w:firstLine="1290"/>
        <w:spacing w:after="0" w:line="289" w:lineRule="auto"/>
        <w:tabs>
          <w:tab w:leader="none" w:pos="1964" w:val="left"/>
        </w:tabs>
        <w:numPr>
          <w:ilvl w:val="0"/>
          <w:numId w:val="53"/>
        </w:numPr>
        <w:rPr>
          <w:rFonts w:ascii="Arial" w:cs="Arial" w:eastAsia="Arial" w:hAnsi="Arial"/>
          <w:sz w:val="16"/>
          <w:szCs w:val="16"/>
          <w:color w:val="auto"/>
        </w:rPr>
      </w:pPr>
      <w:r>
        <w:rPr>
          <w:rFonts w:ascii="Arial" w:cs="Arial" w:eastAsia="Arial" w:hAnsi="Arial"/>
          <w:sz w:val="16"/>
          <w:szCs w:val="16"/>
          <w:b w:val="1"/>
          <w:bCs w:val="1"/>
          <w:i w:val="1"/>
          <w:iCs w:val="1"/>
          <w:color w:val="auto"/>
        </w:rPr>
        <w:t>Employee Plan Compliance</w:t>
      </w:r>
      <w:r>
        <w:rPr>
          <w:rFonts w:ascii="Arial" w:cs="Arial" w:eastAsia="Arial" w:hAnsi="Arial"/>
          <w:sz w:val="16"/>
          <w:szCs w:val="16"/>
          <w:color w:val="auto"/>
        </w:rPr>
        <w:t>. The Company Employee Plans are in, and have been administered in, material compliance with 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requirements of ERISA, the Code, and other applicable laws in all material respects and have been administered in accordance with their terms. Each Company Employee Plan that is intended to be qualified within the meaning of Section 401 of the Code has received a current favorable determination letter as to its qualification, and nothing has occurred that would reasonably be expected to adversely affect such qualification. No “prohibited transaction,” within the meaning of Section 4975 of the Code or Sections 406 and 407 of ERISA, and not otherwise exempt under Section 408 of ERISA, has occurred with respect to any Company Employee Plan. The Company and each of its Subsidiaries have timely made all contributions and other payments required by and due under the terms of each Company Employee Plan. To the Knowledge of the Company, neither the Company nor any of its Subsidiaries are, as of the date hereof, party to any contract, agreement or arrangement that, in accordance with current published guidance from the IRS, could be determined as constituting a “nonqualified deferred compensation plan” subject to Section 409A of the Code.</w:t>
      </w:r>
    </w:p>
    <w:p>
      <w:pPr>
        <w:spacing w:after="0" w:line="166" w:lineRule="exact"/>
        <w:rPr>
          <w:rFonts w:ascii="Arial" w:cs="Arial" w:eastAsia="Arial" w:hAnsi="Arial"/>
          <w:sz w:val="16"/>
          <w:szCs w:val="16"/>
          <w:color w:val="auto"/>
        </w:rPr>
      </w:pPr>
    </w:p>
    <w:p>
      <w:pPr>
        <w:ind w:left="1940" w:hanging="230"/>
        <w:spacing w:after="0"/>
        <w:tabs>
          <w:tab w:leader="none" w:pos="194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Claims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320" w:firstLine="1953"/>
        <w:spacing w:after="0" w:line="257" w:lineRule="auto"/>
        <w:tabs>
          <w:tab w:leader="none" w:pos="2574"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There are no pending or, to the Company’s Knowledge, threatened actions, suits, charges, complaints, claims or investigations against, concerning or with respect to any Company Employee Plans, other than ordinary and usual claims for benefits by participants and beneficiaries. Each Company Employee Plan can be amended, terminated or otherwise discontinued after the Effective Time in accordance with its terms, without liability to Parent, the Company, any of its Subsidiaries or any ERISA Affiliate (other than ordinary administration expenses or with respect to benefits previously earned, vested or accrued thereunder).</w:t>
      </w:r>
    </w:p>
    <w:p>
      <w:pPr>
        <w:sectPr>
          <w:pgSz w:w="11900" w:h="16838" w:orient="portrait"/>
          <w:cols w:equalWidth="0" w:num="1">
            <w:col w:w="11420"/>
          </w:cols>
          <w:pgMar w:left="240" w:top="125" w:right="239" w:bottom="22" w:gutter="0" w:footer="0" w:header="0"/>
        </w:sectPr>
      </w:pPr>
    </w:p>
    <w:bookmarkStart w:id="22" w:name="page23"/>
    <w:bookmarkEnd w:id="22"/>
    <w:p>
      <w:pPr>
        <w:spacing w:after="0" w:line="61" w:lineRule="exact"/>
        <w:rPr>
          <w:sz w:val="20"/>
          <w:szCs w:val="20"/>
          <w:color w:val="auto"/>
        </w:rPr>
      </w:pPr>
    </w:p>
    <w:p>
      <w:pPr>
        <w:ind w:left="-20" w:right="60" w:firstLine="1953"/>
        <w:spacing w:after="0" w:line="259" w:lineRule="auto"/>
        <w:tabs>
          <w:tab w:leader="none" w:pos="256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There are no audits, inquiries, investigations or other proceedings of any nature pending or to the Company’s Knowledge, threatened by the IRS, DOL, or any other Governmental Entity with respect to any Company Employee Plan. Neither the Company, any of its Subsidiaries nor any ERISA Affiliate is subject to any penalty or Tax with respect to any Company Employee Plan under Section 502(i) of ERISA or Sections 4975 through 4980 (including 4980B) of the Code.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0" w:right="340" w:firstLine="1290"/>
        <w:spacing w:after="0" w:line="264" w:lineRule="auto"/>
        <w:tabs>
          <w:tab w:leader="none" w:pos="1953"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No Pension Plan</w:t>
      </w:r>
      <w:r>
        <w:rPr>
          <w:rFonts w:ascii="Arial" w:cs="Arial" w:eastAsia="Arial" w:hAnsi="Arial"/>
          <w:sz w:val="18"/>
          <w:szCs w:val="18"/>
          <w:color w:val="auto"/>
        </w:rPr>
        <w:t>. Neither the Company, nor any of its Subsidiaries nor any current or former ERISA Affiliate has ever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maintained, established, sponsored, participated in or contributed to, any Pension Plan subject to Part 3 of Subtitle B of Title I of ERISA, Title IV of ERISA or Section 412 of the Code.</w:t>
      </w:r>
    </w:p>
    <w:p>
      <w:pPr>
        <w:spacing w:after="0" w:line="181" w:lineRule="exact"/>
        <w:rPr>
          <w:rFonts w:ascii="Arial" w:cs="Arial" w:eastAsia="Arial" w:hAnsi="Arial"/>
          <w:sz w:val="18"/>
          <w:szCs w:val="18"/>
          <w:color w:val="auto"/>
        </w:rPr>
      </w:pPr>
    </w:p>
    <w:p>
      <w:pPr>
        <w:ind w:left="480" w:right="340" w:firstLine="1291"/>
        <w:spacing w:after="0" w:line="264" w:lineRule="auto"/>
        <w:tabs>
          <w:tab w:leader="none" w:pos="2031" w:val="left"/>
        </w:tabs>
        <w:numPr>
          <w:ilvl w:val="1"/>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No Self-Insured Plan</w:t>
      </w:r>
      <w:r>
        <w:rPr>
          <w:rFonts w:ascii="Arial" w:cs="Arial" w:eastAsia="Arial" w:hAnsi="Arial"/>
          <w:sz w:val="18"/>
          <w:szCs w:val="18"/>
          <w:color w:val="auto"/>
        </w:rPr>
        <w:t>. Neither the Company, nor any of its Subsidiaries nor any ERISA Affiliate has ever maintained,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established, sponsored, participated in or contributed to any self-insured plan that provides benefits to Employees/Service Providers (including any such plan pursuant to which a stop-loss policy or contract applies).</w:t>
      </w:r>
    </w:p>
    <w:p>
      <w:pPr>
        <w:spacing w:after="0" w:line="181" w:lineRule="exact"/>
        <w:rPr>
          <w:sz w:val="20"/>
          <w:szCs w:val="20"/>
          <w:color w:val="auto"/>
        </w:rPr>
      </w:pPr>
    </w:p>
    <w:p>
      <w:pPr>
        <w:ind w:left="400" w:firstLine="1290"/>
        <w:spacing w:after="0" w:line="271" w:lineRule="auto"/>
        <w:tabs>
          <w:tab w:leader="none" w:pos="1944" w:val="left"/>
        </w:tabs>
        <w:numPr>
          <w:ilvl w:val="0"/>
          <w:numId w:val="56"/>
        </w:numPr>
        <w:rPr>
          <w:rFonts w:ascii="Arial" w:cs="Arial" w:eastAsia="Arial" w:hAnsi="Arial"/>
          <w:sz w:val="17"/>
          <w:szCs w:val="17"/>
          <w:color w:val="auto"/>
        </w:rPr>
      </w:pPr>
      <w:r>
        <w:rPr>
          <w:rFonts w:ascii="Arial" w:cs="Arial" w:eastAsia="Arial" w:hAnsi="Arial"/>
          <w:sz w:val="17"/>
          <w:szCs w:val="17"/>
          <w:b w:val="1"/>
          <w:bCs w:val="1"/>
          <w:i w:val="1"/>
          <w:iCs w:val="1"/>
          <w:color w:val="auto"/>
        </w:rPr>
        <w:t>Effect of Transaction; Executive Compensation Tax</w:t>
      </w:r>
      <w:r>
        <w:rPr>
          <w:rFonts w:ascii="Arial" w:cs="Arial" w:eastAsia="Arial" w:hAnsi="Arial"/>
          <w:sz w:val="17"/>
          <w:szCs w:val="17"/>
          <w:color w:val="auto"/>
        </w:rPr>
        <w:t>. No Company Employee Plan or Employee Agreement exists that, as a result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execution of this Agreement, stockholder approval of this Agreement, or the transactions contemplated by this Agreement (whether alone or in connection with any subsequent event(s)), will entitle any Employee/Service Provider to (i) compensation or benefits or any increase in compensation or benefits upon any termination of employment after the date of this Agreement, (ii) accelerate the time of payment or vesting or result in any payment or funding (through a grantor trust or otherwise) of compensation or benefits under, increase the amount payable or result in any other material obligation pursuant to, any of the Company Employee Plans or Employee Agreements, (iii) limit or restrict the right of the Company to merge, amend or terminate any of the Company Employee Plans or Employee Agreements, or (iv) cause the Company to record additional compensation expense on its income statement with respect to any outstanding stock option or other equity-based award.</w:t>
      </w:r>
    </w:p>
    <w:p>
      <w:pPr>
        <w:spacing w:after="0" w:line="178" w:lineRule="exact"/>
        <w:rPr>
          <w:rFonts w:ascii="Arial" w:cs="Arial" w:eastAsia="Arial" w:hAnsi="Arial"/>
          <w:sz w:val="17"/>
          <w:szCs w:val="17"/>
          <w:color w:val="auto"/>
        </w:rPr>
      </w:pPr>
    </w:p>
    <w:p>
      <w:pPr>
        <w:ind w:left="400" w:right="100" w:firstLine="1290"/>
        <w:spacing w:after="0" w:line="255" w:lineRule="auto"/>
        <w:tabs>
          <w:tab w:leader="none" w:pos="1943"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Parachute Payments</w:t>
      </w:r>
      <w:r>
        <w:rPr>
          <w:rFonts w:ascii="Arial" w:cs="Arial" w:eastAsia="Arial" w:hAnsi="Arial"/>
          <w:sz w:val="18"/>
          <w:szCs w:val="18"/>
          <w:color w:val="auto"/>
        </w:rPr>
        <w:t>. There is no agreement, plan, arrangement or other contract covering any Employee/Service Provider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considered individually or considered collectively with any other such agreements, plans, arrangements or other contracts, will, or would reasonably be expected to, give rise directly or indirectly to the payment of any amount that would be characterized as a “parachute payment” within the meaning of Section 280G(b)(2) of the Code. No Company Employee Plan or Employee Agreement exists that, as a result of the execution of this Agreement, stockholder approval of this Agreement, or the transactions contemplated by this Agreement (whether alone or in connection with any subsequent event(s)), will result in payments under any Company Employee Plan or Employee Agreement that would not be deductible under Section 280G of the Code.</w:t>
      </w:r>
    </w:p>
    <w:p>
      <w:pPr>
        <w:spacing w:after="0" w:line="189" w:lineRule="exact"/>
        <w:rPr>
          <w:rFonts w:ascii="Arial" w:cs="Arial" w:eastAsia="Arial" w:hAnsi="Arial"/>
          <w:sz w:val="18"/>
          <w:szCs w:val="18"/>
          <w:color w:val="auto"/>
        </w:rPr>
      </w:pPr>
    </w:p>
    <w:p>
      <w:pPr>
        <w:ind w:left="400" w:right="20" w:firstLine="1290"/>
        <w:spacing w:after="0" w:line="312" w:lineRule="auto"/>
        <w:tabs>
          <w:tab w:leader="none" w:pos="1943" w:val="left"/>
        </w:tabs>
        <w:numPr>
          <w:ilvl w:val="0"/>
          <w:numId w:val="56"/>
        </w:numPr>
        <w:rPr>
          <w:rFonts w:ascii="Arial" w:cs="Arial" w:eastAsia="Arial" w:hAnsi="Arial"/>
          <w:sz w:val="16"/>
          <w:szCs w:val="16"/>
          <w:color w:val="auto"/>
        </w:rPr>
      </w:pPr>
      <w:r>
        <w:rPr>
          <w:rFonts w:ascii="Arial" w:cs="Arial" w:eastAsia="Arial" w:hAnsi="Arial"/>
          <w:sz w:val="16"/>
          <w:szCs w:val="16"/>
          <w:b w:val="1"/>
          <w:bCs w:val="1"/>
          <w:i w:val="1"/>
          <w:iCs w:val="1"/>
          <w:color w:val="auto"/>
        </w:rPr>
        <w:t>Section 162(m) of the Code</w:t>
      </w:r>
      <w:r>
        <w:rPr>
          <w:rFonts w:ascii="Arial" w:cs="Arial" w:eastAsia="Arial" w:hAnsi="Arial"/>
          <w:sz w:val="16"/>
          <w:szCs w:val="16"/>
          <w:color w:val="auto"/>
        </w:rPr>
        <w:t>. There is no contract, agreement, plan or arrangement to which the Company or any of its Subsidiaries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a party, including the provisions of this Agreement, covering any Employee/Service Provider of the Company or any of its Subsidiaries, which, individually or collectively, could give rise to the payment of any amount that would not be deductible pursuant to Sections 404 or 162(m) of the Code.</w:t>
      </w:r>
    </w:p>
    <w:p>
      <w:pPr>
        <w:spacing w:after="0" w:line="146" w:lineRule="exact"/>
        <w:rPr>
          <w:rFonts w:ascii="Arial" w:cs="Arial" w:eastAsia="Arial" w:hAnsi="Arial"/>
          <w:sz w:val="16"/>
          <w:szCs w:val="16"/>
          <w:color w:val="auto"/>
        </w:rPr>
      </w:pPr>
    </w:p>
    <w:p>
      <w:pPr>
        <w:ind w:left="400" w:right="200" w:firstLine="1290"/>
        <w:spacing w:after="0" w:line="259" w:lineRule="auto"/>
        <w:tabs>
          <w:tab w:leader="none" w:pos="1944"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Employment Matters</w:t>
      </w:r>
      <w:r>
        <w:rPr>
          <w:rFonts w:ascii="Arial" w:cs="Arial" w:eastAsia="Arial" w:hAnsi="Arial"/>
          <w:sz w:val="18"/>
          <w:szCs w:val="18"/>
          <w:color w:val="auto"/>
        </w:rPr>
        <w:t>. The Company and each of its Subsidiaries are in compliance in all material respects with all applicable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Legal Requirements respecting employment, employment practices, terms, conditions and classifications of employment, employee safety and health, immigration status and wages and hours, and in each case, with respect to Employees/Service Providers (i) are not liable for any arrears of wages, severance pay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80"/>
        <w:spacing w:after="0" w:line="270" w:lineRule="auto"/>
        <w:rPr>
          <w:sz w:val="20"/>
          <w:szCs w:val="20"/>
          <w:color w:val="auto"/>
        </w:rPr>
      </w:pPr>
      <w:r>
        <w:rPr>
          <w:rFonts w:ascii="Arial" w:cs="Arial" w:eastAsia="Arial" w:hAnsi="Arial"/>
          <w:sz w:val="17"/>
          <w:szCs w:val="17"/>
          <w:color w:val="auto"/>
        </w:rPr>
        <w:t>or any Taxes or any penalty for failure to comply with any of the foregoing and (ii) are not liable for any payment to any trust or other fund governed by or maintained by or on behalf of any Governmental Entity, with respect to unemployment compensation benefits, social security or other benefits or obligations for Employees/Service Providers (other than routine payments to be made in the normal course of business and consistent with past practice), except as would not reasonably be expected to result in material liability. There are no actions, grievances, investigations, suits, claims, charges or administrative matters pending, or, to the Company’s Knowledge, threatened or reasonably anticipated against the Company, any of its Subsidiaries, or any of their Employees/Service Providers relating to any Employee/Service Provider, Employee Agreement or Company Employee Plan. There are no pending or, to the Company’s Knowledge, threatened or reasonably anticipated claims or actions against the Company, any of its Subsidiaries, any Company trustee or any trustee of any Subsidiary under any workers’ compensation policy or long term disability policy . The services provided by each of the Company’s, each of the Company’s Subsidiary’s and each of their ERISA Affiliates’ current employees based in the United States are terminable at the will of the Company and its ERISA Affiliates.</w:t>
      </w:r>
    </w:p>
    <w:p>
      <w:pPr>
        <w:spacing w:after="0" w:line="178" w:lineRule="exact"/>
        <w:rPr>
          <w:sz w:val="20"/>
          <w:szCs w:val="20"/>
          <w:color w:val="auto"/>
        </w:rPr>
      </w:pPr>
    </w:p>
    <w:p>
      <w:pPr>
        <w:ind w:left="400" w:right="20" w:firstLine="1290"/>
        <w:spacing w:after="0" w:line="255" w:lineRule="auto"/>
        <w:tabs>
          <w:tab w:leader="none" w:pos="1943"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No Post-Employment Obligations</w:t>
      </w:r>
      <w:r>
        <w:rPr>
          <w:rFonts w:ascii="Arial" w:cs="Arial" w:eastAsia="Arial" w:hAnsi="Arial"/>
          <w:sz w:val="18"/>
          <w:szCs w:val="18"/>
          <w:color w:val="auto"/>
        </w:rPr>
        <w:t>. No Company Employee Plan or Employee Agreement provides post-termination or retiree life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insurance, health or other employee welfare benefits to any person for any reason, except as may be required by COBRA or other applicable statute, and neither the Company nor any of its Subsidiaries has ever represented, promised or contracted (whether in oral or written form) to any Employee/Service Provider (either individually or to Employees/Service Providers as a group) or any other Person that such Employee(s)/Service Provider(s) or other Person would be provided with post-termination or retiree life insurance, health or other employee welfare benefits, except to the extent required by statute.</w:t>
      </w:r>
    </w:p>
    <w:p>
      <w:pPr>
        <w:spacing w:after="0" w:line="193" w:lineRule="exact"/>
        <w:rPr>
          <w:rFonts w:ascii="Arial" w:cs="Arial" w:eastAsia="Arial" w:hAnsi="Arial"/>
          <w:sz w:val="18"/>
          <w:szCs w:val="18"/>
          <w:color w:val="auto"/>
        </w:rPr>
      </w:pPr>
    </w:p>
    <w:p>
      <w:pPr>
        <w:ind w:left="400" w:right="120" w:firstLine="1290"/>
        <w:spacing w:after="0" w:line="287" w:lineRule="auto"/>
        <w:tabs>
          <w:tab w:leader="none" w:pos="2001" w:val="left"/>
        </w:tabs>
        <w:numPr>
          <w:ilvl w:val="0"/>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Labor</w:t>
      </w:r>
      <w:r>
        <w:rPr>
          <w:rFonts w:ascii="Arial" w:cs="Arial" w:eastAsia="Arial" w:hAnsi="Arial"/>
          <w:sz w:val="16"/>
          <w:szCs w:val="16"/>
          <w:color w:val="auto"/>
        </w:rPr>
        <w:t>. No work stoppage, slowdown, lockout or labor strike against the Company or any of its Subsidiaries is pending as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date of this Agreement, or to the Company’s Knowledge threatened nor has there been any such occurrence for the past three years. The Company has no Knowledge of any activities or proceedings of any labor union to organize any Employees/Service Providers. Except as would not reasonably be expected to result in a material liability or obligation, there are no actions, suits, claims, labor disputes or grievances pending or, to the Company’s Knowledge, threatened by or on behalf of any Employee/Service Provider against the Company or its Subsidiaries, including charges of unfair labor practices. Neither the Company nor any of its Subsidiaries is presently, nor has it been in the past, a party to, or bound by, any collective bargaining agreement or union contract with respect to Employees/Service Providers and no collective bargaining agreement is being negotiated by the Company or any of its Subsidiaries. Within the past year, neither the Company nor any of its Subsidiaries has incurred any liability or obligation under WARN or any similar state or local law that remains unsatisfied, and no terminations prior to the Closing Date shall result in unsatisfied liability or obligation under WARN or any similar state or local law. No Employee/Service Provider of the Company or any of its Subsidiaries has experienced an employment loss, as defined by the WARN Act or any similar applicable state or local law requiring notice to</w:t>
      </w:r>
    </w:p>
    <w:p>
      <w:pPr>
        <w:sectPr>
          <w:pgSz w:w="11900" w:h="16899" w:orient="portrait"/>
          <w:cols w:equalWidth="0" w:num="1">
            <w:col w:w="11400"/>
          </w:cols>
          <w:pgMar w:left="260" w:top="125" w:right="239" w:bottom="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employees in the event of a closing or layoff, within ninety days prior to the date of this Agreement.</w:t>
      </w:r>
    </w:p>
    <w:p>
      <w:pPr>
        <w:spacing w:after="0" w:line="221" w:lineRule="exact"/>
        <w:rPr>
          <w:sz w:val="20"/>
          <w:szCs w:val="20"/>
          <w:color w:val="auto"/>
        </w:rPr>
      </w:pPr>
    </w:p>
    <w:p>
      <w:pPr>
        <w:ind w:left="420" w:right="40" w:firstLine="1290"/>
        <w:spacing w:after="0" w:line="256" w:lineRule="auto"/>
        <w:tabs>
          <w:tab w:leader="none" w:pos="1964"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Works Council</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Section 2.16(n)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Company Disclosure Schedule sets forth a complete and accurate list of all foreign works’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councils to which the Company or any of its Subsidiaries are subject and the jurisdictions of each such works’ council or similar labor body and any collective bargaining agreement or other labor agreement to which employees of located outside the United States are subject. The consummation of the Merger and the other transactions contemplated by this Agreement will not entitle any third party (including any labor union or labor organization) to any payments under any collective bargaining agreement or any labor agreement or require the Company or any of its Subsidiaries to consult with any works’ council or similar labor relations body.</w:t>
      </w:r>
    </w:p>
    <w:p>
      <w:pPr>
        <w:spacing w:after="0" w:line="187" w:lineRule="exact"/>
        <w:rPr>
          <w:rFonts w:ascii="Arial" w:cs="Arial" w:eastAsia="Arial" w:hAnsi="Arial"/>
          <w:sz w:val="18"/>
          <w:szCs w:val="18"/>
          <w:color w:val="auto"/>
        </w:rPr>
      </w:pPr>
    </w:p>
    <w:p>
      <w:pPr>
        <w:ind w:left="420" w:right="20" w:firstLine="1290"/>
        <w:spacing w:after="0" w:line="292" w:lineRule="auto"/>
        <w:tabs>
          <w:tab w:leader="none" w:pos="1964" w:val="left"/>
        </w:tabs>
        <w:numPr>
          <w:ilvl w:val="0"/>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International Employee Plan</w:t>
      </w:r>
      <w:r>
        <w:rPr>
          <w:rFonts w:ascii="Arial" w:cs="Arial" w:eastAsia="Arial" w:hAnsi="Arial"/>
          <w:sz w:val="16"/>
          <w:szCs w:val="16"/>
          <w:color w:val="auto"/>
        </w:rPr>
        <w:t>. Except as (i) is required under any Legal Requirements or (ii) otherwise set forth in</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2.16(o)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of the Company Disclosure Schedule, the foregoing representations contained in </w:t>
      </w:r>
      <w:r>
        <w:rPr>
          <w:rFonts w:ascii="Arial" w:cs="Arial" w:eastAsia="Arial" w:hAnsi="Arial"/>
          <w:sz w:val="16"/>
          <w:szCs w:val="16"/>
          <w:b w:val="1"/>
          <w:bCs w:val="1"/>
          <w:color w:val="auto"/>
        </w:rPr>
        <w:t>Sections 2.16(d)</w:t>
      </w:r>
      <w:r>
        <w:rPr>
          <w:rFonts w:ascii="Arial" w:cs="Arial" w:eastAsia="Arial" w:hAnsi="Arial"/>
          <w:sz w:val="16"/>
          <w:szCs w:val="16"/>
          <w:color w:val="auto"/>
        </w:rPr>
        <w:t xml:space="preserve"> through </w:t>
      </w:r>
      <w:r>
        <w:rPr>
          <w:rFonts w:ascii="Arial" w:cs="Arial" w:eastAsia="Arial" w:hAnsi="Arial"/>
          <w:sz w:val="16"/>
          <w:szCs w:val="16"/>
          <w:b w:val="1"/>
          <w:bCs w:val="1"/>
          <w:color w:val="auto"/>
        </w:rPr>
        <w:t>2.16(n)</w:t>
      </w:r>
      <w:r>
        <w:rPr>
          <w:rFonts w:ascii="Arial" w:cs="Arial" w:eastAsia="Arial" w:hAnsi="Arial"/>
          <w:sz w:val="16"/>
          <w:szCs w:val="16"/>
          <w:color w:val="auto"/>
        </w:rPr>
        <w:t xml:space="preserve"> are accurate with respect to Employees/Service Providers located outside the United States and International Employee Plans, to the extent applicable. Each International Employee Plan has been established, maintained and administered in compliance with its terms and conditions in all material respects and in material compliance with the requirements prescribed by any and all statutory or regulatory laws that are applicable to such International Employee Plan. No International Employee Plan has unfunded liabilities, that as of the Effective Time, will not be offset by insurance or fully accrued. Except as required by law, no condition exists that would prevent the Company or Parent from terminating or amending any International Employee Plan at any time for any reason.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b w:val="1"/>
          <w:bCs w:val="1"/>
          <w:i w:val="1"/>
          <w:iCs w:val="1"/>
          <w:color w:val="auto"/>
        </w:rPr>
        <w:t>Contracts</w:t>
      </w:r>
      <w:r>
        <w:rPr>
          <w:rFonts w:ascii="Arial" w:cs="Arial" w:eastAsia="Arial" w:hAnsi="Arial"/>
          <w:sz w:val="18"/>
          <w:szCs w:val="18"/>
          <w:color w:val="auto"/>
        </w:rPr>
        <w:t>.</w:t>
      </w:r>
    </w:p>
    <w:p>
      <w:pPr>
        <w:spacing w:after="0" w:line="221" w:lineRule="exact"/>
        <w:rPr>
          <w:sz w:val="20"/>
          <w:szCs w:val="20"/>
          <w:color w:val="auto"/>
        </w:rPr>
      </w:pPr>
    </w:p>
    <w:p>
      <w:pPr>
        <w:ind w:left="420" w:right="240" w:firstLine="1290"/>
        <w:spacing w:after="0" w:line="282" w:lineRule="auto"/>
        <w:tabs>
          <w:tab w:leader="none" w:pos="1954"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Material Contracts</w:t>
      </w:r>
      <w:r>
        <w:rPr>
          <w:rFonts w:ascii="Arial" w:cs="Arial" w:eastAsia="Arial" w:hAnsi="Arial"/>
          <w:sz w:val="18"/>
          <w:szCs w:val="18"/>
          <w:color w:val="auto"/>
        </w:rPr>
        <w:t>. For purposes of this Agreement, “</w:t>
      </w:r>
      <w:r>
        <w:rPr>
          <w:rFonts w:ascii="Arial" w:cs="Arial" w:eastAsia="Arial" w:hAnsi="Arial"/>
          <w:sz w:val="18"/>
          <w:szCs w:val="18"/>
          <w:b w:val="1"/>
          <w:bCs w:val="1"/>
          <w:color w:val="auto"/>
        </w:rPr>
        <w:t>Company Material Contract</w:t>
      </w:r>
      <w:r>
        <w:rPr>
          <w:rFonts w:ascii="Arial" w:cs="Arial" w:eastAsia="Arial" w:hAnsi="Arial"/>
          <w:sz w:val="18"/>
          <w:szCs w:val="18"/>
          <w:color w:val="auto"/>
        </w:rPr>
        <w:t>” shall mean any of the following to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or any of its Subsidiaries is a party or by which it or its assets are bound:</w:t>
      </w:r>
    </w:p>
    <w:p>
      <w:pPr>
        <w:spacing w:after="0" w:line="165" w:lineRule="exact"/>
        <w:rPr>
          <w:rFonts w:ascii="Arial" w:cs="Arial" w:eastAsia="Arial" w:hAnsi="Arial"/>
          <w:sz w:val="18"/>
          <w:szCs w:val="18"/>
          <w:color w:val="auto"/>
        </w:rPr>
      </w:pPr>
    </w:p>
    <w:p>
      <w:pPr>
        <w:ind w:left="2600" w:hanging="323"/>
        <w:spacing w:after="0"/>
        <w:tabs>
          <w:tab w:leader="none" w:pos="2600" w:val="left"/>
        </w:tabs>
        <w:numPr>
          <w:ilvl w:val="1"/>
          <w:numId w:val="59"/>
        </w:numPr>
        <w:rPr>
          <w:rFonts w:ascii="Arial" w:cs="Arial" w:eastAsia="Arial" w:hAnsi="Arial"/>
          <w:sz w:val="17"/>
          <w:szCs w:val="17"/>
          <w:color w:val="auto"/>
        </w:rPr>
      </w:pPr>
      <w:r>
        <w:rPr>
          <w:rFonts w:ascii="Arial" w:cs="Arial" w:eastAsia="Arial" w:hAnsi="Arial"/>
          <w:sz w:val="17"/>
          <w:szCs w:val="17"/>
          <w:color w:val="auto"/>
        </w:rPr>
        <w:t>any “material contract” (as such term is defined in Item 601(b)(10) of Regulation S-K of the SEC) with respect to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 and its Subsidiaries;</w:t>
      </w:r>
    </w:p>
    <w:p>
      <w:pPr>
        <w:spacing w:after="0" w:line="210" w:lineRule="exact"/>
        <w:rPr>
          <w:rFonts w:ascii="Arial" w:cs="Arial" w:eastAsia="Arial" w:hAnsi="Arial"/>
          <w:sz w:val="17"/>
          <w:szCs w:val="17"/>
          <w:color w:val="auto"/>
        </w:rPr>
      </w:pPr>
    </w:p>
    <w:p>
      <w:pPr>
        <w:ind w:firstLine="2277"/>
        <w:spacing w:after="0" w:line="257" w:lineRule="auto"/>
        <w:tabs>
          <w:tab w:leader="none" w:pos="2603"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employment, contractor or consulting Contract with any executive officer or other Employee/Service Provider of the Company or any of its Subsidiaries providing for annual base salary in excess of $200,000 or member of the Company’s Board of Directors, other than those that are terminable by the Company or any of its Subsidiaries on no more than 30 days (or such longer period with respect to Employees who provide services outside of the United States) notice without liability or financial obligation to the Company or any of its Subsidiaries, or any collective bargaining agreement or contract with any labor union or other employee organization;</w:t>
      </w:r>
    </w:p>
    <w:p>
      <w:pPr>
        <w:spacing w:after="0" w:line="188" w:lineRule="exact"/>
        <w:rPr>
          <w:rFonts w:ascii="Arial" w:cs="Arial" w:eastAsia="Arial" w:hAnsi="Arial"/>
          <w:sz w:val="18"/>
          <w:szCs w:val="18"/>
          <w:color w:val="auto"/>
        </w:rPr>
      </w:pPr>
    </w:p>
    <w:p>
      <w:pPr>
        <w:ind w:right="300" w:firstLine="2277"/>
        <w:spacing w:after="0" w:line="277" w:lineRule="auto"/>
        <w:tabs>
          <w:tab w:leader="none" w:pos="2615"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Contract or plan, including, without limitation, any Company Employee Plan or Employee Agreement, any of the benefits of which will be increased, or the vesting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of benefits of which will be accelerated, by the occurrence of any of the transactions contemplated by this Agreement (either alone or upon the occurrence of additional or subsequent events) or the value of any of the benefits of which will be calculated on the basis of any of the transactions contemplated by this Agreement (either alone or upon the occurrence of additional or subsequent events);</w:t>
      </w:r>
    </w:p>
    <w:p>
      <w:pPr>
        <w:spacing w:after="0" w:line="181" w:lineRule="exact"/>
        <w:rPr>
          <w:sz w:val="20"/>
          <w:szCs w:val="20"/>
          <w:color w:val="auto"/>
        </w:rPr>
      </w:pPr>
    </w:p>
    <w:p>
      <w:pPr>
        <w:ind w:right="800" w:firstLine="2277"/>
        <w:spacing w:after="0" w:line="308" w:lineRule="auto"/>
        <w:tabs>
          <w:tab w:leader="none" w:pos="2605" w:val="left"/>
        </w:tabs>
        <w:numPr>
          <w:ilvl w:val="0"/>
          <w:numId w:val="60"/>
        </w:numPr>
        <w:rPr>
          <w:rFonts w:ascii="Arial" w:cs="Arial" w:eastAsia="Arial" w:hAnsi="Arial"/>
          <w:sz w:val="17"/>
          <w:szCs w:val="17"/>
          <w:color w:val="auto"/>
        </w:rPr>
      </w:pPr>
      <w:r>
        <w:rPr>
          <w:rFonts w:ascii="Arial" w:cs="Arial" w:eastAsia="Arial" w:hAnsi="Arial"/>
          <w:sz w:val="17"/>
          <w:szCs w:val="17"/>
          <w:color w:val="auto"/>
        </w:rPr>
        <w:t>any agreement of indemnification or any guaranty (other than any agreement of indemnification entered into in connection with the sale, license, maintenance, support or service of Company Products in the ordinary course of business);</w:t>
      </w:r>
    </w:p>
    <w:p>
      <w:pPr>
        <w:spacing w:after="0" w:line="146" w:lineRule="exact"/>
        <w:rPr>
          <w:rFonts w:ascii="Arial" w:cs="Arial" w:eastAsia="Arial" w:hAnsi="Arial"/>
          <w:sz w:val="17"/>
          <w:szCs w:val="17"/>
          <w:color w:val="auto"/>
        </w:rPr>
      </w:pPr>
    </w:p>
    <w:p>
      <w:pPr>
        <w:ind w:right="420" w:firstLine="2277"/>
        <w:spacing w:after="0" w:line="342" w:lineRule="auto"/>
        <w:tabs>
          <w:tab w:leader="none" w:pos="2593" w:val="left"/>
        </w:tabs>
        <w:numPr>
          <w:ilvl w:val="0"/>
          <w:numId w:val="60"/>
        </w:numPr>
        <w:rPr>
          <w:rFonts w:ascii="Arial" w:cs="Arial" w:eastAsia="Arial" w:hAnsi="Arial"/>
          <w:sz w:val="16"/>
          <w:szCs w:val="16"/>
          <w:color w:val="auto"/>
        </w:rPr>
      </w:pPr>
      <w:r>
        <w:rPr>
          <w:rFonts w:ascii="Arial" w:cs="Arial" w:eastAsia="Arial" w:hAnsi="Arial"/>
          <w:sz w:val="16"/>
          <w:szCs w:val="16"/>
          <w:color w:val="auto"/>
        </w:rPr>
        <w:t>any Contract relating to the disposition or acquisition by the Company or any of its Subsidiaries of assets for consideration in excess of $500,000 or any interest in any other Person or business enterprise, in each case, other than in the ordinary course of business;</w:t>
      </w:r>
    </w:p>
    <w:p>
      <w:pPr>
        <w:spacing w:after="0" w:line="123" w:lineRule="exact"/>
        <w:rPr>
          <w:rFonts w:ascii="Arial" w:cs="Arial" w:eastAsia="Arial" w:hAnsi="Arial"/>
          <w:sz w:val="16"/>
          <w:szCs w:val="16"/>
          <w:color w:val="auto"/>
        </w:rPr>
      </w:pPr>
    </w:p>
    <w:p>
      <w:pPr>
        <w:ind w:left="2620" w:hanging="343"/>
        <w:spacing w:after="0"/>
        <w:tabs>
          <w:tab w:leader="none" w:pos="2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material Lease Document;</w:t>
      </w:r>
    </w:p>
    <w:p>
      <w:pPr>
        <w:spacing w:after="0" w:line="225" w:lineRule="exact"/>
        <w:rPr>
          <w:rFonts w:ascii="Arial" w:cs="Arial" w:eastAsia="Arial" w:hAnsi="Arial"/>
          <w:sz w:val="18"/>
          <w:szCs w:val="18"/>
          <w:color w:val="auto"/>
        </w:rPr>
      </w:pPr>
    </w:p>
    <w:p>
      <w:pPr>
        <w:ind w:right="140" w:firstLine="2277"/>
        <w:spacing w:after="0" w:line="342" w:lineRule="auto"/>
        <w:tabs>
          <w:tab w:leader="none" w:pos="2617" w:val="left"/>
        </w:tabs>
        <w:numPr>
          <w:ilvl w:val="0"/>
          <w:numId w:val="60"/>
        </w:numPr>
        <w:rPr>
          <w:rFonts w:ascii="Arial" w:cs="Arial" w:eastAsia="Arial" w:hAnsi="Arial"/>
          <w:sz w:val="16"/>
          <w:szCs w:val="16"/>
          <w:color w:val="auto"/>
        </w:rPr>
      </w:pPr>
      <w:r>
        <w:rPr>
          <w:rFonts w:ascii="Arial" w:cs="Arial" w:eastAsia="Arial" w:hAnsi="Arial"/>
          <w:sz w:val="16"/>
          <w:szCs w:val="16"/>
          <w:color w:val="auto"/>
        </w:rPr>
        <w:t>any mortgages, indentures, guarantees, loans or credit agreements, security agreements or other Contracts relating to the borrowing of money or extension of credit in excess of $250,000, other than accounts receivable and payable in the ordinary course of business;</w:t>
      </w:r>
    </w:p>
    <w:p>
      <w:pPr>
        <w:spacing w:after="0" w:line="123" w:lineRule="exact"/>
        <w:rPr>
          <w:rFonts w:ascii="Arial" w:cs="Arial" w:eastAsia="Arial" w:hAnsi="Arial"/>
          <w:sz w:val="16"/>
          <w:szCs w:val="16"/>
          <w:color w:val="auto"/>
        </w:rPr>
      </w:pPr>
    </w:p>
    <w:p>
      <w:pPr>
        <w:ind w:right="60" w:firstLine="2277"/>
        <w:spacing w:after="0" w:line="264" w:lineRule="auto"/>
        <w:tabs>
          <w:tab w:leader="none" w:pos="2674"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Contract containing any material support, maintenance or service obligations on the part of the Company or any of its Subsidiaries, other than those obligations that are terminable by the Company or any of its Subsidiaries on no more than 30 days notice without liability or financial obligation to the Company or its Subsidiaries;</w:t>
      </w:r>
    </w:p>
    <w:p>
      <w:pPr>
        <w:spacing w:after="0" w:line="181" w:lineRule="exact"/>
        <w:rPr>
          <w:rFonts w:ascii="Arial" w:cs="Arial" w:eastAsia="Arial" w:hAnsi="Arial"/>
          <w:sz w:val="18"/>
          <w:szCs w:val="18"/>
          <w:color w:val="auto"/>
        </w:rPr>
      </w:pPr>
    </w:p>
    <w:p>
      <w:pPr>
        <w:ind w:left="2660" w:hanging="383"/>
        <w:spacing w:after="0"/>
        <w:tabs>
          <w:tab w:leader="none" w:pos="2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any settlement agreement which contains continuing material obligations of the Company or any of its Subsidiaries;</w:t>
      </w:r>
    </w:p>
    <w:p>
      <w:pPr>
        <w:spacing w:after="0" w:line="236" w:lineRule="exact"/>
        <w:rPr>
          <w:rFonts w:ascii="Arial" w:cs="Arial" w:eastAsia="Arial" w:hAnsi="Arial"/>
          <w:sz w:val="17"/>
          <w:szCs w:val="17"/>
          <w:color w:val="auto"/>
        </w:rPr>
      </w:pPr>
    </w:p>
    <w:p>
      <w:pPr>
        <w:ind w:right="60" w:firstLine="2277"/>
        <w:spacing w:after="0" w:line="297" w:lineRule="auto"/>
        <w:tabs>
          <w:tab w:leader="none" w:pos="2632" w:val="left"/>
        </w:tabs>
        <w:numPr>
          <w:ilvl w:val="0"/>
          <w:numId w:val="60"/>
        </w:numPr>
        <w:rPr>
          <w:rFonts w:ascii="Arial" w:cs="Arial" w:eastAsia="Arial" w:hAnsi="Arial"/>
          <w:sz w:val="16"/>
          <w:szCs w:val="16"/>
          <w:color w:val="auto"/>
        </w:rPr>
      </w:pPr>
      <w:r>
        <w:rPr>
          <w:rFonts w:ascii="Arial" w:cs="Arial" w:eastAsia="Arial" w:hAnsi="Arial"/>
          <w:sz w:val="16"/>
          <w:szCs w:val="16"/>
          <w:color w:val="auto"/>
        </w:rPr>
        <w:t>any dealer, distributor, joint marketing or development agreement under which the Company or any of its Subsidiaries have continuing material obligations to jointly market any product, technology or service and which may not be canceled without penalty to the Company or any of its Subsidiaries upon notice of 30 days or less, or any material agreement pursuant to which the Company or any of its Subsidiaries have continuing material obligations to jointly develop any Intellectual Property or Intellectual Property Rights that will not be owned, in whole or in part, by the Company or any of its Subsidiaries and which may not be terminated without penalty to the Company or any of its Subsidiaries upon notice of 30 days or less;</w:t>
      </w:r>
    </w:p>
    <w:p>
      <w:pPr>
        <w:spacing w:after="0" w:line="154" w:lineRule="exact"/>
        <w:rPr>
          <w:rFonts w:ascii="Arial" w:cs="Arial" w:eastAsia="Arial" w:hAnsi="Arial"/>
          <w:sz w:val="16"/>
          <w:szCs w:val="16"/>
          <w:color w:val="auto"/>
        </w:rPr>
      </w:pPr>
    </w:p>
    <w:p>
      <w:pPr>
        <w:ind w:left="2660" w:hanging="383"/>
        <w:spacing w:after="0"/>
        <w:tabs>
          <w:tab w:leader="none" w:pos="2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any Contract required to be disclosed in </w:t>
      </w:r>
      <w:r>
        <w:rPr>
          <w:rFonts w:ascii="Arial" w:cs="Arial" w:eastAsia="Arial" w:hAnsi="Arial"/>
          <w:sz w:val="16"/>
          <w:szCs w:val="16"/>
          <w:b w:val="1"/>
          <w:bCs w:val="1"/>
          <w:color w:val="auto"/>
        </w:rPr>
        <w:t>Section 2.8</w:t>
      </w:r>
      <w:r>
        <w:rPr>
          <w:rFonts w:ascii="Arial" w:cs="Arial" w:eastAsia="Arial" w:hAnsi="Arial"/>
          <w:sz w:val="16"/>
          <w:szCs w:val="16"/>
          <w:color w:val="auto"/>
        </w:rPr>
        <w:t xml:space="preserve"> of the Company Disclosure Schedule or any subsection thereof;</w:t>
      </w:r>
    </w:p>
    <w:p>
      <w:pPr>
        <w:spacing w:after="0" w:line="252" w:lineRule="exact"/>
        <w:rPr>
          <w:rFonts w:ascii="Arial" w:cs="Arial" w:eastAsia="Arial" w:hAnsi="Arial"/>
          <w:sz w:val="16"/>
          <w:szCs w:val="16"/>
          <w:color w:val="auto"/>
        </w:rPr>
      </w:pPr>
    </w:p>
    <w:p>
      <w:pPr>
        <w:ind w:right="320" w:firstLine="2277"/>
        <w:spacing w:after="0" w:line="277" w:lineRule="auto"/>
        <w:tabs>
          <w:tab w:leader="none" w:pos="2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Contract, or group of Contracts with a Person (or group of affiliated Persons), the termination or breach of which would reasonably be expected to have a Material Adverse Effect on the Company; or</w:t>
      </w:r>
    </w:p>
    <w:p>
      <w:pPr>
        <w:sectPr>
          <w:pgSz w:w="11900" w:h="16838" w:orient="portrait"/>
          <w:cols w:equalWidth="0" w:num="1">
            <w:col w:w="11420"/>
          </w:cols>
          <w:pgMar w:left="240" w:top="341" w:right="239" w:bottom="4" w:gutter="0" w:footer="0" w:header="0"/>
        </w:sectPr>
      </w:pPr>
    </w:p>
    <w:bookmarkStart w:id="24" w:name="page25"/>
    <w:bookmarkEnd w:id="24"/>
    <w:p>
      <w:pPr>
        <w:ind w:right="180" w:firstLine="2277"/>
        <w:spacing w:after="0" w:line="277" w:lineRule="auto"/>
        <w:tabs>
          <w:tab w:leader="none" w:pos="2719"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Contract imposing payment obligations on the Company that by its terms will not terminate within twelve months from the date hereof and involves a payment by the Company in excess of $1,000,000 in any single year.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20" w:right="40" w:firstLine="1290"/>
        <w:spacing w:after="0" w:line="266" w:lineRule="auto"/>
        <w:tabs>
          <w:tab w:leader="none" w:pos="1964"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Schedule</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Section 2.17(b)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Company Disclosure Schedule sets forth a list of all Company Material Contracts to which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or any of its Subsidiaries is a party or by which the Company or any of its Subsidiaries is bound or by which any of their respective properties is bound or affected as of the date hereof.</w:t>
      </w:r>
    </w:p>
    <w:p>
      <w:pPr>
        <w:spacing w:after="0" w:line="180" w:lineRule="exact"/>
        <w:rPr>
          <w:rFonts w:ascii="Arial" w:cs="Arial" w:eastAsia="Arial" w:hAnsi="Arial"/>
          <w:sz w:val="18"/>
          <w:szCs w:val="18"/>
          <w:color w:val="auto"/>
        </w:rPr>
      </w:pPr>
    </w:p>
    <w:p>
      <w:pPr>
        <w:ind w:left="420" w:firstLine="1290"/>
        <w:spacing w:after="0" w:line="273" w:lineRule="auto"/>
        <w:tabs>
          <w:tab w:leader="none" w:pos="1954" w:val="left"/>
        </w:tabs>
        <w:numPr>
          <w:ilvl w:val="0"/>
          <w:numId w:val="62"/>
        </w:numPr>
        <w:rPr>
          <w:rFonts w:ascii="Arial" w:cs="Arial" w:eastAsia="Arial" w:hAnsi="Arial"/>
          <w:sz w:val="17"/>
          <w:szCs w:val="17"/>
          <w:color w:val="auto"/>
        </w:rPr>
      </w:pPr>
      <w:r>
        <w:rPr>
          <w:rFonts w:ascii="Arial" w:cs="Arial" w:eastAsia="Arial" w:hAnsi="Arial"/>
          <w:sz w:val="17"/>
          <w:szCs w:val="17"/>
          <w:b w:val="1"/>
          <w:bCs w:val="1"/>
          <w:i w:val="1"/>
          <w:iCs w:val="1"/>
          <w:color w:val="auto"/>
        </w:rPr>
        <w:t>No Breach</w:t>
      </w:r>
      <w:r>
        <w:rPr>
          <w:rFonts w:ascii="Arial" w:cs="Arial" w:eastAsia="Arial" w:hAnsi="Arial"/>
          <w:sz w:val="17"/>
          <w:szCs w:val="17"/>
          <w:color w:val="auto"/>
        </w:rPr>
        <w:t>. All Company Material Contracts are valid and in full force and effect except to the extent they have previously expired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accordance with their terms or if the failure to be in full force and effect, individually or in the aggregate, would not reasonably be expected to be material to the Company and its Subsidiaries, taken as a whole. Neither the Company nor any of its Subsidiaries have violated any provision of, or committed or failed to perform any act which, with or without notice, lapse of time or both would constitute a default under the provisions of, any Company Material Contract, except in each case for those violations and defaults which, individually or in the aggregate, would not reasonably be expected to be material to the Company and its Subsidiaries, taken as a whole.</w:t>
      </w:r>
    </w:p>
    <w:p>
      <w:pPr>
        <w:spacing w:after="0" w:line="174"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 xml:space="preserve">2.18 </w:t>
      </w:r>
      <w:r>
        <w:rPr>
          <w:rFonts w:ascii="Arial" w:cs="Arial" w:eastAsia="Arial" w:hAnsi="Arial"/>
          <w:sz w:val="17"/>
          <w:szCs w:val="17"/>
          <w:b w:val="1"/>
          <w:bCs w:val="1"/>
          <w:i w:val="1"/>
          <w:iCs w:val="1"/>
          <w:color w:val="auto"/>
        </w:rPr>
        <w:t>Insurance</w:t>
      </w:r>
      <w:r>
        <w:rPr>
          <w:rFonts w:ascii="Arial" w:cs="Arial" w:eastAsia="Arial" w:hAnsi="Arial"/>
          <w:sz w:val="17"/>
          <w:szCs w:val="17"/>
          <w:color w:val="auto"/>
        </w:rPr>
        <w:t xml:space="preserve">. </w:t>
      </w:r>
      <w:r>
        <w:rPr>
          <w:rFonts w:ascii="Arial" w:cs="Arial" w:eastAsia="Arial" w:hAnsi="Arial"/>
          <w:sz w:val="17"/>
          <w:szCs w:val="17"/>
          <w:b w:val="1"/>
          <w:bCs w:val="1"/>
          <w:color w:val="auto"/>
        </w:rPr>
        <w:t>Section 2.18</w:t>
      </w:r>
      <w:r>
        <w:rPr>
          <w:rFonts w:ascii="Arial" w:cs="Arial" w:eastAsia="Arial" w:hAnsi="Arial"/>
          <w:sz w:val="17"/>
          <w:szCs w:val="17"/>
          <w:color w:val="auto"/>
        </w:rPr>
        <w:t xml:space="preserve"> of the Company Disclosure Schedule sets forth a list of all insurance policies and fidelity bonds carried by the Company or any of its subsidiaries involving annual premiums in excess of $50,000 and the amounts of coverage provided, and premiums payable, thereunder. Such policies and bonds are written by insurers of recognized financial responsibility against such risks and losses and in such amounts as is reasonably sufficient for the conduct of the business of the Company and its Subsidiaries, including to cover the replacement cost of the fixed assets used in the Company’s and its Subsidiaries’ businesses. There is no material claim pending under any of such policies or bonds as to which coverage has been denied or disputed by the underwriters of such policies or bonds. All premiums due and payable under all such policies have been paid and the Company and its Subsidiaries are otherwise in compliance in all material respects with the terms of such policies and bonds. To the Knowledge of the Company, there has been no threatened termination of, or material premium increase with respect to, any of such policies.</w:t>
      </w:r>
    </w:p>
    <w:p>
      <w:pPr>
        <w:spacing w:after="0" w:line="176"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 xml:space="preserve">2.19 </w:t>
      </w:r>
      <w:r>
        <w:rPr>
          <w:rFonts w:ascii="Arial" w:cs="Arial" w:eastAsia="Arial" w:hAnsi="Arial"/>
          <w:sz w:val="16"/>
          <w:szCs w:val="16"/>
          <w:b w:val="1"/>
          <w:bCs w:val="1"/>
          <w:i w:val="1"/>
          <w:iCs w:val="1"/>
          <w:color w:val="auto"/>
        </w:rPr>
        <w:t>Export Control Laws</w:t>
      </w:r>
      <w:r>
        <w:rPr>
          <w:rFonts w:ascii="Arial" w:cs="Arial" w:eastAsia="Arial" w:hAnsi="Arial"/>
          <w:sz w:val="16"/>
          <w:szCs w:val="16"/>
          <w:color w:val="auto"/>
        </w:rPr>
        <w:t>. The Company and each of its Subsidiaries have at all times conducted their export transactions materially in accordance with (i) all applicable U.S. export and re-export controls, including the United States Export Administration Act and Regulations and Foreign Assets Control Regulations and (ii) all other applicable import/export controls in other countries in which the Company conducts business. Without limiting the foregoing:</w:t>
      </w:r>
    </w:p>
    <w:p>
      <w:pPr>
        <w:spacing w:after="0" w:line="147" w:lineRule="exact"/>
        <w:rPr>
          <w:sz w:val="20"/>
          <w:szCs w:val="20"/>
          <w:color w:val="auto"/>
        </w:rPr>
      </w:pPr>
    </w:p>
    <w:p>
      <w:pPr>
        <w:ind w:left="420" w:right="460" w:firstLine="1290"/>
        <w:spacing w:after="0" w:line="279" w:lineRule="auto"/>
        <w:tabs>
          <w:tab w:leader="none" w:pos="1954"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Company and each of its Subsidiaries have obtained, and are in material compliance with, all export licenses, license exceptions and other consents, notices, waivers, approvals, orders, authorizations, registrations, declarations, classifications and filings with any Governmental Entity required for (i) the export and re-export of products, services, software and technologies and (ii) releases of technologies and software to foreign nationals located in the United States and abroad (“</w:t>
      </w:r>
      <w:r>
        <w:rPr>
          <w:rFonts w:ascii="Arial" w:cs="Arial" w:eastAsia="Arial" w:hAnsi="Arial"/>
          <w:sz w:val="17"/>
          <w:szCs w:val="17"/>
          <w:b w:val="1"/>
          <w:bCs w:val="1"/>
          <w:color w:val="auto"/>
        </w:rPr>
        <w:t>Export Approvals</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left="420" w:right="160" w:firstLine="1290"/>
        <w:spacing w:after="0" w:line="277" w:lineRule="auto"/>
        <w:tabs>
          <w:tab w:leader="none" w:pos="1964"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There are no pending or, to the Company’s Knowledge, threatened claims against the Company or any Subsidiary with respect to such Export Approvals;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20" w:right="40" w:firstLine="1290"/>
        <w:spacing w:after="0" w:line="277" w:lineRule="auto"/>
        <w:tabs>
          <w:tab w:leader="none" w:pos="1954"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the Company’s Knowledge, as of the date hereof, there are no actions, conditions or circumstances pertaining to the Company’s or any Subsidiary’s export transactions that have given rise to any material claims; and</w:t>
      </w:r>
    </w:p>
    <w:p>
      <w:pPr>
        <w:spacing w:after="0" w:line="170" w:lineRule="exact"/>
        <w:rPr>
          <w:rFonts w:ascii="Arial" w:cs="Arial" w:eastAsia="Arial" w:hAnsi="Arial"/>
          <w:sz w:val="18"/>
          <w:szCs w:val="18"/>
          <w:color w:val="auto"/>
        </w:rPr>
      </w:pPr>
    </w:p>
    <w:p>
      <w:pPr>
        <w:ind w:left="1960" w:hanging="250"/>
        <w:spacing w:after="0"/>
        <w:tabs>
          <w:tab w:leader="none" w:pos="1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 Export Approvals for the transfer of material export licenses to Parent or the Surviving Corporation are required.</w:t>
      </w:r>
    </w:p>
    <w:p>
      <w:pPr>
        <w:spacing w:after="0" w:line="22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 xml:space="preserve">2.20 </w:t>
      </w:r>
      <w:r>
        <w:rPr>
          <w:rFonts w:ascii="Arial" w:cs="Arial" w:eastAsia="Arial" w:hAnsi="Arial"/>
          <w:sz w:val="16"/>
          <w:szCs w:val="16"/>
          <w:b w:val="1"/>
          <w:bCs w:val="1"/>
          <w:i w:val="1"/>
          <w:iCs w:val="1"/>
          <w:color w:val="auto"/>
        </w:rPr>
        <w:t>Foreign Corrupt Practices Act</w:t>
      </w:r>
      <w:r>
        <w:rPr>
          <w:rFonts w:ascii="Arial" w:cs="Arial" w:eastAsia="Arial" w:hAnsi="Arial"/>
          <w:sz w:val="16"/>
          <w:szCs w:val="16"/>
          <w:color w:val="auto"/>
        </w:rPr>
        <w:t>. To the Company’s Knowledge, neither the Company nor any of its Subsidiaries (including any of their officers, directors, agents, distributors, employees or other Person acting on behalf of the Company or its Subsidiaries) have, directly or indirectly, taken any action which would cause them to be in violation of the Foreign Corrupt Practices Act of 1977, as amended, or any rules or regulations thereunder or any similar anti-corruption or anti-bribery Legal Requirements applicable to the Company or any of its Subsidiaries in any jurisdiction other than the United States (collectively, the “</w:t>
      </w:r>
      <w:r>
        <w:rPr>
          <w:rFonts w:ascii="Arial" w:cs="Arial" w:eastAsia="Arial" w:hAnsi="Arial"/>
          <w:sz w:val="16"/>
          <w:szCs w:val="16"/>
          <w:b w:val="1"/>
          <w:bCs w:val="1"/>
          <w:color w:val="auto"/>
        </w:rPr>
        <w:t>FCPA</w:t>
      </w:r>
      <w:r>
        <w:rPr>
          <w:rFonts w:ascii="Arial" w:cs="Arial" w:eastAsia="Arial" w:hAnsi="Arial"/>
          <w:sz w:val="16"/>
          <w:szCs w:val="16"/>
          <w:color w:val="auto"/>
        </w:rPr>
        <w:t>”), or, to the Company’s Knowledge, used any corporate funds for unlawful contributions, gifts, entertainment or other unlawful expenses relating to political activity, made, offered or authorized any unlawful payment to foreign or domestic government officials or employees, whether directly or indirectly, or made, offered or authorized any unlawful bribe, rebate, payoff, influence payment, kickback or other similar unlawful payment, whether directly or indirectly. The Company has established reasonable internal controls and procedures intended to ensure compliance with the FCPA.</w:t>
      </w:r>
    </w:p>
    <w:p>
      <w:pPr>
        <w:spacing w:after="0" w:line="166"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b w:val="1"/>
          <w:bCs w:val="1"/>
          <w:i w:val="1"/>
          <w:iCs w:val="1"/>
          <w:color w:val="auto"/>
        </w:rPr>
        <w:t>Information in Registration Statement and Prospectus/Proxy Statement</w:t>
      </w:r>
      <w:r>
        <w:rPr>
          <w:rFonts w:ascii="Arial" w:cs="Arial" w:eastAsia="Arial" w:hAnsi="Arial"/>
          <w:sz w:val="16"/>
          <w:szCs w:val="16"/>
          <w:color w:val="auto"/>
        </w:rPr>
        <w:t>. None of the information supplied or to be supplied by or on behalf of the Company for inclusion or incorporation by reference in the registration statement on Form S-4 (or similar successor form) to be filed with the SEC by Parent in connection with the issuance of Parent Common Stock in the Merger (including amendments or supplements thereto) (the “</w:t>
      </w:r>
      <w:r>
        <w:rPr>
          <w:rFonts w:ascii="Arial" w:cs="Arial" w:eastAsia="Arial" w:hAnsi="Arial"/>
          <w:sz w:val="16"/>
          <w:szCs w:val="16"/>
          <w:b w:val="1"/>
          <w:bCs w:val="1"/>
          <w:color w:val="auto"/>
        </w:rPr>
        <w:t>Registration</w:t>
      </w:r>
      <w:r>
        <w:rPr>
          <w:rFonts w:ascii="Arial" w:cs="Arial" w:eastAsia="Arial" w:hAnsi="Arial"/>
          <w:sz w:val="16"/>
          <w:szCs w:val="16"/>
          <w:color w:val="auto"/>
        </w:rPr>
        <w:t xml:space="preserve"> </w:t>
      </w:r>
      <w:r>
        <w:rPr>
          <w:rFonts w:ascii="Arial" w:cs="Arial" w:eastAsia="Arial" w:hAnsi="Arial"/>
          <w:sz w:val="16"/>
          <w:szCs w:val="16"/>
          <w:b w:val="1"/>
          <w:bCs w:val="1"/>
          <w:color w:val="auto"/>
        </w:rPr>
        <w:t>Statement</w:t>
      </w:r>
      <w:r>
        <w:rPr>
          <w:rFonts w:ascii="Arial" w:cs="Arial" w:eastAsia="Arial" w:hAnsi="Arial"/>
          <w:sz w:val="16"/>
          <w:szCs w:val="16"/>
          <w:color w:val="auto"/>
        </w:rPr>
        <w:t>”) will, at the time the Registration Statement becomes effective under the Securities Act, contain any untrue statement of a material fact or omit to</w:t>
      </w:r>
      <w:r>
        <w:rPr>
          <w:rFonts w:ascii="Arial" w:cs="Arial" w:eastAsia="Arial" w:hAnsi="Arial"/>
          <w:sz w:val="16"/>
          <w:szCs w:val="16"/>
          <w:b w:val="1"/>
          <w:bCs w:val="1"/>
          <w:color w:val="auto"/>
        </w:rPr>
        <w:t xml:space="preserve"> </w:t>
      </w:r>
      <w:r>
        <w:rPr>
          <w:rFonts w:ascii="Arial" w:cs="Arial" w:eastAsia="Arial" w:hAnsi="Arial"/>
          <w:sz w:val="16"/>
          <w:szCs w:val="16"/>
          <w:color w:val="auto"/>
        </w:rPr>
        <w:t>state any material fact required to be stated therein or necessary in order to make the statements therein, in the light of the circumstances under which they are made, not misleading. None of the information supplied or to be supplied by or on behalf of the Company for inclusion or incorporation by reference in the Prospectus/Proxy Statement to be filed with the SEC as part of the Registration Statement (the “</w:t>
      </w:r>
      <w:r>
        <w:rPr>
          <w:rFonts w:ascii="Arial" w:cs="Arial" w:eastAsia="Arial" w:hAnsi="Arial"/>
          <w:sz w:val="16"/>
          <w:szCs w:val="16"/>
          <w:b w:val="1"/>
          <w:bCs w:val="1"/>
          <w:color w:val="auto"/>
        </w:rPr>
        <w:t>Prospectus/Proxy Statemen</w:t>
      </w:r>
      <w:r>
        <w:rPr>
          <w:rFonts w:ascii="Arial" w:cs="Arial" w:eastAsia="Arial" w:hAnsi="Arial"/>
          <w:sz w:val="16"/>
          <w:szCs w:val="16"/>
          <w:color w:val="auto"/>
        </w:rPr>
        <w:t>t”), will, at the time the Prospectus/Proxy Statement is mailed to the stockholders of the Company or at the time of the Stockholders’ Meeting or as of the Closing, contain any untrue statement of a material fact or omit to state any material fact required to be stated therein or necessary in order to make the statements therein, in the light of the circumstances under which they are made, not misleading. The Prospectus/Proxy Statement will comply as to form in all material respects with the provisions of the Exchange Act and the rules and regulations promulgated by the SEC thereunder. Notwithstanding the foregoing, no representation or warranty is made by the Company with respect to statements made or incorporated by reference therein about Parent or Merger Sub supplied by Parent or Merger Sub for inclusion or incorporation by reference in the Registration Statement or the Prospectus/Proxy Statement.</w:t>
      </w:r>
    </w:p>
    <w:p>
      <w:pPr>
        <w:spacing w:after="0" w:line="175" w:lineRule="exact"/>
        <w:rPr>
          <w:sz w:val="20"/>
          <w:szCs w:val="20"/>
          <w:color w:val="auto"/>
        </w:rPr>
      </w:pPr>
    </w:p>
    <w:p>
      <w:pPr>
        <w:ind w:right="640" w:firstLine="648"/>
        <w:spacing w:after="0" w:line="342" w:lineRule="auto"/>
        <w:rPr>
          <w:sz w:val="20"/>
          <w:szCs w:val="20"/>
          <w:color w:val="auto"/>
        </w:rPr>
      </w:pPr>
      <w:r>
        <w:rPr>
          <w:rFonts w:ascii="Arial" w:cs="Arial" w:eastAsia="Arial" w:hAnsi="Arial"/>
          <w:sz w:val="16"/>
          <w:szCs w:val="16"/>
          <w:color w:val="auto"/>
        </w:rPr>
        <w:t xml:space="preserve">2.22 </w:t>
      </w:r>
      <w:r>
        <w:rPr>
          <w:rFonts w:ascii="Arial" w:cs="Arial" w:eastAsia="Arial" w:hAnsi="Arial"/>
          <w:sz w:val="16"/>
          <w:szCs w:val="16"/>
          <w:b w:val="1"/>
          <w:bCs w:val="1"/>
          <w:i w:val="1"/>
          <w:iCs w:val="1"/>
          <w:color w:val="auto"/>
        </w:rPr>
        <w:t>Fairness Opinion</w:t>
      </w:r>
      <w:r>
        <w:rPr>
          <w:rFonts w:ascii="Arial" w:cs="Arial" w:eastAsia="Arial" w:hAnsi="Arial"/>
          <w:sz w:val="16"/>
          <w:szCs w:val="16"/>
          <w:color w:val="auto"/>
        </w:rPr>
        <w:t>. The Company has received the opinion of Deutsche Bank as of March 7, 2006, to the effect that, as of such date, the Exchange Ratio is fair to the Company’s stockholders from a financial point of view and will deliver to Parent a copy of such opinion as soon as</w:t>
      </w:r>
    </w:p>
    <w:p>
      <w:pPr>
        <w:sectPr>
          <w:pgSz w:w="11900" w:h="16838" w:orient="portrait"/>
          <w:cols w:equalWidth="0" w:num="1">
            <w:col w:w="11420"/>
          </w:cols>
          <w:pgMar w:left="240" w:top="125" w:right="239" w:bottom="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25" w:name="page26"/>
    <w:bookmarkEnd w:id="25"/>
    <w:p>
      <w:pPr>
        <w:ind w:right="540"/>
        <w:spacing w:after="0" w:line="277" w:lineRule="auto"/>
        <w:rPr>
          <w:sz w:val="20"/>
          <w:szCs w:val="20"/>
          <w:color w:val="auto"/>
        </w:rPr>
      </w:pPr>
      <w:r>
        <w:rPr>
          <w:rFonts w:ascii="Arial" w:cs="Arial" w:eastAsia="Arial" w:hAnsi="Arial"/>
          <w:sz w:val="18"/>
          <w:szCs w:val="18"/>
          <w:color w:val="auto"/>
        </w:rPr>
        <w:t>practicable after a written copy thereof is executed. The Company has been authorized by Deutsche Bank to permit the inclusion of such opinion in its entirety in the Registration Statement and the Prospectus/Proxy Statement.</w:t>
      </w:r>
    </w:p>
    <w:p>
      <w:pPr>
        <w:spacing w:after="0" w:line="170"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b w:val="1"/>
          <w:bCs w:val="1"/>
          <w:i w:val="1"/>
          <w:iCs w:val="1"/>
          <w:color w:val="auto"/>
        </w:rPr>
        <w:t>Takeover Statutes and Rights Plans</w:t>
      </w:r>
      <w:r>
        <w:rPr>
          <w:rFonts w:ascii="Arial" w:cs="Arial" w:eastAsia="Arial" w:hAnsi="Arial"/>
          <w:sz w:val="18"/>
          <w:szCs w:val="18"/>
          <w:color w:val="auto"/>
        </w:rPr>
        <w:t>. The Board of Directors of the Company has taken all actions so that the restrictions contained in Section 203 of Delaware Law applicable to a “business combination” (as defined in such Section 203), and any other similar Legal Requirements, will not apply to Parent, including the execution, delivery or performance of this Agreement and the consummation of the Merger and the other transactions contemplated hereby.</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REPRESENTATIONS AND WARRANTIES OF PARENT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MERGER SUB</w:t>
      </w:r>
    </w:p>
    <w:p>
      <w:pPr>
        <w:spacing w:after="0" w:line="21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Parent and Merger Sub represent and warrant to the Company, subject to the exceptions specifically disclosed in writing in the disclosure schedule (referencing the appropriate section or subsection;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information set forth in one section of the disclosure schedule shall be deemed to apply to each other section or subsection thereof to which its relevance is reasonably apparent on its face) supplied by Parent to the Company dated as of the date hereof (the “</w:t>
      </w:r>
      <w:r>
        <w:rPr>
          <w:rFonts w:ascii="Arial" w:cs="Arial" w:eastAsia="Arial" w:hAnsi="Arial"/>
          <w:sz w:val="18"/>
          <w:szCs w:val="18"/>
          <w:b w:val="1"/>
          <w:bCs w:val="1"/>
          <w:color w:val="auto"/>
        </w:rPr>
        <w:t>Parent Disclosure Schedule</w:t>
      </w:r>
      <w:r>
        <w:rPr>
          <w:rFonts w:ascii="Arial" w:cs="Arial" w:eastAsia="Arial" w:hAnsi="Arial"/>
          <w:sz w:val="18"/>
          <w:szCs w:val="18"/>
          <w:color w:val="auto"/>
        </w:rPr>
        <w:t>”), as follows:</w:t>
      </w:r>
    </w:p>
    <w:p>
      <w:pPr>
        <w:spacing w:after="0" w:line="187"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b w:val="1"/>
          <w:bCs w:val="1"/>
          <w:i w:val="1"/>
          <w:iCs w:val="1"/>
          <w:color w:val="auto"/>
        </w:rPr>
        <w:t>Organization</w:t>
      </w:r>
      <w:r>
        <w:rPr>
          <w:rFonts w:ascii="Arial" w:cs="Arial" w:eastAsia="Arial" w:hAnsi="Arial"/>
          <w:sz w:val="17"/>
          <w:szCs w:val="17"/>
          <w:color w:val="auto"/>
        </w:rPr>
        <w:t>. Each of Parent and Merger Sub (i) is a corporation duly organized, validly existing and in good standing under the laws of the jurisdiction in which it is organized; and (ii) has the requisite corporate power and authority to own, lease and operate its properties and to carry on its business as currently conducted. Parent has Made Available to the Company a true and correct copy of (i) the certificate of incorporation and bylaws of Parent, each as amended to date (collectively, the “</w:t>
      </w:r>
      <w:r>
        <w:rPr>
          <w:rFonts w:ascii="Arial" w:cs="Arial" w:eastAsia="Arial" w:hAnsi="Arial"/>
          <w:sz w:val="17"/>
          <w:szCs w:val="17"/>
          <w:b w:val="1"/>
          <w:bCs w:val="1"/>
          <w:color w:val="auto"/>
        </w:rPr>
        <w:t>Parent Charter Documents</w:t>
      </w:r>
      <w:r>
        <w:rPr>
          <w:rFonts w:ascii="Arial" w:cs="Arial" w:eastAsia="Arial" w:hAnsi="Arial"/>
          <w:sz w:val="17"/>
          <w:szCs w:val="17"/>
          <w:color w:val="auto"/>
        </w:rPr>
        <w:t>”) and (ii) the certificate of incorporation and bylaws of Merger Sub, each as amended to date (collectively, the “</w:t>
      </w:r>
      <w:r>
        <w:rPr>
          <w:rFonts w:ascii="Arial" w:cs="Arial" w:eastAsia="Arial" w:hAnsi="Arial"/>
          <w:sz w:val="17"/>
          <w:szCs w:val="17"/>
          <w:b w:val="1"/>
          <w:bCs w:val="1"/>
          <w:color w:val="auto"/>
        </w:rPr>
        <w:t>Merger Sub Charter Documents</w:t>
      </w:r>
      <w:r>
        <w:rPr>
          <w:rFonts w:ascii="Arial" w:cs="Arial" w:eastAsia="Arial" w:hAnsi="Arial"/>
          <w:sz w:val="17"/>
          <w:szCs w:val="17"/>
          <w:color w:val="auto"/>
        </w:rPr>
        <w:t>”). Parent is not in violation of any of the provisions of the Parent Charter Documents and Merger Sub is not in material violation of any of the provisions of the Merger Sub Charter Documents.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i w:val="1"/>
          <w:iCs w:val="1"/>
          <w:color w:val="auto"/>
        </w:rPr>
        <w:t>Authority; No Conflict; Necessary Consents</w:t>
      </w:r>
      <w:r>
        <w:rPr>
          <w:rFonts w:ascii="Arial" w:cs="Arial" w:eastAsia="Arial" w:hAnsi="Arial"/>
          <w:sz w:val="18"/>
          <w:szCs w:val="18"/>
          <w:color w:val="auto"/>
        </w:rPr>
        <w:t>.</w:t>
      </w:r>
    </w:p>
    <w:p>
      <w:pPr>
        <w:spacing w:after="0" w:line="225" w:lineRule="exact"/>
        <w:rPr>
          <w:sz w:val="20"/>
          <w:szCs w:val="20"/>
          <w:color w:val="auto"/>
        </w:rPr>
      </w:pPr>
    </w:p>
    <w:p>
      <w:pPr>
        <w:ind w:left="420" w:right="40" w:firstLine="1290"/>
        <w:spacing w:after="0" w:line="290" w:lineRule="auto"/>
        <w:tabs>
          <w:tab w:leader="none" w:pos="1954" w:val="left"/>
        </w:tabs>
        <w:numPr>
          <w:ilvl w:val="0"/>
          <w:numId w:val="65"/>
        </w:numPr>
        <w:rPr>
          <w:rFonts w:ascii="Arial" w:cs="Arial" w:eastAsia="Arial" w:hAnsi="Arial"/>
          <w:sz w:val="16"/>
          <w:szCs w:val="16"/>
          <w:color w:val="auto"/>
        </w:rPr>
      </w:pPr>
      <w:r>
        <w:rPr>
          <w:rFonts w:ascii="Arial" w:cs="Arial" w:eastAsia="Arial" w:hAnsi="Arial"/>
          <w:sz w:val="16"/>
          <w:szCs w:val="16"/>
          <w:b w:val="1"/>
          <w:bCs w:val="1"/>
          <w:i w:val="1"/>
          <w:iCs w:val="1"/>
          <w:color w:val="auto"/>
        </w:rPr>
        <w:t>Authority</w:t>
      </w:r>
      <w:r>
        <w:rPr>
          <w:rFonts w:ascii="Arial" w:cs="Arial" w:eastAsia="Arial" w:hAnsi="Arial"/>
          <w:sz w:val="16"/>
          <w:szCs w:val="16"/>
          <w:color w:val="auto"/>
        </w:rPr>
        <w:t>. Each of Parent and Merger Sub has all requisite corporate power and authority to enter into this Agreement and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consummate the transactions contemplated hereby. The execution and delivery by each of Parent and Merger Sub of this Agreement and the consummation of the transactions contemplated hereby have been duly authorized by all necessary corporate action on the part of Parent and Merger Sub and no further action is required on the part of Parent and Merger Sub to authorize the execution and delivery of this Agreement or to consummate the Merger and the other transactions contemplated hereby, subject only to the filing of the Certificate of Merger pursuant to Delaware Law. This Agreement has been duly executed and delivered by Parent and Merger Sub and, assuming due authorization, execution and delivery of this Agreement by the Company, constitutes the valid and binding obligations of Parent and Merger Sub, enforceable against each of Parent and Merger Sub in accordance with its terms, subject to applicable bankruptcy, insolvency, reorganization, moratorium or other laws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relating to or affecting the rights and remedies of creditors generally and to general principles of equity.</w:t>
      </w:r>
    </w:p>
    <w:p>
      <w:pPr>
        <w:spacing w:after="0" w:line="225" w:lineRule="exact"/>
        <w:rPr>
          <w:sz w:val="20"/>
          <w:szCs w:val="20"/>
          <w:color w:val="auto"/>
        </w:rPr>
      </w:pPr>
    </w:p>
    <w:p>
      <w:pPr>
        <w:ind w:left="420" w:firstLine="1290"/>
        <w:spacing w:after="0" w:line="270" w:lineRule="auto"/>
        <w:tabs>
          <w:tab w:leader="none" w:pos="1964" w:val="left"/>
        </w:tabs>
        <w:numPr>
          <w:ilvl w:val="0"/>
          <w:numId w:val="66"/>
        </w:numPr>
        <w:rPr>
          <w:rFonts w:ascii="Arial" w:cs="Arial" w:eastAsia="Arial" w:hAnsi="Arial"/>
          <w:sz w:val="17"/>
          <w:szCs w:val="17"/>
          <w:color w:val="auto"/>
        </w:rPr>
      </w:pPr>
      <w:r>
        <w:rPr>
          <w:rFonts w:ascii="Arial" w:cs="Arial" w:eastAsia="Arial" w:hAnsi="Arial"/>
          <w:sz w:val="17"/>
          <w:szCs w:val="17"/>
          <w:b w:val="1"/>
          <w:bCs w:val="1"/>
          <w:i w:val="1"/>
          <w:iCs w:val="1"/>
          <w:color w:val="auto"/>
        </w:rPr>
        <w:t>No Conflict</w:t>
      </w:r>
      <w:r>
        <w:rPr>
          <w:rFonts w:ascii="Arial" w:cs="Arial" w:eastAsia="Arial" w:hAnsi="Arial"/>
          <w:sz w:val="17"/>
          <w:szCs w:val="17"/>
          <w:color w:val="auto"/>
        </w:rPr>
        <w:t>. The execution and delivery by Parent and Merger Sub of this Agreement and the consummation of the transactions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contemplated hereby will not (i) conflict with or violate any provision of their respective certificates of incorporation or bylaws, (ii) subject to compliance with the requirements set forth in </w:t>
      </w:r>
      <w:r>
        <w:rPr>
          <w:rFonts w:ascii="Arial" w:cs="Arial" w:eastAsia="Arial" w:hAnsi="Arial"/>
          <w:sz w:val="17"/>
          <w:szCs w:val="17"/>
          <w:b w:val="1"/>
          <w:bCs w:val="1"/>
          <w:color w:val="auto"/>
        </w:rPr>
        <w:t>Section 3.2(c)</w:t>
      </w:r>
      <w:r>
        <w:rPr>
          <w:rFonts w:ascii="Arial" w:cs="Arial" w:eastAsia="Arial" w:hAnsi="Arial"/>
          <w:sz w:val="17"/>
          <w:szCs w:val="17"/>
          <w:color w:val="auto"/>
        </w:rPr>
        <w:t>, conflict with or violate any Legal Requirements applicable to Parent or Merger Sub or by which Parent or Merger Sub or any of their respective properties or assets (whether tangible or intangible) is bound or affected, except for such conflicts or violations that would not reasonably be expected to be material to Parent and its Subsidiaries, taken as a whole or (iii) result in any material breach of or constitute a material default (or an event that with notice or lapse of time or both would become a material default) under, or materially impair Parent’s or Merger Sub’s rights or, to the Knowledge of Parent or Merger Sub, alter the rights or obligations of any third party under, or give to others any rights of termination, amendment, acceleration or cancellation of any Contract that is material to Parent or Merger Sub, or result in the creation of a Lien on any of the properties or assets of Parent or Merger Sub other than Permitted Liens.</w:t>
      </w:r>
    </w:p>
    <w:p>
      <w:pPr>
        <w:spacing w:after="0" w:line="181" w:lineRule="exact"/>
        <w:rPr>
          <w:rFonts w:ascii="Arial" w:cs="Arial" w:eastAsia="Arial" w:hAnsi="Arial"/>
          <w:sz w:val="17"/>
          <w:szCs w:val="17"/>
          <w:color w:val="auto"/>
        </w:rPr>
      </w:pPr>
    </w:p>
    <w:p>
      <w:pPr>
        <w:ind w:left="420" w:firstLine="1290"/>
        <w:spacing w:after="0" w:line="269" w:lineRule="auto"/>
        <w:tabs>
          <w:tab w:leader="none" w:pos="1954" w:val="left"/>
        </w:tabs>
        <w:numPr>
          <w:ilvl w:val="0"/>
          <w:numId w:val="66"/>
        </w:numPr>
        <w:rPr>
          <w:rFonts w:ascii="Arial" w:cs="Arial" w:eastAsia="Arial" w:hAnsi="Arial"/>
          <w:sz w:val="17"/>
          <w:szCs w:val="17"/>
          <w:color w:val="auto"/>
        </w:rPr>
      </w:pPr>
      <w:r>
        <w:rPr>
          <w:rFonts w:ascii="Arial" w:cs="Arial" w:eastAsia="Arial" w:hAnsi="Arial"/>
          <w:sz w:val="17"/>
          <w:szCs w:val="17"/>
          <w:b w:val="1"/>
          <w:bCs w:val="1"/>
          <w:i w:val="1"/>
          <w:iCs w:val="1"/>
          <w:color w:val="auto"/>
        </w:rPr>
        <w:t>Necessary Consents</w:t>
      </w:r>
      <w:r>
        <w:rPr>
          <w:rFonts w:ascii="Arial" w:cs="Arial" w:eastAsia="Arial" w:hAnsi="Arial"/>
          <w:sz w:val="17"/>
          <w:szCs w:val="17"/>
          <w:color w:val="auto"/>
        </w:rPr>
        <w:t>. No consent, waiver, approval, order or authorization of, registration, declaration or filing with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Governmental Entity, is required to be made or obtained by Parent or Merger Sub in connection with the execution and delivery of this Agreement by Parent and Merger Sub, except for (i) the filing of the Certificate of Merger with the Secretary of State of the State of Delaware and appropriate documents with the relevant authorities of other states in which the Company or Parent are qualified to do business, (ii) the filing and effectiveness of the Registration Statement with the SEC in accordance with the requirements of the Exchange Act, and the rules and regulations promulgated thereunder, (iii) the filing of the Notification and Report Forms with the FTC and the Antitrust Division of the United States DOJ required by the HSR Act and the expiration or termination of the applicable waiting period under the HSR Act and such consents, waivers, approvals, orders, authorizations, registrations, declarations and filings as may be required under the foreign merger control regulations, (iv) such other filings and notifications as may be required to be made by Parent under federal, state or foreign securities laws or the rules and regulations of the New York Stock Exchange and (v) such other consents, waivers, approvals, orders, authorizations, registrations, declarations and filings which, if not obtained or made would not, individually or in the aggregate, reasonably be expected to materially affect the ability of Parent and Merger Sub to consummate the Merger or have a Material Adverse Effect on Parent.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i w:val="1"/>
          <w:iCs w:val="1"/>
          <w:color w:val="auto"/>
        </w:rPr>
        <w:t>Capital Structure</w:t>
      </w:r>
    </w:p>
    <w:p>
      <w:pPr>
        <w:spacing w:after="0" w:line="225" w:lineRule="exact"/>
        <w:rPr>
          <w:sz w:val="20"/>
          <w:szCs w:val="20"/>
          <w:color w:val="auto"/>
        </w:rPr>
      </w:pPr>
    </w:p>
    <w:p>
      <w:pPr>
        <w:ind w:left="2040" w:hanging="330"/>
        <w:spacing w:after="0"/>
        <w:tabs>
          <w:tab w:leader="none" w:pos="20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authorized capital stock of Parent consists of 3,000,000,000 shares of Parent Common Stock. As of the close of business on</w:t>
      </w:r>
    </w:p>
    <w:p>
      <w:pPr>
        <w:spacing w:after="0" w:line="46" w:lineRule="exact"/>
        <w:rPr>
          <w:rFonts w:ascii="Arial" w:cs="Arial" w:eastAsia="Arial" w:hAnsi="Arial"/>
          <w:sz w:val="16"/>
          <w:szCs w:val="16"/>
          <w:color w:val="auto"/>
        </w:rPr>
      </w:pPr>
    </w:p>
    <w:p>
      <w:pPr>
        <w:ind w:left="420" w:right="300"/>
        <w:spacing w:after="0" w:line="253" w:lineRule="auto"/>
        <w:rPr>
          <w:rFonts w:ascii="Arial" w:cs="Arial" w:eastAsia="Arial" w:hAnsi="Arial"/>
          <w:sz w:val="16"/>
          <w:szCs w:val="16"/>
          <w:color w:val="auto"/>
        </w:rPr>
      </w:pPr>
      <w:r>
        <w:rPr>
          <w:rFonts w:ascii="Arial" w:cs="Arial" w:eastAsia="Arial" w:hAnsi="Arial"/>
          <w:sz w:val="18"/>
          <w:szCs w:val="18"/>
          <w:color w:val="auto"/>
        </w:rPr>
        <w:t>March 1, 2006: (i) 675,633,438 shares of Parent Common Stock were issued and outstanding (excluding shares of Parent Common Stock held by Parent in its treasury) and (ii) no shares of Parent Common Stock were issued and held by Parent in its treasury. All outstanding shares of Parent Common Stock are duly authorized, validly issued, fully paid and non-assessable and are not subject to preemptive rights created by statute, the certificate of incorporation or bylaws of Parent or any agreement to which Parent is a party or by which it is bound. All outstanding shares of Parent Common Stock</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584" w:right="279" w:bottom="0" w:gutter="0" w:footer="0" w:header="0"/>
        </w:sectPr>
      </w:pPr>
    </w:p>
    <w:bookmarkStart w:id="26" w:name="page27"/>
    <w:bookmarkEnd w:id="26"/>
    <w:p>
      <w:pPr>
        <w:ind w:left="400" w:right="6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19050"/>
                    </a:xfrm>
                    <a:prstGeom prst="rect">
                      <a:avLst/>
                    </a:prstGeom>
                    <a:noFill/>
                  </pic:spPr>
                </pic:pic>
              </a:graphicData>
            </a:graphic>
          </wp:anchor>
        </w:drawing>
        <w:t>are, and all shares of Parent Common Stock which may be issued pursuant to this Agreement will, when issued in accordance with the terms hereof, be, duly authorized, validly issued, fully paid and non-assessable and not subject to preemptive rights created by statute, the Parent Charter Documents, or any agreement to which Parent is a party or by which it is bound. As of the close of business on March 1, 2006, (i) 124,764,652 shares of Parent Common Stock are issuable upon the exercise of outstanding options to purchase Parent Common Stock (such options, whether payable in cash, shares or otherwise are referred to in this Agreement as “</w:t>
      </w:r>
      <w:r>
        <w:rPr>
          <w:rFonts w:ascii="Arial" w:cs="Arial" w:eastAsia="Arial" w:hAnsi="Arial"/>
          <w:sz w:val="17"/>
          <w:szCs w:val="17"/>
          <w:b w:val="1"/>
          <w:bCs w:val="1"/>
          <w:color w:val="auto"/>
        </w:rPr>
        <w:t>Parent Options</w:t>
      </w:r>
      <w:r>
        <w:rPr>
          <w:rFonts w:ascii="Arial" w:cs="Arial" w:eastAsia="Arial" w:hAnsi="Arial"/>
          <w:sz w:val="17"/>
          <w:szCs w:val="17"/>
          <w:color w:val="auto"/>
        </w:rPr>
        <w:t>”), (ii) 70,142 shares of Parent Common Stock are issuable upon settlement of Parent restricted stock units (“</w:t>
      </w:r>
      <w:r>
        <w:rPr>
          <w:rFonts w:ascii="Arial" w:cs="Arial" w:eastAsia="Arial" w:hAnsi="Arial"/>
          <w:sz w:val="17"/>
          <w:szCs w:val="17"/>
          <w:b w:val="1"/>
          <w:bCs w:val="1"/>
          <w:color w:val="auto"/>
        </w:rPr>
        <w:t>Parent Restricted Units</w:t>
      </w:r>
      <w:r>
        <w:rPr>
          <w:rFonts w:ascii="Arial" w:cs="Arial" w:eastAsia="Arial" w:hAnsi="Arial"/>
          <w:sz w:val="17"/>
          <w:szCs w:val="17"/>
          <w:color w:val="auto"/>
        </w:rPr>
        <w:t>”), and (iii) 26,557,857 shares of Parent Common Stock are available for issuance under existing Parent equity-based plans. Except as set forth in the immediately preceding sentence, there are no outstanding or authorized stock appreciation, phantom stock, profit participation or other similar rights with respect to Parent.</w:t>
      </w:r>
    </w:p>
    <w:p>
      <w:pPr>
        <w:spacing w:after="0" w:line="179" w:lineRule="exact"/>
        <w:rPr>
          <w:sz w:val="20"/>
          <w:szCs w:val="20"/>
          <w:color w:val="auto"/>
        </w:rPr>
      </w:pPr>
    </w:p>
    <w:p>
      <w:pPr>
        <w:ind w:left="420" w:right="260" w:firstLine="1290"/>
        <w:spacing w:after="0" w:line="264" w:lineRule="auto"/>
        <w:tabs>
          <w:tab w:leader="none" w:pos="1964"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 bonds, debentures, notes or other indebtedness of Parent or any of its Subsidiaries having the right to vote on any matters on which stockholders may vote (or which is convertible into, or exchangeable for, securities having such right) are issued or outstanding as of the date hereof (collectively, “</w:t>
      </w:r>
      <w:r>
        <w:rPr>
          <w:rFonts w:ascii="Arial" w:cs="Arial" w:eastAsia="Arial" w:hAnsi="Arial"/>
          <w:sz w:val="18"/>
          <w:szCs w:val="18"/>
          <w:b w:val="1"/>
          <w:bCs w:val="1"/>
          <w:color w:val="auto"/>
        </w:rPr>
        <w:t>Parent Voting Debt</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420" w:right="20" w:firstLine="1290"/>
        <w:spacing w:after="0" w:line="270" w:lineRule="auto"/>
        <w:tabs>
          <w:tab w:leader="none" w:pos="1954" w:val="left"/>
        </w:tabs>
        <w:numPr>
          <w:ilvl w:val="0"/>
          <w:numId w:val="68"/>
        </w:numPr>
        <w:rPr>
          <w:rFonts w:ascii="Arial" w:cs="Arial" w:eastAsia="Arial" w:hAnsi="Arial"/>
          <w:sz w:val="17"/>
          <w:szCs w:val="17"/>
          <w:color w:val="auto"/>
        </w:rPr>
      </w:pPr>
      <w:r>
        <w:rPr>
          <w:rFonts w:ascii="Arial" w:cs="Arial" w:eastAsia="Arial" w:hAnsi="Arial"/>
          <w:sz w:val="17"/>
          <w:szCs w:val="17"/>
          <w:color w:val="auto"/>
        </w:rPr>
        <w:t>Except for the outstanding shares of Parent Common Stock, Parent Options, Parent Restricted Units and shares of Parent Common Stock available for issuance under the existing Parent stock plans, as of the date hereof, there are no securities, options, warrants, calls, rights, contracts, commitments, agreements, instruments, arrangements, understandings, obligations or undertakings of any kind to which Parent or any of its Subsidiaries is a party or by which any of them is bound obligating (or purporting to obligate) Parent to (including on a deferred basis) issue, deliver or sell, or cause to be issued, delivered or sold, additional shares of capital stock, Parent Voting Debt, other voting securities or any securities convertible into shares of capital stock, Parent Voting Debt or other voting securities of Parent, or obligating Parent to issue, grant, extend or enter into any such security, option, warrant, call, right, commitment, agreement, instrument, arrangement, understanding, obligation or undertaking. There are no outstanding Contracts to which Parent or any of its Subsidiaries is a party or by which any of them is bound obligating Parent or any of its Subsidiaries to repurchase, redeem or otherwise acquire any shares of capital stock of, or other equity or voting interests in, Parent. Parent is not a party to any voting agreement with respect to shares of the capital stock of, or other equity or voting interests in, Parent.</w:t>
      </w:r>
    </w:p>
    <w:p>
      <w:pPr>
        <w:spacing w:after="0" w:line="178"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b w:val="1"/>
          <w:bCs w:val="1"/>
          <w:i w:val="1"/>
          <w:iCs w:val="1"/>
          <w:color w:val="auto"/>
        </w:rPr>
        <w:t>Information in Registration Statement and Prospectus/Proxy Statement</w:t>
      </w:r>
      <w:r>
        <w:rPr>
          <w:rFonts w:ascii="Arial" w:cs="Arial" w:eastAsia="Arial" w:hAnsi="Arial"/>
          <w:sz w:val="17"/>
          <w:szCs w:val="17"/>
          <w:color w:val="auto"/>
        </w:rPr>
        <w:t>. None of the information supplied or to be supplied by or on behalf of Parent or Merger Sub for inclusion or incorporation by reference in the Registration Statement will, at the time the Registration Statement becomes effective under the Securities Act, contain any untrue statement of a material fact or omit to state any material fact required to be stated therein or necessary in order to make the statements therein, in the light of the circumstances under which they are made, not misleading. None of the information supplied or to be supplied by or on behalf of Parent or Merger Sub for inclusion or incorporation by reference in the Prospectus/Proxy Statement will, at the time the Prospectus/Proxy Statement is mailed to the stockholders of the Company or at the time of the Stockholders’ Meeting or as of the Closing, contain any untrue statement of a material fact or omit to state any material fact required to be stated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therein or necessary in order to make the statements therein, in the light of the circumstances under which they are made, not misleading. The Prospectus/Proxy Statement will comply as to form in all material respects with the provisions of the Exchange Act and the rules and regulations promulgated by the SEC thereunder. Notwithstanding the foregoing, no representation or warranty is made by Parent or Merger Sub with respect to statements made or incorporated by reference therein about the Company supplied by the Company for inclusion or incorporation by reference in the Registration Statement or the Prospectus/Proxy Statement.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b w:val="1"/>
          <w:bCs w:val="1"/>
          <w:i w:val="1"/>
          <w:iCs w:val="1"/>
          <w:color w:val="auto"/>
        </w:rPr>
        <w:t>SEC Filings; Financial Statements</w:t>
      </w:r>
      <w:r>
        <w:rPr>
          <w:rFonts w:ascii="Arial" w:cs="Arial" w:eastAsia="Arial" w:hAnsi="Arial"/>
          <w:sz w:val="18"/>
          <w:szCs w:val="18"/>
          <w:color w:val="auto"/>
        </w:rPr>
        <w:t>.</w:t>
      </w:r>
    </w:p>
    <w:p>
      <w:pPr>
        <w:spacing w:after="0" w:line="225" w:lineRule="exact"/>
        <w:rPr>
          <w:sz w:val="20"/>
          <w:szCs w:val="20"/>
          <w:color w:val="auto"/>
        </w:rPr>
      </w:pPr>
    </w:p>
    <w:p>
      <w:pPr>
        <w:ind w:left="420" w:firstLine="1290"/>
        <w:spacing w:after="0" w:line="285" w:lineRule="auto"/>
        <w:tabs>
          <w:tab w:leader="none" w:pos="1954" w:val="left"/>
        </w:tabs>
        <w:numPr>
          <w:ilvl w:val="0"/>
          <w:numId w:val="69"/>
        </w:numPr>
        <w:rPr>
          <w:rFonts w:ascii="Arial" w:cs="Arial" w:eastAsia="Arial" w:hAnsi="Arial"/>
          <w:sz w:val="16"/>
          <w:szCs w:val="16"/>
          <w:color w:val="auto"/>
        </w:rPr>
      </w:pPr>
      <w:r>
        <w:rPr>
          <w:rFonts w:ascii="Arial" w:cs="Arial" w:eastAsia="Arial" w:hAnsi="Arial"/>
          <w:sz w:val="16"/>
          <w:szCs w:val="16"/>
          <w:b w:val="1"/>
          <w:bCs w:val="1"/>
          <w:i w:val="1"/>
          <w:iCs w:val="1"/>
          <w:color w:val="auto"/>
        </w:rPr>
        <w:t>SEC Filings</w:t>
      </w:r>
      <w:r>
        <w:rPr>
          <w:rFonts w:ascii="Arial" w:cs="Arial" w:eastAsia="Arial" w:hAnsi="Arial"/>
          <w:sz w:val="16"/>
          <w:szCs w:val="16"/>
          <w:color w:val="auto"/>
        </w:rPr>
        <w:t>. Parent has timely filed all required registration statements, prospectuses, reports, schedules, forms, statements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documents (including exhibits and all other information incorporated by reference) required to be filed by it with the SEC since January 1, 2003. All such required registration statements, prospectuses, reports, schedules, forms, statements and other documents, as each of the foregoing have been amended since the time of their filing, (including those that Parent may file subsequent to the date hereof) are referred to herein as the “</w:t>
      </w:r>
      <w:r>
        <w:rPr>
          <w:rFonts w:ascii="Arial" w:cs="Arial" w:eastAsia="Arial" w:hAnsi="Arial"/>
          <w:sz w:val="16"/>
          <w:szCs w:val="16"/>
          <w:b w:val="1"/>
          <w:bCs w:val="1"/>
          <w:color w:val="auto"/>
        </w:rPr>
        <w:t>Parent SEC</w:t>
      </w:r>
      <w:r>
        <w:rPr>
          <w:rFonts w:ascii="Arial" w:cs="Arial" w:eastAsia="Arial" w:hAnsi="Arial"/>
          <w:sz w:val="16"/>
          <w:szCs w:val="16"/>
          <w:color w:val="auto"/>
        </w:rPr>
        <w:t xml:space="preserve"> </w:t>
      </w:r>
      <w:r>
        <w:rPr>
          <w:rFonts w:ascii="Arial" w:cs="Arial" w:eastAsia="Arial" w:hAnsi="Arial"/>
          <w:sz w:val="16"/>
          <w:szCs w:val="16"/>
          <w:b w:val="1"/>
          <w:bCs w:val="1"/>
          <w:color w:val="auto"/>
        </w:rPr>
        <w:t>Reports</w:t>
      </w:r>
      <w:r>
        <w:rPr>
          <w:rFonts w:ascii="Arial" w:cs="Arial" w:eastAsia="Arial" w:hAnsi="Arial"/>
          <w:sz w:val="16"/>
          <w:szCs w:val="16"/>
          <w:color w:val="auto"/>
        </w:rPr>
        <w:t>.” As of their respective dates, the Parent SEC Reports (i) were prepared in accordance with, and complied in all material respects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requirements of the Securities Act or the Exchange Act, as the case may be, and, in each case, the rules and regulations promulgated thereunder applicable to such Parent SEC Reports and (ii) did not at the time they were filed contain any untrue statement of a material fact or omit to state a material fact required to be stated therein or necessary in order to make the statements therein, in the light of the circumstances under which they were made, not misleading, except to the extent revised: (A) in the case of Parent SEC Reports filed on or prior to the date of this Agreement that were amended or superseded on or prior to the date of this Agreement, by the filing of the applicable amending or superseding Parent SEC Report; and (B) in the case of Parent SEC Reports filed after the date of this Agreement that are amended or superseded prior to the Effective Time, by the filing of the applicable amending or superseding Parent SEC Report. Parent has Made Available to the Company true, correct and complete copies of all material correspondence between the SEC, on the one hand, and Parent and any of its Subsidiaries, on the other, since January 1, 2003, including all SEC comment letters and responses to such comment letters by or on behalf of Parent. To Parent’s Knowledge, as of the date hereof, none of the Parent SEC Reports is the subject of ongoing SEC review or outstanding SEC comment. Each of the principal executive officers of Parent and the principal financial officer of Parent has made all certifications required by Rule 13a-14 or Rule 15d-14 under the Exchange Act or Sections 302 and 906 of the Sarbanes-Oxley Act of 2002 with respect to Parent SEC Reports. For purposes of the preceding sentence, “principal executive officer” and “principal financial officer” shall have the meanings given to such terms in the Sarbanes-Oxley Act of 2002.</w:t>
      </w:r>
    </w:p>
    <w:p>
      <w:pPr>
        <w:spacing w:after="0" w:line="172" w:lineRule="exact"/>
        <w:rPr>
          <w:rFonts w:ascii="Arial" w:cs="Arial" w:eastAsia="Arial" w:hAnsi="Arial"/>
          <w:sz w:val="16"/>
          <w:szCs w:val="16"/>
          <w:color w:val="auto"/>
        </w:rPr>
      </w:pPr>
    </w:p>
    <w:p>
      <w:pPr>
        <w:jc w:val="both"/>
        <w:ind w:left="420" w:right="140" w:firstLine="1290"/>
        <w:spacing w:after="0" w:line="279" w:lineRule="auto"/>
        <w:tabs>
          <w:tab w:leader="none" w:pos="1964" w:val="left"/>
        </w:tabs>
        <w:numPr>
          <w:ilvl w:val="0"/>
          <w:numId w:val="69"/>
        </w:numPr>
        <w:rPr>
          <w:rFonts w:ascii="Arial" w:cs="Arial" w:eastAsia="Arial" w:hAnsi="Arial"/>
          <w:sz w:val="17"/>
          <w:szCs w:val="17"/>
          <w:color w:val="auto"/>
        </w:rPr>
      </w:pPr>
      <w:r>
        <w:rPr>
          <w:rFonts w:ascii="Arial" w:cs="Arial" w:eastAsia="Arial" w:hAnsi="Arial"/>
          <w:sz w:val="17"/>
          <w:szCs w:val="17"/>
          <w:b w:val="1"/>
          <w:bCs w:val="1"/>
          <w:i w:val="1"/>
          <w:iCs w:val="1"/>
          <w:color w:val="auto"/>
        </w:rPr>
        <w:t>Financial Statements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Each of the consolidated financial statements (including, in each case, any related notes thereto) contained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the Parent SEC Reports (the “</w:t>
      </w:r>
      <w:r>
        <w:rPr>
          <w:rFonts w:ascii="Arial" w:cs="Arial" w:eastAsia="Arial" w:hAnsi="Arial"/>
          <w:sz w:val="17"/>
          <w:szCs w:val="17"/>
          <w:b w:val="1"/>
          <w:bCs w:val="1"/>
          <w:color w:val="auto"/>
        </w:rPr>
        <w:t>Parent Financials</w:t>
      </w:r>
      <w:r>
        <w:rPr>
          <w:rFonts w:ascii="Arial" w:cs="Arial" w:eastAsia="Arial" w:hAnsi="Arial"/>
          <w:sz w:val="17"/>
          <w:szCs w:val="17"/>
          <w:color w:val="auto"/>
        </w:rPr>
        <w:t>”) including each Parent SEC Report filed after the date hereof until the Closing: (i) complied as to form in all material respects with the published rules and regulations of the SEC with respect thereto, (ii) was prepared in accordance with GAAP applied on a consistent basis throughout the periods covered (except as may be indicated in the notes thereto or,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719" w:right="239" w:bottom="599" w:gutter="0" w:footer="0" w:header="0"/>
        </w:sectPr>
      </w:pPr>
    </w:p>
    <w:bookmarkStart w:id="27" w:name="page28"/>
    <w:bookmarkEnd w:id="27"/>
    <w:p>
      <w:pPr>
        <w:ind w:left="400"/>
        <w:spacing w:after="0" w:line="270" w:lineRule="auto"/>
        <w:rPr>
          <w:sz w:val="20"/>
          <w:szCs w:val="20"/>
          <w:color w:val="auto"/>
        </w:rPr>
      </w:pPr>
      <w:r>
        <w:rPr>
          <w:rFonts w:ascii="Arial" w:cs="Arial" w:eastAsia="Arial" w:hAnsi="Arial"/>
          <w:sz w:val="17"/>
          <w:szCs w:val="17"/>
          <w:color w:val="auto"/>
        </w:rPr>
        <w:t>in the case of unaudited interim financial statements, as may be permitted by the rules of the SEC and except that the unaudited financial statements may not contain footnotes and are subject to normal and recurring year-end adjustments) and (iii) fairly presented in all material respects the consolidated financial position of Parent and its consolidated Subsidiaries as at the respective dates thereof and the consolidated results of Parent’s operations and cash flows for the periods indicated (subject, in the case of unaudited quarterly statements, to normal year-end audit adjustments). Parent does not intend to correct or restate, and to Parent’s Knowledge, there is not any basis to correct or restate any of the Parent Financials. Parent has not had any disagreement with PricewaterhouseCoopers, its independent public accountants, regarding material accounting matters or policies during any of its past three full fiscal years or during the current fiscal year-to-date. The books and records of Parent and each of its Subsidiaries have been, and are being, maintained in all material respects in accordance with applicable legal and accounting requirements and the Parent Financials are consistent with such books and records. Neither Parent nor any of its Subsidiaries is a party to, or has any commitment to become a party to, any “off-balance sheet arrangements” (as defined in Item 303(a) of Regulation S-K of the SEC).</w:t>
      </w:r>
    </w:p>
    <w:p>
      <w:pPr>
        <w:spacing w:after="0" w:line="178" w:lineRule="exact"/>
        <w:rPr>
          <w:sz w:val="20"/>
          <w:szCs w:val="20"/>
          <w:color w:val="auto"/>
        </w:rPr>
      </w:pPr>
    </w:p>
    <w:p>
      <w:pPr>
        <w:ind w:left="420" w:firstLine="1290"/>
        <w:spacing w:after="0" w:line="285" w:lineRule="auto"/>
        <w:tabs>
          <w:tab w:leader="none" w:pos="1954" w:val="left"/>
        </w:tabs>
        <w:numPr>
          <w:ilvl w:val="0"/>
          <w:numId w:val="70"/>
        </w:numPr>
        <w:rPr>
          <w:rFonts w:ascii="Arial" w:cs="Arial" w:eastAsia="Arial" w:hAnsi="Arial"/>
          <w:sz w:val="16"/>
          <w:szCs w:val="16"/>
          <w:color w:val="auto"/>
        </w:rPr>
      </w:pPr>
      <w:r>
        <w:rPr>
          <w:rFonts w:ascii="Arial" w:cs="Arial" w:eastAsia="Arial" w:hAnsi="Arial"/>
          <w:sz w:val="16"/>
          <w:szCs w:val="16"/>
          <w:b w:val="1"/>
          <w:bCs w:val="1"/>
          <w:i w:val="1"/>
          <w:iCs w:val="1"/>
          <w:color w:val="auto"/>
        </w:rPr>
        <w:t>Internal Controls</w:t>
      </w:r>
      <w:r>
        <w:rPr>
          <w:rFonts w:ascii="Arial" w:cs="Arial" w:eastAsia="Arial" w:hAnsi="Arial"/>
          <w:sz w:val="16"/>
          <w:szCs w:val="16"/>
          <w:color w:val="auto"/>
        </w:rPr>
        <w:t>. Parent has established and maintains a system of internal controls over financial reporting required by Rules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13a-15(f) or 15d-15(f) of the Exchange Act designed to provide reasonable assurances regarding the reliability of financial reporting and the preparation of its consolidated financial statements in accordance with GAAP and including those policies and procedures that: (i) require the maintenance of records that, in reasonable detail, accurately and fairly reflect the transactions and dispositions of the assets of Parent and its Subsidiaries; (ii) provide reasonable assurance that material information relating to Parent and its Subsidiaries is promptly made known to the officers responsible for establishing and maintaining the system of internal controls; (iii) provide reasonable assurance that transactions are recorded as necessary to permit preparation of financial statements in accordance with GAAP, and that receipts and expenditures of Parent and its Subsidiaries are being made only in accordance with authorizations of management and the Board of Directors of Parent; (iv) provide reasonable assurance that access to assets is permitted only in accordance with management’s general or specific authorization; (v) provide reasonable assurance that the reporting of assets is compared with existing assets at regular intervals and appropriate action is taken with respect to any differences; and (vi) provide reasonable assurance regarding prevention or timely detection of unauthorized acquisition, use or disposition of the assets of Parent and its Subsidiaries. As of December 29, 2005 (i) there were no “material weaknesses” (as defined by the Public Company Accounting Oversight Board) and (ii) there was no series of multiple “significant deficiencies” (as defined by the Public Company Accounting Oversight Board) that are reasonably likely to collectively represent a “material weakness” in the design or operation of the Company’s internal controls. Since December 29, 2005, neither Parent nor any of its Subsidiaries (including any current employee or service provider thereof) nor, to Parent’s Knowledge, Parent’s independent auditors have identified or been made aware of (A) any significant deficiency or material weakness in the system of internal controls utilized by Parent and its Subsidiaries, (B) any fraud, whether or not material, that involves Parent’s management or other employees who have a role in the preparation of financial statements or the internal controls utilized by Parent and its Subsidiaries or (C) any material claim or allegation regarding any of the foregoing.</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420" w:right="40" w:firstLine="1290"/>
        <w:spacing w:after="0" w:line="302" w:lineRule="auto"/>
        <w:tabs>
          <w:tab w:leader="none" w:pos="1964" w:val="left"/>
        </w:tabs>
        <w:numPr>
          <w:ilvl w:val="0"/>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Disclosure Controls</w:t>
      </w:r>
      <w:r>
        <w:rPr>
          <w:rFonts w:ascii="Arial" w:cs="Arial" w:eastAsia="Arial" w:hAnsi="Arial"/>
          <w:sz w:val="16"/>
          <w:szCs w:val="16"/>
          <w:color w:val="auto"/>
        </w:rPr>
        <w:t>. Parent has established and maintains disclosure controls and procedures required by Rules 13a-15(e) or 15d-15(e) of the Exchange Act to ensure that all material information relating to Parent and its Subsidiaries required to be disclosed by Parent in the reports that it files or submits under the Exchange Act is recorded, processed, summarized and reported within the time periods specified in the SEC’s rules and forms and is accumulated and communicated to Parent’s management to allow timely decisions regarding required disclosure.</w:t>
      </w:r>
    </w:p>
    <w:p>
      <w:pPr>
        <w:spacing w:after="0" w:line="154"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b w:val="1"/>
          <w:bCs w:val="1"/>
          <w:i w:val="1"/>
          <w:iCs w:val="1"/>
          <w:color w:val="auto"/>
        </w:rPr>
        <w:t>Litigation</w:t>
      </w:r>
      <w:r>
        <w:rPr>
          <w:rFonts w:ascii="Arial" w:cs="Arial" w:eastAsia="Arial" w:hAnsi="Arial"/>
          <w:sz w:val="16"/>
          <w:szCs w:val="16"/>
          <w:color w:val="auto"/>
        </w:rPr>
        <w:t xml:space="preserve">. As of the date of this Agreement, there is no action, suit, claim or proceeding pending or, to the Knowledge of Parent and Merger Sub, overtly threatened against Parent and Merger Sub, before any court, governmental department, commission, agency, instrumentality or authority that seeks to restrain or enjoin the consummation of the transactions contemplated hereby. Except as set forth in Item 1, Part II of Parent’s Quarterly Report on Form 10-Q for the quarter ended December 1, 2005 as filed with the SEC or as set forth in </w:t>
      </w:r>
      <w:r>
        <w:rPr>
          <w:rFonts w:ascii="Arial" w:cs="Arial" w:eastAsia="Arial" w:hAnsi="Arial"/>
          <w:sz w:val="16"/>
          <w:szCs w:val="16"/>
          <w:b w:val="1"/>
          <w:bCs w:val="1"/>
          <w:color w:val="auto"/>
        </w:rPr>
        <w:t>Section 3.6</w:t>
      </w:r>
      <w:r>
        <w:rPr>
          <w:rFonts w:ascii="Arial" w:cs="Arial" w:eastAsia="Arial" w:hAnsi="Arial"/>
          <w:sz w:val="16"/>
          <w:szCs w:val="16"/>
          <w:color w:val="auto"/>
        </w:rPr>
        <w:t xml:space="preserve"> of the Parent Disclosure Schedule, as of the date hereof, (i) there is no action, suit, claim or proceeding pending or, to Parent’s Knowledge, threatened against Parent, any of its Subsidiaries or any of their respective properties (tangible or intangible) that would reasonably be expected, individually or in the aggregate with all such actions, suits, claims or proceedings to have a Material Adverse Effect on Parent, and (ii) there is no investigation or other proceeding pending or, to Parent’s Knowledge, threatened against Parent, any of its Subsidiaries or any of their respective properties (tangible or intangible) by or before any Governmental Entity. There are not currently, nor, to Parent’s Knowledge, have there been since January 1, 2003, any internal investigations or inquiries being conducted by Parent, Parent’s Board of Directors (or any committee thereof) or any third party at the request of any of the foregoing concerning any financial, accounting, Tax, conflict of interest, illegal activity, fraudulent or deceptive conduct or other misfeasance or malfeasance issues.</w:t>
      </w:r>
    </w:p>
    <w:p>
      <w:pPr>
        <w:spacing w:after="0" w:line="173"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b w:val="1"/>
          <w:bCs w:val="1"/>
          <w:i w:val="1"/>
          <w:iCs w:val="1"/>
          <w:color w:val="auto"/>
        </w:rPr>
        <w:t>Brokers’ and Finders’ Fees</w:t>
      </w:r>
      <w:r>
        <w:rPr>
          <w:rFonts w:ascii="Arial" w:cs="Arial" w:eastAsia="Arial" w:hAnsi="Arial"/>
          <w:sz w:val="18"/>
          <w:szCs w:val="18"/>
          <w:color w:val="auto"/>
        </w:rPr>
        <w:t>. Neither Parent nor any of its Subsidiaries has incurred, nor will it incur, directly or indirectly, any liability for brokerage or finders’ fees or agents’ commissions, fees related to investment banking or similar advisory services or any similar charges in connection with this Agreement or any transaction contemplated hereby.</w:t>
      </w:r>
    </w:p>
    <w:p>
      <w:pPr>
        <w:spacing w:after="0" w:line="177" w:lineRule="exact"/>
        <w:rPr>
          <w:sz w:val="20"/>
          <w:szCs w:val="20"/>
          <w:color w:val="auto"/>
        </w:rPr>
      </w:pPr>
    </w:p>
    <w:p>
      <w:pPr>
        <w:ind w:right="100" w:firstLine="648"/>
        <w:spacing w:after="0" w:line="313" w:lineRule="auto"/>
        <w:rPr>
          <w:sz w:val="20"/>
          <w:szCs w:val="20"/>
          <w:color w:val="auto"/>
        </w:rPr>
      </w:pPr>
      <w:r>
        <w:rPr>
          <w:rFonts w:ascii="Arial" w:cs="Arial" w:eastAsia="Arial" w:hAnsi="Arial"/>
          <w:sz w:val="17"/>
          <w:szCs w:val="17"/>
          <w:color w:val="auto"/>
        </w:rPr>
        <w:t xml:space="preserve">3.8 </w:t>
      </w:r>
      <w:r>
        <w:rPr>
          <w:rFonts w:ascii="Arial" w:cs="Arial" w:eastAsia="Arial" w:hAnsi="Arial"/>
          <w:sz w:val="17"/>
          <w:szCs w:val="17"/>
          <w:b w:val="1"/>
          <w:bCs w:val="1"/>
          <w:i w:val="1"/>
          <w:iCs w:val="1"/>
          <w:color w:val="auto"/>
        </w:rPr>
        <w:t>Interim Operations of Merger Sub</w:t>
      </w:r>
      <w:r>
        <w:rPr>
          <w:rFonts w:ascii="Arial" w:cs="Arial" w:eastAsia="Arial" w:hAnsi="Arial"/>
          <w:sz w:val="17"/>
          <w:szCs w:val="17"/>
          <w:color w:val="auto"/>
        </w:rPr>
        <w:t xml:space="preserve">. Merger Sub was formed solely for the purpose of consummating the Merger pursuant to </w:t>
      </w:r>
      <w:r>
        <w:rPr>
          <w:rFonts w:ascii="Arial" w:cs="Arial" w:eastAsia="Arial" w:hAnsi="Arial"/>
          <w:sz w:val="17"/>
          <w:szCs w:val="17"/>
          <w:b w:val="1"/>
          <w:bCs w:val="1"/>
          <w:color w:val="auto"/>
        </w:rPr>
        <w:t>Section 1.1</w:t>
      </w:r>
      <w:r>
        <w:rPr>
          <w:rFonts w:ascii="Arial" w:cs="Arial" w:eastAsia="Arial" w:hAnsi="Arial"/>
          <w:sz w:val="17"/>
          <w:szCs w:val="17"/>
          <w:color w:val="auto"/>
        </w:rPr>
        <w:t xml:space="preserve"> hereof and has not conducted and will not conduct any activities other than the execution of this Agreement and the consummation of the Merger.</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b w:val="1"/>
          <w:bCs w:val="1"/>
          <w:i w:val="1"/>
          <w:iCs w:val="1"/>
          <w:color w:val="auto"/>
        </w:rPr>
        <w:t>Absence of Certain Changes</w:t>
      </w:r>
      <w:r>
        <w:rPr>
          <w:rFonts w:ascii="Arial" w:cs="Arial" w:eastAsia="Arial" w:hAnsi="Arial"/>
          <w:sz w:val="18"/>
          <w:szCs w:val="18"/>
          <w:color w:val="auto"/>
        </w:rPr>
        <w:t>. Since December 29, 2005 through the date hereof, there has not been, accrued or arisen:</w:t>
      </w:r>
    </w:p>
    <w:p>
      <w:pPr>
        <w:spacing w:after="0" w:line="225" w:lineRule="exact"/>
        <w:rPr>
          <w:sz w:val="20"/>
          <w:szCs w:val="20"/>
          <w:color w:val="auto"/>
        </w:rPr>
      </w:pPr>
    </w:p>
    <w:p>
      <w:pPr>
        <w:ind w:left="1940" w:hanging="230"/>
        <w:spacing w:after="0"/>
        <w:tabs>
          <w:tab w:leader="none" w:pos="19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Material Adverse Effect on Parent;</w:t>
      </w:r>
    </w:p>
    <w:p>
      <w:pPr>
        <w:spacing w:after="0" w:line="225" w:lineRule="exact"/>
        <w:rPr>
          <w:rFonts w:ascii="Arial" w:cs="Arial" w:eastAsia="Arial" w:hAnsi="Arial"/>
          <w:sz w:val="18"/>
          <w:szCs w:val="18"/>
          <w:color w:val="auto"/>
        </w:rPr>
      </w:pPr>
    </w:p>
    <w:p>
      <w:pPr>
        <w:ind w:left="420" w:right="60" w:firstLine="1290"/>
        <w:spacing w:after="0" w:line="264" w:lineRule="auto"/>
        <w:tabs>
          <w:tab w:leader="none" w:pos="1964"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declaration, setting aside or payment of any dividend on, or other distribution (whether in cash, stock or property) in respect of, any of Parent’s capital stock, or any purchase, redemption or other acquisition by Parent of any of Parent’s capital stock or any other securities of the Company or any options, warrants, calls or rights to acquire any such shares or other securities; 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(c) any split, combination or reclassification of Parent Common Stock.</w:t>
      </w:r>
    </w:p>
    <w:p>
      <w:pPr>
        <w:spacing w:after="0" w:line="225"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b w:val="1"/>
          <w:bCs w:val="1"/>
          <w:i w:val="1"/>
          <w:iCs w:val="1"/>
          <w:color w:val="auto"/>
        </w:rPr>
        <w:t>Compliance with Laws</w:t>
      </w:r>
      <w:r>
        <w:rPr>
          <w:rFonts w:ascii="Arial" w:cs="Arial" w:eastAsia="Arial" w:hAnsi="Arial"/>
          <w:sz w:val="16"/>
          <w:szCs w:val="16"/>
          <w:color w:val="auto"/>
        </w:rPr>
        <w:t>. Neither Parent nor any of its Subsidiaries is in violation or default in any material respect of any Legal Requirements applicable to Parent or any of its Subsidiaries or by which Parent or any of its Subsidiaries is bound or any of their respective properties is bound or affected. There is no agreement, judgment, injunction, order or decree binding upon Parent or any of its Subsidiaries which has or would reasonably be expected to</w:t>
      </w:r>
    </w:p>
    <w:p>
      <w:pPr>
        <w:sectPr>
          <w:pgSz w:w="11900" w:h="16838" w:orient="portrait"/>
          <w:cols w:equalWidth="0" w:num="1">
            <w:col w:w="11420"/>
          </w:cols>
          <w:pgMar w:left="240" w:top="125" w:right="239" w:bottom="0" w:gutter="0" w:footer="0" w:header="0"/>
        </w:sectPr>
      </w:pPr>
    </w:p>
    <w:bookmarkStart w:id="28" w:name="page29"/>
    <w:bookmarkEnd w:id="28"/>
    <w:p>
      <w:pPr>
        <w:spacing w:after="0" w:line="6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have the effect of prohibiting or impairing any business practice of Parent or any of its Subsidiaries in such a way as to be material and adverse to Parent and its Subsidiaries, taken as a whole.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CONDUCT BY THE COMPANY PRIOR TO THE EFFECTIVE TIME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i w:val="1"/>
          <w:iCs w:val="1"/>
          <w:color w:val="auto"/>
        </w:rPr>
        <w:t>Conduct of Business by the Company</w:t>
      </w:r>
      <w:r>
        <w:rPr>
          <w:rFonts w:ascii="Arial" w:cs="Arial" w:eastAsia="Arial" w:hAnsi="Arial"/>
          <w:sz w:val="18"/>
          <w:szCs w:val="18"/>
          <w:color w:val="auto"/>
        </w:rPr>
        <w:t>.</w:t>
      </w:r>
    </w:p>
    <w:p>
      <w:pPr>
        <w:spacing w:after="0" w:line="225" w:lineRule="exact"/>
        <w:rPr>
          <w:sz w:val="20"/>
          <w:szCs w:val="20"/>
          <w:color w:val="auto"/>
        </w:rPr>
      </w:pPr>
    </w:p>
    <w:p>
      <w:pPr>
        <w:ind w:left="420" w:right="40" w:firstLine="1290"/>
        <w:spacing w:after="0" w:line="271" w:lineRule="auto"/>
        <w:tabs>
          <w:tab w:leader="none" w:pos="1954" w:val="left"/>
        </w:tabs>
        <w:numPr>
          <w:ilvl w:val="0"/>
          <w:numId w:val="73"/>
        </w:numPr>
        <w:rPr>
          <w:rFonts w:ascii="Arial" w:cs="Arial" w:eastAsia="Arial" w:hAnsi="Arial"/>
          <w:sz w:val="17"/>
          <w:szCs w:val="17"/>
          <w:color w:val="auto"/>
        </w:rPr>
      </w:pPr>
      <w:r>
        <w:rPr>
          <w:rFonts w:ascii="Arial" w:cs="Arial" w:eastAsia="Arial" w:hAnsi="Arial"/>
          <w:sz w:val="17"/>
          <w:szCs w:val="17"/>
          <w:b w:val="1"/>
          <w:bCs w:val="1"/>
          <w:i w:val="1"/>
          <w:iCs w:val="1"/>
          <w:color w:val="auto"/>
        </w:rPr>
        <w:t>Ordinary Course</w:t>
      </w:r>
      <w:r>
        <w:rPr>
          <w:rFonts w:ascii="Arial" w:cs="Arial" w:eastAsia="Arial" w:hAnsi="Arial"/>
          <w:sz w:val="17"/>
          <w:szCs w:val="17"/>
          <w:color w:val="auto"/>
        </w:rPr>
        <w:t>. During the period from the date hereof and continuing until the earlier of the termination of this Agreement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pursuant to its terms or the Effective Time, the Company and each of its Subsidiaries shall, except to the extent that an authorized officer of Parent shall otherwise consent in writing, (i) use all reasonable efforts to carry on their business in the usual, regular and ordinary course, in substantially the same manner as heretofore conducted and in compliance with all applicable laws and regulations, (ii) pay their material debts when due, subject to good faith disputes over such debts, pay or perform other material obligations when due and (iii) use reasonable efforts consistent with past practice to (x) preserve intact their present business organization and employee base and (y) preserve their relationships with customers, suppliers, licensors, licensees, and others with which they have business dealings. In addition, the Company shall promptly notify Parent in writing of any occurrence of a Material Adverse Effect.</w:t>
      </w:r>
    </w:p>
    <w:p>
      <w:pPr>
        <w:spacing w:after="0" w:line="174" w:lineRule="exact"/>
        <w:rPr>
          <w:rFonts w:ascii="Arial" w:cs="Arial" w:eastAsia="Arial" w:hAnsi="Arial"/>
          <w:sz w:val="17"/>
          <w:szCs w:val="17"/>
          <w:color w:val="auto"/>
        </w:rPr>
      </w:pPr>
    </w:p>
    <w:p>
      <w:pPr>
        <w:ind w:left="420" w:right="20" w:firstLine="1290"/>
        <w:spacing w:after="0" w:line="261" w:lineRule="auto"/>
        <w:tabs>
          <w:tab w:leader="none" w:pos="1964" w:val="left"/>
        </w:tabs>
        <w:numPr>
          <w:ilvl w:val="0"/>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Required Consent</w:t>
      </w:r>
      <w:r>
        <w:rPr>
          <w:rFonts w:ascii="Arial" w:cs="Arial" w:eastAsia="Arial" w:hAnsi="Arial"/>
          <w:sz w:val="18"/>
          <w:szCs w:val="18"/>
          <w:color w:val="auto"/>
        </w:rPr>
        <w:t>. Without limiting the generality of</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Section 4.1(a)</w:t>
      </w:r>
      <w:r>
        <w:rPr>
          <w:rFonts w:ascii="Arial" w:cs="Arial" w:eastAsia="Arial" w:hAnsi="Arial"/>
          <w:sz w:val="18"/>
          <w:szCs w:val="18"/>
          <w:color w:val="auto"/>
        </w:rPr>
        <w:t>, except as expressly permitted by this Agreement or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described in </w:t>
      </w:r>
      <w:r>
        <w:rPr>
          <w:rFonts w:ascii="Arial" w:cs="Arial" w:eastAsia="Arial" w:hAnsi="Arial"/>
          <w:sz w:val="18"/>
          <w:szCs w:val="18"/>
          <w:b w:val="1"/>
          <w:bCs w:val="1"/>
          <w:color w:val="auto"/>
        </w:rPr>
        <w:t>Section 4.1(b)</w:t>
      </w:r>
      <w:r>
        <w:rPr>
          <w:rFonts w:ascii="Arial" w:cs="Arial" w:eastAsia="Arial" w:hAnsi="Arial"/>
          <w:sz w:val="18"/>
          <w:szCs w:val="18"/>
          <w:color w:val="auto"/>
        </w:rPr>
        <w:t xml:space="preserve"> of the Company Disclosure Schedule, without the prior written consent of Parent, during the period from the date hereof and continuing until the earlier of the termination of this Agreement pursuant to its terms or the Effective Time, the Company shall not do any of the following, and shall not permit any of its Subsidiaries to do any of the following:</w:t>
      </w:r>
    </w:p>
    <w:p>
      <w:pPr>
        <w:spacing w:after="0" w:line="184" w:lineRule="exact"/>
        <w:rPr>
          <w:rFonts w:ascii="Arial" w:cs="Arial" w:eastAsia="Arial" w:hAnsi="Arial"/>
          <w:sz w:val="18"/>
          <w:szCs w:val="18"/>
          <w:color w:val="auto"/>
        </w:rPr>
      </w:pPr>
    </w:p>
    <w:p>
      <w:pPr>
        <w:ind w:left="2600" w:hanging="323"/>
        <w:spacing w:after="0"/>
        <w:tabs>
          <w:tab w:leader="none" w:pos="26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Enter into a new line of business which is material to the Company and its Subsidiaries taken as a whole;</w:t>
      </w:r>
    </w:p>
    <w:p>
      <w:pPr>
        <w:spacing w:after="0" w:line="225" w:lineRule="exact"/>
        <w:rPr>
          <w:rFonts w:ascii="Arial" w:cs="Arial" w:eastAsia="Arial" w:hAnsi="Arial"/>
          <w:sz w:val="18"/>
          <w:szCs w:val="18"/>
          <w:color w:val="auto"/>
        </w:rPr>
      </w:pPr>
    </w:p>
    <w:p>
      <w:pPr>
        <w:ind w:right="60" w:firstLine="2277"/>
        <w:spacing w:after="0" w:line="279" w:lineRule="auto"/>
        <w:tabs>
          <w:tab w:leader="none" w:pos="2603" w:val="left"/>
        </w:tabs>
        <w:numPr>
          <w:ilvl w:val="1"/>
          <w:numId w:val="73"/>
        </w:numPr>
        <w:rPr>
          <w:rFonts w:ascii="Arial" w:cs="Arial" w:eastAsia="Arial" w:hAnsi="Arial"/>
          <w:sz w:val="17"/>
          <w:szCs w:val="17"/>
          <w:color w:val="auto"/>
        </w:rPr>
      </w:pPr>
      <w:r>
        <w:rPr>
          <w:rFonts w:ascii="Arial" w:cs="Arial" w:eastAsia="Arial" w:hAnsi="Arial"/>
          <w:sz w:val="17"/>
          <w:szCs w:val="17"/>
          <w:color w:val="auto"/>
        </w:rPr>
        <w:t>Declare, set aside or pay any dividends on or make any other distributions (whether in cash, stock, equity securities or property) in respect of any capital stock or split, combine or reclassify any capital stock or issue or authorize the issuance of any other securities in respect of, in lieu of or in substitution for any capital stock, other than any such transaction by a wholly-owned Subsidiary of it that remains a wholly-owned Subsidiary of it after consummation of such transaction, in the ordinary course of business consistent with past practice;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320" w:firstLine="2277"/>
        <w:spacing w:after="0" w:line="264" w:lineRule="auto"/>
        <w:tabs>
          <w:tab w:leader="none" w:pos="2615" w:val="left"/>
        </w:tabs>
        <w:numPr>
          <w:ilvl w:val="0"/>
          <w:numId w:val="74"/>
        </w:numPr>
        <w:rPr>
          <w:rFonts w:ascii="Arial" w:cs="Arial" w:eastAsia="Arial" w:hAnsi="Arial"/>
          <w:sz w:val="18"/>
          <w:szCs w:val="18"/>
          <w:color w:val="auto"/>
        </w:rPr>
      </w:pPr>
      <w:r>
        <w:rPr>
          <w:rFonts w:ascii="Arial" w:cs="Arial" w:eastAsia="Arial" w:hAnsi="Arial"/>
          <w:sz w:val="18"/>
          <w:szCs w:val="18"/>
          <w:color w:val="auto"/>
        </w:rPr>
        <w:t>Purchase, redeem or otherwise acquire, directly or indirectly, any shares of its capital stock or the capital stock of its Subsidiaries other than pursuant to the Company’s right to repurchase restricted shares of Company Common Stock held by an employee of the Company upon termination of such employee’s employment;</w:t>
      </w:r>
    </w:p>
    <w:p>
      <w:pPr>
        <w:spacing w:after="0" w:line="181" w:lineRule="exact"/>
        <w:rPr>
          <w:rFonts w:ascii="Arial" w:cs="Arial" w:eastAsia="Arial" w:hAnsi="Arial"/>
          <w:sz w:val="18"/>
          <w:szCs w:val="18"/>
          <w:color w:val="auto"/>
        </w:rPr>
      </w:pPr>
    </w:p>
    <w:p>
      <w:pPr>
        <w:ind w:firstLine="2277"/>
        <w:spacing w:after="0" w:line="268" w:lineRule="auto"/>
        <w:tabs>
          <w:tab w:leader="none" w:pos="2605" w:val="left"/>
        </w:tabs>
        <w:numPr>
          <w:ilvl w:val="0"/>
          <w:numId w:val="74"/>
        </w:numPr>
        <w:rPr>
          <w:rFonts w:ascii="Arial" w:cs="Arial" w:eastAsia="Arial" w:hAnsi="Arial"/>
          <w:sz w:val="17"/>
          <w:szCs w:val="17"/>
          <w:color w:val="auto"/>
        </w:rPr>
      </w:pPr>
      <w:r>
        <w:rPr>
          <w:rFonts w:ascii="Arial" w:cs="Arial" w:eastAsia="Arial" w:hAnsi="Arial"/>
          <w:sz w:val="17"/>
          <w:szCs w:val="17"/>
          <w:color w:val="auto"/>
        </w:rPr>
        <w:t xml:space="preserve">Issue, deliver, sell, authorize, pledge or otherwise encumber any shares of capital stock, Voting Debt, other voting securities or any securities convertible into shares of capital stock, Voting Debt or other voting securities, or subscriptions, rights (including stock appreciation rights whether settled in cash or shares of Company Common Stock), warrants or options to acquire any shares of capital stock, Voting Debt, other voting securities or any securities convertible into shares of capital stock, Voting Debt or other voting securities, enter into other agreements or commitments of any character obligating it to issue any such securities or rights, or grant any restricted stock, restricted stock units, performance shares, performance share units or other equity based awards other than: (A) issuances of Company Common Stock upon the exercise of Company Options existing on the date hereof in accordance with their present terms; (B) issuances of Company Options to new employees to purchase up to an aggregate of 200,000 shares of Company Common Stock and the issuance of Company Common Stock on the exercise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no event shall the Company grant any new employee Company Options to purchase more than 20,000 shares of Company Common Stock,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in the event the Closing does not occur on or prior to September 6, 2006, from such date through the earlier of the Closing or the termination of this Agreement, the Company shall be permitted to issue additional Company Options to new employees to purchase up to an aggregate of 150,000 shares of Company Common Stock; (C) issuances of up to an aggregate of 825,000 shares of Company Common Stock pursuant to the ESPP; or (D) the issuances of Company Common Stock issuable upon the exercise, conversion or exchange of any other securities issued by the Company prior to the date of this Agreement which securities are exercisable, convertible or exchangeable into Company Common Stock;</w:t>
      </w:r>
    </w:p>
    <w:p>
      <w:pPr>
        <w:spacing w:after="0" w:line="185" w:lineRule="exact"/>
        <w:rPr>
          <w:rFonts w:ascii="Arial" w:cs="Arial" w:eastAsia="Arial" w:hAnsi="Arial"/>
          <w:sz w:val="17"/>
          <w:szCs w:val="17"/>
          <w:color w:val="auto"/>
        </w:rPr>
      </w:pPr>
    </w:p>
    <w:p>
      <w:pPr>
        <w:ind w:right="260" w:firstLine="2277"/>
        <w:spacing w:after="0" w:line="277" w:lineRule="auto"/>
        <w:tabs>
          <w:tab w:leader="none" w:pos="2593" w:val="left"/>
        </w:tabs>
        <w:numPr>
          <w:ilvl w:val="0"/>
          <w:numId w:val="74"/>
        </w:numPr>
        <w:rPr>
          <w:rFonts w:ascii="Arial" w:cs="Arial" w:eastAsia="Arial" w:hAnsi="Arial"/>
          <w:sz w:val="18"/>
          <w:szCs w:val="18"/>
          <w:color w:val="auto"/>
        </w:rPr>
      </w:pPr>
      <w:r>
        <w:rPr>
          <w:rFonts w:ascii="Arial" w:cs="Arial" w:eastAsia="Arial" w:hAnsi="Arial"/>
          <w:sz w:val="18"/>
          <w:szCs w:val="18"/>
          <w:color w:val="auto"/>
        </w:rPr>
        <w:t>Cause, permit or propose any amendments to the Company Charter Documents or adopt any amendments to any of the Subsidiary Charter Documents of the Company’s Subsidiaries;</w:t>
      </w:r>
    </w:p>
    <w:p>
      <w:pPr>
        <w:spacing w:after="0" w:line="170" w:lineRule="exact"/>
        <w:rPr>
          <w:rFonts w:ascii="Arial" w:cs="Arial" w:eastAsia="Arial" w:hAnsi="Arial"/>
          <w:sz w:val="18"/>
          <w:szCs w:val="18"/>
          <w:color w:val="auto"/>
        </w:rPr>
      </w:pPr>
    </w:p>
    <w:p>
      <w:pPr>
        <w:ind w:right="220" w:firstLine="2277"/>
        <w:spacing w:after="0" w:line="277" w:lineRule="auto"/>
        <w:tabs>
          <w:tab w:leader="none" w:pos="2605" w:val="left"/>
        </w:tabs>
        <w:numPr>
          <w:ilvl w:val="0"/>
          <w:numId w:val="74"/>
        </w:numPr>
        <w:rPr>
          <w:rFonts w:ascii="Arial" w:cs="Arial" w:eastAsia="Arial" w:hAnsi="Arial"/>
          <w:sz w:val="18"/>
          <w:szCs w:val="18"/>
          <w:color w:val="auto"/>
        </w:rPr>
      </w:pPr>
      <w:r>
        <w:rPr>
          <w:rFonts w:ascii="Arial" w:cs="Arial" w:eastAsia="Arial" w:hAnsi="Arial"/>
          <w:sz w:val="18"/>
          <w:szCs w:val="18"/>
          <w:color w:val="auto"/>
        </w:rPr>
        <w:t>Acquire or agree to acquire by merging or consolidating with, or by purchasing any equity or voting interest in or all or substantially all the assets of, or by any other manner, any business or any Person or division thereof;</w:t>
      </w:r>
    </w:p>
    <w:p>
      <w:pPr>
        <w:spacing w:after="0" w:line="170" w:lineRule="exact"/>
        <w:rPr>
          <w:rFonts w:ascii="Arial" w:cs="Arial" w:eastAsia="Arial" w:hAnsi="Arial"/>
          <w:sz w:val="18"/>
          <w:szCs w:val="18"/>
          <w:color w:val="auto"/>
        </w:rPr>
      </w:pPr>
    </w:p>
    <w:p>
      <w:pPr>
        <w:jc w:val="both"/>
        <w:ind w:firstLine="2277"/>
        <w:spacing w:after="0" w:line="259" w:lineRule="auto"/>
        <w:tabs>
          <w:tab w:leader="none" w:pos="2617" w:val="left"/>
        </w:tabs>
        <w:numPr>
          <w:ilvl w:val="0"/>
          <w:numId w:val="74"/>
        </w:numPr>
        <w:rPr>
          <w:rFonts w:ascii="Arial" w:cs="Arial" w:eastAsia="Arial" w:hAnsi="Arial"/>
          <w:sz w:val="18"/>
          <w:szCs w:val="18"/>
          <w:color w:val="auto"/>
        </w:rPr>
      </w:pPr>
      <w:r>
        <w:rPr>
          <w:rFonts w:ascii="Arial" w:cs="Arial" w:eastAsia="Arial" w:hAnsi="Arial"/>
          <w:sz w:val="18"/>
          <w:szCs w:val="18"/>
          <w:color w:val="auto"/>
        </w:rPr>
        <w:t>Except for purchases of inventory in the ordinary course of business consistent with past practice and the implementation of the Oracle Corporation enterprise software solution, acquire or agree to acquire any assets that are material, individually or in the aggregate, to the business of the Company and its Subsidiaries, or in any event, for consideration in excess of $250,000 in any one case or in the aggregate or solicit or participate in any negotiations with respect to the foregoing;</w:t>
      </w:r>
    </w:p>
    <w:p>
      <w:pPr>
        <w:spacing w:after="0" w:line="186" w:lineRule="exact"/>
        <w:rPr>
          <w:rFonts w:ascii="Arial" w:cs="Arial" w:eastAsia="Arial" w:hAnsi="Arial"/>
          <w:sz w:val="18"/>
          <w:szCs w:val="18"/>
          <w:color w:val="auto"/>
        </w:rPr>
      </w:pPr>
    </w:p>
    <w:p>
      <w:pPr>
        <w:ind w:right="480" w:firstLine="2277"/>
        <w:spacing w:after="0" w:line="277" w:lineRule="auto"/>
        <w:tabs>
          <w:tab w:leader="none" w:pos="2674" w:val="left"/>
        </w:tabs>
        <w:numPr>
          <w:ilvl w:val="0"/>
          <w:numId w:val="74"/>
        </w:numPr>
        <w:rPr>
          <w:rFonts w:ascii="Arial" w:cs="Arial" w:eastAsia="Arial" w:hAnsi="Arial"/>
          <w:sz w:val="18"/>
          <w:szCs w:val="18"/>
          <w:color w:val="auto"/>
        </w:rPr>
      </w:pPr>
      <w:r>
        <w:rPr>
          <w:rFonts w:ascii="Arial" w:cs="Arial" w:eastAsia="Arial" w:hAnsi="Arial"/>
          <w:sz w:val="18"/>
          <w:szCs w:val="18"/>
          <w:color w:val="auto"/>
        </w:rPr>
        <w:t>Enter into any agreement with respect to the formation of any joint venture, strategic partnership or alliance if it (i) would present a material risk of delaying the Merger,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00" w:firstLine="8"/>
        <w:spacing w:after="0" w:line="277" w:lineRule="auto"/>
        <w:tabs>
          <w:tab w:leader="none" w:pos="265"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require the consent of the counterparty thereto to consummate the Merger or (iii) require the investment of at least $500,000 of assets or equity of the Company or any of its Subsidiaries;</w:t>
      </w:r>
    </w:p>
    <w:p>
      <w:pPr>
        <w:spacing w:after="0" w:line="170" w:lineRule="exact"/>
        <w:rPr>
          <w:rFonts w:ascii="Arial" w:cs="Arial" w:eastAsia="Arial" w:hAnsi="Arial"/>
          <w:sz w:val="18"/>
          <w:szCs w:val="18"/>
          <w:color w:val="auto"/>
        </w:rPr>
      </w:pPr>
    </w:p>
    <w:p>
      <w:pPr>
        <w:ind w:right="140" w:firstLine="2277"/>
        <w:spacing w:after="0" w:line="286" w:lineRule="auto"/>
        <w:tabs>
          <w:tab w:leader="none" w:pos="2643" w:val="left"/>
        </w:tabs>
        <w:numPr>
          <w:ilvl w:val="1"/>
          <w:numId w:val="75"/>
        </w:numPr>
        <w:rPr>
          <w:rFonts w:ascii="Arial" w:cs="Arial" w:eastAsia="Arial" w:hAnsi="Arial"/>
          <w:sz w:val="17"/>
          <w:szCs w:val="17"/>
          <w:color w:val="auto"/>
        </w:rPr>
      </w:pPr>
      <w:r>
        <w:rPr>
          <w:rFonts w:ascii="Arial" w:cs="Arial" w:eastAsia="Arial" w:hAnsi="Arial"/>
          <w:sz w:val="17"/>
          <w:szCs w:val="17"/>
          <w:color w:val="auto"/>
        </w:rPr>
        <w:t>Sell, lease, license, encumber or otherwise dispose of any properties or assets that are material, individually or in the aggregate, to the business of the Company and its Subsidiaries, for consideration in excess of $500,000 in any one case or in the aggregate except the sale or licenses of current Company Products in the ordinary course of business and in a manner consistent with past practice;</w:t>
      </w:r>
    </w:p>
    <w:p>
      <w:pPr>
        <w:sectPr>
          <w:pgSz w:w="11900" w:h="16907" w:orient="portrait"/>
          <w:cols w:equalWidth="0" w:num="1">
            <w:col w:w="11420"/>
          </w:cols>
          <w:pgMar w:left="240" w:top="125" w:right="239" w:bottom="0" w:gutter="0" w:footer="0" w:header="0"/>
        </w:sectPr>
      </w:pPr>
    </w:p>
    <w:bookmarkStart w:id="29" w:name="page30"/>
    <w:bookmarkEnd w:id="29"/>
    <w:p>
      <w:pPr>
        <w:spacing w:after="0" w:line="87" w:lineRule="exact"/>
        <w:rPr>
          <w:sz w:val="20"/>
          <w:szCs w:val="20"/>
          <w:color w:val="auto"/>
        </w:rPr>
      </w:pPr>
    </w:p>
    <w:p>
      <w:pPr>
        <w:ind w:right="420" w:firstLine="2277"/>
        <w:spacing w:after="0" w:line="277" w:lineRule="auto"/>
        <w:tabs>
          <w:tab w:leader="none" w:pos="2632" w:val="left"/>
        </w:tabs>
        <w:numPr>
          <w:ilvl w:val="1"/>
          <w:numId w:val="76"/>
        </w:numPr>
        <w:rPr>
          <w:rFonts w:ascii="Arial" w:cs="Arial" w:eastAsia="Arial" w:hAnsi="Arial"/>
          <w:sz w:val="18"/>
          <w:szCs w:val="18"/>
          <w:color w:val="auto"/>
        </w:rPr>
      </w:pPr>
      <w:r>
        <w:rPr>
          <w:rFonts w:ascii="Arial" w:cs="Arial" w:eastAsia="Arial" w:hAnsi="Arial"/>
          <w:sz w:val="18"/>
          <w:szCs w:val="18"/>
          <w:color w:val="auto"/>
        </w:rPr>
        <w:t>Effect any material restructuring activities by the Company or any of its Subsidiaries with respect to their respective employees, including any material reductions in force;</w:t>
      </w:r>
    </w:p>
    <w:p>
      <w:pPr>
        <w:spacing w:after="0" w:line="170" w:lineRule="exact"/>
        <w:rPr>
          <w:rFonts w:ascii="Arial" w:cs="Arial" w:eastAsia="Arial" w:hAnsi="Arial"/>
          <w:sz w:val="18"/>
          <w:szCs w:val="18"/>
          <w:color w:val="auto"/>
        </w:rPr>
      </w:pPr>
    </w:p>
    <w:p>
      <w:pPr>
        <w:ind w:right="80" w:firstLine="2277"/>
        <w:spacing w:after="0" w:line="257" w:lineRule="auto"/>
        <w:tabs>
          <w:tab w:leader="none" w:pos="2643" w:val="left"/>
        </w:tabs>
        <w:numPr>
          <w:ilvl w:val="1"/>
          <w:numId w:val="76"/>
        </w:numPr>
        <w:rPr>
          <w:rFonts w:ascii="Arial" w:cs="Arial" w:eastAsia="Arial" w:hAnsi="Arial"/>
          <w:sz w:val="18"/>
          <w:szCs w:val="18"/>
          <w:color w:val="auto"/>
        </w:rPr>
      </w:pPr>
      <w:r>
        <w:rPr>
          <w:rFonts w:ascii="Arial" w:cs="Arial" w:eastAsia="Arial" w:hAnsi="Arial"/>
          <w:sz w:val="18"/>
          <w:szCs w:val="18"/>
          <w:color w:val="auto"/>
        </w:rPr>
        <w:t>Make any loans, extensions of credit or financing, advances or capital contributions to, or investments in, or grant extended payment terms to any other Person, other than: (a) loans or investments by the Company or a wholly-owned Subsidiary of the Company to or in the Company or any wholly-owned Subsidiary of the Company, (b) subject to applicable law, employee loans or advances for travel and entertainment expenses made in the ordinary course of business consistent with past practice, (c) extensions of credit or financing to, or extended payment terms for, customers made in the ordinary course of business consistent with past practice;</w:t>
      </w:r>
    </w:p>
    <w:p>
      <w:pPr>
        <w:spacing w:after="0" w:line="188" w:lineRule="exact"/>
        <w:rPr>
          <w:rFonts w:ascii="Arial" w:cs="Arial" w:eastAsia="Arial" w:hAnsi="Arial"/>
          <w:sz w:val="18"/>
          <w:szCs w:val="18"/>
          <w:color w:val="auto"/>
        </w:rPr>
      </w:pPr>
    </w:p>
    <w:p>
      <w:pPr>
        <w:ind w:right="480" w:firstLine="2277"/>
        <w:spacing w:after="0" w:line="277" w:lineRule="auto"/>
        <w:tabs>
          <w:tab w:leader="none" w:pos="2655" w:val="left"/>
        </w:tabs>
        <w:numPr>
          <w:ilvl w:val="1"/>
          <w:numId w:val="76"/>
        </w:numPr>
        <w:rPr>
          <w:rFonts w:ascii="Arial" w:cs="Arial" w:eastAsia="Arial" w:hAnsi="Arial"/>
          <w:sz w:val="18"/>
          <w:szCs w:val="18"/>
          <w:color w:val="auto"/>
        </w:rPr>
      </w:pPr>
      <w:r>
        <w:rPr>
          <w:rFonts w:ascii="Arial" w:cs="Arial" w:eastAsia="Arial" w:hAnsi="Arial"/>
          <w:sz w:val="18"/>
          <w:szCs w:val="18"/>
          <w:color w:val="auto"/>
        </w:rPr>
        <w:t>Except as required by GAAP, international accounting standards or any Governmental Entity as concurred in by its independent auditors, make any change in its methods or principles of accounting or revalue any of its assets;</w:t>
      </w:r>
    </w:p>
    <w:p>
      <w:pPr>
        <w:spacing w:after="0" w:line="170" w:lineRule="exact"/>
        <w:rPr>
          <w:rFonts w:ascii="Arial" w:cs="Arial" w:eastAsia="Arial" w:hAnsi="Arial"/>
          <w:sz w:val="18"/>
          <w:szCs w:val="18"/>
          <w:color w:val="auto"/>
        </w:rPr>
      </w:pPr>
    </w:p>
    <w:p>
      <w:pPr>
        <w:jc w:val="both"/>
        <w:ind w:right="200" w:firstLine="2277"/>
        <w:spacing w:after="0" w:line="279" w:lineRule="auto"/>
        <w:tabs>
          <w:tab w:leader="none" w:pos="2719" w:val="left"/>
        </w:tabs>
        <w:numPr>
          <w:ilvl w:val="1"/>
          <w:numId w:val="76"/>
        </w:numPr>
        <w:rPr>
          <w:rFonts w:ascii="Arial" w:cs="Arial" w:eastAsia="Arial" w:hAnsi="Arial"/>
          <w:sz w:val="17"/>
          <w:szCs w:val="17"/>
          <w:color w:val="auto"/>
        </w:rPr>
      </w:pPr>
      <w:r>
        <w:rPr>
          <w:rFonts w:ascii="Arial" w:cs="Arial" w:eastAsia="Arial" w:hAnsi="Arial"/>
          <w:sz w:val="17"/>
          <w:szCs w:val="17"/>
          <w:color w:val="auto"/>
        </w:rPr>
        <w:t xml:space="preserve">Fail to file, on a timely basis, including allowable extensions, with the appropriate Governmental Entities, all material Tax Returns required to be filed by or with respect to the Company and each of its Subsidiaries for taxable years or periods ending on or before the Closing Date and due on or prior to the Closing Date, or fail to timely pay or remit (or cause to be paid or remitted) any material Taxes due in respect of such Tax Returns;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all such Tax Returns shall be true, correct and complete in all material respects;</w:t>
      </w:r>
    </w:p>
    <w:p>
      <w:pPr>
        <w:spacing w:after="0" w:line="171" w:lineRule="exact"/>
        <w:rPr>
          <w:rFonts w:ascii="Arial" w:cs="Arial" w:eastAsia="Arial" w:hAnsi="Arial"/>
          <w:sz w:val="17"/>
          <w:szCs w:val="17"/>
          <w:color w:val="auto"/>
        </w:rPr>
      </w:pPr>
    </w:p>
    <w:p>
      <w:pPr>
        <w:ind w:right="320" w:firstLine="2277"/>
        <w:spacing w:after="0" w:line="259" w:lineRule="auto"/>
        <w:tabs>
          <w:tab w:leader="none" w:pos="2709" w:val="left"/>
        </w:tabs>
        <w:numPr>
          <w:ilvl w:val="1"/>
          <w:numId w:val="76"/>
        </w:numPr>
        <w:rPr>
          <w:rFonts w:ascii="Arial" w:cs="Arial" w:eastAsia="Arial" w:hAnsi="Arial"/>
          <w:sz w:val="18"/>
          <w:szCs w:val="18"/>
          <w:color w:val="auto"/>
        </w:rPr>
      </w:pPr>
      <w:r>
        <w:rPr>
          <w:rFonts w:ascii="Arial" w:cs="Arial" w:eastAsia="Arial" w:hAnsi="Arial"/>
          <w:sz w:val="18"/>
          <w:szCs w:val="18"/>
          <w:color w:val="auto"/>
        </w:rPr>
        <w:t>(A) Amend any material Tax Returns, make any material election relating to Taxes, change any material election relating to Taxes already made, adopt any material accounting method relating to Taxes, change any material accounting method relating to Taxes unless required by a change in the Code, or (B) settle, consent, or enter into any closing agreement relating to any Audit or consent to any waiver of the statutory period of limitations in respect of any Audit;</w:t>
      </w:r>
    </w:p>
    <w:p>
      <w:pPr>
        <w:spacing w:after="0" w:line="186" w:lineRule="exact"/>
        <w:rPr>
          <w:rFonts w:ascii="Arial" w:cs="Arial" w:eastAsia="Arial" w:hAnsi="Arial"/>
          <w:sz w:val="18"/>
          <w:szCs w:val="18"/>
          <w:color w:val="auto"/>
        </w:rPr>
      </w:pPr>
    </w:p>
    <w:p>
      <w:pPr>
        <w:ind w:right="100" w:firstLine="2277"/>
        <w:spacing w:after="0" w:line="291" w:lineRule="auto"/>
        <w:tabs>
          <w:tab w:leader="none" w:pos="2607" w:val="left"/>
        </w:tabs>
        <w:numPr>
          <w:ilvl w:val="1"/>
          <w:numId w:val="76"/>
        </w:numPr>
        <w:rPr>
          <w:rFonts w:ascii="Arial" w:cs="Arial" w:eastAsia="Arial" w:hAnsi="Arial"/>
          <w:sz w:val="16"/>
          <w:szCs w:val="16"/>
          <w:color w:val="auto"/>
        </w:rPr>
      </w:pPr>
      <w:r>
        <w:rPr>
          <w:rFonts w:ascii="Arial" w:cs="Arial" w:eastAsia="Arial" w:hAnsi="Arial"/>
          <w:sz w:val="16"/>
          <w:szCs w:val="16"/>
          <w:color w:val="auto"/>
        </w:rPr>
        <w:t>Except in the ordinary course of business consistent with past practice, enter into any licensing, distribution, supply, procurement, manufacturing, marketing, OEM, VAR, system integrator, system outsourcer or other similar contracts, agreements, or obligations which either</w:t>
      </w:r>
    </w:p>
    <w:p>
      <w:pPr>
        <w:jc w:val="both"/>
        <w:ind w:right="160" w:firstLine="8"/>
        <w:spacing w:after="0" w:line="255" w:lineRule="auto"/>
        <w:tabs>
          <w:tab w:leader="none" w:pos="245"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may not be canceled without penalty by the Company or its Subsidiaries upon notice of 30 days or less and which provide for express payments by or to the Company or its Subsidiaries in an amount in excess of $100,000 in any one year or (b) which involve any exclusive terms of any kind which are binding on the Company or any of its Subsidiaries;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320" w:firstLine="2277"/>
        <w:spacing w:after="0" w:line="277" w:lineRule="auto"/>
        <w:tabs>
          <w:tab w:leader="none" w:pos="2709" w:val="left"/>
        </w:tabs>
        <w:numPr>
          <w:ilvl w:val="0"/>
          <w:numId w:val="78"/>
        </w:numPr>
        <w:rPr>
          <w:rFonts w:ascii="Arial" w:cs="Arial" w:eastAsia="Arial" w:hAnsi="Arial"/>
          <w:sz w:val="18"/>
          <w:szCs w:val="18"/>
          <w:color w:val="auto"/>
        </w:rPr>
      </w:pPr>
      <w:r>
        <w:rPr>
          <w:rFonts w:ascii="Arial" w:cs="Arial" w:eastAsia="Arial" w:hAnsi="Arial"/>
          <w:sz w:val="18"/>
          <w:szCs w:val="18"/>
          <w:color w:val="auto"/>
        </w:rPr>
        <w:t>Cancel or terminate without reasonable substitute policy therefor, or amend in any material respect or enter into, any material insurance policy, other than the renewal of existing insurance policies;</w:t>
      </w:r>
    </w:p>
    <w:p>
      <w:pPr>
        <w:spacing w:after="0" w:line="170" w:lineRule="exact"/>
        <w:rPr>
          <w:rFonts w:ascii="Arial" w:cs="Arial" w:eastAsia="Arial" w:hAnsi="Arial"/>
          <w:sz w:val="18"/>
          <w:szCs w:val="18"/>
          <w:color w:val="auto"/>
        </w:rPr>
      </w:pPr>
    </w:p>
    <w:p>
      <w:pPr>
        <w:ind w:firstLine="2277"/>
        <w:spacing w:after="0" w:line="272" w:lineRule="auto"/>
        <w:tabs>
          <w:tab w:leader="none" w:pos="2759"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Commence or settle any lawsuit, threat of any lawsuit or proceeding or other investigation by or, to the Company’s Knowledge, against the Company or any Subsidiary or relating to any of their businesses, properties or assets, other than settlements with prejudice entered into in the ordinary course of business and requiring of the Company and its Subsidiaries only the payment of monetary damages not exceeding $250,000 or involving ordinary course collection claims for accounts receivable due and payable to the Company;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neither the Company nor any of its Subsidiaries shall be permitted to settle any lawsuit, threat of any lawsuit, claim or proceeding with respect to the matters set forth in </w:t>
      </w:r>
      <w:r>
        <w:rPr>
          <w:rFonts w:ascii="Arial" w:cs="Arial" w:eastAsia="Arial" w:hAnsi="Arial"/>
          <w:sz w:val="17"/>
          <w:szCs w:val="17"/>
          <w:b w:val="1"/>
          <w:bCs w:val="1"/>
          <w:color w:val="auto"/>
        </w:rPr>
        <w:t>Section 4.1</w:t>
      </w:r>
      <w:r>
        <w:rPr>
          <w:rFonts w:ascii="Arial" w:cs="Arial" w:eastAsia="Arial" w:hAnsi="Arial"/>
          <w:sz w:val="17"/>
          <w:szCs w:val="17"/>
          <w:color w:val="auto"/>
        </w:rPr>
        <w:t xml:space="preserve"> of the Company Disclosure Schedule without the express written consent of Parent; and </w:t>
      </w:r>
      <w:r>
        <w:rPr>
          <w:rFonts w:ascii="Arial" w:cs="Arial" w:eastAsia="Arial" w:hAnsi="Arial"/>
          <w:sz w:val="17"/>
          <w:szCs w:val="17"/>
          <w:i w:val="1"/>
          <w:iCs w:val="1"/>
          <w:color w:val="auto"/>
        </w:rPr>
        <w:t>provided, further</w:t>
      </w:r>
      <w:r>
        <w:rPr>
          <w:rFonts w:ascii="Arial" w:cs="Arial" w:eastAsia="Arial" w:hAnsi="Arial"/>
          <w:sz w:val="17"/>
          <w:szCs w:val="17"/>
          <w:color w:val="auto"/>
        </w:rPr>
        <w:t>, that this provision shall not prevent the taking of any such actions against Parent, Merger Sub or any of their Affiliates;</w:t>
      </w:r>
    </w:p>
    <w:p>
      <w:pPr>
        <w:spacing w:after="0" w:line="177" w:lineRule="exact"/>
        <w:rPr>
          <w:rFonts w:ascii="Arial" w:cs="Arial" w:eastAsia="Arial" w:hAnsi="Arial"/>
          <w:sz w:val="17"/>
          <w:szCs w:val="17"/>
          <w:color w:val="auto"/>
        </w:rPr>
      </w:pPr>
    </w:p>
    <w:p>
      <w:pPr>
        <w:ind w:right="20" w:firstLine="2277"/>
        <w:spacing w:after="0" w:line="270" w:lineRule="auto"/>
        <w:tabs>
          <w:tab w:leader="none" w:pos="2809" w:val="left"/>
        </w:tabs>
        <w:numPr>
          <w:ilvl w:val="0"/>
          <w:numId w:val="78"/>
        </w:numPr>
        <w:rPr>
          <w:rFonts w:ascii="Arial" w:cs="Arial" w:eastAsia="Arial" w:hAnsi="Arial"/>
          <w:sz w:val="17"/>
          <w:szCs w:val="17"/>
          <w:color w:val="auto"/>
        </w:rPr>
      </w:pPr>
      <w:r>
        <w:rPr>
          <w:rFonts w:ascii="Arial" w:cs="Arial" w:eastAsia="Arial" w:hAnsi="Arial"/>
          <w:sz w:val="17"/>
          <w:szCs w:val="17"/>
          <w:color w:val="auto"/>
        </w:rPr>
        <w:t>Except as required by Legal Requirements or Contracts currently binding on the Company or its Subsidiaries, (1) increase in any manner the amount of compensation or fringe benefits of, pay or grant any bonus, change of control, severance or termination pay to any Employee/Service Provider or director of the Company or any Subsidiary of the Company, (2) adopt or amend any Company Employee Plan or make any contribution, other than regularly scheduled contributions, to any Company Employee Plan, (3) waive any stock repurchase rights, accelerate, amend or change the period of vesting or exercisability of Company Options, or reprice any Company Options or authorize cash payments in exchange for any Company Options, or (4) enter into, modify or amend any Employee Agreement or indemnification agreement with any Employee/Service Provider (other than offer letters and letter agreements entered into in the ordinary course of business consistent with past practice with employees who are terminable “at will,” or modifications whereby an Employee/Service Provider waives the right to acceleration, or agrees to the cancellation of, any Company Option or other award) or (5) enter into any collective bargaining agreement;</w:t>
      </w:r>
    </w:p>
    <w:p>
      <w:pPr>
        <w:spacing w:after="0" w:line="181" w:lineRule="exact"/>
        <w:rPr>
          <w:rFonts w:ascii="Arial" w:cs="Arial" w:eastAsia="Arial" w:hAnsi="Arial"/>
          <w:sz w:val="17"/>
          <w:szCs w:val="17"/>
          <w:color w:val="auto"/>
        </w:rPr>
      </w:pPr>
    </w:p>
    <w:p>
      <w:pPr>
        <w:ind w:right="120" w:firstLine="2277"/>
        <w:spacing w:after="0" w:line="259" w:lineRule="auto"/>
        <w:tabs>
          <w:tab w:leader="none" w:pos="2709" w:val="left"/>
        </w:tabs>
        <w:numPr>
          <w:ilvl w:val="0"/>
          <w:numId w:val="78"/>
        </w:numPr>
        <w:rPr>
          <w:rFonts w:ascii="Arial" w:cs="Arial" w:eastAsia="Arial" w:hAnsi="Arial"/>
          <w:sz w:val="18"/>
          <w:szCs w:val="18"/>
          <w:color w:val="auto"/>
        </w:rPr>
      </w:pPr>
      <w:r>
        <w:rPr>
          <w:rFonts w:ascii="Arial" w:cs="Arial" w:eastAsia="Arial" w:hAnsi="Arial"/>
          <w:sz w:val="18"/>
          <w:szCs w:val="18"/>
          <w:color w:val="auto"/>
        </w:rPr>
        <w:t>Enter into any Contracts containing, or otherwise subject the Surviving Corporation or Parent to, any (A) non-competition, “most favored nations,” unpaid future deliverables, service requirements in each case outside the ordinary course of business, or (B) exclusivity or future royalty payments, or other material restrictions on the Company or the Surviving Corporation or Parent, or any of their respective businesses, following the Closing;</w:t>
      </w:r>
    </w:p>
    <w:p>
      <w:pPr>
        <w:spacing w:after="0" w:line="186" w:lineRule="exact"/>
        <w:rPr>
          <w:rFonts w:ascii="Arial" w:cs="Arial" w:eastAsia="Arial" w:hAnsi="Arial"/>
          <w:sz w:val="18"/>
          <w:szCs w:val="18"/>
          <w:color w:val="auto"/>
        </w:rPr>
      </w:pPr>
    </w:p>
    <w:p>
      <w:pPr>
        <w:ind w:right="560" w:firstLine="2277"/>
        <w:spacing w:after="0" w:line="277" w:lineRule="auto"/>
        <w:tabs>
          <w:tab w:leader="none" w:pos="2645"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Provide any material refund, credit or rebate to any customer, reseller or distributor, in each case, other than in the ordinary course of business consistent with past practice;</w:t>
      </w:r>
    </w:p>
    <w:p>
      <w:pPr>
        <w:spacing w:after="0" w:line="170" w:lineRule="exact"/>
        <w:rPr>
          <w:rFonts w:ascii="Arial" w:cs="Arial" w:eastAsia="Arial" w:hAnsi="Arial"/>
          <w:sz w:val="18"/>
          <w:szCs w:val="18"/>
          <w:color w:val="auto"/>
        </w:rPr>
      </w:pPr>
    </w:p>
    <w:p>
      <w:pPr>
        <w:jc w:val="both"/>
        <w:ind w:right="140" w:firstLine="2277"/>
        <w:spacing w:after="0" w:line="264" w:lineRule="auto"/>
        <w:tabs>
          <w:tab w:leader="none" w:pos="2709" w:val="left"/>
        </w:tabs>
        <w:numPr>
          <w:ilvl w:val="0"/>
          <w:numId w:val="78"/>
        </w:numPr>
        <w:rPr>
          <w:rFonts w:ascii="Arial" w:cs="Arial" w:eastAsia="Arial" w:hAnsi="Arial"/>
          <w:sz w:val="18"/>
          <w:szCs w:val="18"/>
          <w:color w:val="auto"/>
        </w:rPr>
      </w:pPr>
      <w:r>
        <w:rPr>
          <w:rFonts w:ascii="Arial" w:cs="Arial" w:eastAsia="Arial" w:hAnsi="Arial"/>
          <w:sz w:val="18"/>
          <w:szCs w:val="18"/>
          <w:color w:val="auto"/>
        </w:rPr>
        <w:t>Hire any non-officer employees other than in the ordinary course of business consistent with past practice or hire, elect or appoint any officers other than to fill vacancies or elect any directors, except in accordance with the Company Charter Documents with respect to director vacancies;</w:t>
      </w:r>
    </w:p>
    <w:p>
      <w:pPr>
        <w:spacing w:after="0" w:line="181" w:lineRule="exact"/>
        <w:rPr>
          <w:rFonts w:ascii="Arial" w:cs="Arial" w:eastAsia="Arial" w:hAnsi="Arial"/>
          <w:sz w:val="18"/>
          <w:szCs w:val="18"/>
          <w:color w:val="auto"/>
        </w:rPr>
      </w:pPr>
    </w:p>
    <w:p>
      <w:pPr>
        <w:ind w:right="280" w:firstLine="2277"/>
        <w:spacing w:after="0" w:line="277" w:lineRule="auto"/>
        <w:tabs>
          <w:tab w:leader="none" w:pos="2759"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Incur any indebtedness for borrowed money or guarantee any indebtedness of another Person in excess of $250,000, issue or sell any debt securities or options,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warrants, calls or other rights to acquire any debt securities of the Company or any of its Subsidiaries, guarantee any debt securities of another Person, enter into any “keep well” or other agreement to maintain any financial statement condition of any other Person or enter into any arrangement having the economic effect of any of the foregoing, other than (A) in the ordinary course of business consistent with past practice (B) with the financing of ordinary course trade</w:t>
      </w:r>
    </w:p>
    <w:p>
      <w:pPr>
        <w:sectPr>
          <w:pgSz w:w="11900" w:h="16925" w:orient="portrait"/>
          <w:cols w:equalWidth="0" w:num="1">
            <w:col w:w="11420"/>
          </w:cols>
          <w:pgMar w:left="240" w:top="341" w:right="239" w:bottom="0" w:gutter="0" w:footer="0" w:header="0"/>
        </w:sectPr>
      </w:pPr>
    </w:p>
    <w:bookmarkStart w:id="30" w:name="page31"/>
    <w:bookmarkEnd w:id="30"/>
    <w:p>
      <w:pPr>
        <w:spacing w:after="0" w:line="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payables consistent with past practice, (C) pursuant to existing credit facilities as in effect on the date hereof, or (D) loans, investments or guarantees by the Company or any of its Subsidiaries to, in or of its Subsidiaries;</w:t>
      </w:r>
    </w:p>
    <w:p>
      <w:pPr>
        <w:spacing w:after="0" w:line="170" w:lineRule="exact"/>
        <w:rPr>
          <w:sz w:val="20"/>
          <w:szCs w:val="20"/>
          <w:color w:val="auto"/>
        </w:rPr>
      </w:pPr>
    </w:p>
    <w:p>
      <w:pPr>
        <w:jc w:val="both"/>
        <w:ind w:right="180" w:firstLine="2277"/>
        <w:spacing w:after="0" w:line="264" w:lineRule="auto"/>
        <w:tabs>
          <w:tab w:leader="none" w:pos="2809"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Enter into any agreement to purchase or sell any interest in real property or grant any security interest in any real property, or (B) enter into any material lease, sublease or other occupancy agreement with respect to any real property or materially alter, amend, modify or terminate any of the terms of any Lease Document;</w:t>
      </w:r>
    </w:p>
    <w:p>
      <w:pPr>
        <w:spacing w:after="0" w:line="181" w:lineRule="exact"/>
        <w:rPr>
          <w:rFonts w:ascii="Arial" w:cs="Arial" w:eastAsia="Arial" w:hAnsi="Arial"/>
          <w:sz w:val="18"/>
          <w:szCs w:val="18"/>
          <w:color w:val="auto"/>
        </w:rPr>
      </w:pPr>
    </w:p>
    <w:p>
      <w:pPr>
        <w:ind w:right="120" w:firstLine="2277"/>
        <w:spacing w:after="0" w:line="264" w:lineRule="auto"/>
        <w:tabs>
          <w:tab w:leader="none" w:pos="2799" w:val="left"/>
        </w:tabs>
        <w:numPr>
          <w:ilvl w:val="0"/>
          <w:numId w:val="79"/>
        </w:numPr>
        <w:rPr>
          <w:rFonts w:ascii="Arial" w:cs="Arial" w:eastAsia="Arial" w:hAnsi="Arial"/>
          <w:sz w:val="18"/>
          <w:szCs w:val="18"/>
          <w:color w:val="auto"/>
        </w:rPr>
      </w:pPr>
      <w:r>
        <w:rPr>
          <w:rFonts w:ascii="Arial" w:cs="Arial" w:eastAsia="Arial" w:hAnsi="Arial"/>
          <w:sz w:val="18"/>
          <w:szCs w:val="18"/>
          <w:color w:val="auto"/>
        </w:rPr>
        <w:t>Enter into, modify or amend in a manner adverse in any material respect to the Company or any of its Subsidiaries, or terminate any Company Material Contract, or waive, release or assign any material rights or claims thereunder, in each case, in a manner adverse in any material respect to the Company other than in the ordinary course of business consistent with past practice;</w:t>
      </w:r>
    </w:p>
    <w:p>
      <w:pPr>
        <w:spacing w:after="0" w:line="181" w:lineRule="exact"/>
        <w:rPr>
          <w:rFonts w:ascii="Arial" w:cs="Arial" w:eastAsia="Arial" w:hAnsi="Arial"/>
          <w:sz w:val="18"/>
          <w:szCs w:val="18"/>
          <w:color w:val="auto"/>
        </w:rPr>
      </w:pPr>
    </w:p>
    <w:p>
      <w:pPr>
        <w:ind w:right="200" w:firstLine="2277"/>
        <w:spacing w:after="0" w:line="264" w:lineRule="auto"/>
        <w:tabs>
          <w:tab w:leader="none" w:pos="2749" w:val="left"/>
        </w:tabs>
        <w:numPr>
          <w:ilvl w:val="0"/>
          <w:numId w:val="79"/>
        </w:numPr>
        <w:rPr>
          <w:rFonts w:ascii="Arial" w:cs="Arial" w:eastAsia="Arial" w:hAnsi="Arial"/>
          <w:sz w:val="18"/>
          <w:szCs w:val="18"/>
          <w:color w:val="auto"/>
        </w:rPr>
      </w:pPr>
      <w:r>
        <w:rPr>
          <w:rFonts w:ascii="Arial" w:cs="Arial" w:eastAsia="Arial" w:hAnsi="Arial"/>
          <w:sz w:val="18"/>
          <w:szCs w:val="18"/>
          <w:color w:val="auto"/>
        </w:rPr>
        <w:t>Enter into any customer Contract that contains any material non-standard terms, including but not limited to, non-standard discounts, provisions for unpaid future deliverables, non-standard service requirements or future royalty payments, other than as is consistent with past practice;</w:t>
      </w:r>
    </w:p>
    <w:p>
      <w:pPr>
        <w:spacing w:after="0" w:line="181" w:lineRule="exact"/>
        <w:rPr>
          <w:rFonts w:ascii="Arial" w:cs="Arial" w:eastAsia="Arial" w:hAnsi="Arial"/>
          <w:sz w:val="18"/>
          <w:szCs w:val="18"/>
          <w:color w:val="auto"/>
        </w:rPr>
      </w:pPr>
    </w:p>
    <w:p>
      <w:pPr>
        <w:ind w:right="300" w:firstLine="2277"/>
        <w:spacing w:after="0" w:line="277" w:lineRule="auto"/>
        <w:tabs>
          <w:tab w:leader="none" w:pos="2799" w:val="left"/>
        </w:tabs>
        <w:numPr>
          <w:ilvl w:val="0"/>
          <w:numId w:val="79"/>
        </w:numPr>
        <w:rPr>
          <w:rFonts w:ascii="Arial" w:cs="Arial" w:eastAsia="Arial" w:hAnsi="Arial"/>
          <w:sz w:val="18"/>
          <w:szCs w:val="18"/>
          <w:color w:val="auto"/>
        </w:rPr>
      </w:pPr>
      <w:r>
        <w:rPr>
          <w:rFonts w:ascii="Arial" w:cs="Arial" w:eastAsia="Arial" w:hAnsi="Arial"/>
          <w:sz w:val="18"/>
          <w:szCs w:val="18"/>
          <w:color w:val="auto"/>
        </w:rPr>
        <w:t>Enter into any Contract that adversely affects any patents or applications therefor, in each case, of the Company, its Subsidiaries, any parent of the Company or any other affiliates of such entity;</w:t>
      </w:r>
    </w:p>
    <w:p>
      <w:pPr>
        <w:spacing w:after="0" w:line="170" w:lineRule="exact"/>
        <w:rPr>
          <w:rFonts w:ascii="Arial" w:cs="Arial" w:eastAsia="Arial" w:hAnsi="Arial"/>
          <w:sz w:val="18"/>
          <w:szCs w:val="18"/>
          <w:color w:val="auto"/>
        </w:rPr>
      </w:pPr>
    </w:p>
    <w:p>
      <w:pPr>
        <w:ind w:right="80" w:firstLine="2277"/>
        <w:spacing w:after="0" w:line="277" w:lineRule="auto"/>
        <w:tabs>
          <w:tab w:leader="none" w:pos="2849" w:val="left"/>
        </w:tabs>
        <w:numPr>
          <w:ilvl w:val="0"/>
          <w:numId w:val="79"/>
        </w:numPr>
        <w:rPr>
          <w:rFonts w:ascii="Arial" w:cs="Arial" w:eastAsia="Arial" w:hAnsi="Arial"/>
          <w:sz w:val="18"/>
          <w:szCs w:val="18"/>
          <w:color w:val="auto"/>
        </w:rPr>
      </w:pPr>
      <w:r>
        <w:rPr>
          <w:rFonts w:ascii="Arial" w:cs="Arial" w:eastAsia="Arial" w:hAnsi="Arial"/>
          <w:sz w:val="18"/>
          <w:szCs w:val="18"/>
          <w:color w:val="auto"/>
        </w:rPr>
        <w:t>Dispose of or transfer any Intellectual Property or Intellectual Property Rights, or dispose of or unlawfully disclose to any Person, other than representatives of Parent, any Trade Secrets;</w:t>
      </w:r>
    </w:p>
    <w:p>
      <w:pPr>
        <w:spacing w:after="0" w:line="170" w:lineRule="exact"/>
        <w:rPr>
          <w:rFonts w:ascii="Arial" w:cs="Arial" w:eastAsia="Arial" w:hAnsi="Arial"/>
          <w:sz w:val="18"/>
          <w:szCs w:val="18"/>
          <w:color w:val="auto"/>
        </w:rPr>
      </w:pPr>
    </w:p>
    <w:p>
      <w:pPr>
        <w:ind w:left="2900" w:hanging="623"/>
        <w:spacing w:after="0"/>
        <w:tabs>
          <w:tab w:leader="none" w:pos="2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Abandon or permit to lapse any rights to any United States patent or patent application without first consulting with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Parent; or</w:t>
      </w:r>
    </w:p>
    <w:p>
      <w:pPr>
        <w:spacing w:after="0" w:line="210" w:lineRule="exact"/>
        <w:rPr>
          <w:rFonts w:ascii="Arial" w:cs="Arial" w:eastAsia="Arial" w:hAnsi="Arial"/>
          <w:sz w:val="16"/>
          <w:szCs w:val="16"/>
          <w:color w:val="auto"/>
        </w:rPr>
      </w:pPr>
    </w:p>
    <w:p>
      <w:pPr>
        <w:ind w:right="120" w:firstLine="2277"/>
        <w:spacing w:after="0" w:line="264" w:lineRule="auto"/>
        <w:tabs>
          <w:tab w:leader="none" w:pos="2796"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Take, commit, or agree (in writing or otherwise) or announce the intention to take, any of the actions described in </w:t>
      </w:r>
      <w:r>
        <w:rPr>
          <w:rFonts w:ascii="Arial" w:cs="Arial" w:eastAsia="Arial" w:hAnsi="Arial"/>
          <w:sz w:val="18"/>
          <w:szCs w:val="18"/>
          <w:b w:val="1"/>
          <w:bCs w:val="1"/>
          <w:color w:val="auto"/>
        </w:rPr>
        <w:t xml:space="preserve">Sections 4.1(b) </w:t>
      </w:r>
      <w:r>
        <w:rPr>
          <w:rFonts w:ascii="Arial" w:cs="Arial" w:eastAsia="Arial" w:hAnsi="Arial"/>
          <w:sz w:val="18"/>
          <w:szCs w:val="18"/>
          <w:color w:val="auto"/>
        </w:rPr>
        <w:t>hereof, or take any other action that would reasonably be expected to result in any of the conditions to the Merger set forth in</w:t>
      </w:r>
      <w:r>
        <w:rPr>
          <w:rFonts w:ascii="Arial" w:cs="Arial" w:eastAsia="Arial" w:hAnsi="Arial"/>
          <w:sz w:val="18"/>
          <w:szCs w:val="18"/>
          <w:b w:val="1"/>
          <w:bCs w:val="1"/>
          <w:color w:val="auto"/>
        </w:rPr>
        <w:t xml:space="preserve"> Article VI </w:t>
      </w:r>
      <w:r>
        <w:rPr>
          <w:rFonts w:ascii="Arial" w:cs="Arial" w:eastAsia="Arial" w:hAnsi="Arial"/>
          <w:sz w:val="18"/>
          <w:szCs w:val="18"/>
          <w:color w:val="auto"/>
        </w:rPr>
        <w:t>not</w:t>
      </w:r>
      <w:r>
        <w:rPr>
          <w:rFonts w:ascii="Arial" w:cs="Arial" w:eastAsia="Arial" w:hAnsi="Arial"/>
          <w:sz w:val="18"/>
          <w:szCs w:val="18"/>
          <w:b w:val="1"/>
          <w:bCs w:val="1"/>
          <w:color w:val="auto"/>
        </w:rPr>
        <w:t xml:space="preserve"> </w:t>
      </w:r>
      <w:r>
        <w:rPr>
          <w:rFonts w:ascii="Arial" w:cs="Arial" w:eastAsia="Arial" w:hAnsi="Arial"/>
          <w:sz w:val="18"/>
          <w:szCs w:val="18"/>
          <w:color w:val="auto"/>
        </w:rPr>
        <w:t>to be satisfied.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ADDITIONAL AGREEMENTS</w:t>
      </w:r>
    </w:p>
    <w:p>
      <w:pPr>
        <w:spacing w:after="0" w:line="211"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b w:val="1"/>
          <w:bCs w:val="1"/>
          <w:i w:val="1"/>
          <w:iCs w:val="1"/>
          <w:color w:val="auto"/>
        </w:rPr>
        <w:t>Prospectus/Proxy Statement; Registration Statement</w:t>
      </w:r>
      <w:r>
        <w:rPr>
          <w:rFonts w:ascii="Arial" w:cs="Arial" w:eastAsia="Arial" w:hAnsi="Arial"/>
          <w:sz w:val="17"/>
          <w:szCs w:val="17"/>
          <w:color w:val="auto"/>
        </w:rPr>
        <w:t>. As promptly as reasonably practicable after the execution of this Agreement, Parent and the Company will prepare and file with the SEC the Prospectus/Proxy Statement, and Parent will prepare and file with the SEC the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 xml:space="preserve">Registration Statement in which the Prospectus/Proxy Statement is to be included as a prospectus. Parent and the Company will provide each other with any information which may be required in order to effectuate the preparation and filing of the Prospectus/Proxy Statement and the Registration Statement pursuant to this </w:t>
      </w:r>
      <w:r>
        <w:rPr>
          <w:rFonts w:ascii="Arial" w:cs="Arial" w:eastAsia="Arial" w:hAnsi="Arial"/>
          <w:sz w:val="16"/>
          <w:szCs w:val="16"/>
          <w:b w:val="1"/>
          <w:bCs w:val="1"/>
          <w:color w:val="auto"/>
        </w:rPr>
        <w:t>Section 5.1</w:t>
      </w:r>
      <w:r>
        <w:rPr>
          <w:rFonts w:ascii="Arial" w:cs="Arial" w:eastAsia="Arial" w:hAnsi="Arial"/>
          <w:sz w:val="16"/>
          <w:szCs w:val="16"/>
          <w:color w:val="auto"/>
        </w:rPr>
        <w:t>. Each of Parent and the Company will respond to any comments from the SEC, will use all reasonable efforts to cause the Registration Statement to be declared effective under the Securities Act as promptly as reasonably practicable after such filing and to keep the Registration Statement effective as long as is necessary to consummate the Merger and the transactions contemplated hereby. Each of Parent and the Company will notify the other promptly upon the receipt of any comments from the SEC or its staff in connection with the filing of, or amendments or supplements to, the Registration Statement and/or the Prospectus/Proxy Statement. Whenever any event occurs which is required to be set forth in an amendment or supplement to the Prospectus/Proxy Statement and/or the Registration Statement, Parent or the Company, as the case may be, will promptly inform the other of such occurrence and cooperate in filing with the SEC or its staff, and/or mailing to stockholders of the Company, such amendment or supplement. Each party shall cooperate and provide the other (and its counsel) with a reasonable opportunity to review and comment on any amendment or supplement to the Registration Statement and Prospectus/Proxy Statement prior to filing such with the SEC, and will provide each other with a copy of all such filings made with the SEC. The Company will cause the Prospectus/Proxy Statement to be mailed to its stockholders at the earliest practicable time after the Registration Statement is declared effective by the SEC. Parent shall also use all reasonable efforts to take any action required to be taken by it under any applicable state securities laws in connection with the issuance of Parent Common Stock in the Merger and the conversion of the Company Options into options to acquire Parent Common Stock, and the Company shall furnish any information concerning the Company and the holders of the Company Common Stock and the Company Options as may be reasonably requested in connection with any such action.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i w:val="1"/>
          <w:iCs w:val="1"/>
          <w:color w:val="auto"/>
        </w:rPr>
        <w:t>Meeting of Company Stockholders; Board Recommendation</w:t>
      </w:r>
      <w:r>
        <w:rPr>
          <w:rFonts w:ascii="Arial" w:cs="Arial" w:eastAsia="Arial" w:hAnsi="Arial"/>
          <w:sz w:val="18"/>
          <w:szCs w:val="18"/>
          <w:color w:val="auto"/>
        </w:rPr>
        <w:t>.</w:t>
      </w:r>
    </w:p>
    <w:p>
      <w:pPr>
        <w:spacing w:after="0" w:line="225" w:lineRule="exact"/>
        <w:rPr>
          <w:sz w:val="20"/>
          <w:szCs w:val="20"/>
          <w:color w:val="auto"/>
        </w:rPr>
      </w:pPr>
    </w:p>
    <w:p>
      <w:pPr>
        <w:ind w:left="420" w:firstLine="1290"/>
        <w:spacing w:after="0" w:line="287" w:lineRule="auto"/>
        <w:tabs>
          <w:tab w:leader="none" w:pos="1954" w:val="left"/>
        </w:tabs>
        <w:numPr>
          <w:ilvl w:val="0"/>
          <w:numId w:val="80"/>
        </w:numPr>
        <w:rPr>
          <w:rFonts w:ascii="Arial" w:cs="Arial" w:eastAsia="Arial" w:hAnsi="Arial"/>
          <w:sz w:val="16"/>
          <w:szCs w:val="16"/>
          <w:color w:val="auto"/>
        </w:rPr>
      </w:pPr>
      <w:r>
        <w:rPr>
          <w:rFonts w:ascii="Arial" w:cs="Arial" w:eastAsia="Arial" w:hAnsi="Arial"/>
          <w:sz w:val="16"/>
          <w:szCs w:val="16"/>
          <w:b w:val="1"/>
          <w:bCs w:val="1"/>
          <w:i w:val="1"/>
          <w:iCs w:val="1"/>
          <w:color w:val="auto"/>
        </w:rPr>
        <w:t>Meeting of Company Stockholders</w:t>
      </w:r>
      <w:r>
        <w:rPr>
          <w:rFonts w:ascii="Arial" w:cs="Arial" w:eastAsia="Arial" w:hAnsi="Arial"/>
          <w:sz w:val="16"/>
          <w:szCs w:val="16"/>
          <w:color w:val="auto"/>
        </w:rPr>
        <w:t>. Promptly after the Registration Statement is declared effective under the Securities Act,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will take all action necessary in accordance with the Delaware Law and its certificate of incorporation and bylaws to call, hold and convene a meeting of its stockholders to consider adoption and approval of this Agreement and approval of the Merger (the “</w:t>
      </w:r>
      <w:r>
        <w:rPr>
          <w:rFonts w:ascii="Arial" w:cs="Arial" w:eastAsia="Arial" w:hAnsi="Arial"/>
          <w:sz w:val="16"/>
          <w:szCs w:val="16"/>
          <w:b w:val="1"/>
          <w:bCs w:val="1"/>
          <w:color w:val="auto"/>
        </w:rPr>
        <w:t>Stockholders’ Meeting</w:t>
      </w:r>
      <w:r>
        <w:rPr>
          <w:rFonts w:ascii="Arial" w:cs="Arial" w:eastAsia="Arial" w:hAnsi="Arial"/>
          <w:sz w:val="16"/>
          <w:szCs w:val="16"/>
          <w:color w:val="auto"/>
        </w:rPr>
        <w:t xml:space="preserve">”) to be held as promptly as reasonably practicable, and in any event (to the extent permissible under applicable law) within 45 days after the mailing of the Proxy Statement to the Company’s stockholders. Subject to </w:t>
      </w:r>
      <w:r>
        <w:rPr>
          <w:rFonts w:ascii="Arial" w:cs="Arial" w:eastAsia="Arial" w:hAnsi="Arial"/>
          <w:sz w:val="16"/>
          <w:szCs w:val="16"/>
          <w:b w:val="1"/>
          <w:bCs w:val="1"/>
          <w:color w:val="auto"/>
        </w:rPr>
        <w:t>Section 5.3(d)</w:t>
      </w:r>
      <w:r>
        <w:rPr>
          <w:rFonts w:ascii="Arial" w:cs="Arial" w:eastAsia="Arial" w:hAnsi="Arial"/>
          <w:sz w:val="16"/>
          <w:szCs w:val="16"/>
          <w:color w:val="auto"/>
        </w:rPr>
        <w:t>, the Company will use reasonable efforts to solicit from its stockholders proxies in favor of the adoption and approval of this Agreement and the approval of the Merger, and will take all other action necessary or advisable to secure the vote or consent of its stockholders required by Delaware Law to obtain such approvals. Notwithstanding anything to the contrary contained in this Agreement, the Company may adjourn or postpone the Stockholders’ Meeting to the extent necessary to ensure that any necessary supplement or amendment to the Prospectus/Proxy Statement is provided to its stockholders in advance of a vote on the Merger and this Agreement or, if as of the time for which the Stockholders’ Meeting is scheduled (as set forth in the Prospectus/Proxy Statement) there are insufficient shares of Company Common Stock represented (either in person or by proxy) to constitute a quorum necessary to conduct the</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0" w:right="60"/>
        <w:spacing w:after="0" w:line="264" w:lineRule="auto"/>
        <w:rPr>
          <w:sz w:val="20"/>
          <w:szCs w:val="20"/>
          <w:color w:val="auto"/>
        </w:rPr>
      </w:pPr>
      <w:r>
        <w:rPr>
          <w:rFonts w:ascii="Arial" w:cs="Arial" w:eastAsia="Arial" w:hAnsi="Arial"/>
          <w:sz w:val="18"/>
          <w:szCs w:val="18"/>
          <w:color w:val="auto"/>
        </w:rPr>
        <w:t>business of the Stockholders’ Meeting. The Company shall ensure that the Stockholders’ Meeting is called, noticed, convened, held and conducted, and that all proxies solicited by it in connection with the Stockholders’ Meeting are solicited in compliance with Delaware Law, its certificate of incorporation and bylaws and all other applicable Legal Requirements.</w:t>
      </w:r>
    </w:p>
    <w:p>
      <w:pPr>
        <w:sectPr>
          <w:pgSz w:w="11900" w:h="16891" w:orient="portrait"/>
          <w:cols w:equalWidth="0" w:num="1">
            <w:col w:w="11400"/>
          </w:cols>
          <w:pgMar w:left="240" w:top="125" w:right="259" w:bottom="0" w:gutter="0" w:footer="0" w:header="0"/>
        </w:sectPr>
      </w:pPr>
    </w:p>
    <w:bookmarkStart w:id="31" w:name="page32"/>
    <w:bookmarkEnd w:id="31"/>
    <w:p>
      <w:pPr>
        <w:spacing w:after="0" w:line="114" w:lineRule="exact"/>
        <w:rPr>
          <w:sz w:val="20"/>
          <w:szCs w:val="20"/>
          <w:color w:val="auto"/>
        </w:rPr>
      </w:pPr>
    </w:p>
    <w:p>
      <w:pPr>
        <w:ind w:left="420" w:right="160" w:firstLine="1290"/>
        <w:spacing w:after="0" w:line="295" w:lineRule="auto"/>
        <w:tabs>
          <w:tab w:leader="none" w:pos="1964" w:val="left"/>
        </w:tabs>
        <w:numPr>
          <w:ilvl w:val="0"/>
          <w:numId w:val="81"/>
        </w:numPr>
        <w:rPr>
          <w:rFonts w:ascii="Arial" w:cs="Arial" w:eastAsia="Arial" w:hAnsi="Arial"/>
          <w:sz w:val="16"/>
          <w:szCs w:val="16"/>
          <w:color w:val="auto"/>
        </w:rPr>
      </w:pPr>
      <w:r>
        <w:rPr>
          <w:rFonts w:ascii="Arial" w:cs="Arial" w:eastAsia="Arial" w:hAnsi="Arial"/>
          <w:sz w:val="16"/>
          <w:szCs w:val="16"/>
          <w:b w:val="1"/>
          <w:bCs w:val="1"/>
          <w:i w:val="1"/>
          <w:iCs w:val="1"/>
          <w:color w:val="auto"/>
        </w:rPr>
        <w:t>Board Recommendation</w:t>
      </w:r>
      <w:r>
        <w:rPr>
          <w:rFonts w:ascii="Arial" w:cs="Arial" w:eastAsia="Arial" w:hAnsi="Arial"/>
          <w:sz w:val="16"/>
          <w:szCs w:val="16"/>
          <w:color w:val="auto"/>
        </w:rPr>
        <w:t>. Except to the extent expressly permitted by</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5.3(d)</w:t>
      </w:r>
      <w:r>
        <w:rPr>
          <w:rFonts w:ascii="Arial" w:cs="Arial" w:eastAsia="Arial" w:hAnsi="Arial"/>
          <w:sz w:val="16"/>
          <w:szCs w:val="16"/>
          <w:color w:val="auto"/>
        </w:rPr>
        <w:t>: (i) the Board of Directors of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recommend that the Company’s stockholders vote in favor of the adoption of this Agreement at the Stockholders’ Meeting; (ii) the Prospectus/Proxy Statement shall include a statement to the effect that the Board of Directors of the Company has unanimously recommended that the Company’s stockholders vote in favor of adoption of this Agreement at the Stockholders’ Meeting; and (iii) neither the Board of Directors of the Company nor any committee thereof shall withdraw, amend or modify, or propose or resolve to withdraw, amend or modify in a manner adverse to Parent, the unanimous recommendation of its Board of Directors that the Company’s stockholders vote in favor of the adoption of this Agreement.</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i w:val="1"/>
          <w:iCs w:val="1"/>
          <w:color w:val="auto"/>
        </w:rPr>
        <w:t>Acquisition Proposals</w:t>
      </w:r>
      <w:r>
        <w:rPr>
          <w:rFonts w:ascii="Arial" w:cs="Arial" w:eastAsia="Arial" w:hAnsi="Arial"/>
          <w:sz w:val="18"/>
          <w:szCs w:val="18"/>
          <w:color w:val="auto"/>
        </w:rPr>
        <w:t>.</w:t>
      </w:r>
    </w:p>
    <w:p>
      <w:pPr>
        <w:spacing w:after="0" w:line="225" w:lineRule="exact"/>
        <w:rPr>
          <w:sz w:val="20"/>
          <w:szCs w:val="20"/>
          <w:color w:val="auto"/>
        </w:rPr>
      </w:pPr>
    </w:p>
    <w:p>
      <w:pPr>
        <w:ind w:left="420" w:right="40" w:firstLine="1290"/>
        <w:spacing w:after="0" w:line="267" w:lineRule="auto"/>
        <w:tabs>
          <w:tab w:leader="none" w:pos="1954" w:val="left"/>
        </w:tabs>
        <w:numPr>
          <w:ilvl w:val="0"/>
          <w:numId w:val="82"/>
        </w:numPr>
        <w:rPr>
          <w:rFonts w:ascii="Arial" w:cs="Arial" w:eastAsia="Arial" w:hAnsi="Arial"/>
          <w:sz w:val="17"/>
          <w:szCs w:val="17"/>
          <w:color w:val="auto"/>
        </w:rPr>
      </w:pPr>
      <w:r>
        <w:rPr>
          <w:rFonts w:ascii="Arial" w:cs="Arial" w:eastAsia="Arial" w:hAnsi="Arial"/>
          <w:sz w:val="17"/>
          <w:szCs w:val="17"/>
          <w:b w:val="1"/>
          <w:bCs w:val="1"/>
          <w:i w:val="1"/>
          <w:iCs w:val="1"/>
          <w:color w:val="auto"/>
        </w:rPr>
        <w:t>No Solicitation</w:t>
      </w:r>
      <w:r>
        <w:rPr>
          <w:rFonts w:ascii="Arial" w:cs="Arial" w:eastAsia="Arial" w:hAnsi="Arial"/>
          <w:sz w:val="17"/>
          <w:szCs w:val="17"/>
          <w:color w:val="auto"/>
        </w:rPr>
        <w:t>. The Company agrees that none of the Company, any of its Subsidiaries or any of the Company’s or any of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Subsidiaries’ officers or directors shall, and that it shall use all reasonable efforts to cause the Company’s and its affiliates, Subsidiaries, agents and representatives (including any investment banker, attorney or accountant retained by the Company or any of its Subsidiaries) not to (and shall not authorize or permit any of them to), directly or indirectly: (i) solicit, initiate, encourage, knowingly induce any inquiry concerning, or the making, submission or announcement of, any Acquisition Proposal; (ii) participate or engage in any discussions or negotiations regarding, or furnish to any Person other than its representatives (including and limited to any of its investment bankers, financial advisors, attorneys or accountants) any nonpublic information with respect to, or take any other action to encourage any inquiries concerning the making of any proposal that constitutes or would reasonably be expected to lead to, any Acquisition Proposal; (iii) approve, endorse, recommend or make or authorize any public statement, recommendation or solicitation in support of any Acquisition Proposal; or (iv) execute or enter into, or agree to execute or enter into, any letter of intent or similar document or any contract, agreement or commitment contemplating or otherwise relating to any Acquisition Proposal or transaction contemplated thereby, except in the case of clauses (ii), (iii) or (iv) to the extent specifically permitted pursuant to </w:t>
      </w:r>
      <w:r>
        <w:rPr>
          <w:rFonts w:ascii="Arial" w:cs="Arial" w:eastAsia="Arial" w:hAnsi="Arial"/>
          <w:sz w:val="17"/>
          <w:szCs w:val="17"/>
          <w:b w:val="1"/>
          <w:bCs w:val="1"/>
          <w:color w:val="auto"/>
        </w:rPr>
        <w:t>Sections 5.3(c)</w:t>
      </w:r>
      <w:r>
        <w:rPr>
          <w:rFonts w:ascii="Arial" w:cs="Arial" w:eastAsia="Arial" w:hAnsi="Arial"/>
          <w:sz w:val="17"/>
          <w:szCs w:val="17"/>
          <w:color w:val="auto"/>
        </w:rPr>
        <w:t xml:space="preserve"> or </w:t>
      </w:r>
      <w:r>
        <w:rPr>
          <w:rFonts w:ascii="Arial" w:cs="Arial" w:eastAsia="Arial" w:hAnsi="Arial"/>
          <w:sz w:val="17"/>
          <w:szCs w:val="17"/>
          <w:b w:val="1"/>
          <w:bCs w:val="1"/>
          <w:color w:val="auto"/>
        </w:rPr>
        <w:t>5.3(d)</w:t>
      </w:r>
      <w:r>
        <w:rPr>
          <w:rFonts w:ascii="Arial" w:cs="Arial" w:eastAsia="Arial" w:hAnsi="Arial"/>
          <w:sz w:val="17"/>
          <w:szCs w:val="17"/>
          <w:color w:val="auto"/>
        </w:rPr>
        <w:t>. The Company and its Subsidiaries will immediately cease and cause to be terminated any and all existing activities, discussions or negotiations (including, without limitation, any such activities, discussions or negotiations conducted by affiliates, directors, officers, employees, agents and representatives (including any investment banker, financial advisor, attorney, accountant or other representative) of the Company or any of its Subsidiaries) with any third parties conducted heretofore with respect to the consideration of any Acquisition Proposal. The Company will exercise any rights under any confidentiality or non-disclosure agreements with any such third parties in connection with the consideration of any Acquisition Proposal to require the return or destruction of non-public information provided prior to the date of this Agreement by the Company, its Subsidiaries or their agents and representatives to any such third parties.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20" w:firstLine="1290"/>
        <w:spacing w:after="0" w:line="285" w:lineRule="auto"/>
        <w:tabs>
          <w:tab w:leader="none" w:pos="1964" w:val="left"/>
        </w:tabs>
        <w:numPr>
          <w:ilvl w:val="1"/>
          <w:numId w:val="83"/>
        </w:numPr>
        <w:rPr>
          <w:rFonts w:ascii="Arial" w:cs="Arial" w:eastAsia="Arial" w:hAnsi="Arial"/>
          <w:sz w:val="16"/>
          <w:szCs w:val="16"/>
          <w:color w:val="auto"/>
        </w:rPr>
      </w:pPr>
      <w:r>
        <w:rPr>
          <w:rFonts w:ascii="Arial" w:cs="Arial" w:eastAsia="Arial" w:hAnsi="Arial"/>
          <w:sz w:val="16"/>
          <w:szCs w:val="16"/>
          <w:b w:val="1"/>
          <w:bCs w:val="1"/>
          <w:i w:val="1"/>
          <w:iCs w:val="1"/>
          <w:color w:val="auto"/>
        </w:rPr>
        <w:t>Notification of Unsolicited Acquisition Proposals</w:t>
      </w:r>
      <w:r>
        <w:rPr>
          <w:rFonts w:ascii="Arial" w:cs="Arial" w:eastAsia="Arial" w:hAnsi="Arial"/>
          <w:sz w:val="16"/>
          <w:szCs w:val="16"/>
          <w:color w:val="auto"/>
        </w:rPr>
        <w:t>. As promptly as practicable (and in any event no later than 24 hours) after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receipt of any Acquisition Proposal or any request for nonpublic information or inquiry that would reasonably be expected to lead to an Acquisition Proposal or from any Person seeking to have discussions or negotiations with the Company relating to a possible Acquisition Proposal, the Company shall provide Parent with notice of such Acquisition Proposal, request or inquiry, including: (i) the material terms and conditions of such Acquisition Proposal, request or inquiry; (ii) the identity of the Person or group making any such Acquisition Proposal, request or inquiry; and (iii) a copy of all written materials provided by or on behalf of such Person or group in connection with such Acquisition Proposal, request or inquiry. The Company shall provide Parent with 48 hours prior notice (or such lesser prior notice as is provided to the members of its Board of Directors) of any meeting of its Board of Directors at which its Board of Directors is expected to consider any Acquisition Proposal or any such inquiry or to consider providing nonpublic information to any Person. The Company shall notify Parent, in writing, of any decision of its Board of Directors as to whether to consider such Acquisition Proposal, request or inquiry or to enter into discussions or negotiations concerning any Acquisition Proposal or to provide nonpublic information or data to any Person, which notice shall be given as promptly as practicable after such meeting (and in any event no later than 24 hours after such determination was reached and 24 hours prior to entering into any discussions or negotiations or providing any nonpublic information or data to any Person). The Company agrees that it shall promptly provide Parent with oral and written notice setting forth all such information as is reasonably necessary to keep Parent currently informed in all material respects of the status and material terms of any such Acquisition Proposal, request or inquiry (including any negotiations contemplated by </w:t>
      </w:r>
      <w:r>
        <w:rPr>
          <w:rFonts w:ascii="Arial" w:cs="Arial" w:eastAsia="Arial" w:hAnsi="Arial"/>
          <w:sz w:val="16"/>
          <w:szCs w:val="16"/>
          <w:b w:val="1"/>
          <w:bCs w:val="1"/>
          <w:color w:val="auto"/>
        </w:rPr>
        <w:t>Section 5.3(c)</w:t>
      </w:r>
      <w:r>
        <w:rPr>
          <w:rFonts w:ascii="Arial" w:cs="Arial" w:eastAsia="Arial" w:hAnsi="Arial"/>
          <w:sz w:val="16"/>
          <w:szCs w:val="16"/>
          <w:color w:val="auto"/>
        </w:rPr>
        <w:t>) and shall promptly provide Parent a copy of all written materials subsequently provided to, by or on behalf of such Person or group in connection with such Acquisition Proposal, request or inquiry.</w:t>
      </w:r>
    </w:p>
    <w:p>
      <w:pPr>
        <w:spacing w:after="0" w:line="173" w:lineRule="exact"/>
        <w:rPr>
          <w:rFonts w:ascii="Arial" w:cs="Arial" w:eastAsia="Arial" w:hAnsi="Arial"/>
          <w:sz w:val="16"/>
          <w:szCs w:val="16"/>
          <w:color w:val="auto"/>
        </w:rPr>
      </w:pPr>
    </w:p>
    <w:p>
      <w:pPr>
        <w:ind w:left="420" w:right="80" w:firstLine="1290"/>
        <w:spacing w:after="0" w:line="256" w:lineRule="auto"/>
        <w:tabs>
          <w:tab w:leader="none" w:pos="1954" w:val="left"/>
        </w:tabs>
        <w:numPr>
          <w:ilvl w:val="1"/>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Superior Offers</w:t>
      </w:r>
      <w:r>
        <w:rPr>
          <w:rFonts w:ascii="Arial" w:cs="Arial" w:eastAsia="Arial" w:hAnsi="Arial"/>
          <w:sz w:val="18"/>
          <w:szCs w:val="18"/>
          <w:color w:val="auto"/>
        </w:rPr>
        <w:t>. Notwithstanding anything to the contrary contained in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Section 5.3(a)</w:t>
      </w:r>
      <w:r>
        <w:rPr>
          <w:rFonts w:ascii="Arial" w:cs="Arial" w:eastAsia="Arial" w:hAnsi="Arial"/>
          <w:sz w:val="18"/>
          <w:szCs w:val="18"/>
          <w:color w:val="auto"/>
        </w:rPr>
        <w:t>, in the event that the Company receives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prior to the adoption of this Agreement by the stockholders of the Company in accordance with applicable law an unsolicited, bona fide written Acquisition Proposal from a third party and that the Company’s Board of Directors has in good faith concluded, after consultation with its outside legal counsel and its financial advisor, that such Acquisition Proposal is, or is reasonably likely to result in, a Superior Offer, the Company may then (1) furnish nonpublic information to the third party making such Acquisition Proposal and (2) engage in negotiations with the third party with respect to such Acquisition Proposal;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87" w:lineRule="exact"/>
        <w:rPr>
          <w:rFonts w:ascii="Arial" w:cs="Arial" w:eastAsia="Arial" w:hAnsi="Arial"/>
          <w:sz w:val="18"/>
          <w:szCs w:val="18"/>
          <w:color w:val="auto"/>
        </w:rPr>
      </w:pPr>
    </w:p>
    <w:p>
      <w:pPr>
        <w:ind w:left="2600" w:hanging="323"/>
        <w:spacing w:after="0"/>
        <w:tabs>
          <w:tab w:leader="none" w:pos="2600" w:val="left"/>
        </w:tabs>
        <w:numPr>
          <w:ilvl w:val="2"/>
          <w:numId w:val="83"/>
        </w:numPr>
        <w:rPr>
          <w:rFonts w:ascii="Arial" w:cs="Arial" w:eastAsia="Arial" w:hAnsi="Arial"/>
          <w:sz w:val="18"/>
          <w:szCs w:val="18"/>
          <w:color w:val="auto"/>
        </w:rPr>
      </w:pPr>
      <w:r>
        <w:rPr>
          <w:rFonts w:ascii="Arial" w:cs="Arial" w:eastAsia="Arial" w:hAnsi="Arial"/>
          <w:sz w:val="18"/>
          <w:szCs w:val="18"/>
          <w:color w:val="auto"/>
        </w:rPr>
        <w:t xml:space="preserve">the Company complies with all of the terms of this </w:t>
      </w:r>
      <w:r>
        <w:rPr>
          <w:rFonts w:ascii="Arial" w:cs="Arial" w:eastAsia="Arial" w:hAnsi="Arial"/>
          <w:sz w:val="18"/>
          <w:szCs w:val="18"/>
          <w:b w:val="1"/>
          <w:bCs w:val="1"/>
          <w:color w:val="auto"/>
        </w:rPr>
        <w:t>Section 5.3</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2620" w:hanging="343"/>
        <w:spacing w:after="0"/>
        <w:tabs>
          <w:tab w:leader="none" w:pos="2620" w:val="left"/>
        </w:tabs>
        <w:numPr>
          <w:ilvl w:val="2"/>
          <w:numId w:val="83"/>
        </w:numPr>
        <w:rPr>
          <w:rFonts w:ascii="Arial" w:cs="Arial" w:eastAsia="Arial" w:hAnsi="Arial"/>
          <w:sz w:val="17"/>
          <w:szCs w:val="17"/>
          <w:color w:val="auto"/>
        </w:rPr>
      </w:pPr>
      <w:r>
        <w:rPr>
          <w:rFonts w:ascii="Arial" w:cs="Arial" w:eastAsia="Arial" w:hAnsi="Arial"/>
          <w:sz w:val="17"/>
          <w:szCs w:val="17"/>
          <w:color w:val="auto"/>
        </w:rPr>
        <w:t>prior to furnishing any nonpublic information or entering into any negotiations or discussions with such third party,</w:t>
      </w:r>
    </w:p>
    <w:p>
      <w:pPr>
        <w:spacing w:after="0" w:line="34" w:lineRule="exact"/>
        <w:rPr>
          <w:rFonts w:ascii="Arial" w:cs="Arial" w:eastAsia="Arial" w:hAnsi="Arial"/>
          <w:sz w:val="17"/>
          <w:szCs w:val="17"/>
          <w:color w:val="auto"/>
        </w:rPr>
      </w:pPr>
    </w:p>
    <w:p>
      <w:pPr>
        <w:ind w:right="120" w:firstLine="8"/>
        <w:spacing w:after="0" w:line="281" w:lineRule="auto"/>
        <w:tabs>
          <w:tab w:leader="none" w:pos="295"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Company receives from such third party an executed confidentiality agreement containing customary limitations on the use and disclosure of all nonpublic written and oral information furnished to such third party on the Company’s behalf in substantially the form of the Confidentiality Agreement and</w:t>
      </w:r>
    </w:p>
    <w:p>
      <w:pPr>
        <w:spacing w:after="0" w:line="1" w:lineRule="exact"/>
        <w:rPr>
          <w:rFonts w:ascii="Arial" w:cs="Arial" w:eastAsia="Arial" w:hAnsi="Arial"/>
          <w:sz w:val="16"/>
          <w:szCs w:val="16"/>
          <w:color w:val="auto"/>
        </w:rPr>
      </w:pPr>
    </w:p>
    <w:p>
      <w:pPr>
        <w:ind w:left="300" w:hanging="292"/>
        <w:spacing w:after="0"/>
        <w:tabs>
          <w:tab w:leader="none" w:pos="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contemporaneously with furnishing any such nonpublic information to such third party, the Company furnishes such nonpublic</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information to Parent (to the extent such nonpublic information has not been previously so furnished); and</w:t>
      </w:r>
    </w:p>
    <w:p>
      <w:pPr>
        <w:spacing w:after="0" w:line="225" w:lineRule="exact"/>
        <w:rPr>
          <w:sz w:val="20"/>
          <w:szCs w:val="20"/>
          <w:color w:val="auto"/>
        </w:rPr>
      </w:pPr>
    </w:p>
    <w:p>
      <w:pPr>
        <w:ind w:right="20" w:firstLine="2277"/>
        <w:spacing w:after="0" w:line="264" w:lineRule="auto"/>
        <w:tabs>
          <w:tab w:leader="none" w:pos="2615"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Board of Directors of the Company reasonably determines in good faith, after consultation with outside legal counsel, that the failure to provide such information or enter into such discussion or negotiations would reasonably be expected to result in a breach of the Board of Directors’ fiduciary duties to the stockholders of the Company under applicable law.</w:t>
      </w:r>
    </w:p>
    <w:p>
      <w:pPr>
        <w:spacing w:after="0" w:line="177" w:lineRule="exact"/>
        <w:rPr>
          <w:rFonts w:ascii="Arial" w:cs="Arial" w:eastAsia="Arial" w:hAnsi="Arial"/>
          <w:sz w:val="18"/>
          <w:szCs w:val="18"/>
          <w:color w:val="auto"/>
        </w:rPr>
      </w:pPr>
    </w:p>
    <w:p>
      <w:pPr>
        <w:ind w:left="420" w:right="40" w:firstLine="1290"/>
        <w:spacing w:after="0" w:line="347" w:lineRule="auto"/>
        <w:tabs>
          <w:tab w:leader="none" w:pos="1964" w:val="left"/>
        </w:tabs>
        <w:numPr>
          <w:ilvl w:val="0"/>
          <w:numId w:val="86"/>
        </w:numPr>
        <w:rPr>
          <w:rFonts w:ascii="Arial" w:cs="Arial" w:eastAsia="Arial" w:hAnsi="Arial"/>
          <w:sz w:val="16"/>
          <w:szCs w:val="16"/>
          <w:color w:val="auto"/>
        </w:rPr>
      </w:pPr>
      <w:r>
        <w:rPr>
          <w:rFonts w:ascii="Arial" w:cs="Arial" w:eastAsia="Arial" w:hAnsi="Arial"/>
          <w:sz w:val="16"/>
          <w:szCs w:val="16"/>
          <w:b w:val="1"/>
          <w:bCs w:val="1"/>
          <w:i w:val="1"/>
          <w:iCs w:val="1"/>
          <w:color w:val="auto"/>
        </w:rPr>
        <w:t>Change of Recommendation</w:t>
      </w:r>
      <w:r>
        <w:rPr>
          <w:rFonts w:ascii="Arial" w:cs="Arial" w:eastAsia="Arial" w:hAnsi="Arial"/>
          <w:sz w:val="16"/>
          <w:szCs w:val="16"/>
          <w:color w:val="auto"/>
        </w:rPr>
        <w:t>. Notwithstanding anything to the contrary contained in</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5.3(a)</w:t>
      </w:r>
      <w:r>
        <w:rPr>
          <w:rFonts w:ascii="Arial" w:cs="Arial" w:eastAsia="Arial" w:hAnsi="Arial"/>
          <w:sz w:val="16"/>
          <w:szCs w:val="16"/>
          <w:color w:val="auto"/>
        </w:rPr>
        <w:t>, in response to the receipt of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Superior Offer, (x) the Board of Directors of the Company may withhold, withdraw, amend or modify its recommendation in favor of the Merger, and,</w:t>
      </w:r>
    </w:p>
    <w:p>
      <w:pPr>
        <w:sectPr>
          <w:pgSz w:w="11900" w:h="16952" w:orient="portrait"/>
          <w:cols w:equalWidth="0" w:num="1">
            <w:col w:w="11400"/>
          </w:cols>
          <w:pgMar w:left="240" w:top="337" w:right="259" w:bottom="0" w:gutter="0" w:footer="0" w:header="0"/>
        </w:sectPr>
      </w:pPr>
    </w:p>
    <w:bookmarkStart w:id="32" w:name="page33"/>
    <w:bookmarkEnd w:id="32"/>
    <w:p>
      <w:pPr>
        <w:spacing w:after="0" w:line="110" w:lineRule="exact"/>
        <w:rPr>
          <w:sz w:val="20"/>
          <w:szCs w:val="20"/>
          <w:color w:val="auto"/>
        </w:rPr>
      </w:pPr>
    </w:p>
    <w:p>
      <w:pPr>
        <w:ind w:left="420" w:right="20"/>
        <w:spacing w:after="0" w:line="272" w:lineRule="auto"/>
        <w:rPr>
          <w:sz w:val="20"/>
          <w:szCs w:val="20"/>
          <w:color w:val="auto"/>
        </w:rPr>
      </w:pPr>
      <w:r>
        <w:rPr>
          <w:rFonts w:ascii="Arial" w:cs="Arial" w:eastAsia="Arial" w:hAnsi="Arial"/>
          <w:sz w:val="17"/>
          <w:szCs w:val="17"/>
          <w:color w:val="auto"/>
        </w:rPr>
        <w:t>in the case of a Superior Offer that is a tender or exchange offer made directly to the stockholders of the Company, may recommend that the stockholders of the Company accept the tender or exchange offer (any of the foregoing actions, whether by the Board of Directors of the Company or a committee thereof, a “</w:t>
      </w:r>
      <w:r>
        <w:rPr>
          <w:rFonts w:ascii="Arial" w:cs="Arial" w:eastAsia="Arial" w:hAnsi="Arial"/>
          <w:sz w:val="17"/>
          <w:szCs w:val="17"/>
          <w:b w:val="1"/>
          <w:bCs w:val="1"/>
          <w:color w:val="auto"/>
        </w:rPr>
        <w:t>Change of Recommendation</w:t>
      </w:r>
      <w:r>
        <w:rPr>
          <w:rFonts w:ascii="Arial" w:cs="Arial" w:eastAsia="Arial" w:hAnsi="Arial"/>
          <w:sz w:val="17"/>
          <w:szCs w:val="17"/>
          <w:color w:val="auto"/>
        </w:rPr>
        <w:t>”), (y) the Board of Directors of the Company, the Company or its Subsidiaries (including each of their respective directors, officers, employees, agents or other representatives) may approve, endorse, or recommend a Superior Offer, or (z) the Company or any of its Subsidiaries may execute or enter into or propose to execute or enter into any letter of intent or similar document or any contract, agreement or commitment (which may be conditioned on the termination of this Agreement) contemplating or otherwise relating to any Superior Offer or transaction contemplated thereby, if all of the following conditions in clauses (i) through (vi) are met:</w:t>
      </w:r>
    </w:p>
    <w:p>
      <w:pPr>
        <w:spacing w:after="0" w:line="178" w:lineRule="exact"/>
        <w:rPr>
          <w:sz w:val="20"/>
          <w:szCs w:val="20"/>
          <w:color w:val="auto"/>
        </w:rPr>
      </w:pPr>
    </w:p>
    <w:p>
      <w:pPr>
        <w:ind w:firstLine="2277"/>
        <w:spacing w:after="0" w:line="277" w:lineRule="auto"/>
        <w:tabs>
          <w:tab w:leader="none" w:pos="2592"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Board of Directors of the Company determines in good faith, after consultation with the Company’s financial advisors and outside legal counsel, that a Superior Offer has been made and not withdrawn;</w:t>
      </w:r>
    </w:p>
    <w:p>
      <w:pPr>
        <w:spacing w:after="0" w:line="170" w:lineRule="exact"/>
        <w:rPr>
          <w:rFonts w:ascii="Arial" w:cs="Arial" w:eastAsia="Arial" w:hAnsi="Arial"/>
          <w:sz w:val="18"/>
          <w:szCs w:val="18"/>
          <w:color w:val="auto"/>
        </w:rPr>
      </w:pPr>
    </w:p>
    <w:p>
      <w:pPr>
        <w:ind w:left="2620" w:hanging="343"/>
        <w:spacing w:after="0"/>
        <w:tabs>
          <w:tab w:leader="none" w:pos="26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stockholders of the Company have not approved this Agreement in accordance with applicable law;</w:t>
      </w:r>
    </w:p>
    <w:p>
      <w:pPr>
        <w:spacing w:after="0" w:line="221" w:lineRule="exact"/>
        <w:rPr>
          <w:rFonts w:ascii="Arial" w:cs="Arial" w:eastAsia="Arial" w:hAnsi="Arial"/>
          <w:sz w:val="18"/>
          <w:szCs w:val="18"/>
          <w:color w:val="auto"/>
        </w:rPr>
      </w:pPr>
    </w:p>
    <w:p>
      <w:pPr>
        <w:ind w:right="160" w:firstLine="2277"/>
        <w:spacing w:after="0" w:line="293" w:lineRule="auto"/>
        <w:tabs>
          <w:tab w:leader="none" w:pos="2615" w:val="left"/>
        </w:tabs>
        <w:numPr>
          <w:ilvl w:val="1"/>
          <w:numId w:val="87"/>
        </w:numPr>
        <w:rPr>
          <w:rFonts w:ascii="Arial" w:cs="Arial" w:eastAsia="Arial" w:hAnsi="Arial"/>
          <w:sz w:val="16"/>
          <w:szCs w:val="16"/>
          <w:color w:val="auto"/>
        </w:rPr>
      </w:pPr>
      <w:r>
        <w:rPr>
          <w:rFonts w:ascii="Arial" w:cs="Arial" w:eastAsia="Arial" w:hAnsi="Arial"/>
          <w:sz w:val="16"/>
          <w:szCs w:val="16"/>
          <w:color w:val="auto"/>
        </w:rPr>
        <w:t>the Company shall have delivered to Parent written notice (a “</w:t>
      </w:r>
      <w:r>
        <w:rPr>
          <w:rFonts w:ascii="Arial" w:cs="Arial" w:eastAsia="Arial" w:hAnsi="Arial"/>
          <w:sz w:val="16"/>
          <w:szCs w:val="16"/>
          <w:b w:val="1"/>
          <w:bCs w:val="1"/>
          <w:color w:val="auto"/>
        </w:rPr>
        <w:t>Change of Recommendation Notice</w:t>
      </w:r>
      <w:r>
        <w:rPr>
          <w:rFonts w:ascii="Arial" w:cs="Arial" w:eastAsia="Arial" w:hAnsi="Arial"/>
          <w:sz w:val="16"/>
          <w:szCs w:val="16"/>
          <w:color w:val="auto"/>
        </w:rPr>
        <w:t>”) at least four Business Days prior to publicly effecting such Change of Recommendation which shall state expressly (A) that the Company has received a Superior Offer,</w:t>
      </w:r>
    </w:p>
    <w:p>
      <w:pPr>
        <w:spacing w:after="0" w:line="1" w:lineRule="exact"/>
        <w:rPr>
          <w:rFonts w:ascii="Arial" w:cs="Arial" w:eastAsia="Arial" w:hAnsi="Arial"/>
          <w:sz w:val="16"/>
          <w:szCs w:val="16"/>
          <w:color w:val="auto"/>
        </w:rPr>
      </w:pPr>
    </w:p>
    <w:p>
      <w:pPr>
        <w:ind w:right="80" w:firstLine="8"/>
        <w:spacing w:after="0" w:line="277" w:lineRule="auto"/>
        <w:tabs>
          <w:tab w:leader="none" w:pos="285" w:val="left"/>
        </w:tabs>
        <w:numPr>
          <w:ilvl w:val="0"/>
          <w:numId w:val="88"/>
        </w:numPr>
        <w:rPr>
          <w:rFonts w:ascii="Arial" w:cs="Arial" w:eastAsia="Arial" w:hAnsi="Arial"/>
          <w:sz w:val="17"/>
          <w:szCs w:val="17"/>
          <w:color w:val="auto"/>
        </w:rPr>
      </w:pPr>
      <w:r>
        <w:rPr>
          <w:rFonts w:ascii="Arial" w:cs="Arial" w:eastAsia="Arial" w:hAnsi="Arial"/>
          <w:sz w:val="17"/>
          <w:szCs w:val="17"/>
          <w:color w:val="auto"/>
        </w:rPr>
        <w:t xml:space="preserve">the most recent terms and conditions of the Superior Offer and the identity of the Person or group making the Superior Offer (and in the event the Company exercises its right to terminate this Agreement pursuant to </w:t>
      </w:r>
      <w:r>
        <w:rPr>
          <w:rFonts w:ascii="Arial" w:cs="Arial" w:eastAsia="Arial" w:hAnsi="Arial"/>
          <w:sz w:val="17"/>
          <w:szCs w:val="17"/>
          <w:b w:val="1"/>
          <w:bCs w:val="1"/>
          <w:color w:val="auto"/>
        </w:rPr>
        <w:t>Section 7.1(h)</w:t>
      </w:r>
      <w:r>
        <w:rPr>
          <w:rFonts w:ascii="Arial" w:cs="Arial" w:eastAsia="Arial" w:hAnsi="Arial"/>
          <w:sz w:val="17"/>
          <w:szCs w:val="17"/>
          <w:color w:val="auto"/>
        </w:rPr>
        <w:t>, the Company shall provide to Parent a copy of the final agreement to be entered into in connection with the Superior Offer) and (C) that the Company intends to effect a Change of Recommendation;</w:t>
      </w:r>
    </w:p>
    <w:p>
      <w:pPr>
        <w:spacing w:after="0" w:line="173" w:lineRule="exact"/>
        <w:rPr>
          <w:rFonts w:ascii="Arial" w:cs="Arial" w:eastAsia="Arial" w:hAnsi="Arial"/>
          <w:sz w:val="17"/>
          <w:szCs w:val="17"/>
          <w:color w:val="auto"/>
        </w:rPr>
      </w:pPr>
    </w:p>
    <w:p>
      <w:pPr>
        <w:ind w:right="40" w:firstLine="2277"/>
        <w:spacing w:after="0" w:line="259" w:lineRule="auto"/>
        <w:tabs>
          <w:tab w:leader="none" w:pos="2605" w:val="left"/>
        </w:tabs>
        <w:numPr>
          <w:ilvl w:val="1"/>
          <w:numId w:val="88"/>
        </w:numPr>
        <w:rPr>
          <w:rFonts w:ascii="Arial" w:cs="Arial" w:eastAsia="Arial" w:hAnsi="Arial"/>
          <w:sz w:val="18"/>
          <w:szCs w:val="18"/>
          <w:color w:val="auto"/>
        </w:rPr>
      </w:pPr>
      <w:r>
        <w:rPr>
          <w:rFonts w:ascii="Arial" w:cs="Arial" w:eastAsia="Arial" w:hAnsi="Arial"/>
          <w:sz w:val="18"/>
          <w:szCs w:val="18"/>
          <w:color w:val="auto"/>
        </w:rPr>
        <w:t>after delivering the Change of Recommendation Notice, the Company shall provide Parent with a reasonable opportunity to make such adjustments in the terms and conditions of this Agreement during such four-Business Day period, and negotiate in good faith with respect thereto during such four-Business Day period, as would enable the Company to proceed with its recommendation to stockholders in favor of adoption of this Agreement without making a Change of Recommendation;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0" w:firstLine="2277"/>
        <w:spacing w:after="0" w:line="279" w:lineRule="auto"/>
        <w:tabs>
          <w:tab w:leader="none" w:pos="2593" w:val="left"/>
        </w:tabs>
        <w:numPr>
          <w:ilvl w:val="1"/>
          <w:numId w:val="89"/>
        </w:numPr>
        <w:rPr>
          <w:rFonts w:ascii="Arial" w:cs="Arial" w:eastAsia="Arial" w:hAnsi="Arial"/>
          <w:sz w:val="17"/>
          <w:szCs w:val="17"/>
          <w:color w:val="auto"/>
        </w:rPr>
      </w:pPr>
      <w:r>
        <w:rPr>
          <w:rFonts w:ascii="Arial" w:cs="Arial" w:eastAsia="Arial" w:hAnsi="Arial"/>
          <w:sz w:val="17"/>
          <w:szCs w:val="17"/>
          <w:color w:val="auto"/>
        </w:rPr>
        <w:t>the Board of Directors of the Company shall have determined (A) after consultation with its financial advisor, that the terms of the Superior Offer are more favorable to the stockholders of the Company than the Merger (as it may be adjusted pursuant to subsection (iv) above) and (B) after consultation with outside legal counsel, the failure to effect a Change of Recommendation would reasonably be expected to result in a breach of the Board of Directors’ fiduciary duties to the stockholders of the Company under applicable law; and</w:t>
      </w:r>
    </w:p>
    <w:p>
      <w:pPr>
        <w:spacing w:after="0" w:line="167" w:lineRule="exact"/>
        <w:rPr>
          <w:rFonts w:ascii="Arial" w:cs="Arial" w:eastAsia="Arial" w:hAnsi="Arial"/>
          <w:sz w:val="17"/>
          <w:szCs w:val="17"/>
          <w:color w:val="auto"/>
        </w:rPr>
      </w:pPr>
    </w:p>
    <w:p>
      <w:pPr>
        <w:ind w:left="2620" w:hanging="343"/>
        <w:spacing w:after="0"/>
        <w:tabs>
          <w:tab w:leader="none" w:pos="26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 xml:space="preserve">the Company shall not have breached any of the provisions set forth in </w:t>
      </w:r>
      <w:r>
        <w:rPr>
          <w:rFonts w:ascii="Arial" w:cs="Arial" w:eastAsia="Arial" w:hAnsi="Arial"/>
          <w:sz w:val="18"/>
          <w:szCs w:val="18"/>
          <w:b w:val="1"/>
          <w:bCs w:val="1"/>
          <w:color w:val="auto"/>
        </w:rPr>
        <w:t>Section 5.2</w:t>
      </w:r>
      <w:r>
        <w:rPr>
          <w:rFonts w:ascii="Arial" w:cs="Arial" w:eastAsia="Arial" w:hAnsi="Arial"/>
          <w:sz w:val="18"/>
          <w:szCs w:val="18"/>
          <w:color w:val="auto"/>
        </w:rPr>
        <w:t xml:space="preserve"> or this </w:t>
      </w:r>
      <w:r>
        <w:rPr>
          <w:rFonts w:ascii="Arial" w:cs="Arial" w:eastAsia="Arial" w:hAnsi="Arial"/>
          <w:sz w:val="18"/>
          <w:szCs w:val="18"/>
          <w:b w:val="1"/>
          <w:bCs w:val="1"/>
          <w:color w:val="auto"/>
        </w:rPr>
        <w:t>Section 5.3</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420" w:right="200" w:firstLine="1290"/>
        <w:spacing w:after="0" w:line="286" w:lineRule="auto"/>
        <w:tabs>
          <w:tab w:leader="none" w:pos="1954" w:val="left"/>
        </w:tabs>
        <w:numPr>
          <w:ilvl w:val="0"/>
          <w:numId w:val="90"/>
        </w:numPr>
        <w:rPr>
          <w:rFonts w:ascii="Arial" w:cs="Arial" w:eastAsia="Arial" w:hAnsi="Arial"/>
          <w:sz w:val="17"/>
          <w:szCs w:val="17"/>
          <w:color w:val="auto"/>
        </w:rPr>
      </w:pPr>
      <w:r>
        <w:rPr>
          <w:rFonts w:ascii="Arial" w:cs="Arial" w:eastAsia="Arial" w:hAnsi="Arial"/>
          <w:sz w:val="17"/>
          <w:szCs w:val="17"/>
          <w:b w:val="1"/>
          <w:bCs w:val="1"/>
          <w:i w:val="1"/>
          <w:iCs w:val="1"/>
          <w:color w:val="auto"/>
        </w:rPr>
        <w:t>Compliance with Disclosure Obligations</w:t>
      </w:r>
      <w:r>
        <w:rPr>
          <w:rFonts w:ascii="Arial" w:cs="Arial" w:eastAsia="Arial" w:hAnsi="Arial"/>
          <w:sz w:val="17"/>
          <w:szCs w:val="17"/>
          <w:color w:val="auto"/>
        </w:rPr>
        <w:t>. Nothing contained in this Agreement shall prohibit the Company or its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Directors from complying with Rules 14-a-9, 14d-9 and 14e-2(a) promulgated under the Exchange Act. Without limiting the foregoing, the Company shall not effect a Change of Recommendation unless specifically permitted pursuant to the terms of </w:t>
      </w:r>
      <w:r>
        <w:rPr>
          <w:rFonts w:ascii="Arial" w:cs="Arial" w:eastAsia="Arial" w:hAnsi="Arial"/>
          <w:sz w:val="17"/>
          <w:szCs w:val="17"/>
          <w:b w:val="1"/>
          <w:bCs w:val="1"/>
          <w:color w:val="auto"/>
        </w:rPr>
        <w:t>Section 5.3(d)</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left="420" w:right="80" w:firstLine="1290"/>
        <w:spacing w:after="0" w:line="302" w:lineRule="auto"/>
        <w:tabs>
          <w:tab w:leader="none" w:pos="1973" w:val="left"/>
        </w:tabs>
        <w:numPr>
          <w:ilvl w:val="0"/>
          <w:numId w:val="9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State Takeover Statute. </w:t>
      </w:r>
      <w:r>
        <w:rPr>
          <w:rFonts w:ascii="Arial" w:cs="Arial" w:eastAsia="Arial" w:hAnsi="Arial"/>
          <w:sz w:val="16"/>
          <w:szCs w:val="16"/>
          <w:color w:val="auto"/>
        </w:rPr>
        <w:t>The Board of Directors of the Company shall not, in connection with any Change of Recommendation,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take any action to change the approval of the Board of Directors of the Company for purposes of causing any state takeover statute or other state law to be applicable to the transactions contemplated hereby. For the avoidance of doubt, this </w:t>
      </w:r>
      <w:r>
        <w:rPr>
          <w:rFonts w:ascii="Arial" w:cs="Arial" w:eastAsia="Arial" w:hAnsi="Arial"/>
          <w:sz w:val="16"/>
          <w:szCs w:val="16"/>
          <w:b w:val="1"/>
          <w:bCs w:val="1"/>
          <w:color w:val="auto"/>
        </w:rPr>
        <w:t>Section 5.3(f)</w:t>
      </w:r>
      <w:r>
        <w:rPr>
          <w:rFonts w:ascii="Arial" w:cs="Arial" w:eastAsia="Arial" w:hAnsi="Arial"/>
          <w:sz w:val="16"/>
          <w:szCs w:val="16"/>
          <w:color w:val="auto"/>
        </w:rPr>
        <w:t xml:space="preserve"> shall not prohibit the Company from effecting a Change of Recommendation under the circumstances and subject to the conditions set forth in this </w:t>
      </w:r>
      <w:r>
        <w:rPr>
          <w:rFonts w:ascii="Arial" w:cs="Arial" w:eastAsia="Arial" w:hAnsi="Arial"/>
          <w:sz w:val="16"/>
          <w:szCs w:val="16"/>
          <w:b w:val="1"/>
          <w:bCs w:val="1"/>
          <w:color w:val="auto"/>
        </w:rPr>
        <w:t>Section 5.3</w:t>
      </w:r>
      <w:r>
        <w:rPr>
          <w:rFonts w:ascii="Arial" w:cs="Arial" w:eastAsia="Arial" w:hAnsi="Arial"/>
          <w:sz w:val="16"/>
          <w:szCs w:val="16"/>
          <w:color w:val="auto"/>
        </w:rPr>
        <w:t>.</w:t>
      </w:r>
    </w:p>
    <w:p>
      <w:pPr>
        <w:spacing w:after="0" w:line="154" w:lineRule="exact"/>
        <w:rPr>
          <w:rFonts w:ascii="Arial" w:cs="Arial" w:eastAsia="Arial" w:hAnsi="Arial"/>
          <w:sz w:val="16"/>
          <w:szCs w:val="16"/>
          <w:color w:val="auto"/>
        </w:rPr>
      </w:pPr>
    </w:p>
    <w:p>
      <w:pPr>
        <w:ind w:left="420" w:firstLine="1290"/>
        <w:spacing w:after="0" w:line="257" w:lineRule="auto"/>
        <w:tabs>
          <w:tab w:leader="none" w:pos="1964" w:val="left"/>
        </w:tabs>
        <w:numPr>
          <w:ilvl w:val="0"/>
          <w:numId w:val="90"/>
        </w:numPr>
        <w:rPr>
          <w:rFonts w:ascii="Arial" w:cs="Arial" w:eastAsia="Arial" w:hAnsi="Arial"/>
          <w:sz w:val="18"/>
          <w:szCs w:val="18"/>
          <w:color w:val="auto"/>
        </w:rPr>
      </w:pPr>
      <w:r>
        <w:rPr>
          <w:rFonts w:ascii="Arial" w:cs="Arial" w:eastAsia="Arial" w:hAnsi="Arial"/>
          <w:sz w:val="18"/>
          <w:szCs w:val="18"/>
          <w:b w:val="1"/>
          <w:bCs w:val="1"/>
          <w:i w:val="1"/>
          <w:iCs w:val="1"/>
          <w:color w:val="auto"/>
        </w:rPr>
        <w:t>Continuing Obligation to Call, Hold and Convene Stockholders’ Meeting; No Other Vote</w:t>
      </w:r>
      <w:r>
        <w:rPr>
          <w:rFonts w:ascii="Arial" w:cs="Arial" w:eastAsia="Arial" w:hAnsi="Arial"/>
          <w:sz w:val="18"/>
          <w:szCs w:val="18"/>
          <w:color w:val="auto"/>
        </w:rPr>
        <w:t>. Notwithstanding anything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contrary contained in this Agreement, but subject to the provisions of </w:t>
      </w:r>
      <w:r>
        <w:rPr>
          <w:rFonts w:ascii="Arial" w:cs="Arial" w:eastAsia="Arial" w:hAnsi="Arial"/>
          <w:sz w:val="18"/>
          <w:szCs w:val="18"/>
          <w:b w:val="1"/>
          <w:bCs w:val="1"/>
          <w:color w:val="auto"/>
        </w:rPr>
        <w:t>Section 7.1(h)</w:t>
      </w:r>
      <w:r>
        <w:rPr>
          <w:rFonts w:ascii="Arial" w:cs="Arial" w:eastAsia="Arial" w:hAnsi="Arial"/>
          <w:sz w:val="18"/>
          <w:szCs w:val="18"/>
          <w:color w:val="auto"/>
        </w:rPr>
        <w:t>, the obligation of the Company to call, give notice of, convene and hold the Stockholders’ Meeting shall not be limited or otherwise affected by the commencement, disclosure, announcement or submission to it of any Acquisition Proposal, or by any Change of Recommendation. The Company shall not submit to the vote of its stockholders any Acquisition Proposal, or propose to do so.</w:t>
      </w:r>
    </w:p>
    <w:p>
      <w:pPr>
        <w:spacing w:after="0" w:line="188" w:lineRule="exact"/>
        <w:rPr>
          <w:rFonts w:ascii="Arial" w:cs="Arial" w:eastAsia="Arial" w:hAnsi="Arial"/>
          <w:sz w:val="18"/>
          <w:szCs w:val="18"/>
          <w:color w:val="auto"/>
        </w:rPr>
      </w:pPr>
    </w:p>
    <w:p>
      <w:pPr>
        <w:ind w:left="1960" w:hanging="250"/>
        <w:spacing w:after="0"/>
        <w:tabs>
          <w:tab w:leader="none" w:pos="1960" w:val="left"/>
        </w:tabs>
        <w:numPr>
          <w:ilvl w:val="0"/>
          <w:numId w:val="90"/>
        </w:numPr>
        <w:rPr>
          <w:rFonts w:ascii="Arial" w:cs="Arial" w:eastAsia="Arial" w:hAnsi="Arial"/>
          <w:sz w:val="18"/>
          <w:szCs w:val="18"/>
          <w:color w:val="auto"/>
        </w:rPr>
      </w:pPr>
      <w:r>
        <w:rPr>
          <w:rFonts w:ascii="Arial" w:cs="Arial" w:eastAsia="Arial" w:hAnsi="Arial"/>
          <w:sz w:val="18"/>
          <w:szCs w:val="18"/>
          <w:b w:val="1"/>
          <w:bCs w:val="1"/>
          <w:i w:val="1"/>
          <w:iCs w:val="1"/>
          <w:color w:val="auto"/>
        </w:rPr>
        <w:t>Certain Definitions</w:t>
      </w:r>
      <w:r>
        <w:rPr>
          <w:rFonts w:ascii="Arial" w:cs="Arial" w:eastAsia="Arial" w:hAnsi="Arial"/>
          <w:sz w:val="18"/>
          <w:szCs w:val="18"/>
          <w:color w:val="auto"/>
        </w:rPr>
        <w:t>. For purposes of this Agreement, the following terms shall have the following meanings:</w:t>
      </w:r>
    </w:p>
    <w:p>
      <w:pPr>
        <w:spacing w:after="0" w:line="221" w:lineRule="exact"/>
        <w:rPr>
          <w:rFonts w:ascii="Arial" w:cs="Arial" w:eastAsia="Arial" w:hAnsi="Arial"/>
          <w:sz w:val="18"/>
          <w:szCs w:val="18"/>
          <w:color w:val="auto"/>
        </w:rPr>
      </w:pPr>
    </w:p>
    <w:p>
      <w:pPr>
        <w:ind w:right="60" w:firstLine="2277"/>
        <w:spacing w:after="0" w:line="255" w:lineRule="auto"/>
        <w:tabs>
          <w:tab w:leader="none" w:pos="2592" w:val="left"/>
        </w:tabs>
        <w:numPr>
          <w:ilvl w:val="1"/>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 Proposal</w:t>
      </w:r>
      <w:r>
        <w:rPr>
          <w:rFonts w:ascii="Arial" w:cs="Arial" w:eastAsia="Arial" w:hAnsi="Arial"/>
          <w:sz w:val="18"/>
          <w:szCs w:val="18"/>
          <w:color w:val="auto"/>
        </w:rPr>
        <w:t>,” with respect to the Company, shall mean any offer or proposal relating to any transaction or series of related transactions involving: (a) any purchase from such party or acquisition by any Person or “group” (as defined under Section 13(d) of the Exchange Act and the rules and regulations thereunder) of more than a 20% interest in the total outstanding voting securities of the Company or any of its Subsidiaries or any tender offer or exchange offer that if consummated would result in any Person or group beneficially owning 20% or more of the total outstanding voting securities of the Company or any of its Subsidiaries, (b) any merger, consolidation, business combination or similar transaction involving the Company or any of its Subsidiaries, (c) any sale, lease (other than in the ordinary course of business consistent with past practice), exchange, transfer, license (other than in the ordinary course of business consistent with past practice), acquisition or disposition of more than 20% of the assets of the Company (including its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Subsidiaries taken as a whole) or (d) any liquidation or dissolution of the Company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transactions between Parent and the Company contemplated by this Agreement shall not be deemed an Acquisition Proposal); and</w:t>
      </w:r>
    </w:p>
    <w:p>
      <w:pPr>
        <w:spacing w:after="0" w:line="166" w:lineRule="exact"/>
        <w:rPr>
          <w:sz w:val="20"/>
          <w:szCs w:val="20"/>
          <w:color w:val="auto"/>
        </w:rPr>
      </w:pPr>
    </w:p>
    <w:p>
      <w:pPr>
        <w:ind w:right="40" w:firstLine="2277"/>
        <w:spacing w:after="0" w:line="277" w:lineRule="auto"/>
        <w:tabs>
          <w:tab w:leader="none" w:pos="2603" w:val="left"/>
        </w:tabs>
        <w:numPr>
          <w:ilvl w:val="1"/>
          <w:numId w:val="9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Superior Offer</w:t>
      </w:r>
      <w:r>
        <w:rPr>
          <w:rFonts w:ascii="Arial" w:cs="Arial" w:eastAsia="Arial" w:hAnsi="Arial"/>
          <w:sz w:val="17"/>
          <w:szCs w:val="17"/>
          <w:color w:val="auto"/>
        </w:rPr>
        <w:t xml:space="preserve">,” with respect to the Company, shall mean an unsolicited, bona fide Acquisition Proposal by a third party on terms that the Board of Directors of the Company has in good faith concluded, after consultation with its outside legal counsel and financial advisor, taking into account, among other things, all legal, financial, regulatory and other aspects of the offer and the Person making the offer, to be more favorable to the Company’s stockholders (in their capacities as stockholders) than the terms of the Merger and is reasonably capable of being consummated,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each reference to 20% in the definition of “Acquisition Proposal” shall be replaced with “50%” for purposes hereof.</w:t>
      </w:r>
    </w:p>
    <w:p>
      <w:pPr>
        <w:spacing w:after="0" w:line="172" w:lineRule="exact"/>
        <w:rPr>
          <w:rFonts w:ascii="Arial" w:cs="Arial" w:eastAsia="Arial" w:hAnsi="Arial"/>
          <w:sz w:val="17"/>
          <w:szCs w:val="17"/>
          <w:color w:val="auto"/>
        </w:rPr>
      </w:pPr>
    </w:p>
    <w:p>
      <w:pPr>
        <w:ind w:left="420" w:right="200" w:firstLine="1290"/>
        <w:spacing w:after="0" w:line="342" w:lineRule="auto"/>
        <w:tabs>
          <w:tab w:leader="none" w:pos="1963" w:val="left"/>
        </w:tabs>
        <w:numPr>
          <w:ilvl w:val="0"/>
          <w:numId w:val="92"/>
        </w:numPr>
        <w:rPr>
          <w:rFonts w:ascii="Arial" w:cs="Arial" w:eastAsia="Arial" w:hAnsi="Arial"/>
          <w:sz w:val="16"/>
          <w:szCs w:val="16"/>
          <w:color w:val="auto"/>
        </w:rPr>
      </w:pPr>
      <w:r>
        <w:rPr>
          <w:rFonts w:ascii="Arial" w:cs="Arial" w:eastAsia="Arial" w:hAnsi="Arial"/>
          <w:sz w:val="16"/>
          <w:szCs w:val="16"/>
          <w:b w:val="1"/>
          <w:bCs w:val="1"/>
          <w:i w:val="1"/>
          <w:iCs w:val="1"/>
          <w:color w:val="auto"/>
        </w:rPr>
        <w:t>Specific Performance</w:t>
      </w:r>
      <w:r>
        <w:rPr>
          <w:rFonts w:ascii="Arial" w:cs="Arial" w:eastAsia="Arial" w:hAnsi="Arial"/>
          <w:sz w:val="16"/>
          <w:szCs w:val="16"/>
          <w:color w:val="auto"/>
        </w:rPr>
        <w:t>. The parties hereto agree that irreparable damage would occur in the event that the provisions of this</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 xml:space="preserve">Section 5.3 </w:t>
      </w:r>
      <w:r>
        <w:rPr>
          <w:rFonts w:ascii="Arial" w:cs="Arial" w:eastAsia="Arial" w:hAnsi="Arial"/>
          <w:sz w:val="16"/>
          <w:szCs w:val="16"/>
          <w:color w:val="auto"/>
        </w:rPr>
        <w:t>were not performed in accordance with their specific terms or were otherwise breached. It is accordingly agreed by the parties hereto that</w:t>
      </w:r>
    </w:p>
    <w:p>
      <w:pPr>
        <w:sectPr>
          <w:pgSz w:w="11900" w:h="16948" w:orient="portrait"/>
          <w:cols w:equalWidth="0" w:num="1">
            <w:col w:w="11380"/>
          </w:cols>
          <w:pgMar w:left="240" w:top="125" w:right="279" w:bottom="0" w:gutter="0" w:footer="0" w:header="0"/>
        </w:sectPr>
      </w:pPr>
    </w:p>
    <w:bookmarkStart w:id="33" w:name="page34"/>
    <w:bookmarkEnd w:id="33"/>
    <w:p>
      <w:pPr>
        <w:ind w:left="420" w:right="20"/>
        <w:spacing w:after="0" w:line="297" w:lineRule="auto"/>
        <w:rPr>
          <w:sz w:val="20"/>
          <w:szCs w:val="20"/>
          <w:color w:val="auto"/>
        </w:rPr>
      </w:pPr>
      <w:r>
        <w:rPr>
          <w:rFonts w:ascii="Arial" w:cs="Arial" w:eastAsia="Arial" w:hAnsi="Arial"/>
          <w:sz w:val="16"/>
          <w:szCs w:val="16"/>
          <w:color w:val="auto"/>
        </w:rPr>
        <w:t xml:space="preserve">Parent shall be entitled to an immediate injunction or injunctions, without the necessity of proving the inadequacy of money damages as a remedy and without the necessity of posting any bond or other security, to prevent breaches of the provisions of this </w:t>
      </w:r>
      <w:r>
        <w:rPr>
          <w:rFonts w:ascii="Arial" w:cs="Arial" w:eastAsia="Arial" w:hAnsi="Arial"/>
          <w:sz w:val="16"/>
          <w:szCs w:val="16"/>
          <w:b w:val="1"/>
          <w:bCs w:val="1"/>
          <w:color w:val="auto"/>
        </w:rPr>
        <w:t>Section 5.3</w:t>
      </w:r>
      <w:r>
        <w:rPr>
          <w:rFonts w:ascii="Arial" w:cs="Arial" w:eastAsia="Arial" w:hAnsi="Arial"/>
          <w:sz w:val="16"/>
          <w:szCs w:val="16"/>
          <w:color w:val="auto"/>
        </w:rPr>
        <w:t xml:space="preserve"> and to enforce specifically the terms and provisions hereof in any court of the United States or any state having jurisdiction, this being in addition to any other remedy to which Parent may be entitled at law or in equity. Without limiting the foregoing, it is understood that any violation of the restrictions set forth above by any officer, director, agent, representative or affiliate of the Company shall be deemed to be a breach of this Agreement by the Company.</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b w:val="1"/>
          <w:bCs w:val="1"/>
          <w:i w:val="1"/>
          <w:iCs w:val="1"/>
          <w:color w:val="auto"/>
        </w:rPr>
        <w:t>Confidentiality; Access to Information; No Modification of Representations, Warranties or Covenants.</w:t>
      </w:r>
    </w:p>
    <w:p>
      <w:pPr>
        <w:spacing w:after="0" w:line="225" w:lineRule="exact"/>
        <w:rPr>
          <w:sz w:val="20"/>
          <w:szCs w:val="20"/>
          <w:color w:val="auto"/>
        </w:rPr>
      </w:pPr>
    </w:p>
    <w:p>
      <w:pPr>
        <w:ind w:left="420" w:right="240" w:firstLine="1290"/>
        <w:spacing w:after="0" w:line="297" w:lineRule="auto"/>
        <w:tabs>
          <w:tab w:leader="none" w:pos="1954" w:val="left"/>
        </w:tabs>
        <w:numPr>
          <w:ilvl w:val="0"/>
          <w:numId w:val="93"/>
        </w:numPr>
        <w:rPr>
          <w:rFonts w:ascii="Arial" w:cs="Arial" w:eastAsia="Arial" w:hAnsi="Arial"/>
          <w:sz w:val="16"/>
          <w:szCs w:val="16"/>
          <w:color w:val="auto"/>
        </w:rPr>
      </w:pPr>
      <w:r>
        <w:rPr>
          <w:rFonts w:ascii="Arial" w:cs="Arial" w:eastAsia="Arial" w:hAnsi="Arial"/>
          <w:sz w:val="16"/>
          <w:szCs w:val="16"/>
          <w:b w:val="1"/>
          <w:bCs w:val="1"/>
          <w:i w:val="1"/>
          <w:iCs w:val="1"/>
          <w:color w:val="auto"/>
        </w:rPr>
        <w:t>Confidentiality</w:t>
      </w:r>
      <w:r>
        <w:rPr>
          <w:rFonts w:ascii="Arial" w:cs="Arial" w:eastAsia="Arial" w:hAnsi="Arial"/>
          <w:sz w:val="16"/>
          <w:szCs w:val="16"/>
          <w:color w:val="auto"/>
        </w:rPr>
        <w:t>. The parties acknowledge that the Company and Parent have previously executed a Mutual Non-Disclosure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dated April 22, 2005 (the “</w:t>
      </w:r>
      <w:r>
        <w:rPr>
          <w:rFonts w:ascii="Arial" w:cs="Arial" w:eastAsia="Arial" w:hAnsi="Arial"/>
          <w:sz w:val="16"/>
          <w:szCs w:val="16"/>
          <w:b w:val="1"/>
          <w:bCs w:val="1"/>
          <w:color w:val="auto"/>
        </w:rPr>
        <w:t>Confidentiality Agreement</w:t>
      </w:r>
      <w:r>
        <w:rPr>
          <w:rFonts w:ascii="Arial" w:cs="Arial" w:eastAsia="Arial" w:hAnsi="Arial"/>
          <w:sz w:val="16"/>
          <w:szCs w:val="16"/>
          <w:color w:val="auto"/>
        </w:rPr>
        <w:t>”), which Confidentiality Agreement will continue in full force and effect in accordance with its terms and each of Parent and the Company will hold, and will cause its respective directors, officers, employees, agents, affiliates and advisors (including attorneys, accountants, consultants, bankers and financial advisors) to hold and keep confidential, any “Confidential Information” (as defined in the Confidentiality Agreement) confidential in accordance with the terms of the Confidentiality Agreement.</w:t>
      </w:r>
    </w:p>
    <w:p>
      <w:pPr>
        <w:spacing w:after="0" w:line="158" w:lineRule="exact"/>
        <w:rPr>
          <w:rFonts w:ascii="Arial" w:cs="Arial" w:eastAsia="Arial" w:hAnsi="Arial"/>
          <w:sz w:val="16"/>
          <w:szCs w:val="16"/>
          <w:color w:val="auto"/>
        </w:rPr>
      </w:pPr>
    </w:p>
    <w:p>
      <w:pPr>
        <w:jc w:val="both"/>
        <w:ind w:left="420" w:right="100" w:firstLine="1290"/>
        <w:spacing w:after="0" w:line="255" w:lineRule="auto"/>
        <w:tabs>
          <w:tab w:leader="none" w:pos="1964" w:val="left"/>
        </w:tabs>
        <w:numPr>
          <w:ilvl w:val="0"/>
          <w:numId w:val="93"/>
        </w:numPr>
        <w:rPr>
          <w:rFonts w:ascii="Arial" w:cs="Arial" w:eastAsia="Arial" w:hAnsi="Arial"/>
          <w:sz w:val="18"/>
          <w:szCs w:val="18"/>
          <w:color w:val="auto"/>
        </w:rPr>
      </w:pPr>
      <w:r>
        <w:rPr>
          <w:rFonts w:ascii="Arial" w:cs="Arial" w:eastAsia="Arial" w:hAnsi="Arial"/>
          <w:sz w:val="18"/>
          <w:szCs w:val="18"/>
          <w:b w:val="1"/>
          <w:bCs w:val="1"/>
          <w:i w:val="1"/>
          <w:iCs w:val="1"/>
          <w:color w:val="auto"/>
        </w:rPr>
        <w:t>Access to Information</w:t>
      </w:r>
      <w:r>
        <w:rPr>
          <w:rFonts w:ascii="Arial" w:cs="Arial" w:eastAsia="Arial" w:hAnsi="Arial"/>
          <w:sz w:val="18"/>
          <w:szCs w:val="18"/>
          <w:color w:val="auto"/>
        </w:rPr>
        <w:t>. Subject to the Confidentiality Agreement and applicable law, the Company shall afford Parent and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accountants, counsel and other representatives, reasonable access and upon reasonable prior notice during normal business hours to the properties, books, analysis, projections, plans, systems, contracts, commitments, records, personnel offices and other facilities of the Company and its Subsidiaries during the period prior to the earlier of the Effective Time or the termination of this Agreement to obtain all information concerning the business of the Company and its Subsidiaries, including the status of product development efforts, properties, results of operations and personnel of the Company and its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0"/>
        <w:spacing w:after="0" w:line="287" w:lineRule="auto"/>
        <w:rPr>
          <w:sz w:val="20"/>
          <w:szCs w:val="20"/>
          <w:color w:val="auto"/>
        </w:rPr>
      </w:pPr>
      <w:r>
        <w:rPr>
          <w:rFonts w:ascii="Arial" w:cs="Arial" w:eastAsia="Arial" w:hAnsi="Arial"/>
          <w:sz w:val="16"/>
          <w:szCs w:val="16"/>
          <w:color w:val="auto"/>
        </w:rPr>
        <w:t xml:space="preserve">Subsidiaries and use commercially reasonable efforts to make available at reasonable times during normal business hours to Parent and its representatives, the appropriate individuals (including management, personnel, attorneys, accountants and other professionals) for discussion of the Company and its Subsidiaries’ business, properties, prospects and personnel as Parent may reasonably request. During such period, the Company shall (and shall cause its Subsidiaries to), subject to any limitations imposed by law with respect to records of employees, furnish promptly to Parent (a) a copy of each report, schedule, registration statement and other document filed or received by it during such period pursuant to the requirements of federal securities laws and (b) all other information concerning its business, properties and personnel as Parent may reasonably request. Notwithstanding the foregoing, the Company may restrict such access to the extent that (i) any law, treaty, rule or regulation of any Governmental Entity applicable to the Company or its Subsidiaries may reasonably require the Company or its Subsidiaries to restrict or prohibit access to any such properties, personnel or information and (ii) such access would be in breach of any confidentiality obligation, commitment or provision by which the Company or any of its Subsidiaries is bound or affected, which confidentiality obligation, commitment or provision shall be disclosed to Parent,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disclosure of such obligation, commitment or provision would not itself be the breach of an obligation or commitment to a third party. Any information obtained from the Company or any of its Subsidiaries pursuant to the access contemplated by this Section 5.4 shall be subject to the Confidentiality Agreement.</w:t>
      </w:r>
    </w:p>
    <w:p>
      <w:pPr>
        <w:spacing w:after="0" w:line="169" w:lineRule="exact"/>
        <w:rPr>
          <w:sz w:val="20"/>
          <w:szCs w:val="20"/>
          <w:color w:val="auto"/>
        </w:rPr>
      </w:pPr>
    </w:p>
    <w:p>
      <w:pPr>
        <w:ind w:left="420" w:right="40" w:firstLine="1290"/>
        <w:spacing w:after="0" w:line="312" w:lineRule="auto"/>
        <w:tabs>
          <w:tab w:leader="none" w:pos="1954" w:val="left"/>
        </w:tabs>
        <w:numPr>
          <w:ilvl w:val="0"/>
          <w:numId w:val="94"/>
        </w:numPr>
        <w:rPr>
          <w:rFonts w:ascii="Arial" w:cs="Arial" w:eastAsia="Arial" w:hAnsi="Arial"/>
          <w:sz w:val="16"/>
          <w:szCs w:val="16"/>
          <w:color w:val="auto"/>
        </w:rPr>
      </w:pPr>
      <w:r>
        <w:rPr>
          <w:rFonts w:ascii="Arial" w:cs="Arial" w:eastAsia="Arial" w:hAnsi="Arial"/>
          <w:sz w:val="16"/>
          <w:szCs w:val="16"/>
          <w:b w:val="1"/>
          <w:bCs w:val="1"/>
          <w:i w:val="1"/>
          <w:iCs w:val="1"/>
          <w:color w:val="auto"/>
        </w:rPr>
        <w:t>No Modification of Representations and Warranties or Covenants</w:t>
      </w:r>
      <w:r>
        <w:rPr>
          <w:rFonts w:ascii="Arial" w:cs="Arial" w:eastAsia="Arial" w:hAnsi="Arial"/>
          <w:sz w:val="16"/>
          <w:szCs w:val="16"/>
          <w:color w:val="auto"/>
        </w:rPr>
        <w:t>. No information or knowledge obtained in any investigation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notification pursuant to this </w:t>
      </w:r>
      <w:r>
        <w:rPr>
          <w:rFonts w:ascii="Arial" w:cs="Arial" w:eastAsia="Arial" w:hAnsi="Arial"/>
          <w:sz w:val="16"/>
          <w:szCs w:val="16"/>
          <w:b w:val="1"/>
          <w:bCs w:val="1"/>
          <w:color w:val="auto"/>
        </w:rPr>
        <w:t>Section 5.4</w:t>
      </w:r>
      <w:r>
        <w:rPr>
          <w:rFonts w:ascii="Arial" w:cs="Arial" w:eastAsia="Arial" w:hAnsi="Arial"/>
          <w:sz w:val="16"/>
          <w:szCs w:val="16"/>
          <w:color w:val="auto"/>
        </w:rPr>
        <w:t xml:space="preserve"> or </w:t>
      </w:r>
      <w:r>
        <w:rPr>
          <w:rFonts w:ascii="Arial" w:cs="Arial" w:eastAsia="Arial" w:hAnsi="Arial"/>
          <w:sz w:val="16"/>
          <w:szCs w:val="16"/>
          <w:b w:val="1"/>
          <w:bCs w:val="1"/>
          <w:color w:val="auto"/>
        </w:rPr>
        <w:t>Section 5.6</w:t>
      </w:r>
      <w:r>
        <w:rPr>
          <w:rFonts w:ascii="Arial" w:cs="Arial" w:eastAsia="Arial" w:hAnsi="Arial"/>
          <w:sz w:val="16"/>
          <w:szCs w:val="16"/>
          <w:color w:val="auto"/>
        </w:rPr>
        <w:t>, or otherwise shall affect or be deemed to modify any representation or warranty contained herein, the covenants or agreements of the parties hereto or the conditions to the obligations of the parties hereto under this Agreement.</w:t>
      </w:r>
    </w:p>
    <w:p>
      <w:pPr>
        <w:spacing w:after="0" w:line="147"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b w:val="1"/>
          <w:bCs w:val="1"/>
          <w:i w:val="1"/>
          <w:iCs w:val="1"/>
          <w:color w:val="auto"/>
        </w:rPr>
        <w:t>Public Disclosure</w:t>
      </w:r>
      <w:r>
        <w:rPr>
          <w:rFonts w:ascii="Arial" w:cs="Arial" w:eastAsia="Arial" w:hAnsi="Arial"/>
          <w:sz w:val="16"/>
          <w:szCs w:val="16"/>
          <w:color w:val="auto"/>
        </w:rPr>
        <w:t>. Without limiting any other provision of this Agreement, Parent and the Company will consult with each other before issuing, and provide each other the opportunity to review and comment upon and use reasonable efforts to agree on any press release or public statement with respect to this Agreement and the transactions contemplated hereby, including the Merger, and any Acquisition Proposal and will not issue any such press release or make any such public statement prior to such consultation and (to the extent practicable) agreement, except as may be required by law or any requirement of the NYSE or The Nasdaq Stock Market. The parties have agreed to the text of the joint press release announcing the signing of this Agreement.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b w:val="1"/>
          <w:bCs w:val="1"/>
          <w:i w:val="1"/>
          <w:iCs w:val="1"/>
          <w:color w:val="auto"/>
        </w:rPr>
        <w:t>Regulatory Filings; Reasonable Efforts.</w:t>
      </w:r>
    </w:p>
    <w:p>
      <w:pPr>
        <w:spacing w:after="0" w:line="225" w:lineRule="exact"/>
        <w:rPr>
          <w:sz w:val="20"/>
          <w:szCs w:val="20"/>
          <w:color w:val="auto"/>
        </w:rPr>
      </w:pPr>
    </w:p>
    <w:p>
      <w:pPr>
        <w:ind w:left="420" w:right="20" w:firstLine="1290"/>
        <w:spacing w:after="0" w:line="255" w:lineRule="auto"/>
        <w:tabs>
          <w:tab w:leader="none" w:pos="1954" w:val="left"/>
        </w:tabs>
        <w:numPr>
          <w:ilvl w:val="0"/>
          <w:numId w:val="95"/>
        </w:numPr>
        <w:rPr>
          <w:rFonts w:ascii="Arial" w:cs="Arial" w:eastAsia="Arial" w:hAnsi="Arial"/>
          <w:sz w:val="18"/>
          <w:szCs w:val="18"/>
          <w:color w:val="auto"/>
        </w:rPr>
      </w:pPr>
      <w:r>
        <w:rPr>
          <w:rFonts w:ascii="Arial" w:cs="Arial" w:eastAsia="Arial" w:hAnsi="Arial"/>
          <w:sz w:val="18"/>
          <w:szCs w:val="18"/>
          <w:b w:val="1"/>
          <w:bCs w:val="1"/>
          <w:i w:val="1"/>
          <w:iCs w:val="1"/>
          <w:color w:val="auto"/>
        </w:rPr>
        <w:t>Regulatory Filings</w:t>
      </w:r>
      <w:r>
        <w:rPr>
          <w:rFonts w:ascii="Arial" w:cs="Arial" w:eastAsia="Arial" w:hAnsi="Arial"/>
          <w:sz w:val="18"/>
          <w:szCs w:val="18"/>
          <w:color w:val="auto"/>
        </w:rPr>
        <w:t>. Each of Parent, Merger Sub and the Company shall coordinate and cooperate with one another and shall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 all reasonable efforts to comply with, and shall each refrain from taking any action that would impede compliance with, all Legal Requirements, and as promptly as practicable after the date hereof, each of Parent, Merger Sub and the Company shall make all filings, notices, petitions, statements, registrations, submissions of information, application or submission of other documents required by any Governmental Entity in connection with the Merger and the transactions contemplated hereby, including, without limitation: (i) Notification and Report Forms with the FTC and the DOJ as required by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0" w:right="40"/>
        <w:spacing w:after="0" w:line="255" w:lineRule="auto"/>
        <w:rPr>
          <w:sz w:val="20"/>
          <w:szCs w:val="20"/>
          <w:color w:val="auto"/>
        </w:rPr>
      </w:pPr>
      <w:r>
        <w:rPr>
          <w:rFonts w:ascii="Arial" w:cs="Arial" w:eastAsia="Arial" w:hAnsi="Arial"/>
          <w:sz w:val="18"/>
          <w:szCs w:val="18"/>
          <w:color w:val="auto"/>
        </w:rPr>
        <w:t xml:space="preserve">the HSR Act; (ii) filings under any other comparable pre-merger notification forms reasonably determined by Parent and the Company to be required by the merger notification or control laws of any applicable jurisdiction, as agreed by the parties hereto; and (iii) any filings required under the Securities Act, the Exchange Act, any applicable state or securities or “blue sky” laws and the securities laws of any foreign country, or any other Legal Requirement relating to the Merger. Each of Parent and the Company will cause all documents that it is responsible for filing with any Governmental Entity under this </w:t>
      </w:r>
      <w:r>
        <w:rPr>
          <w:rFonts w:ascii="Arial" w:cs="Arial" w:eastAsia="Arial" w:hAnsi="Arial"/>
          <w:sz w:val="18"/>
          <w:szCs w:val="18"/>
          <w:b w:val="1"/>
          <w:bCs w:val="1"/>
          <w:color w:val="auto"/>
        </w:rPr>
        <w:t>Section 5.6(a)</w:t>
      </w:r>
      <w:r>
        <w:rPr>
          <w:rFonts w:ascii="Arial" w:cs="Arial" w:eastAsia="Arial" w:hAnsi="Arial"/>
          <w:sz w:val="18"/>
          <w:szCs w:val="18"/>
          <w:color w:val="auto"/>
        </w:rPr>
        <w:t xml:space="preserve"> to comply in all material respects with all applicable Legal Requirements. Parent, Merger Sub and the Company each shall promptly supply the other with any information that may be required in order to effectuate any filings or application pursuant to this </w:t>
      </w:r>
      <w:r>
        <w:rPr>
          <w:rFonts w:ascii="Arial" w:cs="Arial" w:eastAsia="Arial" w:hAnsi="Arial"/>
          <w:sz w:val="18"/>
          <w:szCs w:val="18"/>
          <w:b w:val="1"/>
          <w:bCs w:val="1"/>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color w:val="auto"/>
        </w:rPr>
        <w:t>5.6(a)</w:t>
      </w:r>
      <w:r>
        <w:rPr>
          <w:rFonts w:ascii="Arial" w:cs="Arial" w:eastAsia="Arial" w:hAnsi="Arial"/>
          <w:sz w:val="18"/>
          <w:szCs w:val="18"/>
          <w:color w:val="auto"/>
        </w:rPr>
        <w:t>.</w:t>
      </w:r>
    </w:p>
    <w:p>
      <w:pPr>
        <w:spacing w:after="0" w:line="189" w:lineRule="exact"/>
        <w:rPr>
          <w:sz w:val="20"/>
          <w:szCs w:val="20"/>
          <w:color w:val="auto"/>
        </w:rPr>
      </w:pPr>
    </w:p>
    <w:p>
      <w:pPr>
        <w:ind w:left="420" w:right="120" w:firstLine="1290"/>
        <w:spacing w:after="0" w:line="255" w:lineRule="auto"/>
        <w:tabs>
          <w:tab w:leader="none" w:pos="1964" w:val="left"/>
        </w:tabs>
        <w:numPr>
          <w:ilvl w:val="0"/>
          <w:numId w:val="96"/>
        </w:numPr>
        <w:rPr>
          <w:rFonts w:ascii="Arial" w:cs="Arial" w:eastAsia="Arial" w:hAnsi="Arial"/>
          <w:sz w:val="18"/>
          <w:szCs w:val="18"/>
          <w:color w:val="auto"/>
        </w:rPr>
      </w:pPr>
      <w:r>
        <w:rPr>
          <w:rFonts w:ascii="Arial" w:cs="Arial" w:eastAsia="Arial" w:hAnsi="Arial"/>
          <w:sz w:val="18"/>
          <w:szCs w:val="18"/>
          <w:b w:val="1"/>
          <w:bCs w:val="1"/>
          <w:i w:val="1"/>
          <w:iCs w:val="1"/>
          <w:color w:val="auto"/>
        </w:rPr>
        <w:t>Notification</w:t>
      </w:r>
      <w:r>
        <w:rPr>
          <w:rFonts w:ascii="Arial" w:cs="Arial" w:eastAsia="Arial" w:hAnsi="Arial"/>
          <w:sz w:val="18"/>
          <w:szCs w:val="18"/>
          <w:color w:val="auto"/>
        </w:rPr>
        <w:t>. Each of Parent, Merger Sub and the Company will notify the other promptly upon the receipt of (i) any comments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from any officials of any Governmental Entity in connection with any filings made pursuant hereto and (ii) any request by any officials of any Governmental Entity for amendments or supplements to any filings made pursuant to, or information provided to comply in all material respects with, any Legal Requirements. Whenever any event occurs that is required to be set forth in an amendment or supplement to any filing made pursuant to </w:t>
      </w:r>
      <w:r>
        <w:rPr>
          <w:rFonts w:ascii="Arial" w:cs="Arial" w:eastAsia="Arial" w:hAnsi="Arial"/>
          <w:sz w:val="18"/>
          <w:szCs w:val="18"/>
          <w:b w:val="1"/>
          <w:bCs w:val="1"/>
          <w:color w:val="auto"/>
        </w:rPr>
        <w:t>Section 5.6(a)</w:t>
      </w:r>
      <w:r>
        <w:rPr>
          <w:rFonts w:ascii="Arial" w:cs="Arial" w:eastAsia="Arial" w:hAnsi="Arial"/>
          <w:sz w:val="18"/>
          <w:szCs w:val="18"/>
          <w:color w:val="auto"/>
        </w:rPr>
        <w:t>, Parent, Merger Sub or the Company, as the case may be, will promptly inform the other of such occurrence and cooperate in filing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applicable Governmental Entity such amendment or supplement.</w:t>
      </w:r>
    </w:p>
    <w:p>
      <w:pPr>
        <w:sectPr>
          <w:pgSz w:w="11900" w:h="16838" w:orient="portrait"/>
          <w:cols w:equalWidth="0" w:num="1">
            <w:col w:w="11420"/>
          </w:cols>
          <w:pgMar w:left="240" w:top="125" w:right="239" w:bottom="0" w:gutter="0" w:footer="0" w:header="0"/>
        </w:sectPr>
      </w:pPr>
    </w:p>
    <w:bookmarkStart w:id="34" w:name="page35"/>
    <w:bookmarkEnd w:id="34"/>
    <w:p>
      <w:pPr>
        <w:spacing w:after="0" w:line="87" w:lineRule="exact"/>
        <w:rPr>
          <w:sz w:val="20"/>
          <w:szCs w:val="20"/>
          <w:color w:val="auto"/>
        </w:rPr>
      </w:pPr>
    </w:p>
    <w:p>
      <w:pPr>
        <w:ind w:left="420" w:right="40" w:firstLine="1290"/>
        <w:spacing w:after="0" w:line="286" w:lineRule="auto"/>
        <w:tabs>
          <w:tab w:leader="none" w:pos="1954" w:val="left"/>
        </w:tabs>
        <w:numPr>
          <w:ilvl w:val="0"/>
          <w:numId w:val="97"/>
        </w:numPr>
        <w:rPr>
          <w:rFonts w:ascii="Arial" w:cs="Arial" w:eastAsia="Arial" w:hAnsi="Arial"/>
          <w:sz w:val="16"/>
          <w:szCs w:val="16"/>
          <w:color w:val="auto"/>
        </w:rPr>
      </w:pPr>
      <w:r>
        <w:rPr>
          <w:rFonts w:ascii="Arial" w:cs="Arial" w:eastAsia="Arial" w:hAnsi="Arial"/>
          <w:sz w:val="16"/>
          <w:szCs w:val="16"/>
          <w:b w:val="1"/>
          <w:bCs w:val="1"/>
          <w:i w:val="1"/>
          <w:iCs w:val="1"/>
          <w:color w:val="auto"/>
        </w:rPr>
        <w:t>Reasonable Efforts</w:t>
      </w:r>
      <w:r>
        <w:rPr>
          <w:rFonts w:ascii="Arial" w:cs="Arial" w:eastAsia="Arial" w:hAnsi="Arial"/>
          <w:sz w:val="16"/>
          <w:szCs w:val="16"/>
          <w:color w:val="auto"/>
        </w:rPr>
        <w:t>. Subject to the express provisions of</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5.2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5.3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hereof and upon the terms and subject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conditions set forth herein, each of the parties agrees to use reasonable efforts to take, or cause to be taken, all actions, and to do, or cause to be done, and to assist and cooperate with the other parties in doing, all things reasonably necessary, proper or advisable to consummate and make effective, as promptly as practicable, the Merger and the other transactions contemplated by this Agreement, including the following: (i) the taking of reasonable acts necessary to cause the conditions precedent set forth in </w:t>
      </w:r>
      <w:r>
        <w:rPr>
          <w:rFonts w:ascii="Arial" w:cs="Arial" w:eastAsia="Arial" w:hAnsi="Arial"/>
          <w:sz w:val="16"/>
          <w:szCs w:val="16"/>
          <w:b w:val="1"/>
          <w:bCs w:val="1"/>
          <w:color w:val="auto"/>
        </w:rPr>
        <w:t>Article VI</w:t>
      </w:r>
      <w:r>
        <w:rPr>
          <w:rFonts w:ascii="Arial" w:cs="Arial" w:eastAsia="Arial" w:hAnsi="Arial"/>
          <w:sz w:val="16"/>
          <w:szCs w:val="16"/>
          <w:color w:val="auto"/>
        </w:rPr>
        <w:t xml:space="preserve"> to be satisfied; (ii) the obtaining of all necessary actions or nonactions, waivers, consents, approvals, orders and authorizations from Governmental Entities and the making of all necessary registrations, declarations, submissions and filings (including registrations, declarations, and filings with Governmental Entities, if any) and the taking of reasonable steps as may be necessary to avoid any suit, claim, action, investigation or proceeding by any Governmental Entity; (iii) the defending of any suits, claims, actions, investigations or proceedings, whether judicial or administrative, challenging this Agreement or the consummation of the transactions contemplated hereby; and (iv) the execution or delivery of any additional instruments necessary to consummate the transactions contemplated by, and to fully carry out the purposes of, this Agreement. In connection with and without limiting the foregoing, the Company and its Board of Directors shall, if any takeover statute or similar Legal Requirement is or becomes applicable to the Merger, this Agreement or any of the transactions contemplated by this Agreement, use reasonable efforts to ensure that the Merger and the other transactions contemplated by this Agreement may be consummated as promptly as practicable on the terms contemplated by this Agreement and otherwise to minimize the effect of such Legal Requirement on the Merger, this Agreement and the transactions contemplated hereby.</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20" w:firstLine="1290"/>
        <w:spacing w:after="0" w:line="287" w:lineRule="auto"/>
        <w:tabs>
          <w:tab w:leader="none" w:pos="1964" w:val="left"/>
        </w:tabs>
        <w:numPr>
          <w:ilvl w:val="0"/>
          <w:numId w:val="9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Divestiture. </w:t>
      </w:r>
      <w:r>
        <w:rPr>
          <w:rFonts w:ascii="Arial" w:cs="Arial" w:eastAsia="Arial" w:hAnsi="Arial"/>
          <w:sz w:val="16"/>
          <w:szCs w:val="16"/>
          <w:color w:val="auto"/>
        </w:rPr>
        <w:t>Notwithstanding anything in this Agreement to the contrary and except as set forth below, nothing contained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this Agreement shall be deemed to require Parent or any Subsidiary or affiliate thereof to agree to any Action of Divestiture, unless following the date hereof, Parent enters into a definitive binding agreement to acquire, or acquires, a business that competes with the primary business of the Company, in which case the foregoing proviso does not apply to any such acquired, or to be acquired, competitive business. Except as provided in </w:t>
      </w:r>
      <w:r>
        <w:rPr>
          <w:rFonts w:ascii="Arial" w:cs="Arial" w:eastAsia="Arial" w:hAnsi="Arial"/>
          <w:sz w:val="16"/>
          <w:szCs w:val="16"/>
          <w:b w:val="1"/>
          <w:bCs w:val="1"/>
          <w:color w:val="auto"/>
        </w:rPr>
        <w:t>Section 5.13</w:t>
      </w:r>
      <w:r>
        <w:rPr>
          <w:rFonts w:ascii="Arial" w:cs="Arial" w:eastAsia="Arial" w:hAnsi="Arial"/>
          <w:sz w:val="16"/>
          <w:szCs w:val="16"/>
          <w:color w:val="auto"/>
        </w:rPr>
        <w:t xml:space="preserve"> of this Agreement, the Company shall not, without the prior written consent of Parent, take or agree to take any Action of Divestiture. For purposes of this Agreement, an “</w:t>
      </w:r>
      <w:r>
        <w:rPr>
          <w:rFonts w:ascii="Arial" w:cs="Arial" w:eastAsia="Arial" w:hAnsi="Arial"/>
          <w:sz w:val="16"/>
          <w:szCs w:val="16"/>
          <w:b w:val="1"/>
          <w:bCs w:val="1"/>
          <w:color w:val="auto"/>
        </w:rPr>
        <w:t>Action of Divestiture</w:t>
      </w:r>
      <w:r>
        <w:rPr>
          <w:rFonts w:ascii="Arial" w:cs="Arial" w:eastAsia="Arial" w:hAnsi="Arial"/>
          <w:sz w:val="16"/>
          <w:szCs w:val="16"/>
          <w:color w:val="auto"/>
        </w:rPr>
        <w:t>” shall mean (i) any license, sale or other disposition or holding separate (through establishment of a trust or otherwise) of any shares of capital stock or of any business, assets or properties of Parent, its subsidiaries or affiliates, or of the Company or its Subsidiaries that are material to Parent or the Company, (ii) the imposition of any material limitation on the ability of Parent, its Subsidiaries or affiliates, or the Company or its Subsidiaries to conduct their respective businesses or own any capital stock or assets or to acquire, hold or exercise full rights of ownership of their respective businesses and, in the case of Parent, the businesses of the Company and its Subsidiaries or (iii) the imposition of any material impediment on Parent, its Subsidiaries or affiliates, or the Company or its Subsidiaries under any statute, rule, regulation, executive order, decree, order or other legal restraint governing competition, monopolies or restrictive trade practices.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b w:val="1"/>
          <w:bCs w:val="1"/>
          <w:i w:val="1"/>
          <w:iCs w:val="1"/>
          <w:color w:val="auto"/>
        </w:rPr>
        <w:t>Notification of Certain Matters.</w:t>
      </w:r>
    </w:p>
    <w:p>
      <w:pPr>
        <w:spacing w:after="0" w:line="225" w:lineRule="exact"/>
        <w:rPr>
          <w:sz w:val="20"/>
          <w:szCs w:val="20"/>
          <w:color w:val="auto"/>
        </w:rPr>
      </w:pPr>
    </w:p>
    <w:p>
      <w:pPr>
        <w:ind w:right="20" w:firstLine="1305"/>
        <w:spacing w:after="0" w:line="255" w:lineRule="auto"/>
        <w:tabs>
          <w:tab w:leader="none" w:pos="1541" w:val="left"/>
        </w:tabs>
        <w:numPr>
          <w:ilvl w:val="0"/>
          <w:numId w:val="99"/>
        </w:numPr>
        <w:rPr>
          <w:rFonts w:ascii="Arial" w:cs="Arial" w:eastAsia="Arial" w:hAnsi="Arial"/>
          <w:sz w:val="18"/>
          <w:szCs w:val="18"/>
          <w:color w:val="auto"/>
        </w:rPr>
      </w:pPr>
      <w:r>
        <w:rPr>
          <w:rFonts w:ascii="Arial" w:cs="Arial" w:eastAsia="Arial" w:hAnsi="Arial"/>
          <w:sz w:val="18"/>
          <w:szCs w:val="18"/>
          <w:b w:val="1"/>
          <w:bCs w:val="1"/>
          <w:i w:val="1"/>
          <w:iCs w:val="1"/>
          <w:color w:val="auto"/>
        </w:rPr>
        <w:t>By the Company</w:t>
      </w:r>
      <w:r>
        <w:rPr>
          <w:rFonts w:ascii="Arial" w:cs="Arial" w:eastAsia="Arial" w:hAnsi="Arial"/>
          <w:sz w:val="18"/>
          <w:szCs w:val="18"/>
          <w:color w:val="auto"/>
        </w:rPr>
        <w:t>. The Company shall give prompt notice to Parent and Merger Sub of (i) any representation or warranty made by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contained in this Agreement becoming untrue or inaccurate in any material respect, (ii) any failure of the Company to comply with or satisfy in any material respect any covenant, condition or agreement to be complied with or satisfied by it under this Agreement or (iii) the occurrence or non-occurrence of any event the occurrence or non-occurrence of which would reasonably be expected to cause the failure of any conditions to the obligations of Parent and Merger Sub under </w:t>
      </w:r>
      <w:r>
        <w:rPr>
          <w:rFonts w:ascii="Arial" w:cs="Arial" w:eastAsia="Arial" w:hAnsi="Arial"/>
          <w:sz w:val="18"/>
          <w:szCs w:val="18"/>
          <w:b w:val="1"/>
          <w:bCs w:val="1"/>
          <w:color w:val="auto"/>
        </w:rPr>
        <w:t>Section 6.2</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 such notification shall affect the representations or warranties of the Company or the conditions to the obligations of the parties under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that the delivery of any notice pursuant to this </w:t>
      </w:r>
      <w:r>
        <w:rPr>
          <w:rFonts w:ascii="Arial" w:cs="Arial" w:eastAsia="Arial" w:hAnsi="Arial"/>
          <w:sz w:val="18"/>
          <w:szCs w:val="18"/>
          <w:b w:val="1"/>
          <w:bCs w:val="1"/>
          <w:color w:val="auto"/>
        </w:rPr>
        <w:t>Section 5.7(a)</w:t>
      </w:r>
      <w:r>
        <w:rPr>
          <w:rFonts w:ascii="Arial" w:cs="Arial" w:eastAsia="Arial" w:hAnsi="Arial"/>
          <w:sz w:val="18"/>
          <w:szCs w:val="18"/>
          <w:color w:val="auto"/>
        </w:rPr>
        <w:t xml:space="preserve"> shall not limit or otherwise affect the remedies available hereunder.</w:t>
      </w:r>
    </w:p>
    <w:p>
      <w:pPr>
        <w:spacing w:after="0" w:line="189" w:lineRule="exact"/>
        <w:rPr>
          <w:rFonts w:ascii="Arial" w:cs="Arial" w:eastAsia="Arial" w:hAnsi="Arial"/>
          <w:sz w:val="18"/>
          <w:szCs w:val="18"/>
          <w:color w:val="auto"/>
        </w:rPr>
      </w:pPr>
    </w:p>
    <w:p>
      <w:pPr>
        <w:ind w:right="40" w:firstLine="1305"/>
        <w:spacing w:after="0" w:line="255" w:lineRule="auto"/>
        <w:tabs>
          <w:tab w:leader="none" w:pos="1551" w:val="left"/>
        </w:tabs>
        <w:numPr>
          <w:ilvl w:val="0"/>
          <w:numId w:val="99"/>
        </w:numPr>
        <w:rPr>
          <w:rFonts w:ascii="Arial" w:cs="Arial" w:eastAsia="Arial" w:hAnsi="Arial"/>
          <w:sz w:val="18"/>
          <w:szCs w:val="18"/>
          <w:color w:val="auto"/>
        </w:rPr>
      </w:pPr>
      <w:r>
        <w:rPr>
          <w:rFonts w:ascii="Arial" w:cs="Arial" w:eastAsia="Arial" w:hAnsi="Arial"/>
          <w:sz w:val="18"/>
          <w:szCs w:val="18"/>
          <w:b w:val="1"/>
          <w:bCs w:val="1"/>
          <w:i w:val="1"/>
          <w:iCs w:val="1"/>
          <w:color w:val="auto"/>
        </w:rPr>
        <w:t>By Parent</w:t>
      </w:r>
      <w:r>
        <w:rPr>
          <w:rFonts w:ascii="Arial" w:cs="Arial" w:eastAsia="Arial" w:hAnsi="Arial"/>
          <w:sz w:val="18"/>
          <w:szCs w:val="18"/>
          <w:color w:val="auto"/>
        </w:rPr>
        <w:t>. Parent and Merger Sub shall give prompt notice to the Company of (i) any representation or warranty made by it contained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 this Agreement becoming untrue or inaccurate in any material respect, (ii) any failure of Parent to comply with or satisfy in any material respect any covenant, condition or agreement to be complied with or satisfied by it under this Agreement or (iii) the occurrence or non-occurrence of any event the occurrence or non-occurrence of which would reasonably be expected to cause the failure of any conditions to the obligations of the Company under </w:t>
      </w:r>
      <w:r>
        <w:rPr>
          <w:rFonts w:ascii="Arial" w:cs="Arial" w:eastAsia="Arial" w:hAnsi="Arial"/>
          <w:sz w:val="18"/>
          <w:szCs w:val="18"/>
          <w:b w:val="1"/>
          <w:bCs w:val="1"/>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color w:val="auto"/>
        </w:rPr>
        <w:t>6.3</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such notification shall affect the representations, warranties of Parent and Merger Sub or the conditions to the obligations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parties under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that the delivery of any notice pursuant to this </w:t>
      </w:r>
      <w:r>
        <w:rPr>
          <w:rFonts w:ascii="Arial" w:cs="Arial" w:eastAsia="Arial" w:hAnsi="Arial"/>
          <w:sz w:val="18"/>
          <w:szCs w:val="18"/>
          <w:b w:val="1"/>
          <w:bCs w:val="1"/>
          <w:color w:val="auto"/>
        </w:rPr>
        <w:t>Section 5.7(b)</w:t>
      </w:r>
      <w:r>
        <w:rPr>
          <w:rFonts w:ascii="Arial" w:cs="Arial" w:eastAsia="Arial" w:hAnsi="Arial"/>
          <w:sz w:val="18"/>
          <w:szCs w:val="18"/>
          <w:color w:val="auto"/>
        </w:rPr>
        <w:t xml:space="preserve"> shall not limit or otherwise affect the remedies available hereunder.</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b w:val="1"/>
          <w:bCs w:val="1"/>
          <w:i w:val="1"/>
          <w:iCs w:val="1"/>
          <w:color w:val="auto"/>
        </w:rPr>
        <w:t>Third-Party Consents</w:t>
      </w:r>
      <w:r>
        <w:rPr>
          <w:rFonts w:ascii="Arial" w:cs="Arial" w:eastAsia="Arial" w:hAnsi="Arial"/>
          <w:sz w:val="17"/>
          <w:szCs w:val="17"/>
          <w:color w:val="auto"/>
        </w:rPr>
        <w:t xml:space="preserve">. As soon as practicable following the date hereof, the Company will use reasonable efforts to obtain such material consents, waivers and approvals under any of its or its Subsidiaries’ respective Contracts required to be obtained in connection with the consummation of the transactions contemplated hereby as may be reasonably requested by Parent after consultation with the Company, including all consents, waivers and approvals set forth in </w:t>
      </w:r>
      <w:r>
        <w:rPr>
          <w:rFonts w:ascii="Arial" w:cs="Arial" w:eastAsia="Arial" w:hAnsi="Arial"/>
          <w:sz w:val="17"/>
          <w:szCs w:val="17"/>
          <w:b w:val="1"/>
          <w:bCs w:val="1"/>
          <w:color w:val="auto"/>
        </w:rPr>
        <w:t>Section 2.3(c)</w:t>
      </w:r>
      <w:r>
        <w:rPr>
          <w:rFonts w:ascii="Arial" w:cs="Arial" w:eastAsia="Arial" w:hAnsi="Arial"/>
          <w:sz w:val="17"/>
          <w:szCs w:val="17"/>
          <w:color w:val="auto"/>
        </w:rPr>
        <w:t xml:space="preserve"> of the Company Disclosure Schedule. In connection with seeking such consents, waivers and approvals, the Company shall keep Parent informed of all material developments and shall, at Parent’s request, include Parent in any discussions or communications with any parties whose consent, waiver or approval is sought hereunder. Such consents, waivers and approvals shall be in a form reasonably acceptable to Parent. In the event the Merger does not close for any reason, Parent shall not have any liability to the Company, its stockholders or any other Person for any costs, claims, liabilities or damages resulting from the Company seeking to obtain such consents, waivers and approvals. Notwithstanding the foregoing, the failure to obtain any consents, waivers and approvals pursuant to this </w:t>
      </w:r>
      <w:r>
        <w:rPr>
          <w:rFonts w:ascii="Arial" w:cs="Arial" w:eastAsia="Arial" w:hAnsi="Arial"/>
          <w:sz w:val="17"/>
          <w:szCs w:val="17"/>
          <w:b w:val="1"/>
          <w:bCs w:val="1"/>
          <w:color w:val="auto"/>
        </w:rPr>
        <w:t>Section 5.8</w:t>
      </w:r>
      <w:r>
        <w:rPr>
          <w:rFonts w:ascii="Arial" w:cs="Arial" w:eastAsia="Arial" w:hAnsi="Arial"/>
          <w:sz w:val="17"/>
          <w:szCs w:val="17"/>
          <w:color w:val="auto"/>
        </w:rPr>
        <w:t xml:space="preserve"> shall not be deemed a failure of any conditions to the obligations of Parent and Merger Sub under </w:t>
      </w:r>
      <w:r>
        <w:rPr>
          <w:rFonts w:ascii="Arial" w:cs="Arial" w:eastAsia="Arial" w:hAnsi="Arial"/>
          <w:sz w:val="17"/>
          <w:szCs w:val="17"/>
          <w:b w:val="1"/>
          <w:bCs w:val="1"/>
          <w:color w:val="auto"/>
        </w:rPr>
        <w:t>Section 6.2(b)</w:t>
      </w:r>
      <w:r>
        <w:rPr>
          <w:rFonts w:ascii="Arial" w:cs="Arial" w:eastAsia="Arial" w:hAnsi="Arial"/>
          <w:sz w:val="17"/>
          <w:szCs w:val="17"/>
          <w:color w:val="auto"/>
        </w:rPr>
        <w: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b w:val="1"/>
          <w:bCs w:val="1"/>
          <w:i w:val="1"/>
          <w:iCs w:val="1"/>
          <w:color w:val="auto"/>
        </w:rPr>
        <w:t>Equity Awards and Employee Matters.</w:t>
      </w:r>
    </w:p>
    <w:p>
      <w:pPr>
        <w:spacing w:after="0" w:line="225" w:lineRule="exact"/>
        <w:rPr>
          <w:sz w:val="20"/>
          <w:szCs w:val="20"/>
          <w:color w:val="auto"/>
        </w:rPr>
      </w:pPr>
    </w:p>
    <w:p>
      <w:pPr>
        <w:ind w:left="420" w:right="340" w:firstLine="1290"/>
        <w:spacing w:after="0" w:line="279" w:lineRule="auto"/>
        <w:tabs>
          <w:tab w:leader="none" w:pos="1954" w:val="left"/>
        </w:tabs>
        <w:numPr>
          <w:ilvl w:val="0"/>
          <w:numId w:val="100"/>
        </w:numPr>
        <w:rPr>
          <w:rFonts w:ascii="Arial" w:cs="Arial" w:eastAsia="Arial" w:hAnsi="Arial"/>
          <w:sz w:val="17"/>
          <w:szCs w:val="17"/>
          <w:color w:val="auto"/>
        </w:rPr>
      </w:pPr>
      <w:r>
        <w:rPr>
          <w:rFonts w:ascii="Arial" w:cs="Arial" w:eastAsia="Arial" w:hAnsi="Arial"/>
          <w:sz w:val="17"/>
          <w:szCs w:val="17"/>
          <w:b w:val="1"/>
          <w:bCs w:val="1"/>
          <w:i w:val="1"/>
          <w:iCs w:val="1"/>
          <w:color w:val="auto"/>
        </w:rPr>
        <w:t>Assumption of Certain Company Options</w:t>
      </w:r>
      <w:r>
        <w:rPr>
          <w:rFonts w:ascii="Arial" w:cs="Arial" w:eastAsia="Arial" w:hAnsi="Arial"/>
          <w:sz w:val="17"/>
          <w:szCs w:val="17"/>
          <w:color w:val="auto"/>
        </w:rPr>
        <w:t>. At the Effective Time, each Assumed Option, whether or not then exercisable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vested, shall be assumed by Parent as of the Effective Time. As of the Effective Time, each such Assumed Option shall cease to represent a right to acquire shares of Company Common Stock and shall be converted automatically into an option to purchase shares of Parent Common Stock in an amount, at an exercise price and subject to such terms and conditions determined as provided below.</w:t>
      </w:r>
    </w:p>
    <w:p>
      <w:pPr>
        <w:spacing w:after="0" w:line="171" w:lineRule="exact"/>
        <w:rPr>
          <w:rFonts w:ascii="Arial" w:cs="Arial" w:eastAsia="Arial" w:hAnsi="Arial"/>
          <w:sz w:val="17"/>
          <w:szCs w:val="17"/>
          <w:color w:val="auto"/>
        </w:rPr>
      </w:pPr>
    </w:p>
    <w:p>
      <w:pPr>
        <w:ind w:right="20" w:firstLine="2277"/>
        <w:spacing w:after="0" w:line="312" w:lineRule="auto"/>
        <w:tabs>
          <w:tab w:leader="none" w:pos="2592" w:val="left"/>
        </w:tabs>
        <w:numPr>
          <w:ilvl w:val="1"/>
          <w:numId w:val="100"/>
        </w:numPr>
        <w:rPr>
          <w:rFonts w:ascii="Arial" w:cs="Arial" w:eastAsia="Arial" w:hAnsi="Arial"/>
          <w:sz w:val="16"/>
          <w:szCs w:val="16"/>
          <w:color w:val="auto"/>
        </w:rPr>
      </w:pPr>
      <w:r>
        <w:rPr>
          <w:rFonts w:ascii="Arial" w:cs="Arial" w:eastAsia="Arial" w:hAnsi="Arial"/>
          <w:sz w:val="16"/>
          <w:szCs w:val="16"/>
          <w:color w:val="auto"/>
        </w:rPr>
        <w:t>Each Assumed Option so assumed by Parent shall be subject to, and exercisable and vested upon, the same terms and conditions as under the Option Plans and the applicable option and other related agreements issued thereunder, except that (A) each Assumed Option shall be exercisable for, and represent the right to acquire, that number of shares of Parent Common Stock (rounded down to the nearest whole share) equal to (I) the</w:t>
      </w:r>
    </w:p>
    <w:p>
      <w:pPr>
        <w:sectPr>
          <w:pgSz w:w="11900" w:h="16925" w:orient="portrait"/>
          <w:cols w:equalWidth="0" w:num="1">
            <w:col w:w="11360"/>
          </w:cols>
          <w:pgMar w:left="240" w:top="121" w:right="299" w:bottom="0" w:gutter="0" w:footer="0" w:header="0"/>
        </w:sectPr>
      </w:pPr>
    </w:p>
    <w:bookmarkStart w:id="35" w:name="page36"/>
    <w:bookmarkEnd w:id="35"/>
    <w:p>
      <w:pPr>
        <w:spacing w:after="0" w:line="6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number of shares of Company Common Stock subject to such Company Option immediately prior to the Effective Time multiplied by (II) the Exchange Ratio; and (B) the exercise price per share of Parent Common Stock subject to each Assumed Option shall be an amount equal to (I) the exercise price per share of Company Common Stock subject to such Company Option in effect immediately prior to the Effective Time divided by (II) the Exchange Ratio (rounded up to the nearest whole cent). With respect to the Assumed Options, the Company will not take any action to accelerate the vesting of any such options beyond what is contractually provided as of the date of this Agreement, and will take any action that it is permitted to take so that the vesting of such options is not accelerated.</w:t>
      </w:r>
    </w:p>
    <w:p>
      <w:pPr>
        <w:spacing w:after="0" w:line="189" w:lineRule="exact"/>
        <w:rPr>
          <w:sz w:val="20"/>
          <w:szCs w:val="20"/>
          <w:color w:val="auto"/>
        </w:rPr>
      </w:pPr>
    </w:p>
    <w:p>
      <w:pPr>
        <w:ind w:right="40" w:firstLine="2277"/>
        <w:spacing w:after="0" w:line="266" w:lineRule="auto"/>
        <w:tabs>
          <w:tab w:leader="none" w:pos="260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The conversion of Assumed Options provided for in </w:t>
      </w:r>
      <w:r>
        <w:rPr>
          <w:rFonts w:ascii="Arial" w:cs="Arial" w:eastAsia="Arial" w:hAnsi="Arial"/>
          <w:sz w:val="18"/>
          <w:szCs w:val="18"/>
          <w:b w:val="1"/>
          <w:bCs w:val="1"/>
          <w:color w:val="auto"/>
        </w:rPr>
        <w:t>Section 5.9(a)</w:t>
      </w:r>
      <w:r>
        <w:rPr>
          <w:rFonts w:ascii="Arial" w:cs="Arial" w:eastAsia="Arial" w:hAnsi="Arial"/>
          <w:sz w:val="18"/>
          <w:szCs w:val="18"/>
          <w:color w:val="auto"/>
        </w:rPr>
        <w:t xml:space="preserve"> shall be effected in a manner intended to comply with Section 409A of the Code, and, with respect to any options that are intended to be “incentive stock options” (as defined in Section 422 of the Code), shall be effected in a manner consistent with Section 424(a) of the Code.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20" w:firstLine="2277"/>
        <w:spacing w:after="0" w:line="259" w:lineRule="auto"/>
        <w:tabs>
          <w:tab w:leader="none" w:pos="2615" w:val="left"/>
        </w:tabs>
        <w:numPr>
          <w:ilvl w:val="1"/>
          <w:numId w:val="102"/>
        </w:numPr>
        <w:rPr>
          <w:rFonts w:ascii="Arial" w:cs="Arial" w:eastAsia="Arial" w:hAnsi="Arial"/>
          <w:sz w:val="18"/>
          <w:szCs w:val="18"/>
          <w:color w:val="auto"/>
        </w:rPr>
      </w:pPr>
      <w:r>
        <w:rPr>
          <w:rFonts w:ascii="Arial" w:cs="Arial" w:eastAsia="Arial" w:hAnsi="Arial"/>
          <w:sz w:val="18"/>
          <w:szCs w:val="18"/>
          <w:color w:val="auto"/>
        </w:rPr>
        <w:t>Parent shall file a registration statement on Form S-8 or such other available form for the shares of Parent Common Stock issuable with respect to Assumed Options as soon as reasonably practicable and in no event later than seven Business Days after the Effective Time, and shall exercise reasonable efforts to maintain the effectiveness of such registration statements for so long as any of such converted Assumed Options remain outstanding.</w:t>
      </w:r>
    </w:p>
    <w:p>
      <w:pPr>
        <w:spacing w:after="0" w:line="186" w:lineRule="exact"/>
        <w:rPr>
          <w:rFonts w:ascii="Arial" w:cs="Arial" w:eastAsia="Arial" w:hAnsi="Arial"/>
          <w:sz w:val="18"/>
          <w:szCs w:val="18"/>
          <w:color w:val="auto"/>
        </w:rPr>
      </w:pPr>
    </w:p>
    <w:p>
      <w:pPr>
        <w:ind w:left="420" w:firstLine="1290"/>
        <w:spacing w:after="0" w:line="291" w:lineRule="auto"/>
        <w:tabs>
          <w:tab w:leader="none" w:pos="1964" w:val="left"/>
        </w:tabs>
        <w:numPr>
          <w:ilvl w:val="0"/>
          <w:numId w:val="103"/>
        </w:numPr>
        <w:rPr>
          <w:rFonts w:ascii="Arial" w:cs="Arial" w:eastAsia="Arial" w:hAnsi="Arial"/>
          <w:sz w:val="16"/>
          <w:szCs w:val="16"/>
          <w:color w:val="auto"/>
        </w:rPr>
      </w:pPr>
      <w:r>
        <w:rPr>
          <w:rFonts w:ascii="Arial" w:cs="Arial" w:eastAsia="Arial" w:hAnsi="Arial"/>
          <w:sz w:val="16"/>
          <w:szCs w:val="16"/>
          <w:b w:val="1"/>
          <w:bCs w:val="1"/>
          <w:i w:val="1"/>
          <w:iCs w:val="1"/>
          <w:color w:val="auto"/>
        </w:rPr>
        <w:t>Termination of Certain Company Options</w:t>
      </w:r>
      <w:r>
        <w:rPr>
          <w:rFonts w:ascii="Arial" w:cs="Arial" w:eastAsia="Arial" w:hAnsi="Arial"/>
          <w:sz w:val="16"/>
          <w:szCs w:val="16"/>
          <w:color w:val="auto"/>
        </w:rPr>
        <w:t>. At the Effective Time, each then outstanding Company Option that is not an Assumed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Option, whether or not then exercisable or vested, shall be terminated by the Company as of the Effective Time pursuant to </w:t>
      </w:r>
      <w:r>
        <w:rPr>
          <w:rFonts w:ascii="Arial" w:cs="Arial" w:eastAsia="Arial" w:hAnsi="Arial"/>
          <w:sz w:val="16"/>
          <w:szCs w:val="16"/>
          <w:b w:val="1"/>
          <w:bCs w:val="1"/>
          <w:color w:val="auto"/>
        </w:rPr>
        <w:t>Section 1.6(e)</w:t>
      </w:r>
      <w:r>
        <w:rPr>
          <w:rFonts w:ascii="Arial" w:cs="Arial" w:eastAsia="Arial" w:hAnsi="Arial"/>
          <w:sz w:val="16"/>
          <w:szCs w:val="16"/>
          <w:color w:val="auto"/>
        </w:rPr>
        <w:t xml:space="preserve">. If and to the extent necessary or required by the terms of the Option Plans or pursuant to the terms of any Company Option granted to directors of the Company thereunder, the Company shall use reasonable efforts to obtain the consent of each such holder of outstanding Company Options to effectuate the treatment of such Company Options pursuant to the terms of this Agreement. The Company agrees that the Option Plans and related agreements shall be amended, to the extent necessary, to reflect the transactions contemplated herein. Notwithstanding the foregoing, the failure to obtain any consents pursuant to this </w:t>
      </w:r>
      <w:r>
        <w:rPr>
          <w:rFonts w:ascii="Arial" w:cs="Arial" w:eastAsia="Arial" w:hAnsi="Arial"/>
          <w:sz w:val="16"/>
          <w:szCs w:val="16"/>
          <w:b w:val="1"/>
          <w:bCs w:val="1"/>
          <w:color w:val="auto"/>
        </w:rPr>
        <w:t>Section 5.9(b)</w:t>
      </w:r>
      <w:r>
        <w:rPr>
          <w:rFonts w:ascii="Arial" w:cs="Arial" w:eastAsia="Arial" w:hAnsi="Arial"/>
          <w:sz w:val="16"/>
          <w:szCs w:val="16"/>
          <w:color w:val="auto"/>
        </w:rPr>
        <w:t xml:space="preserve"> shall not be deemed a failure of any conditions to the obligations of Parent and Merger Sub under </w:t>
      </w:r>
      <w:r>
        <w:rPr>
          <w:rFonts w:ascii="Arial" w:cs="Arial" w:eastAsia="Arial" w:hAnsi="Arial"/>
          <w:sz w:val="16"/>
          <w:szCs w:val="16"/>
          <w:b w:val="1"/>
          <w:bCs w:val="1"/>
          <w:color w:val="auto"/>
        </w:rPr>
        <w:t>Section 6.2(b)</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ind w:left="420" w:right="100" w:firstLine="1290"/>
        <w:spacing w:after="0" w:line="286" w:lineRule="auto"/>
        <w:tabs>
          <w:tab w:leader="none" w:pos="1954" w:val="left"/>
        </w:tabs>
        <w:numPr>
          <w:ilvl w:val="0"/>
          <w:numId w:val="103"/>
        </w:numPr>
        <w:rPr>
          <w:rFonts w:ascii="Arial" w:cs="Arial" w:eastAsia="Arial" w:hAnsi="Arial"/>
          <w:sz w:val="16"/>
          <w:szCs w:val="16"/>
          <w:color w:val="auto"/>
        </w:rPr>
      </w:pPr>
      <w:r>
        <w:rPr>
          <w:rFonts w:ascii="Arial" w:cs="Arial" w:eastAsia="Arial" w:hAnsi="Arial"/>
          <w:sz w:val="16"/>
          <w:szCs w:val="16"/>
          <w:b w:val="1"/>
          <w:bCs w:val="1"/>
          <w:i w:val="1"/>
          <w:iCs w:val="1"/>
          <w:color w:val="auto"/>
        </w:rPr>
        <w:t>ESPP</w:t>
      </w:r>
      <w:r>
        <w:rPr>
          <w:rFonts w:ascii="Arial" w:cs="Arial" w:eastAsia="Arial" w:hAnsi="Arial"/>
          <w:sz w:val="16"/>
          <w:szCs w:val="16"/>
          <w:color w:val="auto"/>
        </w:rPr>
        <w:t>. Prior to the Effective Time, the Company shall take all other reasonable actions (including timely distributing notices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participants required by the terms of the ESPP and, if appropriate, amending the terms of the ESPP) that are necessary or appropriate to give effect to the transactions contemplated by this </w:t>
      </w:r>
      <w:r>
        <w:rPr>
          <w:rFonts w:ascii="Arial" w:cs="Arial" w:eastAsia="Arial" w:hAnsi="Arial"/>
          <w:sz w:val="16"/>
          <w:szCs w:val="16"/>
          <w:b w:val="1"/>
          <w:bCs w:val="1"/>
          <w:color w:val="auto"/>
        </w:rPr>
        <w:t>Section 5.9(c)</w:t>
      </w:r>
      <w:r>
        <w:rPr>
          <w:rFonts w:ascii="Arial" w:cs="Arial" w:eastAsia="Arial" w:hAnsi="Arial"/>
          <w:sz w:val="16"/>
          <w:szCs w:val="16"/>
          <w:color w:val="auto"/>
        </w:rPr>
        <w:t>. The Company shall consult with Parent in its preparation of any materials to be distributed to participants in connection with the termination of the ESPP. To the extent permitted by the ESPP, the rights of participants in the ESPP with respect to any offering period then underway under the ESPP shall be determined by treating the last business day prior to the Effective Time as the last day of such offering period and by making such other pro-rata adjustments as may be necessary to reflect the shortened offering period but otherwise treating such shortened offering period as a fully effective and completed offering period for all purposes under the ESPP. Outstanding rights to purchase shares of Company Common Stock shall be exercised in accordance with the terms of the ESPP, and each share of Company Common Stock purchased pursuant to such exercise shall by virtue of the Merger, and without any action on the part of the holder thereof, be converted into the right to receive a number of shares of Parent Common Stock equal to the Exchange Ratio, without issuance of certificates representing issued and outstanding shares of Company Common Stock to participants under the ESPP. The Company shall take all actions necessary or appropriate so that prior to the Effective Time, the ESPP shall be terminated. If the Closing has not occurred on or prior to July 31, 2006, the Company will take all reasonable steps to suspend new enrollment under the terms of the ESPP from such time, and to provide that no new offering periods shall commence on or after August 1, 2006, until (A) immediately prior to the Closing when the ESPP shall be terminated or, if earlier (B) termination of this Agreement.</w:t>
      </w:r>
    </w:p>
    <w:p>
      <w:pPr>
        <w:spacing w:after="0" w:line="167" w:lineRule="exact"/>
        <w:rPr>
          <w:rFonts w:ascii="Arial" w:cs="Arial" w:eastAsia="Arial" w:hAnsi="Arial"/>
          <w:sz w:val="16"/>
          <w:szCs w:val="16"/>
          <w:color w:val="auto"/>
        </w:rPr>
      </w:pPr>
    </w:p>
    <w:p>
      <w:pPr>
        <w:ind w:left="420" w:right="220" w:firstLine="1290"/>
        <w:spacing w:after="0" w:line="266" w:lineRule="auto"/>
        <w:tabs>
          <w:tab w:leader="none" w:pos="1964" w:val="left"/>
        </w:tabs>
        <w:numPr>
          <w:ilvl w:val="0"/>
          <w:numId w:val="103"/>
        </w:numPr>
        <w:rPr>
          <w:rFonts w:ascii="Arial" w:cs="Arial" w:eastAsia="Arial" w:hAnsi="Arial"/>
          <w:sz w:val="18"/>
          <w:szCs w:val="18"/>
          <w:color w:val="auto"/>
        </w:rPr>
      </w:pPr>
      <w:r>
        <w:rPr>
          <w:rFonts w:ascii="Arial" w:cs="Arial" w:eastAsia="Arial" w:hAnsi="Arial"/>
          <w:sz w:val="18"/>
          <w:szCs w:val="18"/>
          <w:b w:val="1"/>
          <w:bCs w:val="1"/>
          <w:i w:val="1"/>
          <w:iCs w:val="1"/>
          <w:color w:val="auto"/>
        </w:rPr>
        <w:t>Notices</w:t>
      </w:r>
      <w:r>
        <w:rPr>
          <w:rFonts w:ascii="Arial" w:cs="Arial" w:eastAsia="Arial" w:hAnsi="Arial"/>
          <w:sz w:val="18"/>
          <w:szCs w:val="18"/>
          <w:color w:val="auto"/>
        </w:rPr>
        <w:t>. With respect to matters described in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Section 5.9(a) - (c)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above, the Company will use reasonable efforts to consult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Parent (and consider in good faith the advice of Parent) prior to sending any notices or other communication materials to its Employees/Service Providers.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20" w:right="40" w:firstLine="1290"/>
        <w:spacing w:after="0" w:line="289" w:lineRule="auto"/>
        <w:tabs>
          <w:tab w:leader="none" w:pos="1954" w:val="left"/>
        </w:tabs>
        <w:numPr>
          <w:ilvl w:val="0"/>
          <w:numId w:val="104"/>
        </w:numPr>
        <w:rPr>
          <w:rFonts w:ascii="Arial" w:cs="Arial" w:eastAsia="Arial" w:hAnsi="Arial"/>
          <w:sz w:val="16"/>
          <w:szCs w:val="16"/>
          <w:color w:val="auto"/>
        </w:rPr>
      </w:pPr>
      <w:r>
        <w:rPr>
          <w:rFonts w:ascii="Arial" w:cs="Arial" w:eastAsia="Arial" w:hAnsi="Arial"/>
          <w:sz w:val="16"/>
          <w:szCs w:val="16"/>
          <w:b w:val="1"/>
          <w:bCs w:val="1"/>
          <w:i w:val="1"/>
          <w:iCs w:val="1"/>
          <w:color w:val="auto"/>
        </w:rPr>
        <w:t>Termination of 401(k) Plans</w:t>
      </w:r>
      <w:r>
        <w:rPr>
          <w:rFonts w:ascii="Arial" w:cs="Arial" w:eastAsia="Arial" w:hAnsi="Arial"/>
          <w:sz w:val="16"/>
          <w:szCs w:val="16"/>
          <w:color w:val="auto"/>
        </w:rPr>
        <w:t>. Effective as of no later than the day immediately preceding the Closing Date, each of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its Subsidiaries and any ERISA Affiliate shall terminate any and all Company Employee Plans intended to include a Code Section 401(k) arrangement (each a “</w:t>
      </w:r>
      <w:r>
        <w:rPr>
          <w:rFonts w:ascii="Arial" w:cs="Arial" w:eastAsia="Arial" w:hAnsi="Arial"/>
          <w:sz w:val="16"/>
          <w:szCs w:val="16"/>
          <w:b w:val="1"/>
          <w:bCs w:val="1"/>
          <w:color w:val="auto"/>
        </w:rPr>
        <w:t>401(k) Plan</w:t>
      </w:r>
      <w:r>
        <w:rPr>
          <w:rFonts w:ascii="Arial" w:cs="Arial" w:eastAsia="Arial" w:hAnsi="Arial"/>
          <w:sz w:val="16"/>
          <w:szCs w:val="16"/>
          <w:color w:val="auto"/>
        </w:rPr>
        <w:t>”) unless Parent provides written notice to the Company that any such 401(k) plan shall not be terminated. Unless, no later than ten Business Days prior to the Closing Date, Parent provides such written notice to the Company, then the Company shall provide Parent with evidence that such 401(k) Plan(s) have been terminated (effective as of no later than the day immediately preceding the Closing Date) pursuant to resolutions of the Board of Directors of the Company, its Subsidiaries or such ERISA Affiliate, as the case may be. Parent shall take all steps necessary to permit each Employee/Service Provider who has received an eligible rollover distribution (as defined in Section 402(c)(4) of the Code) from each 401(k) Plan, if any, to roll such eligible rollover distribution as part of any lump sum distribution to the extent permitted by each 401(k) Plan into an account under Parent’s 401(k) plan (the “</w:t>
      </w:r>
      <w:r>
        <w:rPr>
          <w:rFonts w:ascii="Arial" w:cs="Arial" w:eastAsia="Arial" w:hAnsi="Arial"/>
          <w:sz w:val="16"/>
          <w:szCs w:val="16"/>
          <w:b w:val="1"/>
          <w:bCs w:val="1"/>
          <w:color w:val="auto"/>
        </w:rPr>
        <w:t>Parent’s 401(k) Plan</w:t>
      </w:r>
      <w:r>
        <w:rPr>
          <w:rFonts w:ascii="Arial" w:cs="Arial" w:eastAsia="Arial" w:hAnsi="Arial"/>
          <w:sz w:val="16"/>
          <w:szCs w:val="16"/>
          <w:color w:val="auto"/>
        </w:rPr>
        <w:t>”), to the extent permitted by Parent’s 401(k) Plan.</w:t>
      </w:r>
    </w:p>
    <w:p>
      <w:pPr>
        <w:spacing w:after="0" w:line="166" w:lineRule="exact"/>
        <w:rPr>
          <w:rFonts w:ascii="Arial" w:cs="Arial" w:eastAsia="Arial" w:hAnsi="Arial"/>
          <w:sz w:val="16"/>
          <w:szCs w:val="16"/>
          <w:color w:val="auto"/>
        </w:rPr>
      </w:pPr>
    </w:p>
    <w:p>
      <w:pPr>
        <w:ind w:left="420" w:firstLine="1290"/>
        <w:spacing w:after="0" w:line="286" w:lineRule="auto"/>
        <w:tabs>
          <w:tab w:leader="none" w:pos="1973" w:val="left"/>
        </w:tabs>
        <w:numPr>
          <w:ilvl w:val="0"/>
          <w:numId w:val="104"/>
        </w:numPr>
        <w:rPr>
          <w:rFonts w:ascii="Arial" w:cs="Arial" w:eastAsia="Arial" w:hAnsi="Arial"/>
          <w:sz w:val="16"/>
          <w:szCs w:val="16"/>
          <w:color w:val="auto"/>
        </w:rPr>
      </w:pPr>
      <w:r>
        <w:rPr>
          <w:rFonts w:ascii="Arial" w:cs="Arial" w:eastAsia="Arial" w:hAnsi="Arial"/>
          <w:sz w:val="16"/>
          <w:szCs w:val="16"/>
          <w:b w:val="1"/>
          <w:bCs w:val="1"/>
          <w:i w:val="1"/>
          <w:iCs w:val="1"/>
          <w:color w:val="auto"/>
        </w:rPr>
        <w:t>Service Credit</w:t>
      </w:r>
      <w:r>
        <w:rPr>
          <w:rFonts w:ascii="Arial" w:cs="Arial" w:eastAsia="Arial" w:hAnsi="Arial"/>
          <w:sz w:val="16"/>
          <w:szCs w:val="16"/>
          <w:color w:val="auto"/>
        </w:rPr>
        <w:t>. Following the Effective Time, solely to the extent that Continuing Employees (as defined below) are covered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Parent Benefit Plans (as defined below), Parent will use all reasonable efforts to give each Continuing Employee credit for prior service with the Company or its Subsidiaries for purposes of (i) eligibility and vesting under any applicable Parent benefit plan or written policy or arrangement (“</w:t>
      </w:r>
      <w:r>
        <w:rPr>
          <w:rFonts w:ascii="Arial" w:cs="Arial" w:eastAsia="Arial" w:hAnsi="Arial"/>
          <w:sz w:val="16"/>
          <w:szCs w:val="16"/>
          <w:b w:val="1"/>
          <w:bCs w:val="1"/>
          <w:color w:val="auto"/>
        </w:rPr>
        <w:t>Parent Benefit Plan</w:t>
      </w:r>
      <w:r>
        <w:rPr>
          <w:rFonts w:ascii="Arial" w:cs="Arial" w:eastAsia="Arial" w:hAnsi="Arial"/>
          <w:sz w:val="16"/>
          <w:szCs w:val="16"/>
          <w:color w:val="auto"/>
        </w:rPr>
        <w:t xml:space="preserve">”) in which such Continuing Employee becomes eligible to participate at or following the Effective Time and (ii) determination of benefits levels under any vacation or severance Parent Benefit Plan in which such Continuing Employee becomes eligible to participate at or following the Effective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each case under clauses (i) and (ii) above, if the Company or any of its Subsidiaries maintains a comparable Company Employee Plan, service shall be credited solely to the extent that such service was or would have been credited for such purposes under such comparable plans and no such crediting will be required to the extent it results in the duplication of benefits, or under any bonus or other incentive compensation, or sabbatical or similar plan, program, agreement or arrangement. Solely to the extent that Continuing Employees are covered under Parent Benefit Plans, Parent shall give credit under those of its applicable Parent Benefit Plans that are welfare benefit plans and in which Continuing Employees become eligible to participate at or following the Effective Time, for all co-payments made, amounts credited toward deductibles and out-of-pocket maximums, and time accrued against applicable waiting periods, by Continuing Employees (including their eligible dependents), in respect of the plan year in which the Effective Time occurs, and Parent shall waive all requirements for evidence of insurability and pre-existing conditions otherwise applicable to the Continuing Employees under the Parent Benefit Plans in which the Continuing Employees become eligible to participate at or following the Effective Time, but if the Company or any of its Subsidiaries maintains a comparable Company Employee Plan, solely to</w:t>
      </w:r>
    </w:p>
    <w:p>
      <w:pPr>
        <w:sectPr>
          <w:pgSz w:w="11900" w:h="16904" w:orient="portrait"/>
          <w:cols w:equalWidth="0" w:num="1">
            <w:col w:w="11420"/>
          </w:cols>
          <w:pgMar w:left="240" w:top="125" w:right="239" w:bottom="0" w:gutter="0" w:footer="0" w:header="0"/>
        </w:sectPr>
      </w:pPr>
    </w:p>
    <w:bookmarkStart w:id="36" w:name="page37"/>
    <w:bookmarkEnd w:id="36"/>
    <w:p>
      <w:pPr>
        <w:spacing w:after="0" w:line="63" w:lineRule="exact"/>
        <w:rPr>
          <w:sz w:val="20"/>
          <w:szCs w:val="20"/>
          <w:color w:val="auto"/>
        </w:rPr>
      </w:pPr>
    </w:p>
    <w:p>
      <w:pPr>
        <w:ind w:left="420" w:right="40"/>
        <w:spacing w:after="0" w:line="264" w:lineRule="auto"/>
        <w:rPr>
          <w:sz w:val="20"/>
          <w:szCs w:val="20"/>
          <w:color w:val="auto"/>
        </w:rPr>
      </w:pPr>
      <w:r>
        <w:rPr>
          <w:rFonts w:ascii="Arial" w:cs="Arial" w:eastAsia="Arial" w:hAnsi="Arial"/>
          <w:sz w:val="18"/>
          <w:szCs w:val="18"/>
          <w:color w:val="auto"/>
        </w:rPr>
        <w:t xml:space="preserve">the extent such requirements and conditions were not applicable to the particular Continuing Employee under a comparable Company Employee Plan. For purposes of this Agreement, </w:t>
      </w:r>
      <w:r>
        <w:rPr>
          <w:rFonts w:ascii="Arial" w:cs="Arial" w:eastAsia="Arial" w:hAnsi="Arial"/>
          <w:sz w:val="18"/>
          <w:szCs w:val="18"/>
          <w:b w:val="1"/>
          <w:bCs w:val="1"/>
          <w:color w:val="auto"/>
        </w:rPr>
        <w:t>“Continuing Employees”</w:t>
      </w:r>
      <w:r>
        <w:rPr>
          <w:rFonts w:ascii="Arial" w:cs="Arial" w:eastAsia="Arial" w:hAnsi="Arial"/>
          <w:sz w:val="18"/>
          <w:szCs w:val="18"/>
          <w:color w:val="auto"/>
        </w:rPr>
        <w:t xml:space="preserve"> shall mean those employees of Parent and employees of the Surviving Corporation as of the Effective Time who shall have been employees of the Company immediately prior to the Effective Time.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b w:val="1"/>
          <w:bCs w:val="1"/>
          <w:i w:val="1"/>
          <w:iCs w:val="1"/>
          <w:color w:val="auto"/>
        </w:rPr>
        <w:t>Indemnification.</w:t>
      </w:r>
    </w:p>
    <w:p>
      <w:pPr>
        <w:spacing w:after="0" w:line="225" w:lineRule="exact"/>
        <w:rPr>
          <w:sz w:val="20"/>
          <w:szCs w:val="20"/>
          <w:color w:val="auto"/>
        </w:rPr>
      </w:pPr>
    </w:p>
    <w:p>
      <w:pPr>
        <w:ind w:left="420" w:firstLine="1290"/>
        <w:spacing w:after="0" w:line="288" w:lineRule="auto"/>
        <w:tabs>
          <w:tab w:leader="none" w:pos="1954" w:val="left"/>
        </w:tabs>
        <w:numPr>
          <w:ilvl w:val="0"/>
          <w:numId w:val="105"/>
        </w:numPr>
        <w:rPr>
          <w:rFonts w:ascii="Arial" w:cs="Arial" w:eastAsia="Arial" w:hAnsi="Arial"/>
          <w:sz w:val="16"/>
          <w:szCs w:val="16"/>
          <w:color w:val="auto"/>
        </w:rPr>
      </w:pPr>
      <w:r>
        <w:rPr>
          <w:rFonts w:ascii="Arial" w:cs="Arial" w:eastAsia="Arial" w:hAnsi="Arial"/>
          <w:sz w:val="16"/>
          <w:szCs w:val="16"/>
          <w:b w:val="1"/>
          <w:bCs w:val="1"/>
          <w:i w:val="1"/>
          <w:iCs w:val="1"/>
          <w:color w:val="auto"/>
        </w:rPr>
        <w:t>Indemnity</w:t>
      </w:r>
      <w:r>
        <w:rPr>
          <w:rFonts w:ascii="Arial" w:cs="Arial" w:eastAsia="Arial" w:hAnsi="Arial"/>
          <w:sz w:val="16"/>
          <w:szCs w:val="16"/>
          <w:color w:val="auto"/>
        </w:rPr>
        <w:t>. From and after the Effective Time, Parent will and will cause the Surviving Corporation to fulfill and honor in 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respects the obligations of the Company pursuant to any indemnification agreements between the Company and its directors and officers in effect as of the date hereof and listed in Section 5.10(a) of the Company Disclosure Schedule (including, to the extent indemnifiable thereunder, for acts or omissions occurring in connection with the approval of this Agreement and the consummation of the transactions contemplated hereby) and any directors, officers, employees, or agents under any indemnification provisions under the Company Charter Documents (collectively the “</w:t>
      </w:r>
      <w:r>
        <w:rPr>
          <w:rFonts w:ascii="Arial" w:cs="Arial" w:eastAsia="Arial" w:hAnsi="Arial"/>
          <w:sz w:val="16"/>
          <w:szCs w:val="16"/>
          <w:b w:val="1"/>
          <w:bCs w:val="1"/>
          <w:color w:val="auto"/>
        </w:rPr>
        <w:t>Indemnified</w:t>
      </w:r>
      <w:r>
        <w:rPr>
          <w:rFonts w:ascii="Arial" w:cs="Arial" w:eastAsia="Arial" w:hAnsi="Arial"/>
          <w:sz w:val="16"/>
          <w:szCs w:val="16"/>
          <w:color w:val="auto"/>
        </w:rPr>
        <w:t xml:space="preserve"> </w:t>
      </w:r>
      <w:r>
        <w:rPr>
          <w:rFonts w:ascii="Arial" w:cs="Arial" w:eastAsia="Arial" w:hAnsi="Arial"/>
          <w:sz w:val="16"/>
          <w:szCs w:val="16"/>
          <w:b w:val="1"/>
          <w:bCs w:val="1"/>
          <w:color w:val="auto"/>
        </w:rPr>
        <w:t>Parties</w:t>
      </w:r>
      <w:r>
        <w:rPr>
          <w:rFonts w:ascii="Arial" w:cs="Arial" w:eastAsia="Arial" w:hAnsi="Arial"/>
          <w:sz w:val="16"/>
          <w:szCs w:val="16"/>
          <w:color w:val="auto"/>
        </w:rPr>
        <w:t>”), subject to applicable law. The certificate of incorporation and bylaws of the Surviving Corporation will contain provisions with respect to</w:t>
      </w:r>
      <w:r>
        <w:rPr>
          <w:rFonts w:ascii="Arial" w:cs="Arial" w:eastAsia="Arial" w:hAnsi="Arial"/>
          <w:sz w:val="16"/>
          <w:szCs w:val="16"/>
          <w:b w:val="1"/>
          <w:bCs w:val="1"/>
          <w:color w:val="auto"/>
        </w:rPr>
        <w:t xml:space="preserve"> </w:t>
      </w:r>
      <w:r>
        <w:rPr>
          <w:rFonts w:ascii="Arial" w:cs="Arial" w:eastAsia="Arial" w:hAnsi="Arial"/>
          <w:sz w:val="16"/>
          <w:szCs w:val="16"/>
          <w:color w:val="auto"/>
        </w:rPr>
        <w:t>exculpation, indemnification and the advancement of expenses that are at least as favorable to the Indemnified Parties as those contained in the certificate of incorporation and bylaws of the Company as in effect on the date hereof, which provisions will not, except as required by law, be amended, repealed or otherwise modified for a period of six years from the Effective Time in any manner that would adversely affect the rights thereunder of Indemnified Parties or any other person who, immediately prior to the Effective Time, was a director, officer, employee or agent of the Company.</w:t>
      </w:r>
    </w:p>
    <w:p>
      <w:pPr>
        <w:spacing w:after="0" w:line="169" w:lineRule="exact"/>
        <w:rPr>
          <w:rFonts w:ascii="Arial" w:cs="Arial" w:eastAsia="Arial" w:hAnsi="Arial"/>
          <w:sz w:val="16"/>
          <w:szCs w:val="16"/>
          <w:color w:val="auto"/>
        </w:rPr>
      </w:pPr>
    </w:p>
    <w:p>
      <w:pPr>
        <w:ind w:left="420" w:right="20" w:firstLine="1290"/>
        <w:spacing w:after="0" w:line="286" w:lineRule="auto"/>
        <w:tabs>
          <w:tab w:leader="none" w:pos="1964" w:val="left"/>
        </w:tabs>
        <w:numPr>
          <w:ilvl w:val="0"/>
          <w:numId w:val="105"/>
        </w:numPr>
        <w:rPr>
          <w:rFonts w:ascii="Arial" w:cs="Arial" w:eastAsia="Arial" w:hAnsi="Arial"/>
          <w:sz w:val="16"/>
          <w:szCs w:val="16"/>
          <w:color w:val="auto"/>
        </w:rPr>
      </w:pPr>
      <w:r>
        <w:rPr>
          <w:rFonts w:ascii="Arial" w:cs="Arial" w:eastAsia="Arial" w:hAnsi="Arial"/>
          <w:sz w:val="16"/>
          <w:szCs w:val="16"/>
          <w:b w:val="1"/>
          <w:bCs w:val="1"/>
          <w:i w:val="1"/>
          <w:iCs w:val="1"/>
          <w:color w:val="auto"/>
        </w:rPr>
        <w:t>Insurance</w:t>
      </w:r>
      <w:r>
        <w:rPr>
          <w:rFonts w:ascii="Arial" w:cs="Arial" w:eastAsia="Arial" w:hAnsi="Arial"/>
          <w:sz w:val="16"/>
          <w:szCs w:val="16"/>
          <w:color w:val="auto"/>
        </w:rPr>
        <w:t>. For a period of six years after the Effective Time, Parent will or will cause the Surviving Corporation to maintain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directors’ and officers’ liability insurance with one or more reputable unaffiliated third-party insurers covering those persons who are covered by the Company’s directors’ and officers’ liability insurance policy as of the date hereof for events occurring prior to the Effective Time of at least the same coverage and amounts containing terms and conditions that are, in the aggregate, no less favorable to the insured than those applicable to the current directors and officers of the Company under policies maintained by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no event will the Surviving Corporation be required to expend in any one year in excess of 250% of the annual premium currently paid by the Company for such coverage (and to the extent annual premium would exceed 250% of the annual premium currently paid by the Company for such coverage, the Surviving Corporation shall use reasonable efforts to cause to be maintained the maximum amount of coverage as is available for such 250% of such annual premium);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notwithstanding the foregoing, Parent may satisfy its obligations under this</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5.10(b)</w:t>
      </w:r>
      <w:r>
        <w:rPr>
          <w:rFonts w:ascii="Arial" w:cs="Arial" w:eastAsia="Arial" w:hAnsi="Arial"/>
          <w:sz w:val="16"/>
          <w:szCs w:val="16"/>
          <w:i w:val="1"/>
          <w:iCs w:val="1"/>
          <w:color w:val="auto"/>
        </w:rPr>
        <w:t xml:space="preserve"> </w:t>
      </w:r>
      <w:r>
        <w:rPr>
          <w:rFonts w:ascii="Arial" w:cs="Arial" w:eastAsia="Arial" w:hAnsi="Arial"/>
          <w:sz w:val="16"/>
          <w:szCs w:val="16"/>
          <w:color w:val="auto"/>
        </w:rPr>
        <w:t>by purchasing a “tail” policy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existing directors’ and officers’ insurance policy which (i) has an effective term of six years from the Effective Time, (ii) covers those persons who are currently covered by the Company’s directors’ and officers’ insurance policy in effect as of the date hereof for actions and omissions occurring on or prior to the Effective Time and (iii) contains terms and conditions that are, in the aggregate, no less favorable to the insured than those of the Company’s directors’ and officers’ insurance policy in effect as of the date hereof.</w:t>
      </w:r>
    </w:p>
    <w:p>
      <w:pPr>
        <w:spacing w:after="0" w:line="170" w:lineRule="exact"/>
        <w:rPr>
          <w:rFonts w:ascii="Arial" w:cs="Arial" w:eastAsia="Arial" w:hAnsi="Arial"/>
          <w:sz w:val="16"/>
          <w:szCs w:val="16"/>
          <w:color w:val="auto"/>
        </w:rPr>
      </w:pPr>
    </w:p>
    <w:p>
      <w:pPr>
        <w:ind w:left="420" w:right="320" w:firstLine="1290"/>
        <w:spacing w:after="0" w:line="261" w:lineRule="auto"/>
        <w:tabs>
          <w:tab w:leader="none" w:pos="1954" w:val="left"/>
        </w:tabs>
        <w:numPr>
          <w:ilvl w:val="0"/>
          <w:numId w:val="105"/>
        </w:numPr>
        <w:rPr>
          <w:rFonts w:ascii="Arial" w:cs="Arial" w:eastAsia="Arial" w:hAnsi="Arial"/>
          <w:sz w:val="18"/>
          <w:szCs w:val="18"/>
          <w:color w:val="auto"/>
        </w:rPr>
      </w:pPr>
      <w:r>
        <w:rPr>
          <w:rFonts w:ascii="Arial" w:cs="Arial" w:eastAsia="Arial" w:hAnsi="Arial"/>
          <w:sz w:val="18"/>
          <w:szCs w:val="18"/>
          <w:b w:val="1"/>
          <w:bCs w:val="1"/>
          <w:i w:val="1"/>
          <w:iCs w:val="1"/>
          <w:color w:val="auto"/>
        </w:rPr>
        <w:t>Third–Party Beneficiaries</w:t>
      </w:r>
      <w:r>
        <w:rPr>
          <w:rFonts w:ascii="Arial" w:cs="Arial" w:eastAsia="Arial" w:hAnsi="Arial"/>
          <w:sz w:val="18"/>
          <w:szCs w:val="18"/>
          <w:color w:val="auto"/>
        </w:rPr>
        <w:t>. This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Section 5.10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intended to be for the benefit of, and shall be enforceable by the Indemnified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Parties and their heirs and personal representatives and shall be binding on Parent and the Surviving Corporation and their respective successors and assigns, and shall be in addition to, and not in substitution for, any other rights to indemnification or contribution that any such Person may have by contract or otherwise. On 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00" w:right="100"/>
        <w:spacing w:after="0" w:line="274" w:lineRule="auto"/>
        <w:rPr>
          <w:sz w:val="20"/>
          <w:szCs w:val="20"/>
          <w:color w:val="auto"/>
        </w:rPr>
      </w:pPr>
      <w:r>
        <w:rPr>
          <w:rFonts w:ascii="Arial" w:cs="Arial" w:eastAsia="Arial" w:hAnsi="Arial"/>
          <w:sz w:val="17"/>
          <w:szCs w:val="17"/>
          <w:color w:val="auto"/>
        </w:rPr>
        <w:t xml:space="preserve">after the Closing, the obligations of Parent under this </w:t>
      </w:r>
      <w:r>
        <w:rPr>
          <w:rFonts w:ascii="Arial" w:cs="Arial" w:eastAsia="Arial" w:hAnsi="Arial"/>
          <w:sz w:val="17"/>
          <w:szCs w:val="17"/>
          <w:b w:val="1"/>
          <w:bCs w:val="1"/>
          <w:color w:val="auto"/>
        </w:rPr>
        <w:t>Section 5.10</w:t>
      </w:r>
      <w:r>
        <w:rPr>
          <w:rFonts w:ascii="Arial" w:cs="Arial" w:eastAsia="Arial" w:hAnsi="Arial"/>
          <w:sz w:val="17"/>
          <w:szCs w:val="17"/>
          <w:color w:val="auto"/>
        </w:rPr>
        <w:t xml:space="preserve"> shall not be terminated or modified in such a manner as to adversely affect the rights of any Indemnified Party under this </w:t>
      </w:r>
      <w:r>
        <w:rPr>
          <w:rFonts w:ascii="Arial" w:cs="Arial" w:eastAsia="Arial" w:hAnsi="Arial"/>
          <w:sz w:val="17"/>
          <w:szCs w:val="17"/>
          <w:b w:val="1"/>
          <w:bCs w:val="1"/>
          <w:color w:val="auto"/>
        </w:rPr>
        <w:t>Section 5.10</w:t>
      </w:r>
      <w:r>
        <w:rPr>
          <w:rFonts w:ascii="Arial" w:cs="Arial" w:eastAsia="Arial" w:hAnsi="Arial"/>
          <w:sz w:val="17"/>
          <w:szCs w:val="17"/>
          <w:color w:val="auto"/>
        </w:rPr>
        <w:t xml:space="preserve"> without the consent of such affected Indemnified Party. In the event Parent or the Surviving Corporation or its successor or assign (i) consolidates with or merges into any other Person and shall not be the continuing or surviving corporation or entity in such consolidation or merger or (ii) transfers all or substantially all of its properties and assets to any Person, then, and in each case, proper provision shall be made so that the successor and assign of Parent or the Surviving Corporation, as the case may be, honor the obligations set forth with respect to Parent or the Surviving Corporation, as the case may be, in this </w:t>
      </w:r>
      <w:r>
        <w:rPr>
          <w:rFonts w:ascii="Arial" w:cs="Arial" w:eastAsia="Arial" w:hAnsi="Arial"/>
          <w:sz w:val="17"/>
          <w:szCs w:val="17"/>
          <w:b w:val="1"/>
          <w:bCs w:val="1"/>
          <w:color w:val="auto"/>
        </w:rPr>
        <w:t>Section 5.10</w:t>
      </w:r>
      <w:r>
        <w:rPr>
          <w:rFonts w:ascii="Arial" w:cs="Arial" w:eastAsia="Arial" w:hAnsi="Arial"/>
          <w:sz w:val="17"/>
          <w:szCs w:val="17"/>
          <w:color w:val="auto"/>
        </w:rPr>
        <w:t>.</w:t>
      </w:r>
    </w:p>
    <w:p>
      <w:pPr>
        <w:spacing w:after="0" w:line="178"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b w:val="1"/>
          <w:bCs w:val="1"/>
          <w:i w:val="1"/>
          <w:iCs w:val="1"/>
          <w:color w:val="auto"/>
        </w:rPr>
        <w:t>Section 16 Matters</w:t>
      </w:r>
      <w:r>
        <w:rPr>
          <w:rFonts w:ascii="Arial" w:cs="Arial" w:eastAsia="Arial" w:hAnsi="Arial"/>
          <w:sz w:val="17"/>
          <w:szCs w:val="17"/>
          <w:color w:val="auto"/>
        </w:rPr>
        <w:t xml:space="preserve">. Prior to the Effective Time, the Company shall take all such steps as may be required (to the extent permitted under applicable law) to cause any dispositions of Company Common Stock (including derivative securities with respect to Company Common Stock) resulting from the transactions contemplated by </w:t>
      </w:r>
      <w:r>
        <w:rPr>
          <w:rFonts w:ascii="Arial" w:cs="Arial" w:eastAsia="Arial" w:hAnsi="Arial"/>
          <w:sz w:val="17"/>
          <w:szCs w:val="17"/>
          <w:b w:val="1"/>
          <w:bCs w:val="1"/>
          <w:color w:val="auto"/>
        </w:rPr>
        <w:t>Article I</w:t>
      </w:r>
      <w:r>
        <w:rPr>
          <w:rFonts w:ascii="Arial" w:cs="Arial" w:eastAsia="Arial" w:hAnsi="Arial"/>
          <w:sz w:val="17"/>
          <w:szCs w:val="17"/>
          <w:color w:val="auto"/>
        </w:rPr>
        <w:t xml:space="preserve"> of this Agreement by each individual who is subject to the reporting requirements of Section 16(a) of the Exchange Act with respect to the Company to be exempt under Rule 16b-3 promulgated under the Exchange Act.</w:t>
      </w:r>
    </w:p>
    <w:p>
      <w:pPr>
        <w:spacing w:after="0" w:line="17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b w:val="1"/>
          <w:bCs w:val="1"/>
          <w:i w:val="1"/>
          <w:iCs w:val="1"/>
          <w:color w:val="auto"/>
        </w:rPr>
        <w:t>Tax Matters</w:t>
      </w:r>
      <w:r>
        <w:rPr>
          <w:rFonts w:ascii="Arial" w:cs="Arial" w:eastAsia="Arial" w:hAnsi="Arial"/>
          <w:sz w:val="18"/>
          <w:szCs w:val="18"/>
          <w:color w:val="auto"/>
        </w:rPr>
        <w:t xml:space="preserve">. None of Parent, Merger Sub or the Company shall, and they shall not permit any of their respective Subsidiaries to, take, or fail to take, any action prior to or following the Closing that would reasonably be expected to cause the Merger to fail to qualify as a reorganization within the meaning of Section 368(a) of the Code. Parent and the Company shall use their respective reasonable best efforts to obtain the Tax opinions set forth in </w:t>
      </w:r>
      <w:r>
        <w:rPr>
          <w:rFonts w:ascii="Arial" w:cs="Arial" w:eastAsia="Arial" w:hAnsi="Arial"/>
          <w:sz w:val="18"/>
          <w:szCs w:val="18"/>
          <w:b w:val="1"/>
          <w:bCs w:val="1"/>
          <w:color w:val="auto"/>
        </w:rPr>
        <w:t xml:space="preserve">Section 6.1(d) </w:t>
      </w:r>
      <w:r>
        <w:rPr>
          <w:rFonts w:ascii="Arial" w:cs="Arial" w:eastAsia="Arial" w:hAnsi="Arial"/>
          <w:sz w:val="18"/>
          <w:szCs w:val="18"/>
          <w:color w:val="auto"/>
        </w:rPr>
        <w:t>hereof (collectively, the “</w:t>
      </w:r>
      <w:r>
        <w:rPr>
          <w:rFonts w:ascii="Arial" w:cs="Arial" w:eastAsia="Arial" w:hAnsi="Arial"/>
          <w:sz w:val="18"/>
          <w:szCs w:val="18"/>
          <w:b w:val="1"/>
          <w:bCs w:val="1"/>
          <w:color w:val="auto"/>
        </w:rPr>
        <w:t>Tax Opinions</w:t>
      </w:r>
      <w:r>
        <w:rPr>
          <w:rFonts w:ascii="Arial" w:cs="Arial" w:eastAsia="Arial" w:hAnsi="Arial"/>
          <w:sz w:val="18"/>
          <w:szCs w:val="18"/>
          <w:color w:val="auto"/>
        </w:rPr>
        <w:t>”). Officers of Parent and the Company shall execute and deliver to Fenwick &amp; West LLP, counsel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Skadden, Arps, Slate, Meagher &amp; Flom LLP, counsel to Parent, certificates containing appropriate representations at such time or times as may reasonably be requested by such law firms, including the Effective Time, in connection with their respective deliveries of opinions with respect to the Tax treatment of the Merger.</w:t>
      </w:r>
    </w:p>
    <w:p>
      <w:pPr>
        <w:spacing w:after="0" w:line="189"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color w:val="auto"/>
        </w:rPr>
        <w:t xml:space="preserve">5.13 </w:t>
      </w:r>
      <w:r>
        <w:rPr>
          <w:rFonts w:ascii="Arial" w:cs="Arial" w:eastAsia="Arial" w:hAnsi="Arial"/>
          <w:sz w:val="16"/>
          <w:szCs w:val="16"/>
          <w:b w:val="1"/>
          <w:bCs w:val="1"/>
          <w:i w:val="1"/>
          <w:iCs w:val="1"/>
          <w:color w:val="auto"/>
        </w:rPr>
        <w:t>Formation of IP LLC and Transfer of Intellectual Property</w:t>
      </w:r>
      <w:r>
        <w:rPr>
          <w:rFonts w:ascii="Arial" w:cs="Arial" w:eastAsia="Arial" w:hAnsi="Arial"/>
          <w:sz w:val="16"/>
          <w:szCs w:val="16"/>
          <w:color w:val="auto"/>
        </w:rPr>
        <w:t>. Immediately prior to the Closing, the Company shall form a limited liability company or such other entity that Parent may direct for the purpose of holding certain Intellectual Property of the Company as described below (“</w:t>
      </w:r>
      <w:r>
        <w:rPr>
          <w:rFonts w:ascii="Arial" w:cs="Arial" w:eastAsia="Arial" w:hAnsi="Arial"/>
          <w:sz w:val="16"/>
          <w:szCs w:val="16"/>
          <w:b w:val="1"/>
          <w:bCs w:val="1"/>
          <w:color w:val="auto"/>
        </w:rPr>
        <w:t>IP LLC</w:t>
      </w:r>
      <w:r>
        <w:rPr>
          <w:rFonts w:ascii="Arial" w:cs="Arial" w:eastAsia="Arial" w:hAnsi="Arial"/>
          <w:sz w:val="16"/>
          <w:szCs w:val="16"/>
          <w:color w:val="auto"/>
        </w:rPr>
        <w:t>”), which IP LLC shall have as members the Company and a subsidiary or other affiliate of a private equity firm. Prior to the Closing, the Company shall set forth such patents, patent applications and draft applications on a schedule, which schedule shall be delivered to Parent upon its reasonable request prior to Closing. Upon formation of IP LLC, the Company will be the direct or indirect owner of all membership interests in IP LLC. Immediately prior to the Closing, the Company shall, and shall cause its Subsidiaries to, transfer, assign and convey all patents, patent applications and draft applications of the Company and its Subsidiaries listed in the schedule referenced in the immediately preceding sentence to IP LLC together with the rights to sue for infringement and to collect past damages with respect to those patents listed in such schedule in accordance with customary instruments of assignment and take such actions and execute such other documents as may reasonably be requested by Parent with respect to such transfer.</w:t>
      </w:r>
    </w:p>
    <w:p>
      <w:pPr>
        <w:spacing w:after="0" w:line="167"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b w:val="1"/>
          <w:bCs w:val="1"/>
          <w:i w:val="1"/>
          <w:iCs w:val="1"/>
          <w:color w:val="auto"/>
        </w:rPr>
        <w:t>145 Affiliates</w:t>
      </w:r>
      <w:r>
        <w:rPr>
          <w:rFonts w:ascii="Arial" w:cs="Arial" w:eastAsia="Arial" w:hAnsi="Arial"/>
          <w:sz w:val="18"/>
          <w:szCs w:val="18"/>
          <w:color w:val="auto"/>
        </w:rPr>
        <w:t>. As soon as practicable after the date hereof, and in no event more than ten (10) days prior to the Closing Date, the Company shall deliver to Parent a letter identifying all</w:t>
      </w:r>
    </w:p>
    <w:p>
      <w:pPr>
        <w:sectPr>
          <w:pgSz w:w="11900" w:h="16902" w:orient="portrait"/>
          <w:cols w:equalWidth="0" w:num="1">
            <w:col w:w="11420"/>
          </w:cols>
          <w:pgMar w:left="240" w:top="125" w:right="239" w:bottom="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Persons who are, at the time this Agreement is submitted for adoption by the stockholders of the Company, “affiliates” of the Company for purposes of Rule 145 under the Securities Act. The Company shall use reasonable efforts to cause each such Person to deliver to Parent at least ten (10) days prior to the Closing Date a written agreement substantially in the form attached as </w:t>
      </w:r>
      <w:r>
        <w:rPr>
          <w:rFonts w:ascii="Arial" w:cs="Arial" w:eastAsia="Arial" w:hAnsi="Arial"/>
          <w:sz w:val="18"/>
          <w:szCs w:val="18"/>
          <w:b w:val="1"/>
          <w:bCs w:val="1"/>
          <w:color w:val="auto"/>
        </w:rPr>
        <w:t>Exhibit C</w:t>
      </w:r>
      <w:r>
        <w:rPr>
          <w:rFonts w:ascii="Arial" w:cs="Arial" w:eastAsia="Arial" w:hAnsi="Arial"/>
          <w:sz w:val="18"/>
          <w:szCs w:val="18"/>
          <w:color w:val="auto"/>
        </w:rPr>
        <w:t xml:space="preserve"> hereto.</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5.15 </w:t>
      </w:r>
      <w:r>
        <w:rPr>
          <w:rFonts w:ascii="Arial" w:cs="Arial" w:eastAsia="Arial" w:hAnsi="Arial"/>
          <w:sz w:val="18"/>
          <w:szCs w:val="18"/>
          <w:b w:val="1"/>
          <w:bCs w:val="1"/>
          <w:i w:val="1"/>
          <w:iCs w:val="1"/>
          <w:color w:val="auto"/>
        </w:rPr>
        <w:t>NYSE Listing Requirements</w:t>
      </w:r>
      <w:r>
        <w:rPr>
          <w:rFonts w:ascii="Arial" w:cs="Arial" w:eastAsia="Arial" w:hAnsi="Arial"/>
          <w:sz w:val="18"/>
          <w:szCs w:val="18"/>
          <w:color w:val="auto"/>
        </w:rPr>
        <w:t>. Prior to the Effective Time, Parent agrees to use reasonable efforts to authorize for listing on the New York Stock Exchange the shares of Parent Common Stock issuable, and those required to be reserved for issuance, in connection with the Merger, subject to official notice of issuance. Parent agrees to promptly make such other additional filings with the New York Stock Exchange as may be required in connection with the consummation of the transactions contemplated by this Agreement.</w:t>
      </w:r>
    </w:p>
    <w:p>
      <w:pPr>
        <w:spacing w:after="0" w:line="187"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 xml:space="preserve">5.16 </w:t>
      </w:r>
      <w:r>
        <w:rPr>
          <w:rFonts w:ascii="Arial" w:cs="Arial" w:eastAsia="Arial" w:hAnsi="Arial"/>
          <w:sz w:val="18"/>
          <w:szCs w:val="18"/>
          <w:b w:val="1"/>
          <w:bCs w:val="1"/>
          <w:i w:val="1"/>
          <w:iCs w:val="1"/>
          <w:color w:val="auto"/>
        </w:rPr>
        <w:t>T</w:t>
      </w:r>
      <w:r>
        <w:rPr>
          <w:rFonts w:ascii="Arial" w:cs="Arial" w:eastAsia="Arial" w:hAnsi="Arial"/>
          <w:sz w:val="17"/>
          <w:szCs w:val="17"/>
          <w:b w:val="1"/>
          <w:bCs w:val="1"/>
          <w:i w:val="1"/>
          <w:iCs w:val="1"/>
          <w:color w:val="auto"/>
        </w:rPr>
        <w:t>ermination of Credit Agreement and Release of Liens</w:t>
      </w:r>
      <w:r>
        <w:rPr>
          <w:rFonts w:ascii="Arial" w:cs="Arial" w:eastAsia="Arial" w:hAnsi="Arial"/>
          <w:sz w:val="17"/>
          <w:szCs w:val="17"/>
          <w:color w:val="auto"/>
        </w:rPr>
        <w:t>. Prior to the Closing, the Company shall use best efforts to (i) pay off and terminate all</w:t>
      </w:r>
      <w:r>
        <w:rPr>
          <w:rFonts w:ascii="Arial" w:cs="Arial" w:eastAsia="Arial" w:hAnsi="Arial"/>
          <w:sz w:val="18"/>
          <w:szCs w:val="18"/>
          <w:color w:val="auto"/>
        </w:rPr>
        <w:t xml:space="preserve"> </w:t>
      </w:r>
      <w:r>
        <w:rPr>
          <w:rFonts w:ascii="Arial" w:cs="Arial" w:eastAsia="Arial" w:hAnsi="Arial"/>
          <w:sz w:val="17"/>
          <w:szCs w:val="17"/>
          <w:color w:val="auto"/>
        </w:rPr>
        <w:t xml:space="preserve">Indebtedness of the Company and its Subsidiaries set forth in </w:t>
      </w:r>
      <w:r>
        <w:rPr>
          <w:rFonts w:ascii="Arial" w:cs="Arial" w:eastAsia="Arial" w:hAnsi="Arial"/>
          <w:sz w:val="17"/>
          <w:szCs w:val="17"/>
          <w:b w:val="1"/>
          <w:bCs w:val="1"/>
          <w:color w:val="auto"/>
        </w:rPr>
        <w:t>Section 2.4(f)</w:t>
      </w:r>
      <w:r>
        <w:rPr>
          <w:rFonts w:ascii="Arial" w:cs="Arial" w:eastAsia="Arial" w:hAnsi="Arial"/>
          <w:sz w:val="17"/>
          <w:szCs w:val="17"/>
          <w:color w:val="auto"/>
        </w:rPr>
        <w:t xml:space="preserve"> of the Company Disclosure Schedule, including all accrued and unpaid interest thereon and all fees and expenses, if any, incurred by the Company and its Subsidiaries in connection with the termination thereof (the “</w:t>
      </w:r>
      <w:r>
        <w:rPr>
          <w:rFonts w:ascii="Arial" w:cs="Arial" w:eastAsia="Arial" w:hAnsi="Arial"/>
          <w:sz w:val="17"/>
          <w:szCs w:val="17"/>
          <w:b w:val="1"/>
          <w:bCs w:val="1"/>
          <w:color w:val="auto"/>
        </w:rPr>
        <w:t>Debt Payoffs</w:t>
      </w:r>
      <w:r>
        <w:rPr>
          <w:rFonts w:ascii="Arial" w:cs="Arial" w:eastAsia="Arial" w:hAnsi="Arial"/>
          <w:sz w:val="17"/>
          <w:szCs w:val="17"/>
          <w:color w:val="auto"/>
        </w:rPr>
        <w:t xml:space="preserve">”); (ii) provide Parent with written evidence of the Debt Payoffs no later than three Business Days prior to the Closing; (iii) no later than three Business Days prior to the Closing, (A) request that each creditor who has on file an Un-rescinded UCC-1 file a UCC-3 Termination Statement, or (B) submit for recordation with the United States Patent and Trademark Office documents reasonably evidencing the termination of any security interest set forth on Section 2.4(f) of the Company Disclosure Schedule, and (iv) otherwise cause the release and discharge of all liens or other encumbrances upon the Company’s patents, patent applications and draft applications such that each will be transferred to IP LLC pursuant to </w:t>
      </w:r>
      <w:r>
        <w:rPr>
          <w:rFonts w:ascii="Arial" w:cs="Arial" w:eastAsia="Arial" w:hAnsi="Arial"/>
          <w:sz w:val="17"/>
          <w:szCs w:val="17"/>
          <w:b w:val="1"/>
          <w:bCs w:val="1"/>
          <w:color w:val="auto"/>
        </w:rPr>
        <w:t>Section 5.13,</w:t>
      </w:r>
      <w:r>
        <w:rPr>
          <w:rFonts w:ascii="Arial" w:cs="Arial" w:eastAsia="Arial" w:hAnsi="Arial"/>
          <w:sz w:val="17"/>
          <w:szCs w:val="17"/>
          <w:color w:val="auto"/>
        </w:rPr>
        <w:t xml:space="preserve"> while IP LLC is a wholly owned Subsidiary of the Company, free and clear of all liens and encumbrances at the moment of their initial transfer.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 TO THE MERGER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b w:val="1"/>
          <w:bCs w:val="1"/>
          <w:i w:val="1"/>
          <w:iCs w:val="1"/>
          <w:color w:val="auto"/>
        </w:rPr>
        <w:t>Conditions to the Obligations of Each Party to Effect the Merger</w:t>
      </w:r>
      <w:r>
        <w:rPr>
          <w:rFonts w:ascii="Arial" w:cs="Arial" w:eastAsia="Arial" w:hAnsi="Arial"/>
          <w:sz w:val="16"/>
          <w:szCs w:val="16"/>
          <w:color w:val="auto"/>
        </w:rPr>
        <w:t>. The respective obligations of each party to this Agreement to effect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Merger shall be subject to the satisfaction at or prior to the Closing Date of the following conditions:</w:t>
      </w:r>
    </w:p>
    <w:p>
      <w:pPr>
        <w:spacing w:after="0" w:line="211" w:lineRule="exact"/>
        <w:rPr>
          <w:sz w:val="20"/>
          <w:szCs w:val="20"/>
          <w:color w:val="auto"/>
        </w:rPr>
      </w:pPr>
    </w:p>
    <w:p>
      <w:pPr>
        <w:ind w:left="420" w:right="540" w:firstLine="1290"/>
        <w:spacing w:after="0" w:line="277" w:lineRule="auto"/>
        <w:tabs>
          <w:tab w:leader="none" w:pos="1954" w:val="left"/>
        </w:tabs>
        <w:numPr>
          <w:ilvl w:val="1"/>
          <w:numId w:val="106"/>
        </w:numPr>
        <w:rPr>
          <w:rFonts w:ascii="Arial" w:cs="Arial" w:eastAsia="Arial" w:hAnsi="Arial"/>
          <w:sz w:val="18"/>
          <w:szCs w:val="18"/>
          <w:color w:val="auto"/>
        </w:rPr>
      </w:pPr>
      <w:r>
        <w:rPr>
          <w:rFonts w:ascii="Arial" w:cs="Arial" w:eastAsia="Arial" w:hAnsi="Arial"/>
          <w:sz w:val="18"/>
          <w:szCs w:val="18"/>
          <w:b w:val="1"/>
          <w:bCs w:val="1"/>
          <w:i w:val="1"/>
          <w:iCs w:val="1"/>
          <w:color w:val="auto"/>
        </w:rPr>
        <w:t>Company Stockholder Approval</w:t>
      </w:r>
      <w:r>
        <w:rPr>
          <w:rFonts w:ascii="Arial" w:cs="Arial" w:eastAsia="Arial" w:hAnsi="Arial"/>
          <w:sz w:val="18"/>
          <w:szCs w:val="18"/>
          <w:color w:val="auto"/>
        </w:rPr>
        <w:t>. This Agreement shall have been adopted by the requisite vote under applicable law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of the Company.</w:t>
      </w:r>
    </w:p>
    <w:p>
      <w:pPr>
        <w:spacing w:after="0" w:line="170" w:lineRule="exact"/>
        <w:rPr>
          <w:rFonts w:ascii="Arial" w:cs="Arial" w:eastAsia="Arial" w:hAnsi="Arial"/>
          <w:sz w:val="18"/>
          <w:szCs w:val="18"/>
          <w:color w:val="auto"/>
        </w:rPr>
      </w:pPr>
    </w:p>
    <w:p>
      <w:pPr>
        <w:ind w:left="420" w:right="340" w:firstLine="1290"/>
        <w:spacing w:after="0" w:line="291" w:lineRule="auto"/>
        <w:tabs>
          <w:tab w:leader="none" w:pos="1964" w:val="left"/>
        </w:tabs>
        <w:numPr>
          <w:ilvl w:val="1"/>
          <w:numId w:val="106"/>
        </w:numPr>
        <w:rPr>
          <w:rFonts w:ascii="Arial" w:cs="Arial" w:eastAsia="Arial" w:hAnsi="Arial"/>
          <w:sz w:val="16"/>
          <w:szCs w:val="16"/>
          <w:color w:val="auto"/>
        </w:rPr>
      </w:pPr>
      <w:r>
        <w:rPr>
          <w:rFonts w:ascii="Arial" w:cs="Arial" w:eastAsia="Arial" w:hAnsi="Arial"/>
          <w:sz w:val="16"/>
          <w:szCs w:val="16"/>
          <w:b w:val="1"/>
          <w:bCs w:val="1"/>
          <w:i w:val="1"/>
          <w:iCs w:val="1"/>
          <w:color w:val="auto"/>
        </w:rPr>
        <w:t>No Order</w:t>
      </w:r>
      <w:r>
        <w:rPr>
          <w:rFonts w:ascii="Arial" w:cs="Arial" w:eastAsia="Arial" w:hAnsi="Arial"/>
          <w:sz w:val="16"/>
          <w:szCs w:val="16"/>
          <w:color w:val="auto"/>
        </w:rPr>
        <w:t>. No Governmental Entity of competent jurisdiction shall have enacted, issued, promulgated, enforced or entered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statute, rule, regulation, executive order, decree, injunction or other order (whether temporary, preliminary or permanent) which (i) is in effect and</w:t>
      </w:r>
    </w:p>
    <w:p>
      <w:pPr>
        <w:ind w:left="680" w:hanging="267"/>
        <w:spacing w:after="0"/>
        <w:tabs>
          <w:tab w:leader="none" w:pos="6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has the effect of making the Merger illegal or otherwise prohibiting or preventing consummation of the Merger.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20" w:right="200" w:firstLine="1290"/>
        <w:spacing w:after="0" w:line="259" w:lineRule="auto"/>
        <w:tabs>
          <w:tab w:leader="none" w:pos="1954" w:val="left"/>
        </w:tabs>
        <w:numPr>
          <w:ilvl w:val="0"/>
          <w:numId w:val="108"/>
        </w:numPr>
        <w:rPr>
          <w:rFonts w:ascii="Arial" w:cs="Arial" w:eastAsia="Arial" w:hAnsi="Arial"/>
          <w:sz w:val="18"/>
          <w:szCs w:val="18"/>
          <w:color w:val="auto"/>
        </w:rPr>
      </w:pPr>
      <w:r>
        <w:rPr>
          <w:rFonts w:ascii="Arial" w:cs="Arial" w:eastAsia="Arial" w:hAnsi="Arial"/>
          <w:sz w:val="18"/>
          <w:szCs w:val="18"/>
          <w:b w:val="1"/>
          <w:bCs w:val="1"/>
          <w:i w:val="1"/>
          <w:iCs w:val="1"/>
          <w:color w:val="auto"/>
        </w:rPr>
        <w:t>HSR Act and Foreign Approvals</w:t>
      </w:r>
      <w:r>
        <w:rPr>
          <w:rFonts w:ascii="Arial" w:cs="Arial" w:eastAsia="Arial" w:hAnsi="Arial"/>
          <w:sz w:val="18"/>
          <w:szCs w:val="18"/>
          <w:color w:val="auto"/>
        </w:rPr>
        <w:t>. All waiting periods (and any extension thereof) under the HSR Act relating to the transactions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contemplated hereby will have expired or terminated early and the parties shall have obtained or received any consents, waivers, approvals, orders, authorizations, registrations, declaration and filings required under the foreign merger control regulations set forth in </w:t>
      </w:r>
      <w:r>
        <w:rPr>
          <w:rFonts w:ascii="Arial" w:cs="Arial" w:eastAsia="Arial" w:hAnsi="Arial"/>
          <w:sz w:val="18"/>
          <w:szCs w:val="18"/>
          <w:b w:val="1"/>
          <w:bCs w:val="1"/>
          <w:color w:val="auto"/>
        </w:rPr>
        <w:t>Section 2.3(d)</w:t>
      </w:r>
      <w:r>
        <w:rPr>
          <w:rFonts w:ascii="Arial" w:cs="Arial" w:eastAsia="Arial" w:hAnsi="Arial"/>
          <w:sz w:val="18"/>
          <w:szCs w:val="18"/>
          <w:color w:val="auto"/>
        </w:rPr>
        <w:t xml:space="preserve"> of the Company Disclosure Schedule.</w:t>
      </w:r>
    </w:p>
    <w:p>
      <w:pPr>
        <w:spacing w:after="0" w:line="186" w:lineRule="exact"/>
        <w:rPr>
          <w:rFonts w:ascii="Arial" w:cs="Arial" w:eastAsia="Arial" w:hAnsi="Arial"/>
          <w:sz w:val="18"/>
          <w:szCs w:val="18"/>
          <w:color w:val="auto"/>
        </w:rPr>
      </w:pPr>
    </w:p>
    <w:p>
      <w:pPr>
        <w:ind w:left="420" w:right="80" w:firstLine="1290"/>
        <w:spacing w:after="0" w:line="253" w:lineRule="auto"/>
        <w:tabs>
          <w:tab w:leader="none" w:pos="1964" w:val="left"/>
        </w:tabs>
        <w:numPr>
          <w:ilvl w:val="0"/>
          <w:numId w:val="108"/>
        </w:numPr>
        <w:rPr>
          <w:rFonts w:ascii="Arial" w:cs="Arial" w:eastAsia="Arial" w:hAnsi="Arial"/>
          <w:sz w:val="18"/>
          <w:szCs w:val="18"/>
          <w:color w:val="auto"/>
        </w:rPr>
      </w:pPr>
      <w:r>
        <w:rPr>
          <w:rFonts w:ascii="Arial" w:cs="Arial" w:eastAsia="Arial" w:hAnsi="Arial"/>
          <w:sz w:val="18"/>
          <w:szCs w:val="18"/>
          <w:b w:val="1"/>
          <w:bCs w:val="1"/>
          <w:i w:val="1"/>
          <w:iCs w:val="1"/>
          <w:color w:val="auto"/>
        </w:rPr>
        <w:t>Tax Opinions</w:t>
      </w:r>
      <w:r>
        <w:rPr>
          <w:rFonts w:ascii="Arial" w:cs="Arial" w:eastAsia="Arial" w:hAnsi="Arial"/>
          <w:sz w:val="18"/>
          <w:szCs w:val="18"/>
          <w:color w:val="auto"/>
        </w:rPr>
        <w:t>. Parent and the Company shall have received an opinion of Skadden, Arps, Slate, Meagher &amp; Flom LLP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Fenwick &amp; West LLP, respectively, dated as of the Effective Time, to the effect that the Merger will qualify as a reorganization within the meaning of Section 368(a) of the Code; </w:t>
      </w:r>
      <w:r>
        <w:rPr>
          <w:rFonts w:ascii="Arial" w:cs="Arial" w:eastAsia="Arial" w:hAnsi="Arial"/>
          <w:sz w:val="18"/>
          <w:szCs w:val="18"/>
          <w:i w:val="1"/>
          <w:iCs w:val="1"/>
          <w:color w:val="auto"/>
        </w:rPr>
        <w:t>provided, however</w:t>
      </w:r>
      <w:r>
        <w:rPr>
          <w:rFonts w:ascii="Arial" w:cs="Arial" w:eastAsia="Arial" w:hAnsi="Arial"/>
          <w:sz w:val="18"/>
          <w:szCs w:val="18"/>
          <w:color w:val="auto"/>
        </w:rPr>
        <w:t>, that (i) if Skadden, Arps, Slate, Meagher &amp; Flom LLP fails to render such opinion, this condition shall nonetheless be deemed to be satisfied with respect to Parent if Fenwick &amp; West LLP renders such opinion to Parent and (ii) if Fenwick &amp; West LLP fails to render such opinion, this condition shall nonetheless be deemed to be satisfied with respect to the Company if Skadden, Arps, Slate, Meagher &amp; Flom LLP renders such opinion to the Company. The issuance of such opinions shall be conditioned upon the receipt by such counsel of customary representation letters from each of Parent, Merger Sub, and the Company, in each case, in form and substance reasonably satisfactory to such counsel. Each such representation letter shall be dated on or before the date of such opinion and shall not have been withdrawn or modified in any material respect.</w:t>
      </w:r>
    </w:p>
    <w:p>
      <w:pPr>
        <w:spacing w:after="0" w:line="197"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b w:val="1"/>
          <w:bCs w:val="1"/>
          <w:i w:val="1"/>
          <w:iCs w:val="1"/>
          <w:color w:val="auto"/>
        </w:rPr>
        <w:t>Additional Conditions to the Obligations of Parent</w:t>
      </w:r>
      <w:r>
        <w:rPr>
          <w:rFonts w:ascii="Arial" w:cs="Arial" w:eastAsia="Arial" w:hAnsi="Arial"/>
          <w:sz w:val="18"/>
          <w:szCs w:val="18"/>
          <w:color w:val="auto"/>
        </w:rPr>
        <w:t>. The obligations of Parent and Merger Sub to consummate and effect the Merger shall be subject to the satisfaction at or prior to the Closing Date of each of the following conditions, any of which may be waived, in writing, exclusively by Parent and Merger Sub:</w:t>
      </w:r>
    </w:p>
    <w:p>
      <w:pPr>
        <w:spacing w:after="0" w:line="181" w:lineRule="exact"/>
        <w:rPr>
          <w:sz w:val="20"/>
          <w:szCs w:val="20"/>
          <w:color w:val="auto"/>
        </w:rPr>
      </w:pPr>
    </w:p>
    <w:p>
      <w:pPr>
        <w:ind w:left="420" w:right="20" w:firstLine="1290"/>
        <w:spacing w:after="0" w:line="289" w:lineRule="auto"/>
        <w:tabs>
          <w:tab w:leader="none" w:pos="1954" w:val="left"/>
        </w:tabs>
        <w:numPr>
          <w:ilvl w:val="0"/>
          <w:numId w:val="109"/>
        </w:numPr>
        <w:rPr>
          <w:rFonts w:ascii="Arial" w:cs="Arial" w:eastAsia="Arial" w:hAnsi="Arial"/>
          <w:sz w:val="16"/>
          <w:szCs w:val="16"/>
          <w:color w:val="auto"/>
        </w:rPr>
      </w:pPr>
      <w:r>
        <w:rPr>
          <w:rFonts w:ascii="Arial" w:cs="Arial" w:eastAsia="Arial" w:hAnsi="Arial"/>
          <w:sz w:val="16"/>
          <w:szCs w:val="16"/>
          <w:b w:val="1"/>
          <w:bCs w:val="1"/>
          <w:i w:val="1"/>
          <w:iCs w:val="1"/>
          <w:color w:val="auto"/>
        </w:rPr>
        <w:t>Representations and Warranties</w:t>
      </w:r>
      <w:r>
        <w:rPr>
          <w:rFonts w:ascii="Arial" w:cs="Arial" w:eastAsia="Arial" w:hAnsi="Arial"/>
          <w:sz w:val="16"/>
          <w:szCs w:val="16"/>
          <w:color w:val="auto"/>
        </w:rPr>
        <w:t>. The representations and warranties of the Company contained in this Agreement shall have been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true and correct as of the date hereof (except that those representations and warranties which address matters only as of a particular date shall have been true and correct only on such date) and shall be true and correct as of the Closing Date with the same force and effect as if made on the Closing Date (except that those representations and warranties which address matters only as of a particular date shall have been true and correct only on such date), except, in each case or in the aggregate (other than the representations and warranties of the Company contained in (i) subsections </w:t>
      </w:r>
      <w:r>
        <w:rPr>
          <w:rFonts w:ascii="Arial" w:cs="Arial" w:eastAsia="Arial" w:hAnsi="Arial"/>
          <w:sz w:val="16"/>
          <w:szCs w:val="16"/>
          <w:b w:val="1"/>
          <w:bCs w:val="1"/>
          <w:color w:val="auto"/>
        </w:rPr>
        <w:t>(a)</w:t>
      </w:r>
      <w:r>
        <w:rPr>
          <w:rFonts w:ascii="Arial" w:cs="Arial" w:eastAsia="Arial" w:hAnsi="Arial"/>
          <w:sz w:val="16"/>
          <w:szCs w:val="16"/>
          <w:color w:val="auto"/>
        </w:rPr>
        <w:t xml:space="preserve"> and </w:t>
      </w:r>
      <w:r>
        <w:rPr>
          <w:rFonts w:ascii="Arial" w:cs="Arial" w:eastAsia="Arial" w:hAnsi="Arial"/>
          <w:sz w:val="16"/>
          <w:szCs w:val="16"/>
          <w:b w:val="1"/>
          <w:bCs w:val="1"/>
          <w:color w:val="auto"/>
        </w:rPr>
        <w:t>(b)</w:t>
      </w:r>
      <w:r>
        <w:rPr>
          <w:rFonts w:ascii="Arial" w:cs="Arial" w:eastAsia="Arial" w:hAnsi="Arial"/>
          <w:sz w:val="16"/>
          <w:szCs w:val="16"/>
          <w:color w:val="auto"/>
        </w:rPr>
        <w:t xml:space="preserve"> of </w:t>
      </w:r>
      <w:r>
        <w:rPr>
          <w:rFonts w:ascii="Arial" w:cs="Arial" w:eastAsia="Arial" w:hAnsi="Arial"/>
          <w:sz w:val="16"/>
          <w:szCs w:val="16"/>
          <w:b w:val="1"/>
          <w:bCs w:val="1"/>
          <w:color w:val="auto"/>
        </w:rPr>
        <w:t>Section</w:t>
      </w:r>
      <w:r>
        <w:rPr>
          <w:rFonts w:ascii="Arial" w:cs="Arial" w:eastAsia="Arial" w:hAnsi="Arial"/>
          <w:sz w:val="16"/>
          <w:szCs w:val="16"/>
          <w:color w:val="auto"/>
        </w:rPr>
        <w:t xml:space="preserve"> </w:t>
      </w:r>
      <w:r>
        <w:rPr>
          <w:rFonts w:ascii="Arial" w:cs="Arial" w:eastAsia="Arial" w:hAnsi="Arial"/>
          <w:sz w:val="16"/>
          <w:szCs w:val="16"/>
          <w:b w:val="1"/>
          <w:bCs w:val="1"/>
          <w:color w:val="auto"/>
        </w:rPr>
        <w:t>2.3</w:t>
      </w:r>
      <w:r>
        <w:rPr>
          <w:rFonts w:ascii="Arial" w:cs="Arial" w:eastAsia="Arial" w:hAnsi="Arial"/>
          <w:sz w:val="16"/>
          <w:szCs w:val="16"/>
          <w:color w:val="auto"/>
        </w:rPr>
        <w:t>, subsection</w:t>
      </w:r>
      <w:r>
        <w:rPr>
          <w:rFonts w:ascii="Arial" w:cs="Arial" w:eastAsia="Arial" w:hAnsi="Arial"/>
          <w:sz w:val="16"/>
          <w:szCs w:val="16"/>
          <w:b w:val="1"/>
          <w:bCs w:val="1"/>
          <w:color w:val="auto"/>
        </w:rPr>
        <w:t xml:space="preserve"> (f) </w:t>
      </w:r>
      <w:r>
        <w:rPr>
          <w:rFonts w:ascii="Arial" w:cs="Arial" w:eastAsia="Arial" w:hAnsi="Arial"/>
          <w:sz w:val="16"/>
          <w:szCs w:val="16"/>
          <w:color w:val="auto"/>
        </w:rPr>
        <w:t>of</w:t>
      </w:r>
      <w:r>
        <w:rPr>
          <w:rFonts w:ascii="Arial" w:cs="Arial" w:eastAsia="Arial" w:hAnsi="Arial"/>
          <w:sz w:val="16"/>
          <w:szCs w:val="16"/>
          <w:b w:val="1"/>
          <w:bCs w:val="1"/>
          <w:color w:val="auto"/>
        </w:rPr>
        <w:t xml:space="preserve"> Section 2.4 </w:t>
      </w:r>
      <w:r>
        <w:rPr>
          <w:rFonts w:ascii="Arial" w:cs="Arial" w:eastAsia="Arial" w:hAnsi="Arial"/>
          <w:sz w:val="16"/>
          <w:szCs w:val="16"/>
          <w:color w:val="auto"/>
        </w:rPr>
        <w:t>and subsections</w:t>
      </w:r>
      <w:r>
        <w:rPr>
          <w:rFonts w:ascii="Arial" w:cs="Arial" w:eastAsia="Arial" w:hAnsi="Arial"/>
          <w:sz w:val="16"/>
          <w:szCs w:val="16"/>
          <w:b w:val="1"/>
          <w:bCs w:val="1"/>
          <w:color w:val="auto"/>
        </w:rPr>
        <w:t xml:space="preserve"> (a)</w:t>
      </w:r>
      <w:r>
        <w:rPr>
          <w:rFonts w:ascii="Arial" w:cs="Arial" w:eastAsia="Arial" w:hAnsi="Arial"/>
          <w:sz w:val="16"/>
          <w:szCs w:val="16"/>
          <w:color w:val="auto"/>
        </w:rPr>
        <w:t>,</w:t>
      </w:r>
      <w:r>
        <w:rPr>
          <w:rFonts w:ascii="Arial" w:cs="Arial" w:eastAsia="Arial" w:hAnsi="Arial"/>
          <w:sz w:val="16"/>
          <w:szCs w:val="16"/>
          <w:b w:val="1"/>
          <w:bCs w:val="1"/>
          <w:color w:val="auto"/>
        </w:rPr>
        <w:t xml:space="preserve"> (e)</w:t>
      </w:r>
      <w:r>
        <w:rPr>
          <w:rFonts w:ascii="Arial" w:cs="Arial" w:eastAsia="Arial" w:hAnsi="Arial"/>
          <w:sz w:val="16"/>
          <w:szCs w:val="16"/>
          <w:color w:val="auto"/>
        </w:rPr>
        <w:t>,</w:t>
      </w:r>
      <w:r>
        <w:rPr>
          <w:rFonts w:ascii="Arial" w:cs="Arial" w:eastAsia="Arial" w:hAnsi="Arial"/>
          <w:sz w:val="16"/>
          <w:szCs w:val="16"/>
          <w:b w:val="1"/>
          <w:bCs w:val="1"/>
          <w:color w:val="auto"/>
        </w:rPr>
        <w:t xml:space="preserve"> (f)</w:t>
      </w:r>
      <w:r>
        <w:rPr>
          <w:rFonts w:ascii="Arial" w:cs="Arial" w:eastAsia="Arial" w:hAnsi="Arial"/>
          <w:sz w:val="16"/>
          <w:szCs w:val="16"/>
          <w:color w:val="auto"/>
        </w:rPr>
        <w:t>,</w:t>
      </w:r>
      <w:r>
        <w:rPr>
          <w:rFonts w:ascii="Arial" w:cs="Arial" w:eastAsia="Arial" w:hAnsi="Arial"/>
          <w:sz w:val="16"/>
          <w:szCs w:val="16"/>
          <w:b w:val="1"/>
          <w:bCs w:val="1"/>
          <w:color w:val="auto"/>
        </w:rPr>
        <w:t xml:space="preserve"> (g)</w:t>
      </w:r>
      <w:r>
        <w:rPr>
          <w:rFonts w:ascii="Arial" w:cs="Arial" w:eastAsia="Arial" w:hAnsi="Arial"/>
          <w:sz w:val="16"/>
          <w:szCs w:val="16"/>
          <w:color w:val="auto"/>
        </w:rPr>
        <w:t>,</w:t>
      </w:r>
      <w:r>
        <w:rPr>
          <w:rFonts w:ascii="Arial" w:cs="Arial" w:eastAsia="Arial" w:hAnsi="Arial"/>
          <w:sz w:val="16"/>
          <w:szCs w:val="16"/>
          <w:b w:val="1"/>
          <w:bCs w:val="1"/>
          <w:color w:val="auto"/>
        </w:rPr>
        <w:t xml:space="preserve"> (h)</w:t>
      </w:r>
      <w:r>
        <w:rPr>
          <w:rFonts w:ascii="Arial" w:cs="Arial" w:eastAsia="Arial" w:hAnsi="Arial"/>
          <w:sz w:val="16"/>
          <w:szCs w:val="16"/>
          <w:color w:val="auto"/>
        </w:rPr>
        <w:t>,</w:t>
      </w:r>
      <w:r>
        <w:rPr>
          <w:rFonts w:ascii="Arial" w:cs="Arial" w:eastAsia="Arial" w:hAnsi="Arial"/>
          <w:sz w:val="16"/>
          <w:szCs w:val="16"/>
          <w:b w:val="1"/>
          <w:bCs w:val="1"/>
          <w:color w:val="auto"/>
        </w:rPr>
        <w:t xml:space="preserve"> (m)</w:t>
      </w:r>
      <w:r>
        <w:rPr>
          <w:rFonts w:ascii="Arial" w:cs="Arial" w:eastAsia="Arial" w:hAnsi="Arial"/>
          <w:sz w:val="16"/>
          <w:szCs w:val="16"/>
          <w:color w:val="auto"/>
        </w:rPr>
        <w:t>,</w:t>
      </w:r>
      <w:r>
        <w:rPr>
          <w:rFonts w:ascii="Arial" w:cs="Arial" w:eastAsia="Arial" w:hAnsi="Arial"/>
          <w:sz w:val="16"/>
          <w:szCs w:val="16"/>
          <w:b w:val="1"/>
          <w:bCs w:val="1"/>
          <w:color w:val="auto"/>
        </w:rPr>
        <w:t xml:space="preserve"> (p) </w:t>
      </w:r>
      <w:r>
        <w:rPr>
          <w:rFonts w:ascii="Arial" w:cs="Arial" w:eastAsia="Arial" w:hAnsi="Arial"/>
          <w:sz w:val="16"/>
          <w:szCs w:val="16"/>
          <w:color w:val="auto"/>
        </w:rPr>
        <w:t>and</w:t>
      </w:r>
      <w:r>
        <w:rPr>
          <w:rFonts w:ascii="Arial" w:cs="Arial" w:eastAsia="Arial" w:hAnsi="Arial"/>
          <w:sz w:val="16"/>
          <w:szCs w:val="16"/>
          <w:b w:val="1"/>
          <w:bCs w:val="1"/>
          <w:color w:val="auto"/>
        </w:rPr>
        <w:t xml:space="preserve"> (q) </w:t>
      </w:r>
      <w:r>
        <w:rPr>
          <w:rFonts w:ascii="Arial" w:cs="Arial" w:eastAsia="Arial" w:hAnsi="Arial"/>
          <w:sz w:val="16"/>
          <w:szCs w:val="16"/>
          <w:color w:val="auto"/>
        </w:rPr>
        <w:t>of</w:t>
      </w:r>
      <w:r>
        <w:rPr>
          <w:rFonts w:ascii="Arial" w:cs="Arial" w:eastAsia="Arial" w:hAnsi="Arial"/>
          <w:sz w:val="16"/>
          <w:szCs w:val="16"/>
          <w:b w:val="1"/>
          <w:bCs w:val="1"/>
          <w:color w:val="auto"/>
        </w:rPr>
        <w:t xml:space="preserve"> Section 2.8</w:t>
      </w:r>
      <w:r>
        <w:rPr>
          <w:rFonts w:ascii="Arial" w:cs="Arial" w:eastAsia="Arial" w:hAnsi="Arial"/>
          <w:sz w:val="16"/>
          <w:szCs w:val="16"/>
          <w:color w:val="auto"/>
        </w:rPr>
        <w:t>, which shall be true and correct in all material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respects and (ii) subsection </w:t>
      </w:r>
      <w:r>
        <w:rPr>
          <w:rFonts w:ascii="Arial" w:cs="Arial" w:eastAsia="Arial" w:hAnsi="Arial"/>
          <w:sz w:val="16"/>
          <w:szCs w:val="16"/>
          <w:b w:val="1"/>
          <w:bCs w:val="1"/>
          <w:color w:val="auto"/>
        </w:rPr>
        <w:t>(r)</w:t>
      </w:r>
      <w:r>
        <w:rPr>
          <w:rFonts w:ascii="Arial" w:cs="Arial" w:eastAsia="Arial" w:hAnsi="Arial"/>
          <w:sz w:val="16"/>
          <w:szCs w:val="16"/>
          <w:color w:val="auto"/>
        </w:rPr>
        <w:t xml:space="preserve"> of </w:t>
      </w:r>
      <w:r>
        <w:rPr>
          <w:rFonts w:ascii="Arial" w:cs="Arial" w:eastAsia="Arial" w:hAnsi="Arial"/>
          <w:sz w:val="16"/>
          <w:szCs w:val="16"/>
          <w:b w:val="1"/>
          <w:bCs w:val="1"/>
          <w:color w:val="auto"/>
        </w:rPr>
        <w:t>Section 2.8</w:t>
      </w:r>
      <w:r>
        <w:rPr>
          <w:rFonts w:ascii="Arial" w:cs="Arial" w:eastAsia="Arial" w:hAnsi="Arial"/>
          <w:sz w:val="16"/>
          <w:szCs w:val="16"/>
          <w:color w:val="auto"/>
        </w:rPr>
        <w:t>, which shall be true and correct in all respects), as does not constitute a Material Adverse Effect on the Company at the Closing Date (it being understood that, for purposes of determining the accuracy of such representations and warranties, any update of or modification to the Company Disclosure Schedule made or purported to have been made after the execution of this Agreement shall be disregarded).</w:t>
      </w:r>
    </w:p>
    <w:p>
      <w:pPr>
        <w:spacing w:after="0" w:line="166" w:lineRule="exact"/>
        <w:rPr>
          <w:rFonts w:ascii="Arial" w:cs="Arial" w:eastAsia="Arial" w:hAnsi="Arial"/>
          <w:sz w:val="16"/>
          <w:szCs w:val="16"/>
          <w:color w:val="auto"/>
        </w:rPr>
      </w:pPr>
    </w:p>
    <w:p>
      <w:pPr>
        <w:ind w:left="420" w:right="60" w:firstLine="1290"/>
        <w:spacing w:after="0" w:line="264" w:lineRule="auto"/>
        <w:tabs>
          <w:tab w:leader="none" w:pos="1964" w:val="left"/>
        </w:tabs>
        <w:numPr>
          <w:ilvl w:val="0"/>
          <w:numId w:val="109"/>
        </w:numPr>
        <w:rPr>
          <w:rFonts w:ascii="Arial" w:cs="Arial" w:eastAsia="Arial" w:hAnsi="Arial"/>
          <w:sz w:val="18"/>
          <w:szCs w:val="18"/>
          <w:color w:val="auto"/>
        </w:rPr>
      </w:pPr>
      <w:r>
        <w:rPr>
          <w:rFonts w:ascii="Arial" w:cs="Arial" w:eastAsia="Arial" w:hAnsi="Arial"/>
          <w:sz w:val="18"/>
          <w:szCs w:val="18"/>
          <w:b w:val="1"/>
          <w:bCs w:val="1"/>
          <w:i w:val="1"/>
          <w:iCs w:val="1"/>
          <w:color w:val="auto"/>
        </w:rPr>
        <w:t>Agreements and Covenants</w:t>
      </w:r>
      <w:r>
        <w:rPr>
          <w:rFonts w:ascii="Arial" w:cs="Arial" w:eastAsia="Arial" w:hAnsi="Arial"/>
          <w:sz w:val="18"/>
          <w:szCs w:val="18"/>
          <w:color w:val="auto"/>
        </w:rPr>
        <w:t>. The Company shall have performed or complied in all material respects with all agreements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covenants required by this Agreement to be performed or complied with by it at or prior to the Closing Date;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Company shall have performed or complied in all respects with </w:t>
      </w:r>
      <w:r>
        <w:rPr>
          <w:rFonts w:ascii="Arial" w:cs="Arial" w:eastAsia="Arial" w:hAnsi="Arial"/>
          <w:sz w:val="18"/>
          <w:szCs w:val="18"/>
          <w:b w:val="1"/>
          <w:bCs w:val="1"/>
          <w:color w:val="auto"/>
        </w:rPr>
        <w:t>Section 5.13</w:t>
      </w:r>
      <w:r>
        <w:rPr>
          <w:rFonts w:ascii="Arial" w:cs="Arial" w:eastAsia="Arial" w:hAnsi="Arial"/>
          <w:sz w:val="18"/>
          <w:szCs w:val="18"/>
          <w:color w:val="auto"/>
        </w:rPr>
        <w:t xml:space="preserve"> and </w:t>
      </w:r>
      <w:r>
        <w:rPr>
          <w:rFonts w:ascii="Arial" w:cs="Arial" w:eastAsia="Arial" w:hAnsi="Arial"/>
          <w:sz w:val="18"/>
          <w:szCs w:val="18"/>
          <w:b w:val="1"/>
          <w:bCs w:val="1"/>
          <w:color w:val="auto"/>
        </w:rPr>
        <w:t>Section 5.16</w:t>
      </w:r>
      <w:r>
        <w:rPr>
          <w:rFonts w:ascii="Arial" w:cs="Arial" w:eastAsia="Arial" w:hAnsi="Arial"/>
          <w:sz w:val="18"/>
          <w:szCs w:val="18"/>
          <w:color w:val="auto"/>
        </w:rPr>
        <w: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38" w:name="page39"/>
    <w:bookmarkEnd w:id="38"/>
    <w:p>
      <w:pPr>
        <w:ind w:left="420" w:right="280" w:firstLine="1290"/>
        <w:spacing w:after="0" w:line="342" w:lineRule="auto"/>
        <w:tabs>
          <w:tab w:leader="none" w:pos="1954" w:val="left"/>
        </w:tabs>
        <w:numPr>
          <w:ilvl w:val="0"/>
          <w:numId w:val="110"/>
        </w:numPr>
        <w:rPr>
          <w:rFonts w:ascii="Arial" w:cs="Arial" w:eastAsia="Arial" w:hAnsi="Arial"/>
          <w:sz w:val="16"/>
          <w:szCs w:val="16"/>
          <w:color w:val="auto"/>
        </w:rPr>
      </w:pPr>
      <w:r>
        <w:rPr>
          <w:rFonts w:ascii="Arial" w:cs="Arial" w:eastAsia="Arial" w:hAnsi="Arial"/>
          <w:sz w:val="16"/>
          <w:szCs w:val="16"/>
          <w:b w:val="1"/>
          <w:bCs w:val="1"/>
          <w:i w:val="1"/>
          <w:iCs w:val="1"/>
          <w:color w:val="auto"/>
        </w:rPr>
        <w:t>Material Adverse Effect</w:t>
      </w:r>
      <w:r>
        <w:rPr>
          <w:rFonts w:ascii="Arial" w:cs="Arial" w:eastAsia="Arial" w:hAnsi="Arial"/>
          <w:sz w:val="16"/>
          <w:szCs w:val="16"/>
          <w:color w:val="auto"/>
        </w:rPr>
        <w:t>. No Effect, either individually or in the aggregate, has occurred since the date hereof that has or would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reasonably be expected to have a Material Adverse Effect on the Company shall have occurred since the date hereof and be continuing.</w:t>
      </w:r>
    </w:p>
    <w:p>
      <w:pPr>
        <w:spacing w:after="0" w:line="123" w:lineRule="exact"/>
        <w:rPr>
          <w:rFonts w:ascii="Arial" w:cs="Arial" w:eastAsia="Arial" w:hAnsi="Arial"/>
          <w:sz w:val="16"/>
          <w:szCs w:val="16"/>
          <w:color w:val="auto"/>
        </w:rPr>
      </w:pPr>
    </w:p>
    <w:p>
      <w:pPr>
        <w:ind w:left="420" w:right="80" w:firstLine="1290"/>
        <w:spacing w:after="0" w:line="279" w:lineRule="auto"/>
        <w:tabs>
          <w:tab w:leader="none" w:pos="1964" w:val="left"/>
        </w:tabs>
        <w:numPr>
          <w:ilvl w:val="0"/>
          <w:numId w:val="110"/>
        </w:numPr>
        <w:rPr>
          <w:rFonts w:ascii="Arial" w:cs="Arial" w:eastAsia="Arial" w:hAnsi="Arial"/>
          <w:sz w:val="17"/>
          <w:szCs w:val="17"/>
          <w:color w:val="auto"/>
        </w:rPr>
      </w:pPr>
      <w:r>
        <w:rPr>
          <w:rFonts w:ascii="Arial" w:cs="Arial" w:eastAsia="Arial" w:hAnsi="Arial"/>
          <w:sz w:val="17"/>
          <w:szCs w:val="17"/>
          <w:b w:val="1"/>
          <w:bCs w:val="1"/>
          <w:i w:val="1"/>
          <w:iCs w:val="1"/>
          <w:color w:val="auto"/>
        </w:rPr>
        <w:t>No Governmental Restriction</w:t>
      </w:r>
      <w:r>
        <w:rPr>
          <w:rFonts w:ascii="Arial" w:cs="Arial" w:eastAsia="Arial" w:hAnsi="Arial"/>
          <w:sz w:val="17"/>
          <w:szCs w:val="17"/>
          <w:color w:val="auto"/>
        </w:rPr>
        <w:t>. There shall not be any pending or overtly threatened suit, action or proceeding asserted by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Governmental Entity (i) challenging or seeking to restrain or prohibit the consummation of the Merger or any of the other transactions contemplated by this Agreement, the effect of which restraint or prohibition if obtained would cause the condition set forth in </w:t>
      </w:r>
      <w:r>
        <w:rPr>
          <w:rFonts w:ascii="Arial" w:cs="Arial" w:eastAsia="Arial" w:hAnsi="Arial"/>
          <w:sz w:val="17"/>
          <w:szCs w:val="17"/>
          <w:b w:val="1"/>
          <w:bCs w:val="1"/>
          <w:color w:val="auto"/>
        </w:rPr>
        <w:t>Section 6.1(b)</w:t>
      </w:r>
      <w:r>
        <w:rPr>
          <w:rFonts w:ascii="Arial" w:cs="Arial" w:eastAsia="Arial" w:hAnsi="Arial"/>
          <w:sz w:val="17"/>
          <w:szCs w:val="17"/>
          <w:color w:val="auto"/>
        </w:rPr>
        <w:t xml:space="preserve"> to not be satisfied or (ii) seeking to require Parent or the Company or any Subsidiary or affiliate thereof to effect an Action of Divestiture.</w:t>
      </w:r>
    </w:p>
    <w:p>
      <w:pPr>
        <w:spacing w:after="0" w:line="171" w:lineRule="exact"/>
        <w:rPr>
          <w:rFonts w:ascii="Arial" w:cs="Arial" w:eastAsia="Arial" w:hAnsi="Arial"/>
          <w:sz w:val="17"/>
          <w:szCs w:val="17"/>
          <w:color w:val="auto"/>
        </w:rPr>
      </w:pPr>
    </w:p>
    <w:p>
      <w:pPr>
        <w:ind w:left="420" w:right="100" w:firstLine="1290"/>
        <w:spacing w:after="0" w:line="342" w:lineRule="auto"/>
        <w:tabs>
          <w:tab w:leader="none" w:pos="1954" w:val="left"/>
        </w:tabs>
        <w:numPr>
          <w:ilvl w:val="0"/>
          <w:numId w:val="110"/>
        </w:numPr>
        <w:rPr>
          <w:rFonts w:ascii="Arial" w:cs="Arial" w:eastAsia="Arial" w:hAnsi="Arial"/>
          <w:sz w:val="16"/>
          <w:szCs w:val="16"/>
          <w:color w:val="auto"/>
        </w:rPr>
      </w:pPr>
      <w:r>
        <w:rPr>
          <w:rFonts w:ascii="Arial" w:cs="Arial" w:eastAsia="Arial" w:hAnsi="Arial"/>
          <w:sz w:val="16"/>
          <w:szCs w:val="16"/>
          <w:b w:val="1"/>
          <w:bCs w:val="1"/>
          <w:i w:val="1"/>
          <w:iCs w:val="1"/>
          <w:color w:val="auto"/>
        </w:rPr>
        <w:t>Officer’s Certificate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Parent and Merger Sub shall have received a certificate, dated as of the Closing Date, to the effect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conditions set forth in </w:t>
      </w:r>
      <w:r>
        <w:rPr>
          <w:rFonts w:ascii="Arial" w:cs="Arial" w:eastAsia="Arial" w:hAnsi="Arial"/>
          <w:sz w:val="16"/>
          <w:szCs w:val="16"/>
          <w:b w:val="1"/>
          <w:bCs w:val="1"/>
          <w:color w:val="auto"/>
        </w:rPr>
        <w:t>Sections 6.2(a)</w:t>
      </w:r>
      <w:r>
        <w:rPr>
          <w:rFonts w:ascii="Arial" w:cs="Arial" w:eastAsia="Arial" w:hAnsi="Arial"/>
          <w:sz w:val="16"/>
          <w:szCs w:val="16"/>
          <w:color w:val="auto"/>
        </w:rPr>
        <w:t xml:space="preserve"> and </w:t>
      </w:r>
      <w:r>
        <w:rPr>
          <w:rFonts w:ascii="Arial" w:cs="Arial" w:eastAsia="Arial" w:hAnsi="Arial"/>
          <w:sz w:val="16"/>
          <w:szCs w:val="16"/>
          <w:b w:val="1"/>
          <w:bCs w:val="1"/>
          <w:color w:val="auto"/>
        </w:rPr>
        <w:t>(b)</w:t>
      </w:r>
      <w:r>
        <w:rPr>
          <w:rFonts w:ascii="Arial" w:cs="Arial" w:eastAsia="Arial" w:hAnsi="Arial"/>
          <w:sz w:val="16"/>
          <w:szCs w:val="16"/>
          <w:color w:val="auto"/>
        </w:rPr>
        <w:t xml:space="preserve"> have been satisfied signed on behalf of the Company by an authorized executive officer of the Company.</w:t>
      </w:r>
    </w:p>
    <w:p>
      <w:pPr>
        <w:spacing w:after="0" w:line="124" w:lineRule="exact"/>
        <w:rPr>
          <w:sz w:val="20"/>
          <w:szCs w:val="20"/>
          <w:color w:val="auto"/>
        </w:rPr>
      </w:pPr>
    </w:p>
    <w:p>
      <w:pPr>
        <w:jc w:val="both"/>
        <w:ind w:right="440" w:firstLine="648"/>
        <w:spacing w:after="0" w:line="264"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i w:val="1"/>
          <w:iCs w:val="1"/>
          <w:color w:val="auto"/>
        </w:rPr>
        <w:t>Additional Conditions to the Obligations of the Company</w:t>
      </w:r>
      <w:r>
        <w:rPr>
          <w:rFonts w:ascii="Arial" w:cs="Arial" w:eastAsia="Arial" w:hAnsi="Arial"/>
          <w:sz w:val="18"/>
          <w:szCs w:val="18"/>
          <w:color w:val="auto"/>
        </w:rPr>
        <w:t>. The obligation of the Company to consummate and effect the Merger shall be subject to the satisfaction at or prior to the Closing Date of each of the following conditions, any of which may be waived, in writing, exclusively by the Company:</w:t>
      </w:r>
    </w:p>
    <w:p>
      <w:pPr>
        <w:spacing w:after="0" w:line="181" w:lineRule="exact"/>
        <w:rPr>
          <w:sz w:val="20"/>
          <w:szCs w:val="20"/>
          <w:color w:val="auto"/>
        </w:rPr>
      </w:pPr>
    </w:p>
    <w:p>
      <w:pPr>
        <w:ind w:left="420" w:right="20" w:firstLine="1290"/>
        <w:spacing w:after="0" w:line="270" w:lineRule="auto"/>
        <w:tabs>
          <w:tab w:leader="none" w:pos="1954" w:val="left"/>
        </w:tabs>
        <w:numPr>
          <w:ilvl w:val="1"/>
          <w:numId w:val="111"/>
        </w:numPr>
        <w:rPr>
          <w:rFonts w:ascii="Arial" w:cs="Arial" w:eastAsia="Arial" w:hAnsi="Arial"/>
          <w:sz w:val="17"/>
          <w:szCs w:val="17"/>
          <w:color w:val="auto"/>
        </w:rPr>
      </w:pPr>
      <w:r>
        <w:rPr>
          <w:rFonts w:ascii="Arial" w:cs="Arial" w:eastAsia="Arial" w:hAnsi="Arial"/>
          <w:sz w:val="17"/>
          <w:szCs w:val="17"/>
          <w:b w:val="1"/>
          <w:bCs w:val="1"/>
          <w:i w:val="1"/>
          <w:iCs w:val="1"/>
          <w:color w:val="auto"/>
        </w:rPr>
        <w:t>Representations and Warranties</w:t>
      </w:r>
      <w:r>
        <w:rPr>
          <w:rFonts w:ascii="Arial" w:cs="Arial" w:eastAsia="Arial" w:hAnsi="Arial"/>
          <w:sz w:val="17"/>
          <w:szCs w:val="17"/>
          <w:color w:val="auto"/>
        </w:rPr>
        <w:t>. The representations and warranties of Parent and Merger Sub contained in this Agreement shall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have been true and correct as of the date hereof (except that those representations and warranties which address matters only as of a particular date shall have been true and correct only on such date) and shall be true and correct as of the Closing Date with the same force and effect as if made on the Closing Date (except that those representations and warranties which address matters only as of a particular date shall have been true and correct only on such date), except, in each case or in the aggregate, as does not constitute a Material Adverse Effect on Parent at the Closing Date (it being understood that, for purposes of determining the accuracy of such representations and warranties, any update of or modification to the Parent Disclosure Schedule made or purported to have been made after the execution of this Agreement shall be disregarded). The Company shall have received a certificate with respect to the foregoing signed on behalf of Parent, with respect to the representations and warranties of Parent, by an authorized executive officer of Parent and a certificate with respect to the foregoing signed on behalf of Merger Sub, with respect to the representations and warranties of Merger Sub, by an authorized executive officer of Merger Sub.</w:t>
      </w:r>
    </w:p>
    <w:p>
      <w:pPr>
        <w:spacing w:after="0" w:line="177" w:lineRule="exact"/>
        <w:rPr>
          <w:rFonts w:ascii="Arial" w:cs="Arial" w:eastAsia="Arial" w:hAnsi="Arial"/>
          <w:sz w:val="17"/>
          <w:szCs w:val="17"/>
          <w:color w:val="auto"/>
        </w:rPr>
      </w:pPr>
    </w:p>
    <w:p>
      <w:pPr>
        <w:ind w:left="420" w:right="60" w:firstLine="1209"/>
        <w:spacing w:after="0" w:line="257" w:lineRule="auto"/>
        <w:tabs>
          <w:tab w:leader="none" w:pos="1960" w:val="left"/>
        </w:tabs>
        <w:numPr>
          <w:ilvl w:val="0"/>
          <w:numId w:val="112"/>
        </w:numPr>
        <w:rPr>
          <w:rFonts w:ascii="Arial" w:cs="Arial" w:eastAsia="Arial" w:hAnsi="Arial"/>
          <w:sz w:val="18"/>
          <w:szCs w:val="18"/>
          <w:color w:val="auto"/>
        </w:rPr>
      </w:pPr>
      <w:r>
        <w:rPr>
          <w:rFonts w:ascii="Arial" w:cs="Arial" w:eastAsia="Arial" w:hAnsi="Arial"/>
          <w:sz w:val="18"/>
          <w:szCs w:val="18"/>
          <w:b w:val="1"/>
          <w:bCs w:val="1"/>
          <w:i w:val="1"/>
          <w:iCs w:val="1"/>
          <w:color w:val="auto"/>
        </w:rPr>
        <w:t>Agreements and Covenants</w:t>
      </w:r>
      <w:r>
        <w:rPr>
          <w:rFonts w:ascii="Arial" w:cs="Arial" w:eastAsia="Arial" w:hAnsi="Arial"/>
          <w:sz w:val="18"/>
          <w:szCs w:val="18"/>
          <w:color w:val="auto"/>
        </w:rPr>
        <w:t>. Parent and Merger Sub shall have performed or complied in all material respects with all agreements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covenants required by this Agreement to be performed or complied with by it on or prior to the Closing Date, and the Company shall have received a certificate with respect to the foregoing signed on behalf of Parent, with respect to the covenants of Parent, by an authorized executive officer of Parent and a certificate with respect to the foregoing signed on behalf of Merger Sub, with respect to the covenants of Merger Sub, by an authorized executive officer of Merger Sub.</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20" w:right="280" w:firstLine="1209"/>
        <w:spacing w:after="0" w:line="308" w:lineRule="auto"/>
        <w:tabs>
          <w:tab w:leader="none" w:pos="1950" w:val="left"/>
        </w:tabs>
        <w:numPr>
          <w:ilvl w:val="0"/>
          <w:numId w:val="113"/>
        </w:numPr>
        <w:rPr>
          <w:rFonts w:ascii="Arial" w:cs="Arial" w:eastAsia="Arial" w:hAnsi="Arial"/>
          <w:sz w:val="17"/>
          <w:szCs w:val="17"/>
          <w:color w:val="auto"/>
        </w:rPr>
      </w:pPr>
      <w:r>
        <w:rPr>
          <w:rFonts w:ascii="Arial" w:cs="Arial" w:eastAsia="Arial" w:hAnsi="Arial"/>
          <w:sz w:val="17"/>
          <w:szCs w:val="17"/>
          <w:b w:val="1"/>
          <w:bCs w:val="1"/>
          <w:i w:val="1"/>
          <w:iCs w:val="1"/>
          <w:color w:val="auto"/>
        </w:rPr>
        <w:t>Material Adverse Effect</w:t>
      </w:r>
      <w:r>
        <w:rPr>
          <w:rFonts w:ascii="Arial" w:cs="Arial" w:eastAsia="Arial" w:hAnsi="Arial"/>
          <w:sz w:val="17"/>
          <w:szCs w:val="17"/>
          <w:color w:val="auto"/>
        </w:rPr>
        <w:t>. No Effect, either individually or in the aggregate, has occurred since the date hereof that has or would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reasonably be expected to have a Material Adverse Effect on Parent shall have occurred since the date hereof and be continuing.</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TERMINATION, AMENDMENT AND WAIVER</w:t>
      </w:r>
    </w:p>
    <w:p>
      <w:pPr>
        <w:spacing w:after="0" w:line="21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i w:val="1"/>
          <w:iCs w:val="1"/>
          <w:color w:val="auto"/>
        </w:rPr>
        <w:t>Termination</w:t>
      </w:r>
      <w:r>
        <w:rPr>
          <w:rFonts w:ascii="Arial" w:cs="Arial" w:eastAsia="Arial" w:hAnsi="Arial"/>
          <w:sz w:val="18"/>
          <w:szCs w:val="18"/>
          <w:color w:val="auto"/>
        </w:rPr>
        <w:t>. This Agreement may be terminated at any time prior to the Effective Time, by action taken by the terminating party or parties, and except as provided below, whether before or after the requisite approvals of the stockholders of the Company:</w:t>
      </w:r>
    </w:p>
    <w:p>
      <w:pPr>
        <w:spacing w:after="0" w:line="170" w:lineRule="exact"/>
        <w:rPr>
          <w:sz w:val="20"/>
          <w:szCs w:val="20"/>
          <w:color w:val="auto"/>
        </w:rPr>
      </w:pPr>
    </w:p>
    <w:p>
      <w:pPr>
        <w:ind w:left="1940" w:hanging="230"/>
        <w:spacing w:after="0"/>
        <w:tabs>
          <w:tab w:leader="none" w:pos="19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by mutual written consent duly authorized by the Boards of Directors of each of Parent and the Company;</w:t>
      </w:r>
    </w:p>
    <w:p>
      <w:pPr>
        <w:spacing w:after="0" w:line="221" w:lineRule="exact"/>
        <w:rPr>
          <w:rFonts w:ascii="Arial" w:cs="Arial" w:eastAsia="Arial" w:hAnsi="Arial"/>
          <w:sz w:val="18"/>
          <w:szCs w:val="18"/>
          <w:color w:val="auto"/>
        </w:rPr>
      </w:pPr>
    </w:p>
    <w:p>
      <w:pPr>
        <w:ind w:left="420" w:right="60" w:firstLine="1290"/>
        <w:spacing w:after="0" w:line="261" w:lineRule="auto"/>
        <w:tabs>
          <w:tab w:leader="none" w:pos="196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by either the Company or Parent if the Merger shall not have been consummated by December 6, 2006 (the “</w:t>
      </w:r>
      <w:r>
        <w:rPr>
          <w:rFonts w:ascii="Arial" w:cs="Arial" w:eastAsia="Arial" w:hAnsi="Arial"/>
          <w:sz w:val="18"/>
          <w:szCs w:val="18"/>
          <w:b w:val="1"/>
          <w:bCs w:val="1"/>
          <w:color w:val="auto"/>
        </w:rPr>
        <w:t>End Date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right to terminate this Agreement under this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7.1(b)</w:t>
      </w:r>
      <w:r>
        <w:rPr>
          <w:rFonts w:ascii="Arial" w:cs="Arial" w:eastAsia="Arial" w:hAnsi="Arial"/>
          <w:sz w:val="18"/>
          <w:szCs w:val="18"/>
          <w:i w:val="1"/>
          <w:iCs w:val="1"/>
          <w:color w:val="auto"/>
        </w:rPr>
        <w:t xml:space="preserve"> </w:t>
      </w:r>
      <w:r>
        <w:rPr>
          <w:rFonts w:ascii="Arial" w:cs="Arial" w:eastAsia="Arial" w:hAnsi="Arial"/>
          <w:sz w:val="18"/>
          <w:szCs w:val="18"/>
          <w:color w:val="auto"/>
        </w:rPr>
        <w:t>shall not be available to any party whose action or failure to act</w:t>
      </w:r>
      <w:r>
        <w:rPr>
          <w:rFonts w:ascii="Arial" w:cs="Arial" w:eastAsia="Arial" w:hAnsi="Arial"/>
          <w:sz w:val="18"/>
          <w:szCs w:val="18"/>
          <w:i w:val="1"/>
          <w:iCs w:val="1"/>
          <w:color w:val="auto"/>
        </w:rPr>
        <w:t xml:space="preserve"> </w:t>
      </w:r>
      <w:r>
        <w:rPr>
          <w:rFonts w:ascii="Arial" w:cs="Arial" w:eastAsia="Arial" w:hAnsi="Arial"/>
          <w:sz w:val="18"/>
          <w:szCs w:val="18"/>
          <w:color w:val="auto"/>
        </w:rPr>
        <w:t>has been a principal cause of or resulted in the failure of the Merger to occur on or before such date and such action or failure to act constitutes a breach of this Agreement;</w:t>
      </w:r>
    </w:p>
    <w:p>
      <w:pPr>
        <w:spacing w:after="0" w:line="184" w:lineRule="exact"/>
        <w:rPr>
          <w:rFonts w:ascii="Arial" w:cs="Arial" w:eastAsia="Arial" w:hAnsi="Arial"/>
          <w:sz w:val="18"/>
          <w:szCs w:val="18"/>
          <w:color w:val="auto"/>
        </w:rPr>
      </w:pPr>
    </w:p>
    <w:p>
      <w:pPr>
        <w:ind w:left="420" w:right="180" w:firstLine="1290"/>
        <w:spacing w:after="0" w:line="264" w:lineRule="auto"/>
        <w:tabs>
          <w:tab w:leader="none" w:pos="195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by either the Company or Parent if a Governmental Entity shall have issued an order, decree or ruling or taken any other action (including the failure to have taken an action), in any case having the effect of permanently restraining, enjoining or otherwise prohibiting the Merger, which order, decree, ruling or other action is final and nonappealable;</w:t>
      </w:r>
    </w:p>
    <w:p>
      <w:pPr>
        <w:spacing w:after="0" w:line="181" w:lineRule="exact"/>
        <w:rPr>
          <w:rFonts w:ascii="Arial" w:cs="Arial" w:eastAsia="Arial" w:hAnsi="Arial"/>
          <w:sz w:val="18"/>
          <w:szCs w:val="18"/>
          <w:color w:val="auto"/>
        </w:rPr>
      </w:pPr>
    </w:p>
    <w:p>
      <w:pPr>
        <w:ind w:left="420" w:right="40" w:firstLine="1290"/>
        <w:spacing w:after="0" w:line="257" w:lineRule="auto"/>
        <w:tabs>
          <w:tab w:leader="none" w:pos="196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by either the Company or Parent if the required approval of the stockholders of the Company contemplated by this Agreement shall not have been obtained by reason of the failure to obtain the required vote at a meeting of the Company stockholders duly convened therefore or at any adjournment thereof;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right to terminate this Agreement under this </w:t>
      </w:r>
      <w:r>
        <w:rPr>
          <w:rFonts w:ascii="Arial" w:cs="Arial" w:eastAsia="Arial" w:hAnsi="Arial"/>
          <w:sz w:val="18"/>
          <w:szCs w:val="18"/>
          <w:b w:val="1"/>
          <w:bCs w:val="1"/>
          <w:color w:val="auto"/>
        </w:rPr>
        <w:t>Section 7.1(d)</w:t>
      </w:r>
      <w:r>
        <w:rPr>
          <w:rFonts w:ascii="Arial" w:cs="Arial" w:eastAsia="Arial" w:hAnsi="Arial"/>
          <w:sz w:val="18"/>
          <w:szCs w:val="18"/>
          <w:color w:val="auto"/>
        </w:rPr>
        <w:t xml:space="preserve"> shall not be available to the Company where the failure to obtain such stockholder approval shall have been caused by the action or failure to act of the Company, and such action or failure to act constitutes a breach by the Company of this Agreement;</w:t>
      </w:r>
    </w:p>
    <w:p>
      <w:pPr>
        <w:spacing w:after="0" w:line="188" w:lineRule="exact"/>
        <w:rPr>
          <w:rFonts w:ascii="Arial" w:cs="Arial" w:eastAsia="Arial" w:hAnsi="Arial"/>
          <w:sz w:val="18"/>
          <w:szCs w:val="18"/>
          <w:color w:val="auto"/>
        </w:rPr>
      </w:pPr>
    </w:p>
    <w:p>
      <w:pPr>
        <w:ind w:left="420" w:right="540" w:firstLine="1290"/>
        <w:spacing w:after="0" w:line="277" w:lineRule="auto"/>
        <w:tabs>
          <w:tab w:leader="none" w:pos="195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by Parent (at any time prior to the adoption of this Agreement by the required vote of the stockholders of the Company) if a Triggering Event with respect to the Company shall have occurred;</w:t>
      </w:r>
    </w:p>
    <w:p>
      <w:pPr>
        <w:spacing w:after="0" w:line="170" w:lineRule="exact"/>
        <w:rPr>
          <w:rFonts w:ascii="Arial" w:cs="Arial" w:eastAsia="Arial" w:hAnsi="Arial"/>
          <w:sz w:val="18"/>
          <w:szCs w:val="18"/>
          <w:color w:val="auto"/>
        </w:rPr>
      </w:pPr>
    </w:p>
    <w:p>
      <w:pPr>
        <w:ind w:left="420" w:firstLine="1290"/>
        <w:spacing w:after="0" w:line="259" w:lineRule="auto"/>
        <w:tabs>
          <w:tab w:leader="none" w:pos="197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by the Company, upon a breach of any representation, warranty, covenant or agreement on the part of Parent set forth in this Agreement, or if any representation or warranty of Parent shall have become untrue, in either case such that the conditions set forth in </w:t>
      </w:r>
      <w:r>
        <w:rPr>
          <w:rFonts w:ascii="Arial" w:cs="Arial" w:eastAsia="Arial" w:hAnsi="Arial"/>
          <w:sz w:val="18"/>
          <w:szCs w:val="18"/>
          <w:b w:val="1"/>
          <w:bCs w:val="1"/>
          <w:color w:val="auto"/>
        </w:rPr>
        <w:t>Section 6.3(a)</w:t>
      </w:r>
      <w:r>
        <w:rPr>
          <w:rFonts w:ascii="Arial" w:cs="Arial" w:eastAsia="Arial" w:hAnsi="Arial"/>
          <w:sz w:val="18"/>
          <w:szCs w:val="18"/>
          <w:color w:val="auto"/>
        </w:rPr>
        <w:t xml:space="preserve"> or </w:t>
      </w:r>
      <w:r>
        <w:rPr>
          <w:rFonts w:ascii="Arial" w:cs="Arial" w:eastAsia="Arial" w:hAnsi="Arial"/>
          <w:sz w:val="18"/>
          <w:szCs w:val="18"/>
          <w:b w:val="1"/>
          <w:bCs w:val="1"/>
          <w:color w:val="auto"/>
        </w:rPr>
        <w:t xml:space="preserve">Section 6.3(b) </w:t>
      </w:r>
      <w:r>
        <w:rPr>
          <w:rFonts w:ascii="Arial" w:cs="Arial" w:eastAsia="Arial" w:hAnsi="Arial"/>
          <w:sz w:val="18"/>
          <w:szCs w:val="18"/>
          <w:color w:val="auto"/>
        </w:rPr>
        <w:t>would not be satisfied as of the time of such breach or as of the time such representation or warranty shall have become untrue;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however, </w:t>
      </w:r>
      <w:r>
        <w:rPr>
          <w:rFonts w:ascii="Arial" w:cs="Arial" w:eastAsia="Arial" w:hAnsi="Arial"/>
          <w:sz w:val="18"/>
          <w:szCs w:val="18"/>
          <w:color w:val="auto"/>
        </w:rPr>
        <w:t>that if such inaccuracy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584" w:right="259" w:bottom="302" w:gutter="0" w:footer="0" w:header="0"/>
        </w:sectPr>
      </w:pPr>
    </w:p>
    <w:bookmarkStart w:id="39" w:name="page40"/>
    <w:bookmarkEnd w:id="39"/>
    <w:p>
      <w:pPr>
        <w:spacing w:after="0" w:line="54" w:lineRule="exact"/>
        <w:rPr>
          <w:sz w:val="20"/>
          <w:szCs w:val="20"/>
          <w:color w:val="auto"/>
        </w:rPr>
      </w:pPr>
    </w:p>
    <w:p>
      <w:pPr>
        <w:ind w:left="400"/>
        <w:spacing w:after="0" w:line="279" w:lineRule="auto"/>
        <w:rPr>
          <w:sz w:val="20"/>
          <w:szCs w:val="20"/>
          <w:color w:val="auto"/>
        </w:rPr>
      </w:pPr>
      <w:r>
        <w:rPr>
          <w:rFonts w:ascii="Arial" w:cs="Arial" w:eastAsia="Arial" w:hAnsi="Arial"/>
          <w:sz w:val="17"/>
          <w:szCs w:val="17"/>
          <w:color w:val="auto"/>
        </w:rPr>
        <w:t xml:space="preserve">in Parent’s representations and warranties or breach by Parent is curable by Parent prior to the End Date, then the Company may not terminate this Agreement under this </w:t>
      </w:r>
      <w:r>
        <w:rPr>
          <w:rFonts w:ascii="Arial" w:cs="Arial" w:eastAsia="Arial" w:hAnsi="Arial"/>
          <w:sz w:val="17"/>
          <w:szCs w:val="17"/>
          <w:b w:val="1"/>
          <w:bCs w:val="1"/>
          <w:color w:val="auto"/>
        </w:rPr>
        <w:t>Section 7.1(f)</w:t>
      </w:r>
      <w:r>
        <w:rPr>
          <w:rFonts w:ascii="Arial" w:cs="Arial" w:eastAsia="Arial" w:hAnsi="Arial"/>
          <w:sz w:val="17"/>
          <w:szCs w:val="17"/>
          <w:color w:val="auto"/>
        </w:rPr>
        <w:t xml:space="preserve"> prior to 30 days following Parent’s receipt of written notice from the Company of such breach,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Parent continues to exercise all reasonable efforts to cure such breach through such 30-day period (it being understood that the Company may not terminate this Agreement pursuant to this subsection </w:t>
      </w:r>
      <w:r>
        <w:rPr>
          <w:rFonts w:ascii="Arial" w:cs="Arial" w:eastAsia="Arial" w:hAnsi="Arial"/>
          <w:sz w:val="17"/>
          <w:szCs w:val="17"/>
          <w:b w:val="1"/>
          <w:bCs w:val="1"/>
          <w:color w:val="auto"/>
        </w:rPr>
        <w:t>(f)</w:t>
      </w:r>
      <w:r>
        <w:rPr>
          <w:rFonts w:ascii="Arial" w:cs="Arial" w:eastAsia="Arial" w:hAnsi="Arial"/>
          <w:sz w:val="17"/>
          <w:szCs w:val="17"/>
          <w:color w:val="auto"/>
        </w:rPr>
        <w:t xml:space="preserve"> if it shall have materially breached this Agreement or if such breach by Parent is cured);</w:t>
      </w:r>
    </w:p>
    <w:p>
      <w:pPr>
        <w:spacing w:after="0" w:line="171" w:lineRule="exact"/>
        <w:rPr>
          <w:sz w:val="20"/>
          <w:szCs w:val="20"/>
          <w:color w:val="auto"/>
        </w:rPr>
      </w:pPr>
    </w:p>
    <w:p>
      <w:pPr>
        <w:ind w:left="420" w:right="260" w:firstLine="1290"/>
        <w:spacing w:after="0" w:line="291" w:lineRule="auto"/>
        <w:tabs>
          <w:tab w:leader="none" w:pos="1964"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by Parent, upon a breach of any representation, warranty, covenant or agreement on the part of the Company set forth in this Agreement, or if any representation or warranty of the Company shall have become untrue, in either case such that the conditions set forth in </w:t>
      </w:r>
      <w:r>
        <w:rPr>
          <w:rFonts w:ascii="Arial" w:cs="Arial" w:eastAsia="Arial" w:hAnsi="Arial"/>
          <w:sz w:val="16"/>
          <w:szCs w:val="16"/>
          <w:b w:val="1"/>
          <w:bCs w:val="1"/>
          <w:color w:val="auto"/>
        </w:rPr>
        <w:t>Section</w:t>
      </w:r>
    </w:p>
    <w:p>
      <w:pPr>
        <w:ind w:left="420" w:right="60"/>
        <w:spacing w:after="0" w:line="252" w:lineRule="auto"/>
        <w:rPr>
          <w:rFonts w:ascii="Arial" w:cs="Arial" w:eastAsia="Arial" w:hAnsi="Arial"/>
          <w:sz w:val="16"/>
          <w:szCs w:val="16"/>
          <w:color w:val="auto"/>
        </w:rPr>
      </w:pPr>
      <w:r>
        <w:rPr>
          <w:rFonts w:ascii="Arial" w:cs="Arial" w:eastAsia="Arial" w:hAnsi="Arial"/>
          <w:sz w:val="18"/>
          <w:szCs w:val="18"/>
          <w:b w:val="1"/>
          <w:bCs w:val="1"/>
          <w:color w:val="auto"/>
        </w:rPr>
        <w:t xml:space="preserve">6.2(a) </w:t>
      </w:r>
      <w:r>
        <w:rPr>
          <w:rFonts w:ascii="Arial" w:cs="Arial" w:eastAsia="Arial" w:hAnsi="Arial"/>
          <w:sz w:val="18"/>
          <w:szCs w:val="18"/>
          <w:color w:val="auto"/>
        </w:rPr>
        <w:t>or</w:t>
      </w:r>
      <w:r>
        <w:rPr>
          <w:rFonts w:ascii="Arial" w:cs="Arial" w:eastAsia="Arial" w:hAnsi="Arial"/>
          <w:sz w:val="18"/>
          <w:szCs w:val="18"/>
          <w:b w:val="1"/>
          <w:bCs w:val="1"/>
          <w:color w:val="auto"/>
        </w:rPr>
        <w:t xml:space="preserve"> Section 6.2(b) </w:t>
      </w:r>
      <w:r>
        <w:rPr>
          <w:rFonts w:ascii="Arial" w:cs="Arial" w:eastAsia="Arial" w:hAnsi="Arial"/>
          <w:sz w:val="18"/>
          <w:szCs w:val="18"/>
          <w:color w:val="auto"/>
        </w:rPr>
        <w:t>would not be satisfied as of the time of such breach or as of the time such representation or warranty shall have become untrue;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if such inaccuracy in the Company’s representations and warranties or breach by the Company is curable by the Company prior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the End Date, then Parent may not terminate this Agreement under this </w:t>
      </w:r>
      <w:r>
        <w:rPr>
          <w:rFonts w:ascii="Arial" w:cs="Arial" w:eastAsia="Arial" w:hAnsi="Arial"/>
          <w:sz w:val="18"/>
          <w:szCs w:val="18"/>
          <w:b w:val="1"/>
          <w:bCs w:val="1"/>
          <w:color w:val="auto"/>
        </w:rPr>
        <w:t>Section 7.1(g)</w:t>
      </w:r>
      <w:r>
        <w:rPr>
          <w:rFonts w:ascii="Arial" w:cs="Arial" w:eastAsia="Arial" w:hAnsi="Arial"/>
          <w:sz w:val="18"/>
          <w:szCs w:val="18"/>
          <w:color w:val="auto"/>
        </w:rPr>
        <w:t xml:space="preserve"> prior to 30 days following the Company’s receipt of written notice from Parent of such breach,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the Company continues to exercise all reasonable efforts to cure such breach through such 30-day period (it being understood that Parent may not terminate this Agreement pursuant to this subsection </w:t>
      </w:r>
      <w:r>
        <w:rPr>
          <w:rFonts w:ascii="Arial" w:cs="Arial" w:eastAsia="Arial" w:hAnsi="Arial"/>
          <w:sz w:val="18"/>
          <w:szCs w:val="18"/>
          <w:b w:val="1"/>
          <w:bCs w:val="1"/>
          <w:color w:val="auto"/>
        </w:rPr>
        <w:t>(g)</w:t>
      </w:r>
      <w:r>
        <w:rPr>
          <w:rFonts w:ascii="Arial" w:cs="Arial" w:eastAsia="Arial" w:hAnsi="Arial"/>
          <w:sz w:val="18"/>
          <w:szCs w:val="18"/>
          <w:color w:val="auto"/>
        </w:rPr>
        <w:t xml:space="preserve"> if it shall have materially breached this Agreement or if such breach by the Company is cured);</w:t>
      </w:r>
    </w:p>
    <w:p>
      <w:pPr>
        <w:spacing w:after="0" w:line="194" w:lineRule="exact"/>
        <w:rPr>
          <w:rFonts w:ascii="Arial" w:cs="Arial" w:eastAsia="Arial" w:hAnsi="Arial"/>
          <w:sz w:val="16"/>
          <w:szCs w:val="16"/>
          <w:color w:val="auto"/>
        </w:rPr>
      </w:pPr>
    </w:p>
    <w:p>
      <w:pPr>
        <w:ind w:left="420" w:right="120" w:firstLine="1290"/>
        <w:spacing w:after="0" w:line="308" w:lineRule="auto"/>
        <w:tabs>
          <w:tab w:leader="none" w:pos="1964" w:val="left"/>
        </w:tabs>
        <w:numPr>
          <w:ilvl w:val="0"/>
          <w:numId w:val="115"/>
        </w:numPr>
        <w:rPr>
          <w:rFonts w:ascii="Arial" w:cs="Arial" w:eastAsia="Arial" w:hAnsi="Arial"/>
          <w:sz w:val="17"/>
          <w:szCs w:val="17"/>
          <w:color w:val="auto"/>
        </w:rPr>
      </w:pPr>
      <w:r>
        <w:rPr>
          <w:rFonts w:ascii="Arial" w:cs="Arial" w:eastAsia="Arial" w:hAnsi="Arial"/>
          <w:sz w:val="17"/>
          <w:szCs w:val="17"/>
          <w:color w:val="auto"/>
        </w:rPr>
        <w:t xml:space="preserve">by the Company, if, the Company shall have entered into a definitive binding agreement with respect to a Superior Offer pursuant to and in compliance with </w:t>
      </w:r>
      <w:r>
        <w:rPr>
          <w:rFonts w:ascii="Arial" w:cs="Arial" w:eastAsia="Arial" w:hAnsi="Arial"/>
          <w:sz w:val="17"/>
          <w:szCs w:val="17"/>
          <w:b w:val="1"/>
          <w:bCs w:val="1"/>
          <w:color w:val="auto"/>
        </w:rPr>
        <w:t>Section 5.3(d)</w:t>
      </w:r>
      <w:r>
        <w:rPr>
          <w:rFonts w:ascii="Arial" w:cs="Arial" w:eastAsia="Arial" w:hAnsi="Arial"/>
          <w:sz w:val="17"/>
          <w:szCs w:val="17"/>
          <w:color w:val="auto"/>
        </w:rPr>
        <w:t xml:space="preserve">, the Company shall have paid Parent the Termination Fee described in </w:t>
      </w:r>
      <w:r>
        <w:rPr>
          <w:rFonts w:ascii="Arial" w:cs="Arial" w:eastAsia="Arial" w:hAnsi="Arial"/>
          <w:sz w:val="17"/>
          <w:szCs w:val="17"/>
          <w:b w:val="1"/>
          <w:bCs w:val="1"/>
          <w:color w:val="auto"/>
        </w:rPr>
        <w:t>Section 7.3(b)</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420" w:right="160" w:firstLine="1290"/>
        <w:spacing w:after="0" w:line="276" w:lineRule="auto"/>
        <w:tabs>
          <w:tab w:leader="none" w:pos="1963" w:val="left"/>
        </w:tabs>
        <w:numPr>
          <w:ilvl w:val="0"/>
          <w:numId w:val="115"/>
        </w:numPr>
        <w:rPr>
          <w:rFonts w:ascii="Arial" w:cs="Arial" w:eastAsia="Arial" w:hAnsi="Arial"/>
          <w:sz w:val="17"/>
          <w:szCs w:val="17"/>
          <w:color w:val="auto"/>
        </w:rPr>
      </w:pPr>
      <w:r>
        <w:rPr>
          <w:rFonts w:ascii="Arial" w:cs="Arial" w:eastAsia="Arial" w:hAnsi="Arial"/>
          <w:sz w:val="17"/>
          <w:szCs w:val="17"/>
          <w:color w:val="auto"/>
        </w:rPr>
        <w:t xml:space="preserve">by Parent, if any Effect, either individually or in the aggregate, shall have occurred since the date hereof that has, or would reasonably be expected to have, a Material Adverse Effect on the Company and (x) such Material Adverse Effect is not capable of being cured prior to the End Date or (y) such Material Adverse Effect is not cured prior to the earlier of the End Date and 30 days following the receipt of written notice from Parent to the Company of such Material Adverse Effect (it being understood that Parent may not terminate this Agreement pursuant to this subsection </w:t>
      </w:r>
      <w:r>
        <w:rPr>
          <w:rFonts w:ascii="Arial" w:cs="Arial" w:eastAsia="Arial" w:hAnsi="Arial"/>
          <w:sz w:val="17"/>
          <w:szCs w:val="17"/>
          <w:b w:val="1"/>
          <w:bCs w:val="1"/>
          <w:color w:val="auto"/>
        </w:rPr>
        <w:t>(i)</w:t>
      </w:r>
      <w:r>
        <w:rPr>
          <w:rFonts w:ascii="Arial" w:cs="Arial" w:eastAsia="Arial" w:hAnsi="Arial"/>
          <w:sz w:val="17"/>
          <w:szCs w:val="17"/>
          <w:color w:val="auto"/>
        </w:rPr>
        <w:t xml:space="preserve"> if it shall have materially breached this Agreement or if such Material Adverse Effect is cured); and</w:t>
      </w:r>
    </w:p>
    <w:p>
      <w:pPr>
        <w:spacing w:after="0" w:line="172" w:lineRule="exact"/>
        <w:rPr>
          <w:rFonts w:ascii="Arial" w:cs="Arial" w:eastAsia="Arial" w:hAnsi="Arial"/>
          <w:sz w:val="17"/>
          <w:szCs w:val="17"/>
          <w:color w:val="auto"/>
        </w:rPr>
      </w:pPr>
    </w:p>
    <w:p>
      <w:pPr>
        <w:ind w:left="420" w:right="20" w:firstLine="1290"/>
        <w:spacing w:after="0" w:line="276" w:lineRule="auto"/>
        <w:tabs>
          <w:tab w:leader="none" w:pos="1963" w:val="left"/>
        </w:tabs>
        <w:numPr>
          <w:ilvl w:val="0"/>
          <w:numId w:val="115"/>
        </w:numPr>
        <w:rPr>
          <w:rFonts w:ascii="Arial" w:cs="Arial" w:eastAsia="Arial" w:hAnsi="Arial"/>
          <w:sz w:val="17"/>
          <w:szCs w:val="17"/>
          <w:color w:val="auto"/>
        </w:rPr>
      </w:pPr>
      <w:r>
        <w:rPr>
          <w:rFonts w:ascii="Arial" w:cs="Arial" w:eastAsia="Arial" w:hAnsi="Arial"/>
          <w:sz w:val="17"/>
          <w:szCs w:val="17"/>
          <w:color w:val="auto"/>
        </w:rPr>
        <w:t xml:space="preserve">by Company, if any Effect, either individually or in the aggregate, shall have occurred since the date hereof that has, or would reasonably be expected to have, a Material Adverse Effect on Parent and (x) such Material Adverse Effect is not capable of being cured prior to the End Date or (y) such Material Adverse Effect is not cured prior to the earlier of the End Date and 30 days following the receipt of written notice from the Company to Parent of such Material Adverse Effect (it being understood that Company may not terminate this Agreement pursuant to this subsection </w:t>
      </w:r>
      <w:r>
        <w:rPr>
          <w:rFonts w:ascii="Arial" w:cs="Arial" w:eastAsia="Arial" w:hAnsi="Arial"/>
          <w:sz w:val="17"/>
          <w:szCs w:val="17"/>
          <w:b w:val="1"/>
          <w:bCs w:val="1"/>
          <w:color w:val="auto"/>
        </w:rPr>
        <w:t>(j)</w:t>
      </w:r>
      <w:r>
        <w:rPr>
          <w:rFonts w:ascii="Arial" w:cs="Arial" w:eastAsia="Arial" w:hAnsi="Arial"/>
          <w:sz w:val="17"/>
          <w:szCs w:val="17"/>
          <w:color w:val="auto"/>
        </w:rPr>
        <w:t xml:space="preserve"> if it shall have materially breached this Agreement or if such Material Adverse Effect is cured).</w:t>
      </w:r>
    </w:p>
    <w:p>
      <w:pPr>
        <w:spacing w:after="0" w:line="169" w:lineRule="exact"/>
        <w:rPr>
          <w:sz w:val="20"/>
          <w:szCs w:val="20"/>
          <w:color w:val="auto"/>
        </w:rPr>
      </w:pPr>
    </w:p>
    <w:p>
      <w:pPr>
        <w:ind w:right="540" w:firstLine="648"/>
        <w:spacing w:after="0" w:line="282" w:lineRule="auto"/>
        <w:rPr>
          <w:sz w:val="20"/>
          <w:szCs w:val="20"/>
          <w:color w:val="auto"/>
        </w:rPr>
      </w:pPr>
      <w:r>
        <w:rPr>
          <w:rFonts w:ascii="Arial" w:cs="Arial" w:eastAsia="Arial" w:hAnsi="Arial"/>
          <w:sz w:val="18"/>
          <w:szCs w:val="18"/>
          <w:color w:val="auto"/>
        </w:rPr>
        <w:t>For the purposes of this Agreement, a “</w:t>
      </w:r>
      <w:r>
        <w:rPr>
          <w:rFonts w:ascii="Arial" w:cs="Arial" w:eastAsia="Arial" w:hAnsi="Arial"/>
          <w:sz w:val="18"/>
          <w:szCs w:val="18"/>
          <w:b w:val="1"/>
          <w:bCs w:val="1"/>
          <w:color w:val="auto"/>
        </w:rPr>
        <w:t>Triggering Event</w:t>
      </w:r>
      <w:r>
        <w:rPr>
          <w:rFonts w:ascii="Arial" w:cs="Arial" w:eastAsia="Arial" w:hAnsi="Arial"/>
          <w:sz w:val="18"/>
          <w:szCs w:val="18"/>
          <w:color w:val="auto"/>
        </w:rPr>
        <w:t>,” with respect to the Company, shall be deemed to have occurred if: (i) its Board of Directors or any committee thereof shall for any reason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 xml:space="preserve">have withdrawn or shall have amended or modified in a manner adverse to Parent its recommendation in favor of the adoption of the Agreement by the stockholders of the Company; (ii) it shall have failed to include in the Prospectus/Proxy Statement the recommendation of its Board of Directors in favor of the adoption of the Agreement by the stockholders of the Company; (iii) its Board of Directors fails to reaffirm (publicly, if so requested) its recommendation in favor of the adoption of this Agreement by the stockholders of the Company within 10 Business Days after Parent requests in writing that such recommendation be affirmed; (iv) its Board of Directors or any committee thereof fails to reject or shall have approved or recommended any Acquisition Proposal; (v) the Company shall have entered into any letter of intent or similar document or any agreement, contract or commitment accepting any Superior Offer, following notice of such Superior Offer to Parent as promptly as practicable (and in any event no later than 24 hours) after the Company’s Board of Directors has determined, in good faith, after consultation with its outside legal counsel and its financial advisors that the failure to take such action with respect to the Superior Offer would reasonably be expected to result in a breach of the Board of Directors’ fiduciary duties to the stockholders of the Company under applicable law, and a reasonable opportunity to make such adjustments in the terms and conditions of this Agreement during the five-Business Day period following such notice, as would enable the Company to proceed with the Merger; (vi) a tender or exchange offer relating to its securities shall have been commenced by a Person unaffiliated with Parent, and the Company shall not have sent to its security holders pursuant to Rule 14e-2 promulgated under the Exchange Act, within 10 Business Days after such tender or exchange offer is first published, sent or given, a statement disclosing that the Board of Directors of the Company recommends rejection of such tender or exchange offer; (vii) the Company breaches any of its obligations set forth in </w:t>
      </w:r>
      <w:r>
        <w:rPr>
          <w:rFonts w:ascii="Arial" w:cs="Arial" w:eastAsia="Arial" w:hAnsi="Arial"/>
          <w:sz w:val="16"/>
          <w:szCs w:val="16"/>
          <w:b w:val="1"/>
          <w:bCs w:val="1"/>
          <w:color w:val="auto"/>
        </w:rPr>
        <w:t xml:space="preserve">Section 5.2 </w:t>
      </w:r>
      <w:r>
        <w:rPr>
          <w:rFonts w:ascii="Arial" w:cs="Arial" w:eastAsia="Arial" w:hAnsi="Arial"/>
          <w:sz w:val="16"/>
          <w:szCs w:val="16"/>
          <w:color w:val="auto"/>
        </w:rPr>
        <w:t>or</w:t>
      </w:r>
      <w:r>
        <w:rPr>
          <w:rFonts w:ascii="Arial" w:cs="Arial" w:eastAsia="Arial" w:hAnsi="Arial"/>
          <w:sz w:val="16"/>
          <w:szCs w:val="16"/>
          <w:b w:val="1"/>
          <w:bCs w:val="1"/>
          <w:color w:val="auto"/>
        </w:rPr>
        <w:t xml:space="preserve"> Section 5.3</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b w:val="1"/>
          <w:bCs w:val="1"/>
          <w:color w:val="auto"/>
        </w:rPr>
        <w:t xml:space="preserve"> </w:t>
      </w:r>
      <w:r>
        <w:rPr>
          <w:rFonts w:ascii="Arial" w:cs="Arial" w:eastAsia="Arial" w:hAnsi="Arial"/>
          <w:sz w:val="16"/>
          <w:szCs w:val="16"/>
          <w:color w:val="auto"/>
        </w:rPr>
        <w:t>that with respect to any breach by the Company of</w:t>
      </w:r>
      <w:r>
        <w:rPr>
          <w:rFonts w:ascii="Arial" w:cs="Arial" w:eastAsia="Arial" w:hAnsi="Arial"/>
          <w:sz w:val="16"/>
          <w:szCs w:val="16"/>
          <w:b w:val="1"/>
          <w:bCs w:val="1"/>
          <w:color w:val="auto"/>
        </w:rPr>
        <w:t xml:space="preserve"> Section 5.3</w:t>
      </w:r>
      <w:r>
        <w:rPr>
          <w:rFonts w:ascii="Arial" w:cs="Arial" w:eastAsia="Arial" w:hAnsi="Arial"/>
          <w:sz w:val="16"/>
          <w:szCs w:val="16"/>
          <w:color w:val="auto"/>
        </w:rPr>
        <w:t>, such breach is willful and material; or (viii)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of the Company shall have resolved to do any of the foregoing.</w:t>
      </w:r>
    </w:p>
    <w:p>
      <w:pPr>
        <w:spacing w:after="0" w:line="174"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b w:val="1"/>
          <w:bCs w:val="1"/>
          <w:i w:val="1"/>
          <w:iCs w:val="1"/>
          <w:color w:val="auto"/>
        </w:rPr>
        <w:t>Notice of Termination; Effect of Termination</w:t>
      </w:r>
      <w:r>
        <w:rPr>
          <w:rFonts w:ascii="Arial" w:cs="Arial" w:eastAsia="Arial" w:hAnsi="Arial"/>
          <w:sz w:val="17"/>
          <w:szCs w:val="17"/>
          <w:color w:val="auto"/>
        </w:rPr>
        <w:t xml:space="preserve">. Any termination of this Agreement under </w:t>
      </w:r>
      <w:r>
        <w:rPr>
          <w:rFonts w:ascii="Arial" w:cs="Arial" w:eastAsia="Arial" w:hAnsi="Arial"/>
          <w:sz w:val="17"/>
          <w:szCs w:val="17"/>
          <w:b w:val="1"/>
          <w:bCs w:val="1"/>
          <w:color w:val="auto"/>
        </w:rPr>
        <w:t>Section 7.1</w:t>
      </w:r>
      <w:r>
        <w:rPr>
          <w:rFonts w:ascii="Arial" w:cs="Arial" w:eastAsia="Arial" w:hAnsi="Arial"/>
          <w:sz w:val="17"/>
          <w:szCs w:val="17"/>
          <w:color w:val="auto"/>
        </w:rPr>
        <w:t xml:space="preserve"> above will be effective immediately upon the delivery of a valid written notice of the terminating party to the other party hereto;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nothing in this sentence shall give a terminating party the right to terminate the Agreement at a time inconsistent with the provisions of </w:t>
      </w:r>
      <w:r>
        <w:rPr>
          <w:rFonts w:ascii="Arial" w:cs="Arial" w:eastAsia="Arial" w:hAnsi="Arial"/>
          <w:sz w:val="17"/>
          <w:szCs w:val="17"/>
          <w:b w:val="1"/>
          <w:bCs w:val="1"/>
          <w:color w:val="auto"/>
        </w:rPr>
        <w:t>Sections 7.1(f), 7.1(g), 7.1(i) and 7.1(j)</w:t>
      </w:r>
      <w:r>
        <w:rPr>
          <w:rFonts w:ascii="Arial" w:cs="Arial" w:eastAsia="Arial" w:hAnsi="Arial"/>
          <w:sz w:val="17"/>
          <w:szCs w:val="17"/>
          <w:color w:val="auto"/>
        </w:rPr>
        <w:t xml:space="preserve"> above. In the event of the termination of this Agreement as provided in </w:t>
      </w:r>
      <w:r>
        <w:rPr>
          <w:rFonts w:ascii="Arial" w:cs="Arial" w:eastAsia="Arial" w:hAnsi="Arial"/>
          <w:sz w:val="17"/>
          <w:szCs w:val="17"/>
          <w:b w:val="1"/>
          <w:bCs w:val="1"/>
          <w:color w:val="auto"/>
        </w:rPr>
        <w:t>Section 7.1</w:t>
      </w:r>
      <w:r>
        <w:rPr>
          <w:rFonts w:ascii="Arial" w:cs="Arial" w:eastAsia="Arial" w:hAnsi="Arial"/>
          <w:sz w:val="17"/>
          <w:szCs w:val="17"/>
          <w:color w:val="auto"/>
        </w:rPr>
        <w:t xml:space="preserve">, this Agreement shall be of no further force or effect and there shall be no liability or obligation on the part of Parent or the Company or their respective Subsidiaries, officers or directors, except (i) as set forth in </w:t>
      </w:r>
      <w:r>
        <w:rPr>
          <w:rFonts w:ascii="Arial" w:cs="Arial" w:eastAsia="Arial" w:hAnsi="Arial"/>
          <w:sz w:val="17"/>
          <w:szCs w:val="17"/>
          <w:b w:val="1"/>
          <w:bCs w:val="1"/>
          <w:color w:val="auto"/>
        </w:rPr>
        <w:t>Section 5.4(a)</w:t>
      </w:r>
      <w:r>
        <w:rPr>
          <w:rFonts w:ascii="Arial" w:cs="Arial" w:eastAsia="Arial" w:hAnsi="Arial"/>
          <w:sz w:val="17"/>
          <w:szCs w:val="17"/>
          <w:color w:val="auto"/>
        </w:rPr>
        <w:t xml:space="preserve">, this </w:t>
      </w:r>
      <w:r>
        <w:rPr>
          <w:rFonts w:ascii="Arial" w:cs="Arial" w:eastAsia="Arial" w:hAnsi="Arial"/>
          <w:sz w:val="17"/>
          <w:szCs w:val="17"/>
          <w:b w:val="1"/>
          <w:bCs w:val="1"/>
          <w:color w:val="auto"/>
        </w:rPr>
        <w:t>Section 7.2</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Section 7.3 </w:t>
      </w:r>
      <w:r>
        <w:rPr>
          <w:rFonts w:ascii="Arial" w:cs="Arial" w:eastAsia="Arial" w:hAnsi="Arial"/>
          <w:sz w:val="17"/>
          <w:szCs w:val="17"/>
          <w:color w:val="auto"/>
        </w:rPr>
        <w:t>and</w:t>
      </w:r>
      <w:r>
        <w:rPr>
          <w:rFonts w:ascii="Arial" w:cs="Arial" w:eastAsia="Arial" w:hAnsi="Arial"/>
          <w:sz w:val="17"/>
          <w:szCs w:val="17"/>
          <w:b w:val="1"/>
          <w:bCs w:val="1"/>
          <w:color w:val="auto"/>
        </w:rPr>
        <w:t xml:space="preserve"> Article VIII</w:t>
      </w:r>
      <w:r>
        <w:rPr>
          <w:rFonts w:ascii="Arial" w:cs="Arial" w:eastAsia="Arial" w:hAnsi="Arial"/>
          <w:sz w:val="17"/>
          <w:szCs w:val="17"/>
          <w:color w:val="auto"/>
        </w:rPr>
        <w:t>, each of which shall survive the termination of this Agreement and (ii) nothing herein shall relieve any party from liability for</w:t>
      </w:r>
      <w:r>
        <w:rPr>
          <w:rFonts w:ascii="Arial" w:cs="Arial" w:eastAsia="Arial" w:hAnsi="Arial"/>
          <w:sz w:val="17"/>
          <w:szCs w:val="17"/>
          <w:b w:val="1"/>
          <w:bCs w:val="1"/>
          <w:color w:val="auto"/>
        </w:rPr>
        <w:t xml:space="preserve"> </w:t>
      </w:r>
      <w:r>
        <w:rPr>
          <w:rFonts w:ascii="Arial" w:cs="Arial" w:eastAsia="Arial" w:hAnsi="Arial"/>
          <w:sz w:val="17"/>
          <w:szCs w:val="17"/>
          <w:color w:val="auto"/>
        </w:rPr>
        <w:t>any willful breach of this Agreement. No termination of this Agreement shall affect the obligations of the parties contained in the Confidentiality Agreement, all of which obligations shall survive termination of this Agreement in accordance with their terms.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b w:val="1"/>
          <w:bCs w:val="1"/>
          <w:i w:val="1"/>
          <w:iCs w:val="1"/>
          <w:color w:val="auto"/>
        </w:rPr>
        <w:t>Fees and Expenses.</w:t>
      </w:r>
    </w:p>
    <w:p>
      <w:pPr>
        <w:spacing w:after="0" w:line="221" w:lineRule="exact"/>
        <w:rPr>
          <w:sz w:val="20"/>
          <w:szCs w:val="20"/>
          <w:color w:val="auto"/>
        </w:rPr>
      </w:pPr>
    </w:p>
    <w:p>
      <w:pPr>
        <w:ind w:left="420" w:right="40" w:firstLine="1290"/>
        <w:spacing w:after="0" w:line="261" w:lineRule="auto"/>
        <w:tabs>
          <w:tab w:leader="none" w:pos="1954" w:val="left"/>
        </w:tabs>
        <w:numPr>
          <w:ilvl w:val="0"/>
          <w:numId w:val="116"/>
        </w:numPr>
        <w:rPr>
          <w:rFonts w:ascii="Arial" w:cs="Arial" w:eastAsia="Arial" w:hAnsi="Arial"/>
          <w:sz w:val="18"/>
          <w:szCs w:val="18"/>
          <w:color w:val="auto"/>
        </w:rPr>
      </w:pPr>
      <w:r>
        <w:rPr>
          <w:rFonts w:ascii="Arial" w:cs="Arial" w:eastAsia="Arial" w:hAnsi="Arial"/>
          <w:sz w:val="18"/>
          <w:szCs w:val="18"/>
          <w:b w:val="1"/>
          <w:bCs w:val="1"/>
          <w:i w:val="1"/>
          <w:iCs w:val="1"/>
          <w:color w:val="auto"/>
        </w:rPr>
        <w:t>General</w:t>
      </w:r>
      <w:r>
        <w:rPr>
          <w:rFonts w:ascii="Arial" w:cs="Arial" w:eastAsia="Arial" w:hAnsi="Arial"/>
          <w:sz w:val="18"/>
          <w:szCs w:val="18"/>
          <w:color w:val="auto"/>
        </w:rPr>
        <w:t>. Except as set forth in this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Section 7.3</w:t>
      </w:r>
      <w:r>
        <w:rPr>
          <w:rFonts w:ascii="Arial" w:cs="Arial" w:eastAsia="Arial" w:hAnsi="Arial"/>
          <w:sz w:val="18"/>
          <w:szCs w:val="18"/>
          <w:color w:val="auto"/>
        </w:rPr>
        <w:t>, all fees and expenses incurred in connection with this Agreement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transactions contemplated hereby shall be paid by the party incurring such expenses whether or not the Merger is consummated; </w:t>
      </w:r>
      <w:r>
        <w:rPr>
          <w:rFonts w:ascii="Arial" w:cs="Arial" w:eastAsia="Arial" w:hAnsi="Arial"/>
          <w:sz w:val="18"/>
          <w:szCs w:val="18"/>
          <w:i w:val="1"/>
          <w:iCs w:val="1"/>
          <w:color w:val="auto"/>
        </w:rPr>
        <w:t>provided, however</w:t>
      </w:r>
      <w:r>
        <w:rPr>
          <w:rFonts w:ascii="Arial" w:cs="Arial" w:eastAsia="Arial" w:hAnsi="Arial"/>
          <w:sz w:val="18"/>
          <w:szCs w:val="18"/>
          <w:color w:val="auto"/>
        </w:rPr>
        <w:t>, that Parent and the Company shall share equally the fees in connection with (i) the filing of the Notification and Report Forms filed with the FTC and DOJ under the HSR Act, and all premerger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00" w:right="80"/>
        <w:spacing w:after="0" w:line="266" w:lineRule="auto"/>
        <w:rPr>
          <w:sz w:val="20"/>
          <w:szCs w:val="20"/>
          <w:color w:val="auto"/>
        </w:rPr>
      </w:pPr>
      <w:r>
        <w:rPr>
          <w:rFonts w:ascii="Arial" w:cs="Arial" w:eastAsia="Arial" w:hAnsi="Arial"/>
          <w:sz w:val="18"/>
          <w:szCs w:val="18"/>
          <w:color w:val="auto"/>
        </w:rPr>
        <w:t xml:space="preserve">notification and reports forms under similar applicable laws of other jurisdictions, in each case pursuant to </w:t>
      </w:r>
      <w:r>
        <w:rPr>
          <w:rFonts w:ascii="Arial" w:cs="Arial" w:eastAsia="Arial" w:hAnsi="Arial"/>
          <w:sz w:val="18"/>
          <w:szCs w:val="18"/>
          <w:b w:val="1"/>
          <w:bCs w:val="1"/>
          <w:color w:val="auto"/>
        </w:rPr>
        <w:t>Section 5.6(a),</w:t>
      </w:r>
      <w:r>
        <w:rPr>
          <w:rFonts w:ascii="Arial" w:cs="Arial" w:eastAsia="Arial" w:hAnsi="Arial"/>
          <w:sz w:val="18"/>
          <w:szCs w:val="18"/>
          <w:color w:val="auto"/>
        </w:rPr>
        <w:t xml:space="preserve"> and (ii) the filing, printing and mailing of the Prospectus/Proxy Statement (including any preliminary materials related thereto) and the Registration Statement (including financial statements and exhibits) and any amendments or supplements thereto.</w:t>
      </w:r>
    </w:p>
    <w:p>
      <w:pPr>
        <w:sectPr>
          <w:pgSz w:w="11900" w:h="16892" w:orient="portrait"/>
          <w:cols w:equalWidth="0" w:num="1">
            <w:col w:w="11420"/>
          </w:cols>
          <w:pgMar w:left="240" w:top="125" w:right="239" w:bottom="0" w:gutter="0" w:footer="0" w:header="0"/>
        </w:sectPr>
      </w:pPr>
    </w:p>
    <w:bookmarkStart w:id="40" w:name="page41"/>
    <w:bookmarkEnd w:id="40"/>
    <w:p>
      <w:pPr>
        <w:ind w:left="1960" w:hanging="250"/>
        <w:spacing w:after="0"/>
        <w:tabs>
          <w:tab w:leader="none" w:pos="1960" w:val="left"/>
        </w:tabs>
        <w:numPr>
          <w:ilvl w:val="0"/>
          <w:numId w:val="117"/>
        </w:numPr>
        <w:rPr>
          <w:rFonts w:ascii="Arial" w:cs="Arial" w:eastAsia="Arial" w:hAnsi="Arial"/>
          <w:sz w:val="18"/>
          <w:szCs w:val="18"/>
          <w:color w:val="auto"/>
        </w:rPr>
      </w:pPr>
      <w:r>
        <w:rPr>
          <w:rFonts w:ascii="Arial" w:cs="Arial" w:eastAsia="Arial" w:hAnsi="Arial"/>
          <w:sz w:val="18"/>
          <w:szCs w:val="18"/>
          <w:b w:val="1"/>
          <w:bCs w:val="1"/>
          <w:i w:val="1"/>
          <w:iCs w:val="1"/>
          <w:color w:val="auto"/>
        </w:rPr>
        <w:t>Company Payment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2277"/>
        <w:spacing w:after="0" w:line="269" w:lineRule="auto"/>
        <w:tabs>
          <w:tab w:leader="none" w:pos="2592" w:val="left"/>
        </w:tabs>
        <w:numPr>
          <w:ilvl w:val="1"/>
          <w:numId w:val="117"/>
        </w:numPr>
        <w:rPr>
          <w:rFonts w:ascii="Arial" w:cs="Arial" w:eastAsia="Arial" w:hAnsi="Arial"/>
          <w:sz w:val="17"/>
          <w:szCs w:val="17"/>
          <w:color w:val="auto"/>
        </w:rPr>
      </w:pPr>
      <w:r>
        <w:rPr>
          <w:rFonts w:ascii="Arial" w:cs="Arial" w:eastAsia="Arial" w:hAnsi="Arial"/>
          <w:sz w:val="17"/>
          <w:szCs w:val="17"/>
          <w:b w:val="1"/>
          <w:bCs w:val="1"/>
          <w:i w:val="1"/>
          <w:iCs w:val="1"/>
          <w:color w:val="auto"/>
        </w:rPr>
        <w:t>Payment</w:t>
      </w:r>
      <w:r>
        <w:rPr>
          <w:rFonts w:ascii="Arial" w:cs="Arial" w:eastAsia="Arial" w:hAnsi="Arial"/>
          <w:sz w:val="17"/>
          <w:szCs w:val="17"/>
          <w:color w:val="auto"/>
        </w:rPr>
        <w:t>. The Company shall promptly, but in no event later than two Business Days after the date of termination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pursuant to the sections of this Agreement as set forth below, pay Parent a fee equal to $22 million in immediately available funds (the “</w:t>
      </w:r>
      <w:r>
        <w:rPr>
          <w:rFonts w:ascii="Arial" w:cs="Arial" w:eastAsia="Arial" w:hAnsi="Arial"/>
          <w:sz w:val="17"/>
          <w:szCs w:val="17"/>
          <w:b w:val="1"/>
          <w:bCs w:val="1"/>
          <w:color w:val="auto"/>
        </w:rPr>
        <w:t>Termination Fee</w:t>
      </w:r>
      <w:r>
        <w:rPr>
          <w:rFonts w:ascii="Arial" w:cs="Arial" w:eastAsia="Arial" w:hAnsi="Arial"/>
          <w:sz w:val="17"/>
          <w:szCs w:val="17"/>
          <w:color w:val="auto"/>
        </w:rPr>
        <w:t xml:space="preserve">”) in the event that this Agreement is (i) terminated by Parent pursuant to </w:t>
      </w:r>
      <w:r>
        <w:rPr>
          <w:rFonts w:ascii="Arial" w:cs="Arial" w:eastAsia="Arial" w:hAnsi="Arial"/>
          <w:sz w:val="17"/>
          <w:szCs w:val="17"/>
          <w:b w:val="1"/>
          <w:bCs w:val="1"/>
          <w:color w:val="auto"/>
        </w:rPr>
        <w:t>Section 7.1(e)</w:t>
      </w:r>
      <w:r>
        <w:rPr>
          <w:rFonts w:ascii="Arial" w:cs="Arial" w:eastAsia="Arial" w:hAnsi="Arial"/>
          <w:sz w:val="17"/>
          <w:szCs w:val="17"/>
          <w:color w:val="auto"/>
        </w:rPr>
        <w:t xml:space="preserve">, (ii) terminated by the Company pursuant to </w:t>
      </w:r>
      <w:r>
        <w:rPr>
          <w:rFonts w:ascii="Arial" w:cs="Arial" w:eastAsia="Arial" w:hAnsi="Arial"/>
          <w:sz w:val="17"/>
          <w:szCs w:val="17"/>
          <w:b w:val="1"/>
          <w:bCs w:val="1"/>
          <w:color w:val="auto"/>
        </w:rPr>
        <w:t>Section 7.1(h)</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in the case of termination under</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Section 7.1(h)</w:t>
      </w:r>
      <w:r>
        <w:rPr>
          <w:rFonts w:ascii="Arial" w:cs="Arial" w:eastAsia="Arial" w:hAnsi="Arial"/>
          <w:sz w:val="17"/>
          <w:szCs w:val="17"/>
          <w:color w:val="auto"/>
        </w:rPr>
        <w:t>, payment of the Termination Fee by the Company shall be made prior to such termination, or (iii)</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terminated by Parent or the Company, as applicable, pursuant to </w:t>
      </w:r>
      <w:r>
        <w:rPr>
          <w:rFonts w:ascii="Arial" w:cs="Arial" w:eastAsia="Arial" w:hAnsi="Arial"/>
          <w:sz w:val="17"/>
          <w:szCs w:val="17"/>
          <w:b w:val="1"/>
          <w:bCs w:val="1"/>
          <w:color w:val="auto"/>
        </w:rPr>
        <w:t>Section 7.1(b)</w:t>
      </w:r>
      <w:r>
        <w:rPr>
          <w:rFonts w:ascii="Arial" w:cs="Arial" w:eastAsia="Arial" w:hAnsi="Arial"/>
          <w:sz w:val="17"/>
          <w:szCs w:val="17"/>
          <w:color w:val="auto"/>
        </w:rPr>
        <w:t xml:space="preserve">, </w:t>
      </w:r>
      <w:r>
        <w:rPr>
          <w:rFonts w:ascii="Arial" w:cs="Arial" w:eastAsia="Arial" w:hAnsi="Arial"/>
          <w:sz w:val="17"/>
          <w:szCs w:val="17"/>
          <w:b w:val="1"/>
          <w:bCs w:val="1"/>
          <w:color w:val="auto"/>
        </w:rPr>
        <w:t>Section 7.1(d)</w:t>
      </w:r>
      <w:r>
        <w:rPr>
          <w:rFonts w:ascii="Arial" w:cs="Arial" w:eastAsia="Arial" w:hAnsi="Arial"/>
          <w:sz w:val="17"/>
          <w:szCs w:val="17"/>
          <w:color w:val="auto"/>
        </w:rPr>
        <w:t xml:space="preserve"> or </w:t>
      </w:r>
      <w:r>
        <w:rPr>
          <w:rFonts w:ascii="Arial" w:cs="Arial" w:eastAsia="Arial" w:hAnsi="Arial"/>
          <w:sz w:val="17"/>
          <w:szCs w:val="17"/>
          <w:b w:val="1"/>
          <w:bCs w:val="1"/>
          <w:color w:val="auto"/>
        </w:rPr>
        <w:t>Section 7.1(g)</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in the case of termination pursuant to </w:t>
      </w:r>
      <w:r>
        <w:rPr>
          <w:rFonts w:ascii="Arial" w:cs="Arial" w:eastAsia="Arial" w:hAnsi="Arial"/>
          <w:sz w:val="17"/>
          <w:szCs w:val="17"/>
          <w:b w:val="1"/>
          <w:bCs w:val="1"/>
          <w:color w:val="auto"/>
        </w:rPr>
        <w:t>Section 7.1(g)</w:t>
      </w:r>
      <w:r>
        <w:rPr>
          <w:rFonts w:ascii="Arial" w:cs="Arial" w:eastAsia="Arial" w:hAnsi="Arial"/>
          <w:sz w:val="17"/>
          <w:szCs w:val="17"/>
          <w:color w:val="auto"/>
        </w:rPr>
        <w:t xml:space="preserve">, that the breach by the Company giving rise to termination is willful;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in the case of termination pursuant to </w:t>
      </w:r>
      <w:r>
        <w:rPr>
          <w:rFonts w:ascii="Arial" w:cs="Arial" w:eastAsia="Arial" w:hAnsi="Arial"/>
          <w:sz w:val="17"/>
          <w:szCs w:val="17"/>
          <w:b w:val="1"/>
          <w:bCs w:val="1"/>
          <w:color w:val="auto"/>
        </w:rPr>
        <w:t>Section 7.1(b)</w:t>
      </w:r>
      <w:r>
        <w:rPr>
          <w:rFonts w:ascii="Arial" w:cs="Arial" w:eastAsia="Arial" w:hAnsi="Arial"/>
          <w:sz w:val="17"/>
          <w:szCs w:val="17"/>
          <w:color w:val="auto"/>
        </w:rPr>
        <w:t xml:space="preserve">, </w:t>
      </w:r>
      <w:r>
        <w:rPr>
          <w:rFonts w:ascii="Arial" w:cs="Arial" w:eastAsia="Arial" w:hAnsi="Arial"/>
          <w:sz w:val="17"/>
          <w:szCs w:val="17"/>
          <w:b w:val="1"/>
          <w:bCs w:val="1"/>
          <w:color w:val="auto"/>
        </w:rPr>
        <w:t>Section 7.1(d), Section 7.1(e)</w:t>
      </w:r>
      <w:r>
        <w:rPr>
          <w:rFonts w:ascii="Arial" w:cs="Arial" w:eastAsia="Arial" w:hAnsi="Arial"/>
          <w:sz w:val="17"/>
          <w:szCs w:val="17"/>
          <w:color w:val="auto"/>
        </w:rPr>
        <w:t xml:space="preserve"> or </w:t>
      </w:r>
      <w:r>
        <w:rPr>
          <w:rFonts w:ascii="Arial" w:cs="Arial" w:eastAsia="Arial" w:hAnsi="Arial"/>
          <w:sz w:val="17"/>
          <w:szCs w:val="17"/>
          <w:b w:val="1"/>
          <w:bCs w:val="1"/>
          <w:color w:val="auto"/>
        </w:rPr>
        <w:t>Section 7.1(g)</w:t>
      </w:r>
      <w:r>
        <w:rPr>
          <w:rFonts w:ascii="Arial" w:cs="Arial" w:eastAsia="Arial" w:hAnsi="Arial"/>
          <w:sz w:val="17"/>
          <w:szCs w:val="17"/>
          <w:color w:val="auto"/>
        </w:rPr>
        <w:t>, (a) such payment shall be made only if prior to the termination of this Agreement, there has been disclosure publicly of an Acquisition Proposal with respect to the Company and within 12 months following the termination of this Agreement, an Acquisition of the Company is consummated or the Company enters into a definitive agreement or letter of intent with respect to an Acquisition of the Company and (b) such payment shall be made promptly, but in no event later than two Business Days after the consummation of such Acquisition of the Company.</w:t>
      </w:r>
    </w:p>
    <w:p>
      <w:pPr>
        <w:spacing w:after="0" w:line="178" w:lineRule="exact"/>
        <w:rPr>
          <w:rFonts w:ascii="Arial" w:cs="Arial" w:eastAsia="Arial" w:hAnsi="Arial"/>
          <w:sz w:val="17"/>
          <w:szCs w:val="17"/>
          <w:color w:val="auto"/>
        </w:rPr>
      </w:pPr>
    </w:p>
    <w:p>
      <w:pPr>
        <w:ind w:right="20" w:firstLine="2277"/>
        <w:spacing w:after="0" w:line="255" w:lineRule="auto"/>
        <w:tabs>
          <w:tab w:leader="none" w:pos="2603" w:val="left"/>
        </w:tabs>
        <w:numPr>
          <w:ilvl w:val="1"/>
          <w:numId w:val="117"/>
        </w:numPr>
        <w:rPr>
          <w:rFonts w:ascii="Arial" w:cs="Arial" w:eastAsia="Arial" w:hAnsi="Arial"/>
          <w:sz w:val="18"/>
          <w:szCs w:val="18"/>
          <w:color w:val="auto"/>
        </w:rPr>
      </w:pPr>
      <w:r>
        <w:rPr>
          <w:rFonts w:ascii="Arial" w:cs="Arial" w:eastAsia="Arial" w:hAnsi="Arial"/>
          <w:sz w:val="18"/>
          <w:szCs w:val="18"/>
          <w:b w:val="1"/>
          <w:bCs w:val="1"/>
          <w:i w:val="1"/>
          <w:iCs w:val="1"/>
          <w:color w:val="auto"/>
        </w:rPr>
        <w:t>Interest and Costs; Other Remedies</w:t>
      </w:r>
      <w:r>
        <w:rPr>
          <w:rFonts w:ascii="Arial" w:cs="Arial" w:eastAsia="Arial" w:hAnsi="Arial"/>
          <w:sz w:val="18"/>
          <w:szCs w:val="18"/>
          <w:color w:val="auto"/>
        </w:rPr>
        <w:t>. The Company acknowledges that the agreements contained in this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Section 7.3(b)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are an integral part of the transactions contemplated by this Agreement, and that, without these agreements, Parent would not enter into this Agreement. Accordingly, if the Company fails to pay in a timely manner the amounts due pursuant to this </w:t>
      </w:r>
      <w:r>
        <w:rPr>
          <w:rFonts w:ascii="Arial" w:cs="Arial" w:eastAsia="Arial" w:hAnsi="Arial"/>
          <w:sz w:val="18"/>
          <w:szCs w:val="18"/>
          <w:b w:val="1"/>
          <w:bCs w:val="1"/>
          <w:color w:val="auto"/>
        </w:rPr>
        <w:t>Section 7.3(b)</w:t>
      </w:r>
      <w:r>
        <w:rPr>
          <w:rFonts w:ascii="Arial" w:cs="Arial" w:eastAsia="Arial" w:hAnsi="Arial"/>
          <w:sz w:val="18"/>
          <w:szCs w:val="18"/>
          <w:color w:val="auto"/>
        </w:rPr>
        <w:t xml:space="preserve"> and, in order to obtain such payment, Parent makes a claim that results in a judgment against the Company for the amounts set forth in this </w:t>
      </w:r>
      <w:r>
        <w:rPr>
          <w:rFonts w:ascii="Arial" w:cs="Arial" w:eastAsia="Arial" w:hAnsi="Arial"/>
          <w:sz w:val="18"/>
          <w:szCs w:val="18"/>
          <w:b w:val="1"/>
          <w:bCs w:val="1"/>
          <w:color w:val="auto"/>
        </w:rPr>
        <w:t>Section 7.3(b)</w:t>
      </w:r>
      <w:r>
        <w:rPr>
          <w:rFonts w:ascii="Arial" w:cs="Arial" w:eastAsia="Arial" w:hAnsi="Arial"/>
          <w:sz w:val="18"/>
          <w:szCs w:val="18"/>
          <w:color w:val="auto"/>
        </w:rPr>
        <w:t xml:space="preserve">, the Company shall pay to Parent the reasonable costs and expenses of Parent (including reasonable attorneys’ fees and expenses) in connection with such suit, together with interest on the amounts due pursuant to this </w:t>
      </w:r>
      <w:r>
        <w:rPr>
          <w:rFonts w:ascii="Arial" w:cs="Arial" w:eastAsia="Arial" w:hAnsi="Arial"/>
          <w:sz w:val="18"/>
          <w:szCs w:val="18"/>
          <w:b w:val="1"/>
          <w:bCs w:val="1"/>
          <w:color w:val="auto"/>
        </w:rPr>
        <w:t>Section 7.3(b)</w:t>
      </w:r>
      <w:r>
        <w:rPr>
          <w:rFonts w:ascii="Arial" w:cs="Arial" w:eastAsia="Arial" w:hAnsi="Arial"/>
          <w:sz w:val="18"/>
          <w:szCs w:val="18"/>
          <w:color w:val="auto"/>
        </w:rPr>
        <w:t xml:space="preserve"> at the prime rate of Citibank, N.A. in effect on the date such payment was required to be made. Except in the case of willful breach of this Agreement by the Company, payment of the Termination Fee by the Company shall be the sole and exclusive remedy of Parent and Merger Sub under this Agreement.</w:t>
      </w:r>
    </w:p>
    <w:p>
      <w:pPr>
        <w:spacing w:after="0" w:line="185" w:lineRule="exact"/>
        <w:rPr>
          <w:rFonts w:ascii="Arial" w:cs="Arial" w:eastAsia="Arial" w:hAnsi="Arial"/>
          <w:sz w:val="18"/>
          <w:szCs w:val="18"/>
          <w:color w:val="auto"/>
        </w:rPr>
      </w:pPr>
    </w:p>
    <w:p>
      <w:pPr>
        <w:ind w:right="200" w:firstLine="2277"/>
        <w:spacing w:after="0" w:line="295" w:lineRule="auto"/>
        <w:tabs>
          <w:tab w:leader="none" w:pos="2615" w:val="left"/>
        </w:tabs>
        <w:numPr>
          <w:ilvl w:val="1"/>
          <w:numId w:val="117"/>
        </w:numPr>
        <w:rPr>
          <w:rFonts w:ascii="Arial" w:cs="Arial" w:eastAsia="Arial" w:hAnsi="Arial"/>
          <w:sz w:val="16"/>
          <w:szCs w:val="16"/>
          <w:color w:val="auto"/>
        </w:rPr>
      </w:pPr>
      <w:r>
        <w:rPr>
          <w:rFonts w:ascii="Arial" w:cs="Arial" w:eastAsia="Arial" w:hAnsi="Arial"/>
          <w:sz w:val="16"/>
          <w:szCs w:val="16"/>
          <w:b w:val="1"/>
          <w:bCs w:val="1"/>
          <w:i w:val="1"/>
          <w:iCs w:val="1"/>
          <w:color w:val="auto"/>
        </w:rPr>
        <w:t>Certain Definitions</w:t>
      </w:r>
      <w:r>
        <w:rPr>
          <w:rFonts w:ascii="Arial" w:cs="Arial" w:eastAsia="Arial" w:hAnsi="Arial"/>
          <w:sz w:val="16"/>
          <w:szCs w:val="16"/>
          <w:color w:val="auto"/>
        </w:rPr>
        <w:t>. For the purposes of this</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7.3(b)</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only, “</w:t>
      </w:r>
      <w:r>
        <w:rPr>
          <w:rFonts w:ascii="Arial" w:cs="Arial" w:eastAsia="Arial" w:hAnsi="Arial"/>
          <w:sz w:val="16"/>
          <w:szCs w:val="16"/>
          <w:b w:val="1"/>
          <w:bCs w:val="1"/>
          <w:color w:val="auto"/>
        </w:rPr>
        <w:t>Acquisition</w:t>
      </w:r>
      <w:r>
        <w:rPr>
          <w:rFonts w:ascii="Arial" w:cs="Arial" w:eastAsia="Arial" w:hAnsi="Arial"/>
          <w:sz w:val="16"/>
          <w:szCs w:val="16"/>
          <w:color w:val="auto"/>
        </w:rPr>
        <w:t>,” with respect to a party hereto,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mean any of the following transactions (other than the transactions contemplated by this Agreement): (i) a merger, consolidation, business combination, recapitalization, liquidation, dissolution or similar transaction involving the party pursuant to which the equity interests held in such party and retained following such transaction or issued to or otherwise received in such transaction by the stockholders of the party immediately preceding such transaction constitute less than 50% of the aggregate equity interests in the surviving or resulting entity of such transaction or any direct or indirect parent thereof, (ii) a sale or other disposition by the party of assets representing in excess of 40% of the aggregate fair market value of the party’s business immediately</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prior to such sale or (iii) the acquisition by any Person or group (including by way of a tender offer or an exchange offer or issuance by the party or such Person or group), directly or indirectly, of beneficial ownership or a right to acquire beneficial ownership of shares representing in excess of 40% of the voting power of the then outstanding shares of capital stock of the party.</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xml:space="preserve">. Subject to applicable law, this Agreement may be amended by the parties hereto, by action taken or authorized by their respective Boards of Directors, at any time before or after adoption of this Agreement by the stockholders of the Company; </w:t>
      </w:r>
      <w:r>
        <w:rPr>
          <w:rFonts w:ascii="Arial" w:cs="Arial" w:eastAsia="Arial" w:hAnsi="Arial"/>
          <w:sz w:val="18"/>
          <w:szCs w:val="18"/>
          <w:i w:val="1"/>
          <w:iCs w:val="1"/>
          <w:color w:val="auto"/>
        </w:rPr>
        <w:t>provided, however</w:t>
      </w:r>
      <w:r>
        <w:rPr>
          <w:rFonts w:ascii="Arial" w:cs="Arial" w:eastAsia="Arial" w:hAnsi="Arial"/>
          <w:sz w:val="18"/>
          <w:szCs w:val="18"/>
          <w:color w:val="auto"/>
        </w:rPr>
        <w:t>, that after adoption of this Agreement by the stockholders of the Company, no amendment shall be made which by law requires further approval by the stockholders of the Company without such further stockholder approval. This Agreement may not be amended except by execution of an instrument in writing signed on behalf of each of Parent, Merger Sub and the Company.</w:t>
      </w:r>
    </w:p>
    <w:p>
      <w:pPr>
        <w:spacing w:after="0" w:line="188" w:lineRule="exact"/>
        <w:rPr>
          <w:sz w:val="20"/>
          <w:szCs w:val="20"/>
          <w:color w:val="auto"/>
        </w:rPr>
      </w:pPr>
    </w:p>
    <w:p>
      <w:pPr>
        <w:jc w:val="both"/>
        <w:ind w:right="580" w:firstLine="648"/>
        <w:spacing w:after="0" w:line="291"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b w:val="1"/>
          <w:bCs w:val="1"/>
          <w:i w:val="1"/>
          <w:iCs w:val="1"/>
          <w:color w:val="auto"/>
        </w:rPr>
        <w:t>Extension; Waiver</w:t>
      </w:r>
      <w:r>
        <w:rPr>
          <w:rFonts w:ascii="Arial" w:cs="Arial" w:eastAsia="Arial" w:hAnsi="Arial"/>
          <w:sz w:val="16"/>
          <w:szCs w:val="16"/>
          <w:color w:val="auto"/>
        </w:rPr>
        <w:t>. At any time prior to the Effective Time either party hereto, by action taken or authorized by their respective Board of Directors, may, to the extent legally allowed: (i) extend the time for the performance of any of the obligations or other acts of the other parties hereto,</w:t>
      </w:r>
    </w:p>
    <w:p>
      <w:pPr>
        <w:ind w:left="280" w:hanging="272"/>
        <w:spacing w:after="0"/>
        <w:tabs>
          <w:tab w:leader="none" w:pos="28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waive any inaccuracies in the representations and warranties made to such party contained herein or in any document delivered pursuant hereto and</w:t>
      </w:r>
    </w:p>
    <w:p>
      <w:pPr>
        <w:spacing w:after="0" w:line="32" w:lineRule="exact"/>
        <w:rPr>
          <w:rFonts w:ascii="Arial" w:cs="Arial" w:eastAsia="Arial" w:hAnsi="Arial"/>
          <w:sz w:val="16"/>
          <w:szCs w:val="16"/>
          <w:color w:val="auto"/>
        </w:rPr>
      </w:pPr>
    </w:p>
    <w:p>
      <w:pPr>
        <w:jc w:val="both"/>
        <w:ind w:right="40" w:firstLine="8"/>
        <w:spacing w:after="0" w:line="255" w:lineRule="auto"/>
        <w:tabs>
          <w:tab w:leader="none" w:pos="31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waive compliance with any of the agreements or conditions for the benefit of such party contained herein. Any agreement on the part of a party hereto to any such extension or waiver shall be valid only if set forth in an instrument in writing signed on behalf of such party. Delay in exercising any right under this Agreement, including pursuant to </w:t>
      </w:r>
      <w:r>
        <w:rPr>
          <w:rFonts w:ascii="Arial" w:cs="Arial" w:eastAsia="Arial" w:hAnsi="Arial"/>
          <w:sz w:val="18"/>
          <w:szCs w:val="18"/>
          <w:b w:val="1"/>
          <w:bCs w:val="1"/>
          <w:color w:val="auto"/>
        </w:rPr>
        <w:t>Section 7.1(b)</w:t>
      </w:r>
      <w:r>
        <w:rPr>
          <w:rFonts w:ascii="Arial" w:cs="Arial" w:eastAsia="Arial" w:hAnsi="Arial"/>
          <w:sz w:val="18"/>
          <w:szCs w:val="18"/>
          <w:color w:val="auto"/>
        </w:rPr>
        <w:t>, shall not constitute a waiver of such right.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b w:val="1"/>
          <w:bCs w:val="1"/>
          <w:i w:val="1"/>
          <w:iCs w:val="1"/>
          <w:color w:val="auto"/>
        </w:rPr>
        <w:t>Non-Survival of Representations and Warranties</w:t>
      </w:r>
      <w:r>
        <w:rPr>
          <w:rFonts w:ascii="Arial" w:cs="Arial" w:eastAsia="Arial" w:hAnsi="Arial"/>
          <w:sz w:val="18"/>
          <w:szCs w:val="18"/>
          <w:color w:val="auto"/>
        </w:rPr>
        <w:t xml:space="preserve">. The representations and warranties of the Company, Parent and Merger Sub contained in this Agreement, or any instrument delivered pursuant to this Agreement, shall terminate at the Effective Time, and only the covenants that by their terms survive the Effective Time and this </w:t>
      </w:r>
      <w:r>
        <w:rPr>
          <w:rFonts w:ascii="Arial" w:cs="Arial" w:eastAsia="Arial" w:hAnsi="Arial"/>
          <w:sz w:val="18"/>
          <w:szCs w:val="18"/>
          <w:b w:val="1"/>
          <w:bCs w:val="1"/>
          <w:color w:val="auto"/>
        </w:rPr>
        <w:t>Article VIII</w:t>
      </w:r>
      <w:r>
        <w:rPr>
          <w:rFonts w:ascii="Arial" w:cs="Arial" w:eastAsia="Arial" w:hAnsi="Arial"/>
          <w:sz w:val="18"/>
          <w:szCs w:val="18"/>
          <w:color w:val="auto"/>
        </w:rPr>
        <w:t xml:space="preserve"> shall survive the Effective Time.</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b w:val="1"/>
          <w:bCs w:val="1"/>
          <w:i w:val="1"/>
          <w:iCs w:val="1"/>
          <w:color w:val="auto"/>
        </w:rPr>
        <w:t>Notices</w:t>
      </w:r>
      <w:r>
        <w:rPr>
          <w:rFonts w:ascii="Arial" w:cs="Arial" w:eastAsia="Arial" w:hAnsi="Arial"/>
          <w:sz w:val="18"/>
          <w:szCs w:val="18"/>
          <w:color w:val="auto"/>
        </w:rPr>
        <w:t>. All notices and other communications hereunder shall be in writing and shall be deemed duly given (i) on the date of delivery if delivered personally and/or by messenger service, (ii) on the date of confirmation of receipt (or, the first Business Day following such receipt if the date is not a Business Day) of transmission by facsimile or (iii) on the date of confirmation of receipt (or, the first Business Day following such receipt if the date is not a Business Day) if delivered by a nationally recognized courier service. All notices hereunder shall be delivered as set forth below, or pursuant to such other instructions as may be designated in writing by the party to receive such notice: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940" w:hanging="230"/>
        <w:spacing w:after="0"/>
        <w:tabs>
          <w:tab w:leader="none" w:pos="19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if to Parent or Merger Sub, to:</w:t>
      </w:r>
    </w:p>
    <w:p>
      <w:pPr>
        <w:spacing w:after="0" w:line="225" w:lineRule="exact"/>
        <w:rPr>
          <w:rFonts w:ascii="Arial" w:cs="Arial" w:eastAsia="Arial" w:hAnsi="Arial"/>
          <w:sz w:val="18"/>
          <w:szCs w:val="18"/>
          <w:color w:val="auto"/>
        </w:rPr>
      </w:pPr>
    </w:p>
    <w:p>
      <w:pPr>
        <w:ind w:left="1960" w:right="7440"/>
        <w:spacing w:after="0" w:line="302" w:lineRule="auto"/>
        <w:rPr>
          <w:rFonts w:ascii="Arial" w:cs="Arial" w:eastAsia="Arial" w:hAnsi="Arial"/>
          <w:sz w:val="18"/>
          <w:szCs w:val="18"/>
          <w:color w:val="auto"/>
        </w:rPr>
      </w:pPr>
      <w:r>
        <w:rPr>
          <w:rFonts w:ascii="Arial" w:cs="Arial" w:eastAsia="Arial" w:hAnsi="Arial"/>
          <w:sz w:val="16"/>
          <w:szCs w:val="16"/>
          <w:color w:val="auto"/>
        </w:rPr>
        <w:t>Micron Technology, Inc. 8000 S. Federal Way Boise, ID 83707-0006 Attention: General Counsel</w:t>
      </w:r>
    </w:p>
    <w:p>
      <w:pPr>
        <w:sectPr>
          <w:pgSz w:w="11900" w:h="16838" w:orient="portrait"/>
          <w:cols w:equalWidth="0" w:num="1">
            <w:col w:w="11420"/>
          </w:cols>
          <w:pgMar w:left="240" w:top="341" w:right="239" w:bottom="0" w:gutter="0" w:footer="0" w:header="0"/>
        </w:sectPr>
      </w:pPr>
    </w:p>
    <w:bookmarkStart w:id="41" w:name="page42"/>
    <w:bookmarkEnd w:id="41"/>
    <w:p>
      <w:pPr>
        <w:ind w:left="1560"/>
        <w:spacing w:after="0"/>
        <w:rPr>
          <w:sz w:val="20"/>
          <w:szCs w:val="20"/>
          <w:color w:val="auto"/>
        </w:rPr>
      </w:pPr>
      <w:r>
        <w:rPr>
          <w:rFonts w:ascii="Arial" w:cs="Arial" w:eastAsia="Arial" w:hAnsi="Arial"/>
          <w:sz w:val="18"/>
          <w:szCs w:val="18"/>
          <w:color w:val="auto"/>
        </w:rPr>
        <w:t>Telephone No.: (208) 368-4517</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Facsimile No.: (208) 368-4540</w:t>
      </w:r>
    </w:p>
    <w:p>
      <w:pPr>
        <w:spacing w:after="0" w:line="211"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with copies to:</w:t>
      </w:r>
    </w:p>
    <w:p>
      <w:pPr>
        <w:spacing w:after="0" w:line="225"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Skadden, Arps, Slate, Meagher &amp; Flom LLP</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525 University Avenue, Suite 1100</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Palo Alto, California 94301</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Attention: Kenton J. King</w:t>
      </w:r>
    </w:p>
    <w:p>
      <w:pPr>
        <w:spacing w:after="0" w:line="211"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Celeste E. Greene</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Telephone No.: (650) 470-4500</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Facsimile No.: (650) 470-4570</w:t>
      </w:r>
    </w:p>
    <w:p>
      <w:pPr>
        <w:spacing w:after="0" w:line="211"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Lexar Media, Inc.</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47300 Bayside Parkway</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Fremont, California 94538</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Telephone No.: (510) 413-1200</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Facsimile No.:  (510) 440-3499</w:t>
      </w:r>
    </w:p>
    <w:p>
      <w:pPr>
        <w:spacing w:after="0" w:line="211"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with copies to:</w:t>
      </w:r>
    </w:p>
    <w:p>
      <w:pPr>
        <w:spacing w:after="0" w:line="225"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Fenwick &amp; West LLP</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Silicon Valley Center</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801 California Street</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Mountain View, California 94041</w:t>
      </w:r>
    </w:p>
    <w:p>
      <w:pPr>
        <w:spacing w:after="0" w:line="9" w:lineRule="exact"/>
        <w:rPr>
          <w:sz w:val="20"/>
          <w:szCs w:val="20"/>
          <w:color w:val="auto"/>
        </w:rPr>
      </w:pPr>
    </w:p>
    <w:p>
      <w:pPr>
        <w:ind w:left="1560"/>
        <w:spacing w:after="0"/>
        <w:tabs>
          <w:tab w:leader="none" w:pos="25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Dennis R. Debroeck</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Dan Winnike</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Telephone No.: (650) 988-8500</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Facsimile No.:  (650) 938-5200</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b w:val="1"/>
          <w:bCs w:val="1"/>
          <w:i w:val="1"/>
          <w:iCs w:val="1"/>
          <w:color w:val="auto"/>
        </w:rPr>
        <w:t>Interpretation; Knowledge.</w:t>
      </w:r>
    </w:p>
    <w:p>
      <w:pPr>
        <w:spacing w:after="0" w:line="225" w:lineRule="exact"/>
        <w:rPr>
          <w:sz w:val="20"/>
          <w:szCs w:val="20"/>
          <w:color w:val="auto"/>
        </w:rPr>
      </w:pPr>
    </w:p>
    <w:p>
      <w:pPr>
        <w:ind w:left="20" w:right="160" w:firstLine="1290"/>
        <w:spacing w:after="0" w:line="264" w:lineRule="auto"/>
        <w:tabs>
          <w:tab w:leader="none" w:pos="155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When a reference is made in this Agreement to Exhibits, such reference shall be to an Exhibit to this Agreement unless otherwise indicated. When a reference is made in this Agreement to Sections, such reference shall be to a section of this Agreement unless otherwise indicated. For purposes of this Agreement, the words “</w:t>
      </w:r>
      <w:r>
        <w:rPr>
          <w:rFonts w:ascii="Arial" w:cs="Arial" w:eastAsia="Arial" w:hAnsi="Arial"/>
          <w:sz w:val="18"/>
          <w:szCs w:val="18"/>
          <w:b w:val="1"/>
          <w:bCs w:val="1"/>
          <w:color w:val="auto"/>
        </w:rPr>
        <w:t>include</w:t>
      </w:r>
      <w:r>
        <w:rPr>
          <w:rFonts w:ascii="Arial" w:cs="Arial" w:eastAsia="Arial" w:hAnsi="Arial"/>
          <w:sz w:val="18"/>
          <w:szCs w:val="18"/>
          <w:color w:val="auto"/>
        </w:rPr>
        <w:t>,” “</w:t>
      </w:r>
      <w:r>
        <w:rPr>
          <w:rFonts w:ascii="Arial" w:cs="Arial" w:eastAsia="Arial" w:hAnsi="Arial"/>
          <w:sz w:val="18"/>
          <w:szCs w:val="18"/>
          <w:b w:val="1"/>
          <w:bCs w:val="1"/>
          <w:color w:val="auto"/>
        </w:rPr>
        <w:t>includes</w:t>
      </w:r>
      <w:r>
        <w:rPr>
          <w:rFonts w:ascii="Arial" w:cs="Arial" w:eastAsia="Arial" w:hAnsi="Arial"/>
          <w:sz w:val="18"/>
          <w:szCs w:val="18"/>
          <w:color w:val="auto"/>
        </w:rPr>
        <w:t>” and “</w:t>
      </w:r>
      <w:r>
        <w:rPr>
          <w:rFonts w:ascii="Arial" w:cs="Arial" w:eastAsia="Arial" w:hAnsi="Arial"/>
          <w:sz w:val="18"/>
          <w:szCs w:val="18"/>
          <w:b w:val="1"/>
          <w:bCs w:val="1"/>
          <w:color w:val="auto"/>
        </w:rPr>
        <w:t>including</w:t>
      </w:r>
      <w:r>
        <w:rPr>
          <w:rFonts w:ascii="Arial" w:cs="Arial" w:eastAsia="Arial" w:hAnsi="Arial"/>
          <w:sz w:val="18"/>
          <w:szCs w:val="18"/>
          <w:color w:val="auto"/>
        </w:rPr>
        <w:t>,”</w:t>
      </w:r>
    </w:p>
    <w:p>
      <w:pPr>
        <w:spacing w:after="0" w:line="18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81280</wp:posOffset>
            </wp:positionV>
            <wp:extent cx="7267575"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60"/>
        <w:spacing w:after="0" w:line="314" w:lineRule="auto"/>
        <w:rPr>
          <w:sz w:val="20"/>
          <w:szCs w:val="20"/>
          <w:color w:val="auto"/>
        </w:rPr>
      </w:pPr>
      <w:r>
        <w:rPr>
          <w:rFonts w:ascii="Arial" w:cs="Arial" w:eastAsia="Arial" w:hAnsi="Arial"/>
          <w:sz w:val="16"/>
          <w:szCs w:val="16"/>
          <w:color w:val="auto"/>
        </w:rPr>
        <w:t>when used herein, shall be deemed in each case to be followed by the words “</w:t>
      </w:r>
      <w:r>
        <w:rPr>
          <w:rFonts w:ascii="Arial" w:cs="Arial" w:eastAsia="Arial" w:hAnsi="Arial"/>
          <w:sz w:val="16"/>
          <w:szCs w:val="16"/>
          <w:b w:val="1"/>
          <w:bCs w:val="1"/>
          <w:color w:val="auto"/>
        </w:rPr>
        <w:t>without limitation</w:t>
      </w:r>
      <w:r>
        <w:rPr>
          <w:rFonts w:ascii="Arial" w:cs="Arial" w:eastAsia="Arial" w:hAnsi="Arial"/>
          <w:sz w:val="16"/>
          <w:szCs w:val="16"/>
          <w:color w:val="auto"/>
        </w:rPr>
        <w:t>.” The table of contents and headings contained in this Agreement are for reference purposes only and shall not affect in any way the meaning or interpretation of this Agreement. When reference is made herein to “</w:t>
      </w:r>
      <w:r>
        <w:rPr>
          <w:rFonts w:ascii="Arial" w:cs="Arial" w:eastAsia="Arial" w:hAnsi="Arial"/>
          <w:sz w:val="16"/>
          <w:szCs w:val="16"/>
          <w:b w:val="1"/>
          <w:bCs w:val="1"/>
          <w:color w:val="auto"/>
        </w:rPr>
        <w:t>the business of</w:t>
      </w:r>
      <w:r>
        <w:rPr>
          <w:rFonts w:ascii="Arial" w:cs="Arial" w:eastAsia="Arial" w:hAnsi="Arial"/>
          <w:sz w:val="16"/>
          <w:szCs w:val="16"/>
          <w:color w:val="auto"/>
        </w:rPr>
        <w:t>” an entity, such reference shall be deemed to include the business of such entity and its Subsidiaries, taken as a whole.</w:t>
      </w:r>
    </w:p>
    <w:p>
      <w:pPr>
        <w:spacing w:after="0" w:line="142" w:lineRule="exact"/>
        <w:rPr>
          <w:sz w:val="20"/>
          <w:szCs w:val="20"/>
          <w:color w:val="auto"/>
        </w:rPr>
      </w:pPr>
    </w:p>
    <w:p>
      <w:pPr>
        <w:ind w:left="20" w:right="60" w:firstLine="1290"/>
        <w:spacing w:after="0" w:line="261" w:lineRule="auto"/>
        <w:tabs>
          <w:tab w:leader="none" w:pos="1564" w:val="left"/>
        </w:tabs>
        <w:numPr>
          <w:ilvl w:val="1"/>
          <w:numId w:val="121"/>
        </w:numPr>
        <w:rPr>
          <w:rFonts w:ascii="Arial" w:cs="Arial" w:eastAsia="Arial" w:hAnsi="Arial"/>
          <w:sz w:val="18"/>
          <w:szCs w:val="18"/>
          <w:color w:val="auto"/>
        </w:rPr>
      </w:pPr>
      <w:r>
        <w:rPr>
          <w:rFonts w:ascii="Arial" w:cs="Arial" w:eastAsia="Arial" w:hAnsi="Arial"/>
          <w:sz w:val="18"/>
          <w:szCs w:val="18"/>
          <w:color w:val="auto"/>
        </w:rPr>
        <w:t>For purposes of this Agreement, the term “</w:t>
      </w:r>
      <w:r>
        <w:rPr>
          <w:rFonts w:ascii="Arial" w:cs="Arial" w:eastAsia="Arial" w:hAnsi="Arial"/>
          <w:sz w:val="18"/>
          <w:szCs w:val="18"/>
          <w:b w:val="1"/>
          <w:bCs w:val="1"/>
          <w:color w:val="auto"/>
        </w:rPr>
        <w:t>Knowledge</w:t>
      </w:r>
      <w:r>
        <w:rPr>
          <w:rFonts w:ascii="Arial" w:cs="Arial" w:eastAsia="Arial" w:hAnsi="Arial"/>
          <w:sz w:val="18"/>
          <w:szCs w:val="18"/>
          <w:color w:val="auto"/>
        </w:rPr>
        <w:t>” means, with respect to a party hereto, and with respect to any matter in question, the actual knowledge of the Chief Executive Officer, the Chief Financial Officer, the Chief Operating Officer, the Chief Technology Officer or the General Counsel, or, solely with respect to the Company, the former Chief Financial Officer or the Vice President of Corporate Development, in each case, after due inquiry of each employee who reports directly to such officer.</w:t>
      </w:r>
    </w:p>
    <w:p>
      <w:pPr>
        <w:spacing w:after="0" w:line="180" w:lineRule="exact"/>
        <w:rPr>
          <w:rFonts w:ascii="Arial" w:cs="Arial" w:eastAsia="Arial" w:hAnsi="Arial"/>
          <w:sz w:val="18"/>
          <w:szCs w:val="18"/>
          <w:color w:val="auto"/>
        </w:rPr>
      </w:pPr>
    </w:p>
    <w:p>
      <w:pPr>
        <w:ind w:left="20" w:right="280" w:firstLine="1290"/>
        <w:spacing w:after="0" w:line="266" w:lineRule="auto"/>
        <w:tabs>
          <w:tab w:leader="none" w:pos="1554" w:val="left"/>
        </w:tabs>
        <w:numPr>
          <w:ilvl w:val="1"/>
          <w:numId w:val="121"/>
        </w:numPr>
        <w:rPr>
          <w:rFonts w:ascii="Arial" w:cs="Arial" w:eastAsia="Arial" w:hAnsi="Arial"/>
          <w:sz w:val="18"/>
          <w:szCs w:val="18"/>
          <w:color w:val="auto"/>
        </w:rPr>
      </w:pPr>
      <w:r>
        <w:rPr>
          <w:rFonts w:ascii="Arial" w:cs="Arial" w:eastAsia="Arial" w:hAnsi="Arial"/>
          <w:sz w:val="18"/>
          <w:szCs w:val="18"/>
          <w:color w:val="auto"/>
        </w:rPr>
        <w:t>For purposes of this Agreement, the term “</w:t>
      </w:r>
      <w:r>
        <w:rPr>
          <w:rFonts w:ascii="Arial" w:cs="Arial" w:eastAsia="Arial" w:hAnsi="Arial"/>
          <w:sz w:val="18"/>
          <w:szCs w:val="18"/>
          <w:b w:val="1"/>
          <w:bCs w:val="1"/>
          <w:color w:val="auto"/>
        </w:rPr>
        <w:t>Made Available</w:t>
      </w:r>
      <w:r>
        <w:rPr>
          <w:rFonts w:ascii="Arial" w:cs="Arial" w:eastAsia="Arial" w:hAnsi="Arial"/>
          <w:sz w:val="18"/>
          <w:szCs w:val="18"/>
          <w:color w:val="auto"/>
        </w:rPr>
        <w:t>” shall mean (i) that the Company or Parent, as the case may be, has made available copies of such materials to Parent or the Company, as the case may be, or its respective representatives or (ii) that such material is publicly available on EDGAR.</w:t>
      </w:r>
    </w:p>
    <w:p>
      <w:pPr>
        <w:spacing w:after="0" w:line="176" w:lineRule="exact"/>
        <w:rPr>
          <w:rFonts w:ascii="Arial" w:cs="Arial" w:eastAsia="Arial" w:hAnsi="Arial"/>
          <w:sz w:val="18"/>
          <w:szCs w:val="18"/>
          <w:color w:val="auto"/>
        </w:rPr>
      </w:pPr>
    </w:p>
    <w:p>
      <w:pPr>
        <w:ind w:left="20" w:firstLine="1290"/>
        <w:spacing w:after="0" w:line="284" w:lineRule="auto"/>
        <w:tabs>
          <w:tab w:leader="none" w:pos="1564" w:val="left"/>
        </w:tabs>
        <w:numPr>
          <w:ilvl w:val="1"/>
          <w:numId w:val="121"/>
        </w:numPr>
        <w:rPr>
          <w:rFonts w:ascii="Arial" w:cs="Arial" w:eastAsia="Arial" w:hAnsi="Arial"/>
          <w:sz w:val="16"/>
          <w:szCs w:val="16"/>
          <w:color w:val="auto"/>
        </w:rPr>
      </w:pPr>
      <w:r>
        <w:rPr>
          <w:rFonts w:ascii="Arial" w:cs="Arial" w:eastAsia="Arial" w:hAnsi="Arial"/>
          <w:sz w:val="16"/>
          <w:szCs w:val="16"/>
          <w:color w:val="auto"/>
        </w:rPr>
        <w:t>For purposes of this Agreement, the term “</w:t>
      </w:r>
      <w:r>
        <w:rPr>
          <w:rFonts w:ascii="Arial" w:cs="Arial" w:eastAsia="Arial" w:hAnsi="Arial"/>
          <w:sz w:val="16"/>
          <w:szCs w:val="16"/>
          <w:b w:val="1"/>
          <w:bCs w:val="1"/>
          <w:color w:val="auto"/>
        </w:rPr>
        <w:t>Material Adverse Effect</w:t>
      </w:r>
      <w:r>
        <w:rPr>
          <w:rFonts w:ascii="Arial" w:cs="Arial" w:eastAsia="Arial" w:hAnsi="Arial"/>
          <w:sz w:val="16"/>
          <w:szCs w:val="16"/>
          <w:color w:val="auto"/>
        </w:rPr>
        <w:t>,” when used in connection with an entity, means any change, event, violation, inaccuracy, circumstance or effect (any such item, an “</w:t>
      </w:r>
      <w:r>
        <w:rPr>
          <w:rFonts w:ascii="Arial" w:cs="Arial" w:eastAsia="Arial" w:hAnsi="Arial"/>
          <w:sz w:val="16"/>
          <w:szCs w:val="16"/>
          <w:b w:val="1"/>
          <w:bCs w:val="1"/>
          <w:color w:val="auto"/>
        </w:rPr>
        <w:t>Effect</w:t>
      </w:r>
      <w:r>
        <w:rPr>
          <w:rFonts w:ascii="Arial" w:cs="Arial" w:eastAsia="Arial" w:hAnsi="Arial"/>
          <w:sz w:val="16"/>
          <w:szCs w:val="16"/>
          <w:color w:val="auto"/>
        </w:rPr>
        <w:t>”), individually or when taken together with all other Effects that have occurred during the applicable measurement period, that is or is reasonably likely to (i) be materially adverse to the business, assets (including intangible assets), capitalization, financial condition or results of operations of such entity taken as a whole with its Subsidiaries, other than any Effect primarily and proximately resulting from (A) changes in general economic or market conditions or Effects affecting the industry generally in which such entity and its Subsidiaries operates, which changes do not disproportionately affect such entity taken as a whole with its Subsidiaries as compared to other similarly situated participants in the industry in which such entity and its Subsidiaries operate, (B) changes in applicable law, GAAP or international accounting standards, (C) any stockholder litigation arising from allegations of a breach of fiduciary duty relating to this Agreement;</w:t>
      </w:r>
    </w:p>
    <w:p>
      <w:pPr>
        <w:spacing w:after="0" w:line="5" w:lineRule="exact"/>
        <w:rPr>
          <w:rFonts w:ascii="Arial" w:cs="Arial" w:eastAsia="Arial" w:hAnsi="Arial"/>
          <w:sz w:val="16"/>
          <w:szCs w:val="16"/>
          <w:color w:val="auto"/>
        </w:rPr>
      </w:pPr>
    </w:p>
    <w:p>
      <w:pPr>
        <w:ind w:left="20" w:right="40" w:hanging="7"/>
        <w:spacing w:after="0" w:line="252" w:lineRule="auto"/>
        <w:tabs>
          <w:tab w:leader="none" w:pos="31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acts of terrorism or war which do not disproportionately affect such entity taken as a whole with its Subsidiaries; (E) the announcement or pendency of the Merger (including any cancellation of or delays in customer orders in any material respect, any disruption in supplier, distributor or partner relationships or any loss of key employees); (F) with respect to the Company, compliance with the express terms of this Agreement; or (G) a failure to meet securities analysts’ published revenue or earnings projections, which failure shall have occurred in the absence of a material deterioration in the business or financial condition of such entity that would otherwise constitute a Material Adverse Effect or (ii) materially impede the authority of such entity, or, in any case, the Company, to consummate the transactions contemplated by this Agreement in accordance with the terms hereof and applicable Legal Requirements.</w:t>
      </w:r>
    </w:p>
    <w:p>
      <w:pPr>
        <w:spacing w:after="0" w:line="189" w:lineRule="exact"/>
        <w:rPr>
          <w:rFonts w:ascii="Arial" w:cs="Arial" w:eastAsia="Arial" w:hAnsi="Arial"/>
          <w:sz w:val="18"/>
          <w:szCs w:val="18"/>
          <w:color w:val="auto"/>
        </w:rPr>
      </w:pPr>
    </w:p>
    <w:p>
      <w:pPr>
        <w:ind w:left="20" w:right="120" w:firstLine="1290"/>
        <w:spacing w:after="0" w:line="347" w:lineRule="auto"/>
        <w:tabs>
          <w:tab w:leader="none" w:pos="1554" w:val="left"/>
        </w:tabs>
        <w:numPr>
          <w:ilvl w:val="1"/>
          <w:numId w:val="122"/>
        </w:numPr>
        <w:rPr>
          <w:rFonts w:ascii="Arial" w:cs="Arial" w:eastAsia="Arial" w:hAnsi="Arial"/>
          <w:sz w:val="16"/>
          <w:szCs w:val="16"/>
          <w:color w:val="auto"/>
        </w:rPr>
      </w:pPr>
      <w:r>
        <w:rPr>
          <w:rFonts w:ascii="Arial" w:cs="Arial" w:eastAsia="Arial" w:hAnsi="Arial"/>
          <w:sz w:val="16"/>
          <w:szCs w:val="16"/>
          <w:color w:val="auto"/>
        </w:rPr>
        <w:t>For purposes of this Agreement, the term “</w:t>
      </w:r>
      <w:r>
        <w:rPr>
          <w:rFonts w:ascii="Arial" w:cs="Arial" w:eastAsia="Arial" w:hAnsi="Arial"/>
          <w:sz w:val="16"/>
          <w:szCs w:val="16"/>
          <w:b w:val="1"/>
          <w:bCs w:val="1"/>
          <w:color w:val="auto"/>
        </w:rPr>
        <w:t>Person</w:t>
      </w:r>
      <w:r>
        <w:rPr>
          <w:rFonts w:ascii="Arial" w:cs="Arial" w:eastAsia="Arial" w:hAnsi="Arial"/>
          <w:sz w:val="16"/>
          <w:szCs w:val="16"/>
          <w:color w:val="auto"/>
        </w:rPr>
        <w:t>” shall mean any individual, corporation (including any non-profit corporation), general partnership, limited partnership, limited liability partnership, joint venture, estate, trust, company (including any limited liability</w:t>
      </w:r>
    </w:p>
    <w:p>
      <w:pPr>
        <w:sectPr>
          <w:pgSz w:w="11900" w:h="16838" w:orient="portrait"/>
          <w:cols w:equalWidth="0" w:num="1">
            <w:col w:w="11020"/>
          </w:cols>
          <w:pgMar w:left="640" w:top="125" w:right="239" w:bottom="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company or joint stock company), firm or other enterprise, association, organization, entity or Governmental Entity.</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b w:val="1"/>
          <w:bCs w:val="1"/>
          <w:i w:val="1"/>
          <w:iCs w:val="1"/>
          <w:color w:val="auto"/>
        </w:rPr>
        <w:t>Counterparts</w:t>
      </w:r>
      <w:r>
        <w:rPr>
          <w:rFonts w:ascii="Arial" w:cs="Arial" w:eastAsia="Arial" w:hAnsi="Arial"/>
          <w:sz w:val="18"/>
          <w:szCs w:val="18"/>
          <w:color w:val="auto"/>
        </w:rPr>
        <w:t>. This Agreement may be executed in two or more counterparts, and by facsimile, all of which shall be considered one and the same agreement and shall become effective when one or more counterparts have been signed by each of the parties and delivered to the other parties, it being understood that all parties need not sign the same counterpart.</w:t>
      </w:r>
    </w:p>
    <w:p>
      <w:pPr>
        <w:spacing w:after="0" w:line="181" w:lineRule="exact"/>
        <w:rPr>
          <w:sz w:val="20"/>
          <w:szCs w:val="20"/>
          <w:color w:val="auto"/>
        </w:rPr>
      </w:pPr>
    </w:p>
    <w:p>
      <w:pPr>
        <w:ind w:right="360" w:firstLine="648"/>
        <w:spacing w:after="0" w:line="291"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b w:val="1"/>
          <w:bCs w:val="1"/>
          <w:i w:val="1"/>
          <w:iCs w:val="1"/>
          <w:color w:val="auto"/>
        </w:rPr>
        <w:t>Entire Agreement; Third-Party Beneficiaries</w:t>
      </w:r>
      <w:r>
        <w:rPr>
          <w:rFonts w:ascii="Arial" w:cs="Arial" w:eastAsia="Arial" w:hAnsi="Arial"/>
          <w:sz w:val="16"/>
          <w:szCs w:val="16"/>
          <w:color w:val="auto"/>
        </w:rPr>
        <w:t>. This Agreement and the documents and instruments and other agreements among the parties hereto as contemplated by or referred to herein, including the Company Disclosure Schedule and the Voting Agreements and other Exhibits hereto</w:t>
      </w:r>
    </w:p>
    <w:p>
      <w:pPr>
        <w:ind w:right="100" w:firstLine="8"/>
        <w:spacing w:after="0" w:line="252" w:lineRule="auto"/>
        <w:tabs>
          <w:tab w:leader="none" w:pos="21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constitute the entire agreement among the parties with respect to the subject matter hereof and supersede all prior agreements and understandings, both written and oral, among the parties with respect to the subject matter hereof, it being understood that the Confidentiality Agreement shall continue in full force and effect until the Closing and shall survive any termination of this Agreement and (ii) are not intended to confer upon any other Person any rights or remedies hereunder, except as specifically provided, following the Effective Time, in </w:t>
      </w:r>
      <w:r>
        <w:rPr>
          <w:rFonts w:ascii="Arial" w:cs="Arial" w:eastAsia="Arial" w:hAnsi="Arial"/>
          <w:sz w:val="18"/>
          <w:szCs w:val="18"/>
          <w:b w:val="1"/>
          <w:bCs w:val="1"/>
          <w:color w:val="auto"/>
        </w:rPr>
        <w:t>Section 5.10</w:t>
      </w:r>
      <w:r>
        <w:rPr>
          <w:rFonts w:ascii="Arial" w:cs="Arial" w:eastAsia="Arial" w:hAnsi="Arial"/>
          <w:sz w:val="18"/>
          <w:szCs w:val="18"/>
          <w:color w:val="auto"/>
        </w:rPr>
        <w:t xml:space="preserve">. Without limiting the foregoing, it is expressly understood and agreed that the provisions in </w:t>
      </w:r>
      <w:r>
        <w:rPr>
          <w:rFonts w:ascii="Arial" w:cs="Arial" w:eastAsia="Arial" w:hAnsi="Arial"/>
          <w:sz w:val="18"/>
          <w:szCs w:val="18"/>
          <w:b w:val="1"/>
          <w:bCs w:val="1"/>
          <w:color w:val="auto"/>
        </w:rPr>
        <w:t>Section 5.9</w:t>
      </w:r>
      <w:r>
        <w:rPr>
          <w:rFonts w:ascii="Arial" w:cs="Arial" w:eastAsia="Arial" w:hAnsi="Arial"/>
          <w:sz w:val="18"/>
          <w:szCs w:val="18"/>
          <w:color w:val="auto"/>
        </w:rPr>
        <w:t xml:space="preserve"> are statements of intent and no Employees/Service Providers or other Person (including any party hereto) shall have any rights or remedies, including rights of enforcement, with respect thereto and no Employee/Service Provider or other Person is or is intended to be a third-party beneficiary thereof.</w:t>
      </w:r>
    </w:p>
    <w:p>
      <w:pPr>
        <w:spacing w:after="0" w:line="19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b w:val="1"/>
          <w:bCs w:val="1"/>
          <w:i w:val="1"/>
          <w:iCs w:val="1"/>
          <w:color w:val="auto"/>
        </w:rPr>
        <w:t>Severability</w:t>
      </w:r>
      <w:r>
        <w:rPr>
          <w:rFonts w:ascii="Arial" w:cs="Arial" w:eastAsia="Arial" w:hAnsi="Arial"/>
          <w:sz w:val="18"/>
          <w:szCs w:val="18"/>
          <w:color w:val="auto"/>
        </w:rPr>
        <w:t>.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hereto. The parties further agree to replace such void or unenforceable provision of this Agreement with a valid and enforceable provision that will achieve, to the greatest extent possible, the economic, business and other purposes of such void or unenforceable provision.</w:t>
      </w:r>
    </w:p>
    <w:p>
      <w:pPr>
        <w:spacing w:after="0" w:line="18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b w:val="1"/>
          <w:bCs w:val="1"/>
          <w:i w:val="1"/>
          <w:iCs w:val="1"/>
          <w:color w:val="auto"/>
        </w:rPr>
        <w:t>Other Remedies</w:t>
      </w:r>
      <w:r>
        <w:rPr>
          <w:rFonts w:ascii="Arial" w:cs="Arial" w:eastAsia="Arial" w:hAnsi="Arial"/>
          <w:sz w:val="18"/>
          <w:szCs w:val="18"/>
          <w:color w:val="auto"/>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w:t>
      </w:r>
    </w:p>
    <w:p>
      <w:pPr>
        <w:spacing w:after="0" w:line="18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b w:val="1"/>
          <w:bCs w:val="1"/>
          <w:i w:val="1"/>
          <w:iCs w:val="1"/>
          <w:color w:val="auto"/>
        </w:rPr>
        <w:t>Governing Law</w:t>
      </w:r>
      <w:r>
        <w:rPr>
          <w:rFonts w:ascii="Arial" w:cs="Arial" w:eastAsia="Arial" w:hAnsi="Arial"/>
          <w:sz w:val="18"/>
          <w:szCs w:val="18"/>
          <w:color w:val="auto"/>
        </w:rPr>
        <w:t>. This Agreement shall be governed by and construed in accordance with the laws of the State of Delaware, regardless of the laws that might otherwise govern under applicable principles of conflicts of law thereof. Each of the parties hereto irrevocably consents to the exclusive jurisdiction and venue of the Delaware Court of Chancery and any state appellate court therefrom within the State of Delaware (or, if the Delaware Court of Chancery declines to accept jurisdiction over a particular matter, any state or federal court within the State of Delaware) in connection with any matter based upon or arising out of this Agreement or the matters contemplated herein, agrees that process may be served upon them in any manner authorized by the laws of the State of Delaware for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such Persons and waives and covenants not to assert or plead any objection which they might otherwise have to such jurisdiction, venue and such process.</w:t>
      </w:r>
    </w:p>
    <w:p>
      <w:pPr>
        <w:spacing w:after="0" w:line="248"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b w:val="1"/>
          <w:bCs w:val="1"/>
          <w:i w:val="1"/>
          <w:iCs w:val="1"/>
          <w:color w:val="auto"/>
        </w:rPr>
        <w:t>Rules of Construction</w:t>
      </w:r>
      <w:r>
        <w:rPr>
          <w:rFonts w:ascii="Arial" w:cs="Arial" w:eastAsia="Arial" w:hAnsi="Arial"/>
          <w:sz w:val="18"/>
          <w:szCs w:val="18"/>
          <w:color w:val="auto"/>
        </w:rPr>
        <w:t>. The parties hereto agree that they have been represented by counsel during the negotiation and execution of this Agreement and, therefore, waive the application of any law, regulation, holding or rule of construction providing that ambiguities in an agreement or other document will be construed against the party drafting such agreement or document.</w:t>
      </w:r>
    </w:p>
    <w:p>
      <w:pPr>
        <w:spacing w:after="0" w:line="181"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 xml:space="preserve">8.10 </w:t>
      </w:r>
      <w:r>
        <w:rPr>
          <w:rFonts w:ascii="Arial" w:cs="Arial" w:eastAsia="Arial" w:hAnsi="Arial"/>
          <w:sz w:val="16"/>
          <w:szCs w:val="16"/>
          <w:b w:val="1"/>
          <w:bCs w:val="1"/>
          <w:i w:val="1"/>
          <w:iCs w:val="1"/>
          <w:color w:val="auto"/>
        </w:rPr>
        <w:t>Assignment</w:t>
      </w:r>
      <w:r>
        <w:rPr>
          <w:rFonts w:ascii="Arial" w:cs="Arial" w:eastAsia="Arial" w:hAnsi="Arial"/>
          <w:sz w:val="16"/>
          <w:szCs w:val="16"/>
          <w:color w:val="auto"/>
        </w:rPr>
        <w:t xml:space="preserve">. No party may assign either this Agreement or any of its rights, interests, or obligations hereunder without the prior written approval of the other parties, except that Parent may assign its rights and delegate its obligations hereunder to any of its Subsidiaries as long as Parent remains ultimately liable for all of Parent’s obligations hereunder. Any purported assignment in violation of this </w:t>
      </w:r>
      <w:r>
        <w:rPr>
          <w:rFonts w:ascii="Arial" w:cs="Arial" w:eastAsia="Arial" w:hAnsi="Arial"/>
          <w:sz w:val="16"/>
          <w:szCs w:val="16"/>
          <w:b w:val="1"/>
          <w:bCs w:val="1"/>
          <w:color w:val="auto"/>
        </w:rPr>
        <w:t>Section 8.10</w:t>
      </w:r>
      <w:r>
        <w:rPr>
          <w:rFonts w:ascii="Arial" w:cs="Arial" w:eastAsia="Arial" w:hAnsi="Arial"/>
          <w:sz w:val="16"/>
          <w:szCs w:val="16"/>
          <w:color w:val="auto"/>
        </w:rPr>
        <w:t xml:space="preserve"> shall be void. Subject to the preceding sentence, this Agreement shall be binding upon and shall inure to the benefit of the parties hereto and their respective successors and permitted assigns.</w:t>
      </w:r>
    </w:p>
    <w:p>
      <w:pPr>
        <w:spacing w:after="0" w:line="15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b w:val="1"/>
          <w:bCs w:val="1"/>
          <w:i w:val="1"/>
          <w:iCs w:val="1"/>
          <w:color w:val="auto"/>
        </w:rPr>
        <w:t>Waiver of Jury Trial</w:t>
      </w:r>
      <w:r>
        <w:rPr>
          <w:rFonts w:ascii="Arial" w:cs="Arial" w:eastAsia="Arial" w:hAnsi="Arial"/>
          <w:sz w:val="18"/>
          <w:szCs w:val="18"/>
          <w:color w:val="auto"/>
        </w:rPr>
        <w:t>. EACH OF PARENT, MERGER SUB AND THE COMPANY HEREBY IRREVOCABLY WAIVES ALL RIGHT TO TRIAL BY JURY IN ANY ACTION, PROCEEDING OR COUNTERCLAIM (WHETHER BASED ON CONTRACT, TORT OR OTHERWISE) ARISING OUT OF OR RELATING TO THIS AGREEMENT OR THE ACTIONS OF PARENT, MERGER SUB OR THE COMPANY IN THE NEGOTIATION, ADMINISTRATION, PERFORMANCE AND ENFORCEMENT HEREOF.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IN WITNESS WHEREOF, the parties hereto have caused this Agreement to be executed by their duly authorized respective officers as of the date first written above.</w:t>
      </w:r>
    </w:p>
    <w:p>
      <w:pPr>
        <w:spacing w:after="0" w:line="170"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MICRON TECHNOLOGY, INC.</w:t>
      </w:r>
    </w:p>
    <w:p>
      <w:pPr>
        <w:spacing w:after="0" w:line="200" w:lineRule="exact"/>
        <w:rPr>
          <w:sz w:val="20"/>
          <w:szCs w:val="20"/>
          <w:color w:val="auto"/>
        </w:rPr>
      </w:pPr>
    </w:p>
    <w:p>
      <w:pPr>
        <w:spacing w:after="0" w:line="241" w:lineRule="exact"/>
        <w:rPr>
          <w:sz w:val="20"/>
          <w:szCs w:val="20"/>
          <w:color w:val="auto"/>
        </w:rPr>
      </w:pPr>
    </w:p>
    <w:tbl>
      <w:tblPr>
        <w:tblLayout w:type="fixed"/>
        <w:tblInd w:w="5780" w:type="dxa"/>
        <w:tblCellMar>
          <w:top w:w="0" w:type="dxa"/>
          <w:left w:w="0" w:type="dxa"/>
          <w:bottom w:w="0" w:type="dxa"/>
          <w:right w:w="0" w:type="dxa"/>
        </w:tblCellMar>
      </w:tblPr>
      <w:tr>
        <w:trPr>
          <w:trHeight w:val="230"/>
        </w:trPr>
        <w:tc>
          <w:tcPr>
            <w:tcW w:w="580" w:type="dxa"/>
            <w:vAlign w:val="bottom"/>
            <w:gridSpan w:val="2"/>
          </w:tcPr>
          <w:p>
            <w:pPr>
              <w:spacing w:after="0"/>
              <w:rPr>
                <w:sz w:val="20"/>
                <w:szCs w:val="20"/>
                <w:color w:val="auto"/>
              </w:rPr>
            </w:pPr>
            <w:r>
              <w:rPr>
                <w:rFonts w:ascii="Arial" w:cs="Arial" w:eastAsia="Arial" w:hAnsi="Arial"/>
                <w:sz w:val="18"/>
                <w:szCs w:val="18"/>
                <w:color w:val="auto"/>
              </w:rPr>
              <w:t>By:</w:t>
            </w:r>
          </w:p>
        </w:tc>
        <w:tc>
          <w:tcPr>
            <w:tcW w:w="5060" w:type="dxa"/>
            <w:vAlign w:val="bottom"/>
          </w:tcPr>
          <w:p>
            <w:pPr>
              <w:ind w:left="100"/>
              <w:spacing w:after="0"/>
              <w:rPr>
                <w:sz w:val="20"/>
                <w:szCs w:val="20"/>
                <w:color w:val="auto"/>
              </w:rPr>
            </w:pPr>
            <w:r>
              <w:rPr>
                <w:rFonts w:ascii="Arial" w:cs="Arial" w:eastAsia="Arial" w:hAnsi="Arial"/>
                <w:sz w:val="18"/>
                <w:szCs w:val="18"/>
                <w:color w:val="auto"/>
              </w:rPr>
              <w:t>/s/ Steven R. Appleton</w:t>
            </w:r>
          </w:p>
        </w:tc>
      </w:tr>
      <w:tr>
        <w:trPr>
          <w:trHeight w:val="195"/>
        </w:trPr>
        <w:tc>
          <w:tcPr>
            <w:tcW w:w="400" w:type="dxa"/>
            <w:vAlign w:val="bottom"/>
          </w:tcPr>
          <w:p>
            <w:pPr>
              <w:spacing w:after="0" w:line="195" w:lineRule="exact"/>
              <w:rPr>
                <w:sz w:val="20"/>
                <w:szCs w:val="20"/>
                <w:color w:val="auto"/>
              </w:rPr>
            </w:pPr>
            <w:r>
              <w:rPr>
                <w:rFonts w:ascii="Arial" w:cs="Arial" w:eastAsia="Arial" w:hAnsi="Arial"/>
                <w:sz w:val="18"/>
                <w:szCs w:val="18"/>
                <w:color w:val="auto"/>
                <w:w w:val="71"/>
              </w:rPr>
              <w:t>Name:</w:t>
            </w:r>
          </w:p>
        </w:tc>
        <w:tc>
          <w:tcPr>
            <w:tcW w:w="180" w:type="dxa"/>
            <w:vAlign w:val="bottom"/>
            <w:tcBorders>
              <w:top w:val="single" w:sz="8" w:color="auto"/>
            </w:tcBorders>
          </w:tcPr>
          <w:p>
            <w:pPr>
              <w:spacing w:after="0"/>
              <w:rPr>
                <w:sz w:val="16"/>
                <w:szCs w:val="16"/>
                <w:color w:val="auto"/>
              </w:rPr>
            </w:pPr>
          </w:p>
        </w:tc>
        <w:tc>
          <w:tcPr>
            <w:tcW w:w="50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Steven R. Appleton</w:t>
            </w:r>
          </w:p>
        </w:tc>
      </w:tr>
      <w:tr>
        <w:trPr>
          <w:trHeight w:val="230"/>
        </w:trPr>
        <w:tc>
          <w:tcPr>
            <w:tcW w:w="580" w:type="dxa"/>
            <w:vAlign w:val="bottom"/>
            <w:gridSpan w:val="2"/>
          </w:tcPr>
          <w:p>
            <w:pPr>
              <w:spacing w:after="0"/>
              <w:rPr>
                <w:sz w:val="20"/>
                <w:szCs w:val="20"/>
                <w:color w:val="auto"/>
              </w:rPr>
            </w:pPr>
            <w:r>
              <w:rPr>
                <w:rFonts w:ascii="Arial" w:cs="Arial" w:eastAsia="Arial" w:hAnsi="Arial"/>
                <w:sz w:val="18"/>
                <w:szCs w:val="18"/>
                <w:color w:val="auto"/>
              </w:rPr>
              <w:t>Title:</w:t>
            </w:r>
          </w:p>
        </w:tc>
        <w:tc>
          <w:tcPr>
            <w:tcW w:w="5060" w:type="dxa"/>
            <w:vAlign w:val="bottom"/>
          </w:tcPr>
          <w:p>
            <w:pPr>
              <w:ind w:left="100"/>
              <w:spacing w:after="0"/>
              <w:rPr>
                <w:sz w:val="20"/>
                <w:szCs w:val="20"/>
                <w:color w:val="auto"/>
              </w:rPr>
            </w:pPr>
            <w:r>
              <w:rPr>
                <w:rFonts w:ascii="Arial" w:cs="Arial" w:eastAsia="Arial" w:hAnsi="Arial"/>
                <w:sz w:val="18"/>
                <w:szCs w:val="18"/>
                <w:color w:val="auto"/>
              </w:rPr>
              <w:t>Chairman, Chief Executive Officer and President</w:t>
            </w:r>
          </w:p>
        </w:tc>
      </w:tr>
    </w:tbl>
    <w:p>
      <w:pPr>
        <w:sectPr>
          <w:pgSz w:w="11900" w:h="16838" w:orient="portrait"/>
          <w:cols w:equalWidth="0" w:num="1">
            <w:col w:w="11420"/>
          </w:cols>
          <w:pgMar w:left="240" w:top="125" w:right="239" w:bottom="184" w:gutter="0" w:footer="0" w:header="0"/>
        </w:sectPr>
      </w:pPr>
    </w:p>
    <w:bookmarkStart w:id="43" w:name="page44"/>
    <w:bookmarkEnd w:id="43"/>
    <w:p>
      <w:pPr>
        <w:ind w:left="4580"/>
        <w:spacing w:after="0"/>
        <w:rPr>
          <w:sz w:val="20"/>
          <w:szCs w:val="20"/>
          <w:color w:val="auto"/>
        </w:rPr>
      </w:pPr>
      <w:r>
        <w:rPr>
          <w:rFonts w:ascii="Arial" w:cs="Arial" w:eastAsia="Arial" w:hAnsi="Arial"/>
          <w:sz w:val="18"/>
          <w:szCs w:val="18"/>
          <w:color w:val="auto"/>
        </w:rPr>
        <w:t>MARCH 2006 MERGER CORP.</w:t>
      </w:r>
    </w:p>
    <w:p>
      <w:pPr>
        <w:spacing w:after="0" w:line="200" w:lineRule="exact"/>
        <w:rPr>
          <w:sz w:val="20"/>
          <w:szCs w:val="20"/>
          <w:color w:val="auto"/>
        </w:rPr>
      </w:pPr>
    </w:p>
    <w:p>
      <w:pPr>
        <w:spacing w:after="0" w:line="241" w:lineRule="exact"/>
        <w:rPr>
          <w:sz w:val="20"/>
          <w:szCs w:val="20"/>
          <w:color w:val="auto"/>
        </w:rPr>
      </w:pPr>
    </w:p>
    <w:tbl>
      <w:tblPr>
        <w:tblLayout w:type="fixed"/>
        <w:tblInd w:w="4580" w:type="dxa"/>
        <w:tblCellMar>
          <w:top w:w="0" w:type="dxa"/>
          <w:left w:w="0" w:type="dxa"/>
          <w:bottom w:w="0" w:type="dxa"/>
          <w:right w:w="0" w:type="dxa"/>
        </w:tblCellMar>
      </w:tblPr>
      <w:tr>
        <w:trPr>
          <w:trHeight w:val="230"/>
        </w:trPr>
        <w:tc>
          <w:tcPr>
            <w:tcW w:w="580" w:type="dxa"/>
            <w:vAlign w:val="bottom"/>
            <w:gridSpan w:val="3"/>
          </w:tcPr>
          <w:p>
            <w:pPr>
              <w:spacing w:after="0"/>
              <w:rPr>
                <w:sz w:val="20"/>
                <w:szCs w:val="20"/>
                <w:color w:val="auto"/>
              </w:rPr>
            </w:pPr>
            <w:r>
              <w:rPr>
                <w:rFonts w:ascii="Arial" w:cs="Arial" w:eastAsia="Arial" w:hAnsi="Arial"/>
                <w:sz w:val="18"/>
                <w:szCs w:val="18"/>
                <w:color w:val="auto"/>
              </w:rPr>
              <w:t>By:</w:t>
            </w:r>
          </w:p>
        </w:tc>
        <w:tc>
          <w:tcPr>
            <w:tcW w:w="5060" w:type="dxa"/>
            <w:vAlign w:val="bottom"/>
          </w:tcPr>
          <w:p>
            <w:pPr>
              <w:ind w:left="100"/>
              <w:spacing w:after="0"/>
              <w:rPr>
                <w:sz w:val="20"/>
                <w:szCs w:val="20"/>
                <w:color w:val="auto"/>
              </w:rPr>
            </w:pPr>
            <w:r>
              <w:rPr>
                <w:rFonts w:ascii="Arial" w:cs="Arial" w:eastAsia="Arial" w:hAnsi="Arial"/>
                <w:sz w:val="18"/>
                <w:szCs w:val="18"/>
                <w:color w:val="auto"/>
              </w:rPr>
              <w:t>/s/ W. G. Stover, Jr.</w:t>
            </w:r>
          </w:p>
        </w:tc>
      </w:tr>
      <w:tr>
        <w:trPr>
          <w:trHeight w:val="195"/>
        </w:trPr>
        <w:tc>
          <w:tcPr>
            <w:tcW w:w="400" w:type="dxa"/>
            <w:vAlign w:val="bottom"/>
            <w:gridSpan w:val="2"/>
          </w:tcPr>
          <w:p>
            <w:pPr>
              <w:spacing w:after="0" w:line="195" w:lineRule="exact"/>
              <w:rPr>
                <w:sz w:val="20"/>
                <w:szCs w:val="20"/>
                <w:color w:val="auto"/>
              </w:rPr>
            </w:pPr>
            <w:r>
              <w:rPr>
                <w:rFonts w:ascii="Arial" w:cs="Arial" w:eastAsia="Arial" w:hAnsi="Arial"/>
                <w:sz w:val="18"/>
                <w:szCs w:val="18"/>
                <w:color w:val="auto"/>
                <w:w w:val="71"/>
              </w:rPr>
              <w:t>Name:</w:t>
            </w:r>
          </w:p>
        </w:tc>
        <w:tc>
          <w:tcPr>
            <w:tcW w:w="180" w:type="dxa"/>
            <w:vAlign w:val="bottom"/>
            <w:tcBorders>
              <w:top w:val="single" w:sz="8" w:color="auto"/>
            </w:tcBorders>
          </w:tcPr>
          <w:p>
            <w:pPr>
              <w:spacing w:after="0"/>
              <w:rPr>
                <w:sz w:val="16"/>
                <w:szCs w:val="16"/>
                <w:color w:val="auto"/>
              </w:rPr>
            </w:pPr>
          </w:p>
        </w:tc>
        <w:tc>
          <w:tcPr>
            <w:tcW w:w="50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W. G. Stover, Jr.</w:t>
            </w:r>
          </w:p>
        </w:tc>
      </w:tr>
      <w:tr>
        <w:trPr>
          <w:trHeight w:val="230"/>
        </w:trPr>
        <w:tc>
          <w:tcPr>
            <w:tcW w:w="580" w:type="dxa"/>
            <w:vAlign w:val="bottom"/>
            <w:gridSpan w:val="3"/>
          </w:tcPr>
          <w:p>
            <w:pPr>
              <w:spacing w:after="0"/>
              <w:rPr>
                <w:sz w:val="20"/>
                <w:szCs w:val="20"/>
                <w:color w:val="auto"/>
              </w:rPr>
            </w:pPr>
            <w:r>
              <w:rPr>
                <w:rFonts w:ascii="Arial" w:cs="Arial" w:eastAsia="Arial" w:hAnsi="Arial"/>
                <w:sz w:val="18"/>
                <w:szCs w:val="18"/>
                <w:color w:val="auto"/>
              </w:rPr>
              <w:t>Title:</w:t>
            </w:r>
          </w:p>
        </w:tc>
        <w:tc>
          <w:tcPr>
            <w:tcW w:w="5060" w:type="dxa"/>
            <w:vAlign w:val="bottom"/>
          </w:tcPr>
          <w:p>
            <w:pPr>
              <w:ind w:left="100"/>
              <w:spacing w:after="0"/>
              <w:rPr>
                <w:sz w:val="20"/>
                <w:szCs w:val="20"/>
                <w:color w:val="auto"/>
              </w:rPr>
            </w:pPr>
            <w:r>
              <w:rPr>
                <w:rFonts w:ascii="Arial" w:cs="Arial" w:eastAsia="Arial" w:hAnsi="Arial"/>
                <w:sz w:val="18"/>
                <w:szCs w:val="18"/>
                <w:color w:val="auto"/>
              </w:rPr>
              <w:t>President</w:t>
            </w:r>
          </w:p>
        </w:tc>
      </w:tr>
      <w:tr>
        <w:trPr>
          <w:trHeight w:val="648"/>
        </w:trPr>
        <w:tc>
          <w:tcPr>
            <w:tcW w:w="5640" w:type="dxa"/>
            <w:vAlign w:val="bottom"/>
            <w:gridSpan w:val="4"/>
          </w:tcPr>
          <w:p>
            <w:pPr>
              <w:spacing w:after="0"/>
              <w:rPr>
                <w:sz w:val="20"/>
                <w:szCs w:val="20"/>
                <w:color w:val="auto"/>
              </w:rPr>
            </w:pPr>
            <w:r>
              <w:rPr>
                <w:rFonts w:ascii="Arial" w:cs="Arial" w:eastAsia="Arial" w:hAnsi="Arial"/>
                <w:sz w:val="18"/>
                <w:szCs w:val="18"/>
                <w:color w:val="auto"/>
              </w:rPr>
              <w:t>LEXAR MEDIA, INC.</w:t>
            </w:r>
          </w:p>
        </w:tc>
      </w:tr>
      <w:tr>
        <w:trPr>
          <w:trHeight w:val="648"/>
        </w:trPr>
        <w:tc>
          <w:tcPr>
            <w:tcW w:w="580" w:type="dxa"/>
            <w:vAlign w:val="bottom"/>
            <w:gridSpan w:val="3"/>
          </w:tcPr>
          <w:p>
            <w:pPr>
              <w:spacing w:after="0"/>
              <w:rPr>
                <w:sz w:val="20"/>
                <w:szCs w:val="20"/>
                <w:color w:val="auto"/>
              </w:rPr>
            </w:pPr>
            <w:r>
              <w:rPr>
                <w:rFonts w:ascii="Arial" w:cs="Arial" w:eastAsia="Arial" w:hAnsi="Arial"/>
                <w:sz w:val="18"/>
                <w:szCs w:val="18"/>
                <w:color w:val="auto"/>
              </w:rPr>
              <w:t>By:</w:t>
            </w:r>
          </w:p>
        </w:tc>
        <w:tc>
          <w:tcPr>
            <w:tcW w:w="5060" w:type="dxa"/>
            <w:vAlign w:val="bottom"/>
          </w:tcPr>
          <w:p>
            <w:pPr>
              <w:ind w:left="100"/>
              <w:spacing w:after="0"/>
              <w:rPr>
                <w:sz w:val="20"/>
                <w:szCs w:val="20"/>
                <w:color w:val="auto"/>
              </w:rPr>
            </w:pPr>
            <w:r>
              <w:rPr>
                <w:rFonts w:ascii="Arial" w:cs="Arial" w:eastAsia="Arial" w:hAnsi="Arial"/>
                <w:sz w:val="18"/>
                <w:szCs w:val="18"/>
                <w:color w:val="auto"/>
              </w:rPr>
              <w:t>/s/ Eric B. Stang</w:t>
            </w:r>
          </w:p>
        </w:tc>
      </w:tr>
      <w:tr>
        <w:trPr>
          <w:trHeight w:val="195"/>
        </w:trPr>
        <w:tc>
          <w:tcPr>
            <w:tcW w:w="380" w:type="dxa"/>
            <w:vAlign w:val="bottom"/>
          </w:tcPr>
          <w:p>
            <w:pPr>
              <w:spacing w:after="0"/>
              <w:rPr>
                <w:sz w:val="20"/>
                <w:szCs w:val="20"/>
                <w:color w:val="auto"/>
              </w:rPr>
            </w:pPr>
            <w:r>
              <w:rPr>
                <w:rFonts w:ascii="Arial" w:cs="Arial" w:eastAsia="Arial" w:hAnsi="Arial"/>
                <w:sz w:val="17"/>
                <w:szCs w:val="17"/>
                <w:color w:val="auto"/>
                <w:w w:val="71"/>
              </w:rPr>
              <w:t>Name:</w:t>
            </w: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0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Eric B. Stang</w:t>
            </w:r>
          </w:p>
        </w:tc>
      </w:tr>
      <w:tr>
        <w:trPr>
          <w:trHeight w:val="216"/>
        </w:trPr>
        <w:tc>
          <w:tcPr>
            <w:tcW w:w="580" w:type="dxa"/>
            <w:vAlign w:val="bottom"/>
            <w:gridSpan w:val="3"/>
          </w:tcPr>
          <w:p>
            <w:pPr>
              <w:spacing w:after="0"/>
              <w:rPr>
                <w:sz w:val="20"/>
                <w:szCs w:val="20"/>
                <w:color w:val="auto"/>
              </w:rPr>
            </w:pPr>
            <w:r>
              <w:rPr>
                <w:rFonts w:ascii="Arial" w:cs="Arial" w:eastAsia="Arial" w:hAnsi="Arial"/>
                <w:sz w:val="18"/>
                <w:szCs w:val="18"/>
                <w:color w:val="auto"/>
              </w:rPr>
              <w:t>Title:</w:t>
            </w:r>
          </w:p>
        </w:tc>
        <w:tc>
          <w:tcPr>
            <w:tcW w:w="5060" w:type="dxa"/>
            <w:vAlign w:val="bottom"/>
          </w:tcPr>
          <w:p>
            <w:pPr>
              <w:ind w:left="100"/>
              <w:spacing w:after="0"/>
              <w:rPr>
                <w:sz w:val="20"/>
                <w:szCs w:val="20"/>
                <w:color w:val="auto"/>
              </w:rPr>
            </w:pPr>
            <w:r>
              <w:rPr>
                <w:rFonts w:ascii="Arial" w:cs="Arial" w:eastAsia="Arial" w:hAnsi="Arial"/>
                <w:sz w:val="18"/>
                <w:szCs w:val="18"/>
                <w:color w:val="auto"/>
              </w:rPr>
              <w:t>Chairman of the Board, Chief Executive Officer and</w:t>
            </w:r>
          </w:p>
        </w:tc>
      </w:tr>
      <w:tr>
        <w:trPr>
          <w:trHeight w:val="230"/>
        </w:trPr>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60" w:type="dxa"/>
            <w:vAlign w:val="bottom"/>
          </w:tcPr>
          <w:p>
            <w:pPr>
              <w:ind w:left="100"/>
              <w:spacing w:after="0"/>
              <w:rPr>
                <w:sz w:val="20"/>
                <w:szCs w:val="20"/>
                <w:color w:val="auto"/>
              </w:rPr>
            </w:pPr>
            <w:r>
              <w:rPr>
                <w:rFonts w:ascii="Arial" w:cs="Arial" w:eastAsia="Arial" w:hAnsi="Arial"/>
                <w:sz w:val="18"/>
                <w:szCs w:val="18"/>
                <w:color w:val="auto"/>
              </w:rPr>
              <w:t>President</w:t>
            </w:r>
          </w:p>
        </w:tc>
      </w:tr>
    </w:tbl>
    <w:p>
      <w:pPr>
        <w:spacing w:after="0" w:line="198"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[SIGNATURE PAGE TO AGREEMENT AND PLAN OF MERGER]</w:t>
      </w: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2.2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VOTING AGREEMENT</w:t>
      </w:r>
    </w:p>
    <w:p>
      <w:pPr>
        <w:spacing w:after="0" w:line="225" w:lineRule="exact"/>
        <w:rPr>
          <w:sz w:val="20"/>
          <w:szCs w:val="20"/>
          <w:color w:val="auto"/>
        </w:rPr>
      </w:pPr>
    </w:p>
    <w:p>
      <w:pPr>
        <w:ind w:left="660"/>
        <w:spacing w:after="0"/>
        <w:tabs>
          <w:tab w:leader="none" w:pos="7480" w:val="left"/>
        </w:tabs>
        <w:rPr>
          <w:sz w:val="20"/>
          <w:szCs w:val="20"/>
          <w:color w:val="auto"/>
        </w:rPr>
      </w:pPr>
      <w:r>
        <w:rPr>
          <w:rFonts w:ascii="Arial" w:cs="Arial" w:eastAsia="Arial" w:hAnsi="Arial"/>
          <w:sz w:val="18"/>
          <w:szCs w:val="18"/>
          <w:color w:val="auto"/>
        </w:rPr>
        <w:t>THIS VOTING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March</w:t>
      </w:r>
      <w:r>
        <w:rPr>
          <w:sz w:val="20"/>
          <w:szCs w:val="20"/>
          <w:color w:val="auto"/>
        </w:rPr>
        <w:tab/>
      </w:r>
      <w:r>
        <w:rPr>
          <w:rFonts w:ascii="Arial" w:cs="Arial" w:eastAsia="Arial" w:hAnsi="Arial"/>
          <w:sz w:val="16"/>
          <w:szCs w:val="16"/>
          <w:color w:val="auto"/>
        </w:rPr>
        <w:t>, 2006, by and among Micron Technology, Inc., a</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Delaware corporation (“</w:t>
      </w:r>
      <w:r>
        <w:rPr>
          <w:rFonts w:ascii="Arial" w:cs="Arial" w:eastAsia="Arial" w:hAnsi="Arial"/>
          <w:sz w:val="17"/>
          <w:szCs w:val="17"/>
          <w:b w:val="1"/>
          <w:bCs w:val="1"/>
          <w:color w:val="auto"/>
        </w:rPr>
        <w:t>Parent</w:t>
      </w:r>
      <w:r>
        <w:rPr>
          <w:rFonts w:ascii="Arial" w:cs="Arial" w:eastAsia="Arial" w:hAnsi="Arial"/>
          <w:sz w:val="17"/>
          <w:szCs w:val="17"/>
          <w:color w:val="auto"/>
        </w:rPr>
        <w:t>”), and the undersigned stockholder (“</w:t>
      </w:r>
      <w:r>
        <w:rPr>
          <w:rFonts w:ascii="Arial" w:cs="Arial" w:eastAsia="Arial" w:hAnsi="Arial"/>
          <w:sz w:val="17"/>
          <w:szCs w:val="17"/>
          <w:b w:val="1"/>
          <w:bCs w:val="1"/>
          <w:color w:val="auto"/>
        </w:rPr>
        <w:t>Stockholder</w:t>
      </w:r>
      <w:r>
        <w:rPr>
          <w:rFonts w:ascii="Arial" w:cs="Arial" w:eastAsia="Arial" w:hAnsi="Arial"/>
          <w:sz w:val="17"/>
          <w:szCs w:val="17"/>
          <w:color w:val="auto"/>
        </w:rPr>
        <w:t>”) of Lexar Media,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80" w:firstLine="656"/>
        <w:spacing w:after="0" w:line="264" w:lineRule="auto"/>
        <w:tabs>
          <w:tab w:leader="none" w:pos="128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Concurrently with the execution of this Agreement, Parent, March 2006 Merger Corp., a Delaware corporation and a wholly owned subsidiary of Parent (“</w:t>
      </w:r>
      <w:r>
        <w:rPr>
          <w:rFonts w:ascii="Arial" w:cs="Arial" w:eastAsia="Arial" w:hAnsi="Arial"/>
          <w:sz w:val="18"/>
          <w:szCs w:val="18"/>
          <w:b w:val="1"/>
          <w:bCs w:val="1"/>
          <w:color w:val="auto"/>
        </w:rPr>
        <w:t>Merger Sub</w:t>
      </w:r>
      <w:r>
        <w:rPr>
          <w:rFonts w:ascii="Arial" w:cs="Arial" w:eastAsia="Arial" w:hAnsi="Arial"/>
          <w:sz w:val="18"/>
          <w:szCs w:val="18"/>
          <w:color w:val="auto"/>
        </w:rPr>
        <w:t>”), and the Company have entered into an Agreement and Plan of Merger (the “</w:t>
      </w:r>
      <w:r>
        <w:rPr>
          <w:rFonts w:ascii="Arial" w:cs="Arial" w:eastAsia="Arial" w:hAnsi="Arial"/>
          <w:sz w:val="18"/>
          <w:szCs w:val="18"/>
          <w:b w:val="1"/>
          <w:bCs w:val="1"/>
          <w:color w:val="auto"/>
        </w:rPr>
        <w:t>Merger Agreement</w:t>
      </w:r>
      <w:r>
        <w:rPr>
          <w:rFonts w:ascii="Arial" w:cs="Arial" w:eastAsia="Arial" w:hAnsi="Arial"/>
          <w:sz w:val="18"/>
          <w:szCs w:val="18"/>
          <w:color w:val="auto"/>
        </w:rPr>
        <w:t>”), which provides for the merger (the “</w:t>
      </w:r>
      <w:r>
        <w:rPr>
          <w:rFonts w:ascii="Arial" w:cs="Arial" w:eastAsia="Arial" w:hAnsi="Arial"/>
          <w:sz w:val="18"/>
          <w:szCs w:val="18"/>
          <w:b w:val="1"/>
          <w:bCs w:val="1"/>
          <w:color w:val="auto"/>
        </w:rPr>
        <w:t>Merger</w:t>
      </w:r>
      <w:r>
        <w:rPr>
          <w:rFonts w:ascii="Arial" w:cs="Arial" w:eastAsia="Arial" w:hAnsi="Arial"/>
          <w:sz w:val="18"/>
          <w:szCs w:val="18"/>
          <w:color w:val="auto"/>
        </w:rPr>
        <w:t>”) of Merger Sub with and into the Company.</w:t>
      </w:r>
    </w:p>
    <w:p>
      <w:pPr>
        <w:spacing w:after="0" w:line="181" w:lineRule="exact"/>
        <w:rPr>
          <w:rFonts w:ascii="Arial" w:cs="Arial" w:eastAsia="Arial" w:hAnsi="Arial"/>
          <w:sz w:val="18"/>
          <w:szCs w:val="18"/>
          <w:color w:val="auto"/>
        </w:rPr>
      </w:pPr>
    </w:p>
    <w:p>
      <w:pPr>
        <w:ind w:right="380" w:firstLine="656"/>
        <w:spacing w:after="0" w:line="342" w:lineRule="auto"/>
        <w:tabs>
          <w:tab w:leader="none" w:pos="1272" w:val="left"/>
        </w:tabs>
        <w:numPr>
          <w:ilvl w:val="0"/>
          <w:numId w:val="124"/>
        </w:numPr>
        <w:rPr>
          <w:rFonts w:ascii="Arial" w:cs="Arial" w:eastAsia="Arial" w:hAnsi="Arial"/>
          <w:sz w:val="16"/>
          <w:szCs w:val="16"/>
          <w:color w:val="auto"/>
        </w:rPr>
      </w:pPr>
      <w:r>
        <w:rPr>
          <w:rFonts w:ascii="Arial" w:cs="Arial" w:eastAsia="Arial" w:hAnsi="Arial"/>
          <w:sz w:val="16"/>
          <w:szCs w:val="16"/>
          <w:color w:val="auto"/>
        </w:rPr>
        <w:t>Pursuant to the Merger, all of the issued and outstanding shares of capital stock of the Company will be canceled and converted into the right to receive the consideration set forth in the Merger Agreement upon the terms and subject to the conditions set forth in the Merger Agreement.</w:t>
      </w:r>
    </w:p>
    <w:p>
      <w:pPr>
        <w:spacing w:after="0" w:line="123" w:lineRule="exact"/>
        <w:rPr>
          <w:rFonts w:ascii="Arial" w:cs="Arial" w:eastAsia="Arial" w:hAnsi="Arial"/>
          <w:sz w:val="16"/>
          <w:szCs w:val="16"/>
          <w:color w:val="auto"/>
        </w:rPr>
      </w:pPr>
    </w:p>
    <w:p>
      <w:pPr>
        <w:ind w:right="320" w:firstLine="656"/>
        <w:spacing w:after="0" w:line="277" w:lineRule="auto"/>
        <w:tabs>
          <w:tab w:leader="none" w:pos="127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As of the date hereof, Stockholder Beneficially Owns (as defined below) the number of Shares (as defined below) of capital stock of the Company as set forth on the signature page of this Agreement.</w:t>
      </w:r>
    </w:p>
    <w:p>
      <w:pPr>
        <w:spacing w:after="0" w:line="170" w:lineRule="exact"/>
        <w:rPr>
          <w:rFonts w:ascii="Arial" w:cs="Arial" w:eastAsia="Arial" w:hAnsi="Arial"/>
          <w:sz w:val="18"/>
          <w:szCs w:val="18"/>
          <w:color w:val="auto"/>
        </w:rPr>
      </w:pPr>
    </w:p>
    <w:p>
      <w:pPr>
        <w:ind w:firstLine="656"/>
        <w:spacing w:after="0" w:line="264" w:lineRule="auto"/>
        <w:tabs>
          <w:tab w:leader="none" w:pos="128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 order to induce Parent and Merger Sub to execute the Merger Agreement, Stockholder desires to restrict the transfer or disposition of, and desires to vote, the Shares as provided in this Agreement, and the execution and delivery of this Agreement and the Proxy (as defined below) is a material condition to Parent’s willingness to enter into the Merger Agreement.</w:t>
      </w:r>
    </w:p>
    <w:p>
      <w:pPr>
        <w:spacing w:after="0" w:line="181" w:lineRule="exact"/>
        <w:rPr>
          <w:rFonts w:ascii="Arial" w:cs="Arial" w:eastAsia="Arial" w:hAnsi="Arial"/>
          <w:sz w:val="18"/>
          <w:szCs w:val="18"/>
          <w:color w:val="auto"/>
        </w:rPr>
      </w:pPr>
    </w:p>
    <w:p>
      <w:pPr>
        <w:ind w:right="820" w:firstLine="656"/>
        <w:spacing w:after="0" w:line="277" w:lineRule="auto"/>
        <w:tabs>
          <w:tab w:leader="none" w:pos="13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As a stockholder of the Company, the Stockholder will benefit from the execution and delivery of the Merger Agreement and the consummation of the transactions contemplated thereby.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the parties hereto hereby agree as follows:</w:t>
      </w:r>
    </w:p>
    <w:p>
      <w:pPr>
        <w:spacing w:after="0" w:line="225" w:lineRule="exact"/>
        <w:rPr>
          <w:sz w:val="20"/>
          <w:szCs w:val="20"/>
          <w:color w:val="auto"/>
        </w:rPr>
      </w:pPr>
    </w:p>
    <w:p>
      <w:pPr>
        <w:ind w:right="100" w:firstLine="656"/>
        <w:spacing w:after="0" w:line="277" w:lineRule="auto"/>
        <w:tabs>
          <w:tab w:leader="none" w:pos="1280" w:val="left"/>
        </w:tabs>
        <w:numPr>
          <w:ilvl w:val="0"/>
          <w:numId w:val="125"/>
        </w:numPr>
        <w:rPr>
          <w:rFonts w:ascii="Arial" w:cs="Arial" w:eastAsia="Arial" w:hAnsi="Arial"/>
          <w:sz w:val="18"/>
          <w:szCs w:val="18"/>
          <w:color w:val="auto"/>
        </w:rPr>
      </w:pPr>
      <w:r>
        <w:rPr>
          <w:rFonts w:ascii="Arial" w:cs="Arial" w:eastAsia="Arial" w:hAnsi="Arial"/>
          <w:sz w:val="18"/>
          <w:szCs w:val="18"/>
          <w:b w:val="1"/>
          <w:bCs w:val="1"/>
          <w:i w:val="1"/>
          <w:iCs w:val="1"/>
          <w:color w:val="auto"/>
        </w:rPr>
        <w:t>Certain Definitions</w:t>
      </w:r>
      <w:r>
        <w:rPr>
          <w:rFonts w:ascii="Arial" w:cs="Arial" w:eastAsia="Arial" w:hAnsi="Arial"/>
          <w:sz w:val="18"/>
          <w:szCs w:val="18"/>
          <w:color w:val="auto"/>
        </w:rPr>
        <w:t>. Capitalized terms not defined herein shall have the meanings ascribed to them in the Merger Agreement. For purposes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this Agreement:</w:t>
      </w:r>
    </w:p>
    <w:p>
      <w:pPr>
        <w:spacing w:after="0" w:line="166" w:lineRule="exact"/>
        <w:rPr>
          <w:rFonts w:ascii="Arial" w:cs="Arial" w:eastAsia="Arial" w:hAnsi="Arial"/>
          <w:sz w:val="18"/>
          <w:szCs w:val="18"/>
          <w:color w:val="auto"/>
        </w:rPr>
      </w:pPr>
    </w:p>
    <w:p>
      <w:pPr>
        <w:ind w:right="640" w:firstLine="1305"/>
        <w:spacing w:after="0" w:line="282" w:lineRule="auto"/>
        <w:tabs>
          <w:tab w:leader="none" w:pos="1917"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 Person shall be deemed to “</w:t>
      </w:r>
      <w:r>
        <w:rPr>
          <w:rFonts w:ascii="Arial" w:cs="Arial" w:eastAsia="Arial" w:hAnsi="Arial"/>
          <w:sz w:val="18"/>
          <w:szCs w:val="18"/>
          <w:b w:val="1"/>
          <w:bCs w:val="1"/>
          <w:color w:val="auto"/>
        </w:rPr>
        <w:t>Beneficially Own</w:t>
      </w:r>
      <w:r>
        <w:rPr>
          <w:rFonts w:ascii="Arial" w:cs="Arial" w:eastAsia="Arial" w:hAnsi="Arial"/>
          <w:sz w:val="18"/>
          <w:szCs w:val="18"/>
          <w:color w:val="auto"/>
        </w:rPr>
        <w:t>” a security if such Person has “beneficial ownership” of such securities as determined pursuant to Rule 13d-3 under the Securities Exchange Act of 1934, as amended.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4" w:lineRule="exact"/>
        <w:rPr>
          <w:rFonts w:ascii="Arial" w:cs="Arial" w:eastAsia="Arial" w:hAnsi="Arial"/>
          <w:sz w:val="18"/>
          <w:szCs w:val="18"/>
          <w:color w:val="auto"/>
        </w:rPr>
      </w:pPr>
    </w:p>
    <w:p>
      <w:pPr>
        <w:ind w:right="100" w:firstLine="1305"/>
        <w:spacing w:after="0" w:line="289" w:lineRule="auto"/>
        <w:tabs>
          <w:tab w:leader="none" w:pos="1927" w:val="left"/>
        </w:tabs>
        <w:numPr>
          <w:ilvl w:val="1"/>
          <w:numId w:val="1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Constructive Sale</w:t>
      </w:r>
      <w:r>
        <w:rPr>
          <w:rFonts w:ascii="Arial" w:cs="Arial" w:eastAsia="Arial" w:hAnsi="Arial"/>
          <w:sz w:val="17"/>
          <w:szCs w:val="17"/>
          <w:color w:val="auto"/>
        </w:rPr>
        <w:t>” means, with respect to any security, a short sale or entering into or acquiring an offsetting derivative contract with respect to such security, entering into or acquiring a futures or forward contract to deliver such security or entering into any other hedging or other derivative transaction that has the effect of materially changing the economic benefits and risks of ownership of such security.</w:t>
      </w:r>
    </w:p>
    <w:p>
      <w:pPr>
        <w:spacing w:after="0" w:line="158" w:lineRule="exact"/>
        <w:rPr>
          <w:rFonts w:ascii="Arial" w:cs="Arial" w:eastAsia="Arial" w:hAnsi="Arial"/>
          <w:sz w:val="17"/>
          <w:szCs w:val="17"/>
          <w:color w:val="auto"/>
        </w:rPr>
      </w:pPr>
    </w:p>
    <w:p>
      <w:pPr>
        <w:ind w:right="40" w:firstLine="1305"/>
        <w:spacing w:after="0" w:line="266" w:lineRule="auto"/>
        <w:tabs>
          <w:tab w:leader="none" w:pos="1917" w:val="left"/>
        </w:tabs>
        <w:numPr>
          <w:ilvl w:val="1"/>
          <w:numId w:val="1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Expiration Date</w:t>
      </w:r>
      <w:r>
        <w:rPr>
          <w:rFonts w:ascii="Arial" w:cs="Arial" w:eastAsia="Arial" w:hAnsi="Arial"/>
          <w:sz w:val="18"/>
          <w:szCs w:val="18"/>
          <w:color w:val="auto"/>
        </w:rPr>
        <w:t xml:space="preserve">” means the earlier to occur of (i) such date and time as the Merger shall become effective in accordance with the terms and provisions of the Merger Agreement and (ii) such date and time as the Merger Agreement shall have been validly terminated pursuant to </w:t>
      </w:r>
      <w:r>
        <w:rPr>
          <w:rFonts w:ascii="Arial" w:cs="Arial" w:eastAsia="Arial" w:hAnsi="Arial"/>
          <w:sz w:val="18"/>
          <w:szCs w:val="18"/>
          <w:b w:val="1"/>
          <w:bCs w:val="1"/>
          <w:color w:val="auto"/>
        </w:rPr>
        <w:t>Article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VII </w:t>
      </w:r>
      <w:r>
        <w:rPr>
          <w:rFonts w:ascii="Arial" w:cs="Arial" w:eastAsia="Arial" w:hAnsi="Arial"/>
          <w:sz w:val="18"/>
          <w:szCs w:val="18"/>
          <w:color w:val="auto"/>
        </w:rPr>
        <w:t>thereof.</w:t>
      </w:r>
    </w:p>
    <w:p>
      <w:pPr>
        <w:spacing w:after="0" w:line="176" w:lineRule="exact"/>
        <w:rPr>
          <w:rFonts w:ascii="Arial" w:cs="Arial" w:eastAsia="Arial" w:hAnsi="Arial"/>
          <w:sz w:val="18"/>
          <w:szCs w:val="18"/>
          <w:color w:val="auto"/>
        </w:rPr>
      </w:pPr>
    </w:p>
    <w:p>
      <w:pPr>
        <w:ind w:right="340" w:firstLine="1305"/>
        <w:spacing w:after="0" w:line="266" w:lineRule="auto"/>
        <w:tabs>
          <w:tab w:leader="none" w:pos="1927" w:val="left"/>
        </w:tabs>
        <w:numPr>
          <w:ilvl w:val="1"/>
          <w:numId w:val="1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Entity</w:t>
      </w:r>
      <w:r>
        <w:rPr>
          <w:rFonts w:ascii="Arial" w:cs="Arial" w:eastAsia="Arial" w:hAnsi="Arial"/>
          <w:sz w:val="18"/>
          <w:szCs w:val="18"/>
          <w:color w:val="auto"/>
        </w:rPr>
        <w:t>” means any supranational, national, state, municipal, local or foreign government, any instrumentality, subdivision, court, arbitral body, administrative agency or commission or other governmental authority or instrumentality or any quasi-governmental or private body exercising any regulatory, taxing, importing or other governmental or quasi-governmental authority.</w:t>
      </w:r>
    </w:p>
    <w:p>
      <w:pPr>
        <w:spacing w:after="0" w:line="176" w:lineRule="exact"/>
        <w:rPr>
          <w:rFonts w:ascii="Arial" w:cs="Arial" w:eastAsia="Arial" w:hAnsi="Arial"/>
          <w:sz w:val="18"/>
          <w:szCs w:val="18"/>
          <w:color w:val="auto"/>
        </w:rPr>
      </w:pPr>
    </w:p>
    <w:p>
      <w:pPr>
        <w:ind w:right="40" w:firstLine="1305"/>
        <w:spacing w:after="0" w:line="256" w:lineRule="auto"/>
        <w:tabs>
          <w:tab w:leader="none" w:pos="1917" w:val="left"/>
        </w:tabs>
        <w:numPr>
          <w:ilvl w:val="1"/>
          <w:numId w:val="1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Options</w:t>
      </w:r>
      <w:r>
        <w:rPr>
          <w:rFonts w:ascii="Arial" w:cs="Arial" w:eastAsia="Arial" w:hAnsi="Arial"/>
          <w:sz w:val="18"/>
          <w:szCs w:val="18"/>
          <w:color w:val="auto"/>
        </w:rPr>
        <w:t>” means: (i) all securities Beneficially Owned by Stockholder as of the date of this Agreement that are convertible into, or exercisable or exchangeable for, shares of capital stock of the Company, including, without limitation, options, warrants and other rights to acquire shares of Company Common Stock or other shares of capital stock of the Company; and (ii) all securities of which Stockholder acquires Beneficial Ownership during the period from the date of this Agreement through and including the Expiration Date that are convertible into, or exercisable or exchangeable for, shares of capital stock of the Company, including, without limitation, options, warrants and other rights to acquire shares of Company Common Stock or other shares of capital stock of the Company.</w:t>
      </w:r>
    </w:p>
    <w:p>
      <w:pPr>
        <w:spacing w:after="0" w:line="187" w:lineRule="exact"/>
        <w:rPr>
          <w:rFonts w:ascii="Arial" w:cs="Arial" w:eastAsia="Arial" w:hAnsi="Arial"/>
          <w:sz w:val="18"/>
          <w:szCs w:val="18"/>
          <w:color w:val="auto"/>
        </w:rPr>
      </w:pPr>
    </w:p>
    <w:p>
      <w:pPr>
        <w:ind w:right="260" w:firstLine="1305"/>
        <w:spacing w:after="0" w:line="266" w:lineRule="auto"/>
        <w:tabs>
          <w:tab w:leader="none" w:pos="1935" w:val="left"/>
        </w:tabs>
        <w:numPr>
          <w:ilvl w:val="1"/>
          <w:numId w:val="1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(including any non-profit corporation), general partnership, limited partnership, limited liability partnership, joint venture, estate, trust, company (including any limited liability company or joint stock company), firm or other enterprise, association, organization, entity or Governmental Entity.</w:t>
      </w:r>
    </w:p>
    <w:p>
      <w:pPr>
        <w:spacing w:after="0" w:line="176" w:lineRule="exact"/>
        <w:rPr>
          <w:rFonts w:ascii="Arial" w:cs="Arial" w:eastAsia="Arial" w:hAnsi="Arial"/>
          <w:sz w:val="18"/>
          <w:szCs w:val="18"/>
          <w:color w:val="auto"/>
        </w:rPr>
      </w:pPr>
    </w:p>
    <w:p>
      <w:pPr>
        <w:ind w:right="80" w:firstLine="1305"/>
        <w:spacing w:after="0" w:line="261" w:lineRule="auto"/>
        <w:tabs>
          <w:tab w:leader="none" w:pos="1927" w:val="left"/>
        </w:tabs>
        <w:numPr>
          <w:ilvl w:val="1"/>
          <w:numId w:val="1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means: (i) all shares of capital stock of the Company Beneficially Owned by Stockholder as of the date of this Agreement; and (ii) all shares of capital stock of the Company of which Stockholder acquires Beneficial Ownership during the period from the date of this Agreement through and including the Expiration Date, including, without limitation, in each case, shares issued upon the conversion, exercise or exchange of Options.</w:t>
      </w:r>
    </w:p>
    <w:p>
      <w:pPr>
        <w:spacing w:after="0" w:line="180" w:lineRule="exact"/>
        <w:rPr>
          <w:rFonts w:ascii="Arial" w:cs="Arial" w:eastAsia="Arial" w:hAnsi="Arial"/>
          <w:sz w:val="18"/>
          <w:szCs w:val="18"/>
          <w:color w:val="auto"/>
        </w:rPr>
      </w:pPr>
    </w:p>
    <w:p>
      <w:pPr>
        <w:ind w:right="100" w:firstLine="1305"/>
        <w:spacing w:after="0" w:line="258" w:lineRule="auto"/>
        <w:tabs>
          <w:tab w:leader="none" w:pos="1927" w:val="left"/>
        </w:tabs>
        <w:numPr>
          <w:ilvl w:val="1"/>
          <w:numId w:val="1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means, with respect to any security, the direct or indirect (i) assignment, sale, transfer, tender, pledge, hypothecation, gift, placement in trust, Constructive Sale or other disposition of such security (excluding transfers by testamentary or intestate succession, of any right, title or interest in such security (including, without limitation, any right or power to vote to which the holder thereof may be entitled, whether such right or power is granted by proxy or otherwise) or of the record or beneficial ownership of such security, or (ii) offer to make any such sale, transfer, tender, pledge, hypothecation, gift, placement in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-4915535</wp:posOffset>
            </wp:positionV>
            <wp:extent cx="7267575"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25"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25" w:gutter="0" w:footer="0" w:header="0"/>
          <w:type w:val="continuous"/>
        </w:sectPr>
      </w:pPr>
    </w:p>
    <w:bookmarkStart w:id="45" w:name="page46"/>
    <w:bookmarkEnd w:id="45"/>
    <w:p>
      <w:pPr>
        <w:ind w:right="240"/>
        <w:spacing w:after="0" w:line="277" w:lineRule="auto"/>
        <w:rPr>
          <w:sz w:val="20"/>
          <w:szCs w:val="20"/>
          <w:color w:val="auto"/>
        </w:rPr>
      </w:pPr>
      <w:r>
        <w:rPr>
          <w:rFonts w:ascii="Arial" w:cs="Arial" w:eastAsia="Arial" w:hAnsi="Arial"/>
          <w:sz w:val="18"/>
          <w:szCs w:val="18"/>
          <w:color w:val="auto"/>
        </w:rPr>
        <w:t>Constructive Sale or other disposition, and each agreement, arrangement or understanding, whether or not in writing, to effect any of the foregoing, in each case, excluding any Transfer pursuant to a court order.</w:t>
      </w:r>
    </w:p>
    <w:p>
      <w:pPr>
        <w:spacing w:after="0" w:line="166" w:lineRule="exact"/>
        <w:rPr>
          <w:sz w:val="20"/>
          <w:szCs w:val="20"/>
          <w:color w:val="auto"/>
        </w:rPr>
      </w:pPr>
    </w:p>
    <w:p>
      <w:pPr>
        <w:ind w:right="100" w:firstLine="1305"/>
        <w:spacing w:after="0" w:line="266" w:lineRule="auto"/>
        <w:tabs>
          <w:tab w:leader="none" w:pos="1925" w:val="left"/>
        </w:tabs>
        <w:numPr>
          <w:ilvl w:val="1"/>
          <w:numId w:val="1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Period</w:t>
      </w:r>
      <w:r>
        <w:rPr>
          <w:rFonts w:ascii="Arial" w:cs="Arial" w:eastAsia="Arial" w:hAnsi="Arial"/>
          <w:sz w:val="18"/>
          <w:szCs w:val="18"/>
          <w:color w:val="auto"/>
        </w:rPr>
        <w:t>” shall mean the period commencing on the date of this Voting Agreement and ending on the earlier of: (i) the date on which the Merger Agreement is validly terminated; and (ii) the date on which a final vote is taken by the stockholders of Parent on a proposal to approve the issuance of Parent Common Stock in the Merger.</w:t>
      </w:r>
    </w:p>
    <w:p>
      <w:pPr>
        <w:spacing w:after="0" w:line="180" w:lineRule="exact"/>
        <w:rPr>
          <w:rFonts w:ascii="Arial" w:cs="Arial" w:eastAsia="Arial" w:hAnsi="Arial"/>
          <w:sz w:val="18"/>
          <w:szCs w:val="18"/>
          <w:color w:val="auto"/>
        </w:rPr>
      </w:pPr>
    </w:p>
    <w:p>
      <w:pPr>
        <w:ind w:firstLine="656"/>
        <w:spacing w:after="0" w:line="270" w:lineRule="auto"/>
        <w:tabs>
          <w:tab w:leader="none" w:pos="1280" w:val="left"/>
        </w:tabs>
        <w:numPr>
          <w:ilvl w:val="0"/>
          <w:numId w:val="127"/>
        </w:numPr>
        <w:rPr>
          <w:rFonts w:ascii="Arial" w:cs="Arial" w:eastAsia="Arial" w:hAnsi="Arial"/>
          <w:sz w:val="17"/>
          <w:szCs w:val="17"/>
          <w:color w:val="auto"/>
        </w:rPr>
      </w:pPr>
      <w:r>
        <w:rPr>
          <w:rFonts w:ascii="Arial" w:cs="Arial" w:eastAsia="Arial" w:hAnsi="Arial"/>
          <w:sz w:val="17"/>
          <w:szCs w:val="17"/>
          <w:b w:val="1"/>
          <w:bCs w:val="1"/>
          <w:i w:val="1"/>
          <w:iCs w:val="1"/>
          <w:color w:val="auto"/>
        </w:rPr>
        <w:t>No Transfer of Shares or Options</w:t>
      </w:r>
      <w:r>
        <w:rPr>
          <w:rFonts w:ascii="Arial" w:cs="Arial" w:eastAsia="Arial" w:hAnsi="Arial"/>
          <w:sz w:val="17"/>
          <w:szCs w:val="17"/>
          <w:color w:val="auto"/>
        </w:rPr>
        <w:t>. Stockholder agrees that, at all times during the Voting Period, Stockholder shall not Transfer (or cause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permit any Transfer of) any Shares, or make any agreement relating thereto, in each case, without the prior written consent of Parent other than the issuance of Company Common Stock to Stockholder in connection with the exercise by Stockholder of Company Options pursuant to a cashless exercise. Notwithstanding the foregoing, (a) if Stockholder is an individual to any member of Stockholder’s immediate family; or to a trust for the benefit of Stockholder or any member of Stockholder’s immediate family: or (b) if Stockholder is a partnership or limited liability company, to one or more partners or members of Stockholder or to an affiliated corporation under common control with Stockholder,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transferee agrees to assume the obligations of the Stockholder hereunder with respect to any Shares so transferred and the Stockholder may Transfer Shares pursuant to the terms of a trading plan adopted pursuant to Rule 10b5-1 under the Exchange Act in effect prior to the date hereof. Stockholder agrees that any Transfer in violation of this Agreement shall be void and of no force or effect.</w:t>
      </w:r>
    </w:p>
    <w:p>
      <w:pPr>
        <w:spacing w:after="0" w:line="181" w:lineRule="exact"/>
        <w:rPr>
          <w:rFonts w:ascii="Arial" w:cs="Arial" w:eastAsia="Arial" w:hAnsi="Arial"/>
          <w:sz w:val="17"/>
          <w:szCs w:val="17"/>
          <w:color w:val="auto"/>
        </w:rPr>
      </w:pPr>
    </w:p>
    <w:p>
      <w:pPr>
        <w:ind w:right="380" w:firstLine="656"/>
        <w:spacing w:after="0" w:line="312" w:lineRule="auto"/>
        <w:tabs>
          <w:tab w:leader="none" w:pos="1280" w:val="left"/>
        </w:tabs>
        <w:numPr>
          <w:ilvl w:val="0"/>
          <w:numId w:val="127"/>
        </w:numPr>
        <w:rPr>
          <w:rFonts w:ascii="Arial" w:cs="Arial" w:eastAsia="Arial" w:hAnsi="Arial"/>
          <w:sz w:val="16"/>
          <w:szCs w:val="16"/>
          <w:color w:val="auto"/>
        </w:rPr>
      </w:pPr>
      <w:r>
        <w:rPr>
          <w:rFonts w:ascii="Arial" w:cs="Arial" w:eastAsia="Arial" w:hAnsi="Arial"/>
          <w:sz w:val="16"/>
          <w:szCs w:val="16"/>
          <w:b w:val="1"/>
          <w:bCs w:val="1"/>
          <w:i w:val="1"/>
          <w:iCs w:val="1"/>
          <w:color w:val="auto"/>
        </w:rPr>
        <w:t>No Transfer of Voting Rights</w:t>
      </w:r>
      <w:r>
        <w:rPr>
          <w:rFonts w:ascii="Arial" w:cs="Arial" w:eastAsia="Arial" w:hAnsi="Arial"/>
          <w:sz w:val="16"/>
          <w:szCs w:val="16"/>
          <w:color w:val="auto"/>
        </w:rPr>
        <w:t>. Stockholder agrees that, during the Voting Period, Stockholder shall not deposit (or cause or permit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deposit of) any Shares or Options in a voting trust or grant (or cause or permit the grant of) any proxy or enter into (or cause or permit the entry into) any voting agreement or similar agreement with respect to any of the Shares or Options other than as contemplated by this Agreement.</w:t>
      </w:r>
    </w:p>
    <w:p>
      <w:pPr>
        <w:spacing w:after="0" w:line="146" w:lineRule="exact"/>
        <w:rPr>
          <w:rFonts w:ascii="Arial" w:cs="Arial" w:eastAsia="Arial" w:hAnsi="Arial"/>
          <w:sz w:val="16"/>
          <w:szCs w:val="16"/>
          <w:color w:val="auto"/>
        </w:rPr>
      </w:pPr>
    </w:p>
    <w:p>
      <w:pPr>
        <w:ind w:left="1280" w:hanging="624"/>
        <w:spacing w:after="0"/>
        <w:tabs>
          <w:tab w:leader="none" w:pos="1280" w:val="left"/>
        </w:tabs>
        <w:numPr>
          <w:ilvl w:val="0"/>
          <w:numId w:val="127"/>
        </w:numPr>
        <w:rPr>
          <w:rFonts w:ascii="Arial" w:cs="Arial" w:eastAsia="Arial" w:hAnsi="Arial"/>
          <w:sz w:val="18"/>
          <w:szCs w:val="18"/>
          <w:color w:val="auto"/>
        </w:rPr>
      </w:pPr>
      <w:r>
        <w:rPr>
          <w:rFonts w:ascii="Arial" w:cs="Arial" w:eastAsia="Arial" w:hAnsi="Arial"/>
          <w:sz w:val="18"/>
          <w:szCs w:val="18"/>
          <w:b w:val="1"/>
          <w:bCs w:val="1"/>
          <w:i w:val="1"/>
          <w:iCs w:val="1"/>
          <w:color w:val="auto"/>
        </w:rPr>
        <w:t>Agreement to Vote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60" w:firstLine="1305"/>
        <w:spacing w:after="0" w:line="312" w:lineRule="auto"/>
        <w:tabs>
          <w:tab w:leader="none" w:pos="1917" w:val="left"/>
        </w:tabs>
        <w:numPr>
          <w:ilvl w:val="1"/>
          <w:numId w:val="127"/>
        </w:numPr>
        <w:rPr>
          <w:rFonts w:ascii="Arial" w:cs="Arial" w:eastAsia="Arial" w:hAnsi="Arial"/>
          <w:sz w:val="16"/>
          <w:szCs w:val="16"/>
          <w:color w:val="auto"/>
        </w:rPr>
      </w:pPr>
      <w:r>
        <w:rPr>
          <w:rFonts w:ascii="Arial" w:cs="Arial" w:eastAsia="Arial" w:hAnsi="Arial"/>
          <w:sz w:val="16"/>
          <w:szCs w:val="16"/>
          <w:color w:val="auto"/>
        </w:rPr>
        <w:t>Until the Expiration Date, at every meeting of stockholders of the Company, however called, at every adjournment or postponement thereof, and on every action or approval by written consent of stockholders of the Company with respect to any of the following, Stockholder shall vote, to the extent not voted by the Person(s) appointed under the Proxy (as defined below), all of the Shares or cause the Shares to be voted:</w:t>
      </w:r>
    </w:p>
    <w:p>
      <w:pPr>
        <w:spacing w:after="0" w:line="146" w:lineRule="exact"/>
        <w:rPr>
          <w:rFonts w:ascii="Arial" w:cs="Arial" w:eastAsia="Arial" w:hAnsi="Arial"/>
          <w:sz w:val="16"/>
          <w:szCs w:val="16"/>
          <w:color w:val="auto"/>
        </w:rPr>
      </w:pPr>
    </w:p>
    <w:p>
      <w:pPr>
        <w:ind w:left="660" w:right="120" w:firstLine="1293"/>
        <w:spacing w:after="0" w:line="312" w:lineRule="auto"/>
        <w:tabs>
          <w:tab w:leader="none" w:pos="2585" w:val="left"/>
        </w:tabs>
        <w:numPr>
          <w:ilvl w:val="2"/>
          <w:numId w:val="127"/>
        </w:numPr>
        <w:rPr>
          <w:rFonts w:ascii="Arial" w:cs="Arial" w:eastAsia="Arial" w:hAnsi="Arial"/>
          <w:sz w:val="16"/>
          <w:szCs w:val="16"/>
          <w:color w:val="auto"/>
        </w:rPr>
      </w:pPr>
      <w:r>
        <w:rPr>
          <w:rFonts w:ascii="Arial" w:cs="Arial" w:eastAsia="Arial" w:hAnsi="Arial"/>
          <w:sz w:val="16"/>
          <w:szCs w:val="16"/>
          <w:color w:val="auto"/>
        </w:rPr>
        <w:t>in favor of (1) adoption of the Merger Agreement, including all actions and transactions contemplated by the Merger Agreement or the Proxy and (2) any other actions presented to holders of shares of capital stock of the Company that would reasonably be expected to facilitate the Merger Agreement, the Merger and the other actions and transactions contemplated by the Merger Agreement or the Proxy;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right="140" w:firstLine="1293"/>
        <w:spacing w:after="0" w:line="277" w:lineRule="auto"/>
        <w:tabs>
          <w:tab w:leader="none" w:pos="2597" w:val="left"/>
        </w:tabs>
        <w:numPr>
          <w:ilvl w:val="2"/>
          <w:numId w:val="128"/>
        </w:numPr>
        <w:rPr>
          <w:rFonts w:ascii="Arial" w:cs="Arial" w:eastAsia="Arial" w:hAnsi="Arial"/>
          <w:sz w:val="18"/>
          <w:szCs w:val="18"/>
          <w:color w:val="auto"/>
        </w:rPr>
      </w:pPr>
      <w:r>
        <w:rPr>
          <w:rFonts w:ascii="Arial" w:cs="Arial" w:eastAsia="Arial" w:hAnsi="Arial"/>
          <w:sz w:val="18"/>
          <w:szCs w:val="18"/>
          <w:color w:val="auto"/>
        </w:rPr>
        <w:t>against approval of any proposal made in opposition to, or in competition with, the Merger Agreement or consummation of the Merger and the other transactions contemplated by the Merger Agreement or the Proxy; and</w:t>
      </w:r>
    </w:p>
    <w:p>
      <w:pPr>
        <w:spacing w:after="0" w:line="170" w:lineRule="exact"/>
        <w:rPr>
          <w:rFonts w:ascii="Arial" w:cs="Arial" w:eastAsia="Arial" w:hAnsi="Arial"/>
          <w:sz w:val="18"/>
          <w:szCs w:val="18"/>
          <w:color w:val="auto"/>
        </w:rPr>
      </w:pPr>
    </w:p>
    <w:p>
      <w:pPr>
        <w:ind w:left="660" w:right="80" w:firstLine="1293"/>
        <w:spacing w:after="0" w:line="264" w:lineRule="auto"/>
        <w:tabs>
          <w:tab w:leader="none" w:pos="2609" w:val="left"/>
        </w:tabs>
        <w:numPr>
          <w:ilvl w:val="2"/>
          <w:numId w:val="128"/>
        </w:numPr>
        <w:rPr>
          <w:rFonts w:ascii="Arial" w:cs="Arial" w:eastAsia="Arial" w:hAnsi="Arial"/>
          <w:sz w:val="18"/>
          <w:szCs w:val="18"/>
          <w:color w:val="auto"/>
        </w:rPr>
      </w:pPr>
      <w:r>
        <w:rPr>
          <w:rFonts w:ascii="Arial" w:cs="Arial" w:eastAsia="Arial" w:hAnsi="Arial"/>
          <w:sz w:val="18"/>
          <w:szCs w:val="18"/>
          <w:color w:val="auto"/>
        </w:rPr>
        <w:t>against any Acquisition Proposal or any other action that is intended, or would reasonably be expected, to, in any manner impede, prevent, interfere with, delay, postpone, discourage or otherwise adversely affect the Merger or any of the other transactions contemplated by the Merger Agreement.</w:t>
      </w:r>
    </w:p>
    <w:p>
      <w:pPr>
        <w:spacing w:after="0" w:line="181" w:lineRule="exact"/>
        <w:rPr>
          <w:rFonts w:ascii="Arial" w:cs="Arial" w:eastAsia="Arial" w:hAnsi="Arial"/>
          <w:sz w:val="18"/>
          <w:szCs w:val="18"/>
          <w:color w:val="auto"/>
        </w:rPr>
      </w:pPr>
    </w:p>
    <w:p>
      <w:pPr>
        <w:ind w:right="180" w:firstLine="1305"/>
        <w:spacing w:after="0" w:line="277" w:lineRule="auto"/>
        <w:tabs>
          <w:tab w:leader="none" w:pos="1927" w:val="left"/>
        </w:tabs>
        <w:numPr>
          <w:ilvl w:val="1"/>
          <w:numId w:val="129"/>
        </w:numPr>
        <w:rPr>
          <w:rFonts w:ascii="Arial" w:cs="Arial" w:eastAsia="Arial" w:hAnsi="Arial"/>
          <w:sz w:val="18"/>
          <w:szCs w:val="18"/>
          <w:color w:val="auto"/>
        </w:rPr>
      </w:pPr>
      <w:r>
        <w:rPr>
          <w:rFonts w:ascii="Arial" w:cs="Arial" w:eastAsia="Arial" w:hAnsi="Arial"/>
          <w:sz w:val="18"/>
          <w:szCs w:val="18"/>
          <w:color w:val="auto"/>
        </w:rPr>
        <w:t xml:space="preserve">Stockholder shall not enter into any agreement or understanding with any person to vote or give instructions to vote, or make any public announcement that is in any manner inconsistent with this </w:t>
      </w:r>
      <w:r>
        <w:rPr>
          <w:rFonts w:ascii="Arial" w:cs="Arial" w:eastAsia="Arial" w:hAnsi="Arial"/>
          <w:sz w:val="18"/>
          <w:szCs w:val="18"/>
          <w:b w:val="1"/>
          <w:bCs w:val="1"/>
          <w:color w:val="auto"/>
        </w:rPr>
        <w:t>Section 4</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160" w:firstLine="656"/>
        <w:spacing w:after="0" w:line="342" w:lineRule="auto"/>
        <w:tabs>
          <w:tab w:leader="none" w:pos="1280" w:val="left"/>
        </w:tabs>
        <w:numPr>
          <w:ilvl w:val="0"/>
          <w:numId w:val="130"/>
        </w:numPr>
        <w:rPr>
          <w:rFonts w:ascii="Arial" w:cs="Arial" w:eastAsia="Arial" w:hAnsi="Arial"/>
          <w:sz w:val="16"/>
          <w:szCs w:val="16"/>
          <w:color w:val="auto"/>
        </w:rPr>
      </w:pPr>
      <w:r>
        <w:rPr>
          <w:rFonts w:ascii="Arial" w:cs="Arial" w:eastAsia="Arial" w:hAnsi="Arial"/>
          <w:sz w:val="16"/>
          <w:szCs w:val="16"/>
          <w:b w:val="1"/>
          <w:bCs w:val="1"/>
          <w:i w:val="1"/>
          <w:iCs w:val="1"/>
          <w:color w:val="auto"/>
        </w:rPr>
        <w:t>Irrevocable Proxy</w:t>
      </w:r>
      <w:r>
        <w:rPr>
          <w:rFonts w:ascii="Arial" w:cs="Arial" w:eastAsia="Arial" w:hAnsi="Arial"/>
          <w:sz w:val="16"/>
          <w:szCs w:val="16"/>
          <w:color w:val="auto"/>
        </w:rPr>
        <w:t>. Concurrently with the execution of this Agreement, Stockholder agrees to deliver to Parent an irrevocable proxy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form attached hereto as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Proxy</w:t>
      </w:r>
      <w:r>
        <w:rPr>
          <w:rFonts w:ascii="Arial" w:cs="Arial" w:eastAsia="Arial" w:hAnsi="Arial"/>
          <w:sz w:val="16"/>
          <w:szCs w:val="16"/>
          <w:color w:val="auto"/>
        </w:rPr>
        <w:t>”), which shall be irrevocable to the fullest extent permitted by applicable law, covering all Shares.</w:t>
      </w:r>
    </w:p>
    <w:p>
      <w:pPr>
        <w:spacing w:after="0" w:line="123" w:lineRule="exact"/>
        <w:rPr>
          <w:rFonts w:ascii="Arial" w:cs="Arial" w:eastAsia="Arial" w:hAnsi="Arial"/>
          <w:sz w:val="16"/>
          <w:szCs w:val="16"/>
          <w:color w:val="auto"/>
        </w:rPr>
      </w:pPr>
    </w:p>
    <w:p>
      <w:pPr>
        <w:ind w:left="1280" w:hanging="624"/>
        <w:spacing w:after="0"/>
        <w:tabs>
          <w:tab w:leader="none" w:pos="1280" w:val="left"/>
        </w:tabs>
        <w:numPr>
          <w:ilvl w:val="0"/>
          <w:numId w:val="130"/>
        </w:numPr>
        <w:rPr>
          <w:rFonts w:ascii="Arial" w:cs="Arial" w:eastAsia="Arial" w:hAnsi="Arial"/>
          <w:sz w:val="17"/>
          <w:szCs w:val="17"/>
          <w:color w:val="auto"/>
        </w:rPr>
      </w:pPr>
      <w:r>
        <w:rPr>
          <w:rFonts w:ascii="Arial" w:cs="Arial" w:eastAsia="Arial" w:hAnsi="Arial"/>
          <w:sz w:val="17"/>
          <w:szCs w:val="17"/>
          <w:b w:val="1"/>
          <w:bCs w:val="1"/>
          <w:i w:val="1"/>
          <w:iCs w:val="1"/>
          <w:color w:val="auto"/>
        </w:rPr>
        <w:t>Representations, Warranties and Covenants of Stockholder</w:t>
      </w:r>
      <w:r>
        <w:rPr>
          <w:rFonts w:ascii="Arial" w:cs="Arial" w:eastAsia="Arial" w:hAnsi="Arial"/>
          <w:sz w:val="17"/>
          <w:szCs w:val="17"/>
          <w:color w:val="auto"/>
        </w:rPr>
        <w:t>. Stockholder represents, warrants and covenants to Parent as follows:</w:t>
      </w:r>
    </w:p>
    <w:p>
      <w:pPr>
        <w:spacing w:after="0" w:line="236" w:lineRule="exact"/>
        <w:rPr>
          <w:rFonts w:ascii="Arial" w:cs="Arial" w:eastAsia="Arial" w:hAnsi="Arial"/>
          <w:sz w:val="17"/>
          <w:szCs w:val="17"/>
          <w:color w:val="auto"/>
        </w:rPr>
      </w:pPr>
    </w:p>
    <w:p>
      <w:pPr>
        <w:ind w:left="1920" w:hanging="615"/>
        <w:spacing w:after="0"/>
        <w:tabs>
          <w:tab w:leader="none" w:pos="192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Stockholder is the Beneficial Owner of the Shares and the Options indicated on the signature page of this Agreement.</w:t>
      </w:r>
    </w:p>
    <w:p>
      <w:pPr>
        <w:spacing w:after="0" w:line="225" w:lineRule="exact"/>
        <w:rPr>
          <w:rFonts w:ascii="Arial" w:cs="Arial" w:eastAsia="Arial" w:hAnsi="Arial"/>
          <w:sz w:val="18"/>
          <w:szCs w:val="18"/>
          <w:color w:val="auto"/>
        </w:rPr>
      </w:pPr>
    </w:p>
    <w:p>
      <w:pPr>
        <w:ind w:right="860" w:firstLine="1305"/>
        <w:spacing w:after="0" w:line="342" w:lineRule="auto"/>
        <w:tabs>
          <w:tab w:leader="none" w:pos="1927" w:val="left"/>
        </w:tabs>
        <w:numPr>
          <w:ilvl w:val="1"/>
          <w:numId w:val="130"/>
        </w:numPr>
        <w:rPr>
          <w:rFonts w:ascii="Arial" w:cs="Arial" w:eastAsia="Arial" w:hAnsi="Arial"/>
          <w:sz w:val="16"/>
          <w:szCs w:val="16"/>
          <w:color w:val="auto"/>
        </w:rPr>
      </w:pPr>
      <w:r>
        <w:rPr>
          <w:rFonts w:ascii="Arial" w:cs="Arial" w:eastAsia="Arial" w:hAnsi="Arial"/>
          <w:sz w:val="16"/>
          <w:szCs w:val="16"/>
          <w:color w:val="auto"/>
        </w:rPr>
        <w:t>Stockholder does not Beneficially Own any shares of capital stock of the Company or any securities convertible into, or exchangeable or exercisable for, shares of capital stock of the Company, other than the Shares and Options set forth on the signature page hereto.</w:t>
      </w:r>
    </w:p>
    <w:p>
      <w:pPr>
        <w:spacing w:after="0" w:line="123" w:lineRule="exact"/>
        <w:rPr>
          <w:rFonts w:ascii="Arial" w:cs="Arial" w:eastAsia="Arial" w:hAnsi="Arial"/>
          <w:sz w:val="16"/>
          <w:szCs w:val="16"/>
          <w:color w:val="auto"/>
        </w:rPr>
      </w:pPr>
    </w:p>
    <w:p>
      <w:pPr>
        <w:ind w:left="1920" w:hanging="615"/>
        <w:spacing w:after="0"/>
        <w:tabs>
          <w:tab w:leader="none" w:pos="1920" w:val="left"/>
        </w:tabs>
        <w:numPr>
          <w:ilvl w:val="1"/>
          <w:numId w:val="130"/>
        </w:numPr>
        <w:rPr>
          <w:rFonts w:ascii="Arial" w:cs="Arial" w:eastAsia="Arial" w:hAnsi="Arial"/>
          <w:sz w:val="16"/>
          <w:szCs w:val="16"/>
          <w:color w:val="auto"/>
        </w:rPr>
      </w:pPr>
      <w:r>
        <w:rPr>
          <w:rFonts w:ascii="Arial" w:cs="Arial" w:eastAsia="Arial" w:hAnsi="Arial"/>
          <w:sz w:val="16"/>
          <w:szCs w:val="16"/>
          <w:color w:val="auto"/>
        </w:rPr>
        <w:t>Stockholder has the full power to dispose, vote or direct the voting of the Shares for and on behalf of all beneficial owners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Shares.</w:t>
      </w:r>
    </w:p>
    <w:p>
      <w:pPr>
        <w:spacing w:after="0" w:line="210" w:lineRule="exact"/>
        <w:rPr>
          <w:rFonts w:ascii="Arial" w:cs="Arial" w:eastAsia="Arial" w:hAnsi="Arial"/>
          <w:sz w:val="16"/>
          <w:szCs w:val="16"/>
          <w:color w:val="auto"/>
        </w:rPr>
      </w:pPr>
    </w:p>
    <w:p>
      <w:pPr>
        <w:ind w:right="160" w:firstLine="1305"/>
        <w:spacing w:after="0" w:line="312" w:lineRule="auto"/>
        <w:tabs>
          <w:tab w:leader="none" w:pos="1927" w:val="left"/>
        </w:tabs>
        <w:numPr>
          <w:ilvl w:val="1"/>
          <w:numId w:val="130"/>
        </w:numPr>
        <w:rPr>
          <w:rFonts w:ascii="Arial" w:cs="Arial" w:eastAsia="Arial" w:hAnsi="Arial"/>
          <w:sz w:val="16"/>
          <w:szCs w:val="16"/>
          <w:color w:val="auto"/>
        </w:rPr>
      </w:pPr>
      <w:r>
        <w:rPr>
          <w:rFonts w:ascii="Arial" w:cs="Arial" w:eastAsia="Arial" w:hAnsi="Arial"/>
          <w:sz w:val="16"/>
          <w:szCs w:val="16"/>
          <w:color w:val="auto"/>
        </w:rPr>
        <w:t xml:space="preserve">The Shares are, and at all times up to and including the Expiration Date the Shares will be, unless Transferred in compliance with </w:t>
      </w:r>
      <w:r>
        <w:rPr>
          <w:rFonts w:ascii="Arial" w:cs="Arial" w:eastAsia="Arial" w:hAnsi="Arial"/>
          <w:sz w:val="16"/>
          <w:szCs w:val="16"/>
          <w:b w:val="1"/>
          <w:bCs w:val="1"/>
          <w:color w:val="auto"/>
        </w:rPr>
        <w:t>Section 2</w:t>
      </w:r>
      <w:r>
        <w:rPr>
          <w:rFonts w:ascii="Arial" w:cs="Arial" w:eastAsia="Arial" w:hAnsi="Arial"/>
          <w:sz w:val="16"/>
          <w:szCs w:val="16"/>
          <w:color w:val="auto"/>
        </w:rPr>
        <w:t>, Beneficially Owned by Stockholder, free and clear of any rights of first refusal, co-sale rights, security interests, liens, pledges, claims, options,</w:t>
      </w:r>
      <w:r>
        <w:rPr>
          <w:rFonts w:ascii="Arial" w:cs="Arial" w:eastAsia="Arial" w:hAnsi="Arial"/>
          <w:sz w:val="16"/>
          <w:szCs w:val="16"/>
          <w:b w:val="1"/>
          <w:bCs w:val="1"/>
          <w:color w:val="auto"/>
        </w:rPr>
        <w:t xml:space="preserve"> </w:t>
      </w:r>
      <w:r>
        <w:rPr>
          <w:rFonts w:ascii="Arial" w:cs="Arial" w:eastAsia="Arial" w:hAnsi="Arial"/>
          <w:sz w:val="16"/>
          <w:szCs w:val="16"/>
          <w:color w:val="auto"/>
        </w:rPr>
        <w:t>charges, proxies, voting trusts or agreements, understandings or arrangement, or any other encumbrances of any kind or nature (“</w:t>
      </w:r>
      <w:r>
        <w:rPr>
          <w:rFonts w:ascii="Arial" w:cs="Arial" w:eastAsia="Arial" w:hAnsi="Arial"/>
          <w:sz w:val="16"/>
          <w:szCs w:val="16"/>
          <w:b w:val="1"/>
          <w:bCs w:val="1"/>
          <w:color w:val="auto"/>
        </w:rPr>
        <w:t>Encumbrances</w:t>
      </w:r>
      <w:r>
        <w:rPr>
          <w:rFonts w:ascii="Arial" w:cs="Arial" w:eastAsia="Arial" w:hAnsi="Arial"/>
          <w:sz w:val="16"/>
          <w:szCs w:val="16"/>
          <w:color w:val="auto"/>
        </w:rPr>
        <w:t>”).</w:t>
      </w:r>
    </w:p>
    <w:p>
      <w:pPr>
        <w:spacing w:after="0" w:line="146" w:lineRule="exact"/>
        <w:rPr>
          <w:rFonts w:ascii="Arial" w:cs="Arial" w:eastAsia="Arial" w:hAnsi="Arial"/>
          <w:sz w:val="16"/>
          <w:szCs w:val="16"/>
          <w:color w:val="auto"/>
        </w:rPr>
      </w:pPr>
    </w:p>
    <w:p>
      <w:pPr>
        <w:ind w:right="220" w:firstLine="1305"/>
        <w:spacing w:after="0" w:line="259" w:lineRule="auto"/>
        <w:tabs>
          <w:tab w:leader="none" w:pos="1917"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execution and delivery of this Agreement and the Proxy by Stockholder do not, and Stockholder’s performance of its obligations under this Agreement will not conflict with or violate any order, decree, judgment, statute, law, rule, regulation or agreement applicable to the Stockholder and such Shares or Options, except where such conflict or violation would not, individually or in the aggregate, materially impair the ability of the Stockholder to perform his obligations hereunder.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520" w:firstLine="1305"/>
        <w:spacing w:after="0" w:line="277" w:lineRule="auto"/>
        <w:tabs>
          <w:tab w:leader="none" w:pos="193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Stockholder has all requisite power and authority to make, enter into and perform the terms of this Agreement and the Proxy without limitation, qualification or restriction on such power and authority.</w:t>
      </w:r>
    </w:p>
    <w:p>
      <w:pPr>
        <w:sectPr>
          <w:pgSz w:w="11900" w:h="16838" w:orient="portrait"/>
          <w:cols w:equalWidth="0" w:num="1">
            <w:col w:w="11420"/>
          </w:cols>
          <w:pgMar w:left="240" w:top="341" w:right="239" w:bottom="4" w:gutter="0" w:footer="0" w:header="0"/>
        </w:sectPr>
      </w:pPr>
    </w:p>
    <w:bookmarkStart w:id="46" w:name="page47"/>
    <w:bookmarkEnd w:id="46"/>
    <w:p>
      <w:pPr>
        <w:ind w:right="80" w:firstLine="648"/>
        <w:spacing w:after="0" w:line="264" w:lineRule="auto"/>
        <w:rPr>
          <w:sz w:val="20"/>
          <w:szCs w:val="20"/>
          <w:color w:val="auto"/>
        </w:rPr>
      </w:pPr>
      <w:r>
        <w:rPr>
          <w:rFonts w:ascii="Arial" w:cs="Arial" w:eastAsia="Arial" w:hAnsi="Arial"/>
          <w:sz w:val="18"/>
          <w:szCs w:val="18"/>
          <w:color w:val="auto"/>
        </w:rPr>
        <w:t>Except as expressly contemplated herein, the Stockholder is not a party to, and the Shares are not subject to or bound in any manner by, any contract or agreement relating to the Shares, including without limitation, any voting agreement, option agreement, purchase agreement, stockholders’ agreement, partnership agreement or voting trust.</w:t>
      </w:r>
    </w:p>
    <w:p>
      <w:pPr>
        <w:spacing w:after="0" w:line="181" w:lineRule="exact"/>
        <w:rPr>
          <w:sz w:val="20"/>
          <w:szCs w:val="20"/>
          <w:color w:val="auto"/>
        </w:rPr>
      </w:pPr>
    </w:p>
    <w:p>
      <w:pPr>
        <w:ind w:right="20" w:firstLine="656"/>
        <w:spacing w:after="0" w:line="259" w:lineRule="auto"/>
        <w:tabs>
          <w:tab w:leader="none" w:pos="1280" w:val="left"/>
        </w:tabs>
        <w:numPr>
          <w:ilvl w:val="0"/>
          <w:numId w:val="132"/>
        </w:numPr>
        <w:rPr>
          <w:rFonts w:ascii="Arial" w:cs="Arial" w:eastAsia="Arial" w:hAnsi="Arial"/>
          <w:sz w:val="18"/>
          <w:szCs w:val="18"/>
          <w:color w:val="auto"/>
        </w:rPr>
      </w:pPr>
      <w:r>
        <w:rPr>
          <w:rFonts w:ascii="Arial" w:cs="Arial" w:eastAsia="Arial" w:hAnsi="Arial"/>
          <w:sz w:val="18"/>
          <w:szCs w:val="18"/>
          <w:b w:val="1"/>
          <w:bCs w:val="1"/>
          <w:i w:val="1"/>
          <w:iCs w:val="1"/>
          <w:color w:val="auto"/>
        </w:rPr>
        <w:t>Consents and Waivers</w:t>
      </w:r>
      <w:r>
        <w:rPr>
          <w:rFonts w:ascii="Arial" w:cs="Arial" w:eastAsia="Arial" w:hAnsi="Arial"/>
          <w:sz w:val="18"/>
          <w:szCs w:val="18"/>
          <w:color w:val="auto"/>
        </w:rPr>
        <w:t>. Stockholder (not in his or her capacity as a director or officer of the Company) hereby gives all consents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waivers that may be reasonably required from it for the execution delivery of this Agreement and the Proxy under the terms of any agreement or instrument to which such Stockholder is a party, which consent or waiver is required solely because of the consummation of the Merger in accordance with the terms of the Merger Agreement.</w:t>
      </w:r>
    </w:p>
    <w:p>
      <w:pPr>
        <w:spacing w:after="0" w:line="186" w:lineRule="exact"/>
        <w:rPr>
          <w:rFonts w:ascii="Arial" w:cs="Arial" w:eastAsia="Arial" w:hAnsi="Arial"/>
          <w:sz w:val="18"/>
          <w:szCs w:val="18"/>
          <w:color w:val="auto"/>
        </w:rPr>
      </w:pPr>
    </w:p>
    <w:p>
      <w:pPr>
        <w:ind w:left="1280" w:hanging="624"/>
        <w:spacing w:after="0"/>
        <w:tabs>
          <w:tab w:leader="none" w:pos="1280" w:val="left"/>
        </w:tabs>
        <w:numPr>
          <w:ilvl w:val="0"/>
          <w:numId w:val="132"/>
        </w:numPr>
        <w:rPr>
          <w:rFonts w:ascii="Arial" w:cs="Arial" w:eastAsia="Arial" w:hAnsi="Arial"/>
          <w:sz w:val="18"/>
          <w:szCs w:val="18"/>
          <w:color w:val="auto"/>
        </w:rPr>
      </w:pPr>
      <w:r>
        <w:rPr>
          <w:rFonts w:ascii="Arial" w:cs="Arial" w:eastAsia="Arial" w:hAnsi="Arial"/>
          <w:sz w:val="18"/>
          <w:szCs w:val="18"/>
          <w:b w:val="1"/>
          <w:bCs w:val="1"/>
          <w:i w:val="1"/>
          <w:iCs w:val="1"/>
          <w:color w:val="auto"/>
        </w:rPr>
        <w:t>Termination</w:t>
      </w:r>
      <w:r>
        <w:rPr>
          <w:rFonts w:ascii="Arial" w:cs="Arial" w:eastAsia="Arial" w:hAnsi="Arial"/>
          <w:sz w:val="18"/>
          <w:szCs w:val="18"/>
          <w:color w:val="auto"/>
        </w:rPr>
        <w:t>. This Agreement and the Proxy shall terminate and shall have no further force or effect as of the Expiration Date.</w:t>
      </w:r>
    </w:p>
    <w:p>
      <w:pPr>
        <w:spacing w:after="0" w:line="225" w:lineRule="exact"/>
        <w:rPr>
          <w:rFonts w:ascii="Arial" w:cs="Arial" w:eastAsia="Arial" w:hAnsi="Arial"/>
          <w:sz w:val="18"/>
          <w:szCs w:val="18"/>
          <w:color w:val="auto"/>
        </w:rPr>
      </w:pPr>
    </w:p>
    <w:p>
      <w:pPr>
        <w:ind w:firstLine="656"/>
        <w:spacing w:after="0" w:line="259" w:lineRule="auto"/>
        <w:tabs>
          <w:tab w:leader="none" w:pos="1280" w:val="left"/>
        </w:tabs>
        <w:numPr>
          <w:ilvl w:val="0"/>
          <w:numId w:val="132"/>
        </w:numPr>
        <w:rPr>
          <w:rFonts w:ascii="Arial" w:cs="Arial" w:eastAsia="Arial" w:hAnsi="Arial"/>
          <w:sz w:val="18"/>
          <w:szCs w:val="18"/>
          <w:color w:val="auto"/>
        </w:rPr>
      </w:pPr>
      <w:r>
        <w:rPr>
          <w:rFonts w:ascii="Arial" w:cs="Arial" w:eastAsia="Arial" w:hAnsi="Arial"/>
          <w:sz w:val="18"/>
          <w:szCs w:val="18"/>
          <w:b w:val="1"/>
          <w:bCs w:val="1"/>
          <w:i w:val="1"/>
          <w:iCs w:val="1"/>
          <w:color w:val="auto"/>
        </w:rPr>
        <w:t>Stockholder Capacity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 long as Stockholder is an officer or director of the Company, nothing in this Agreement shall be construed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preventing or otherwise affecting any actions taken by Stockholder in his or her capacity as an officer or director of the Company or any of its Subsidiaries or from fulfilling the obligations of such office (including the performance of obligations required by the fiduciary obligations of Stockholder acting solely in his or her capacity as an officer or director).</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132"/>
        </w:numPr>
        <w:rPr>
          <w:rFonts w:ascii="Arial" w:cs="Arial" w:eastAsia="Arial" w:hAnsi="Arial"/>
          <w:sz w:val="18"/>
          <w:szCs w:val="18"/>
          <w:color w:val="auto"/>
        </w:rPr>
      </w:pPr>
      <w:r>
        <w:rPr>
          <w:rFonts w:ascii="Arial" w:cs="Arial" w:eastAsia="Arial" w:hAnsi="Arial"/>
          <w:sz w:val="18"/>
          <w:szCs w:val="18"/>
          <w:b w:val="1"/>
          <w:bCs w:val="1"/>
          <w:i w:val="1"/>
          <w:iCs w:val="1"/>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1305"/>
        <w:spacing w:after="0" w:line="272" w:lineRule="auto"/>
        <w:tabs>
          <w:tab w:leader="none" w:pos="1917" w:val="left"/>
        </w:tabs>
        <w:numPr>
          <w:ilvl w:val="1"/>
          <w:numId w:val="132"/>
        </w:numPr>
        <w:rPr>
          <w:rFonts w:ascii="Arial" w:cs="Arial" w:eastAsia="Arial" w:hAnsi="Arial"/>
          <w:sz w:val="17"/>
          <w:szCs w:val="17"/>
          <w:color w:val="auto"/>
        </w:rPr>
      </w:pPr>
      <w:r>
        <w:rPr>
          <w:rFonts w:ascii="Arial" w:cs="Arial" w:eastAsia="Arial" w:hAnsi="Arial"/>
          <w:sz w:val="17"/>
          <w:szCs w:val="17"/>
          <w:i w:val="1"/>
          <w:iCs w:val="1"/>
          <w:color w:val="auto"/>
        </w:rPr>
        <w:t>Waiver</w:t>
      </w:r>
      <w:r>
        <w:rPr>
          <w:rFonts w:ascii="Arial" w:cs="Arial" w:eastAsia="Arial" w:hAnsi="Arial"/>
          <w:sz w:val="17"/>
          <w:szCs w:val="17"/>
          <w:color w:val="auto"/>
        </w:rPr>
        <w:t>. No failure on the part of Parent or Stockholder to exercise any power, right, privilege or remedy under this Agreement,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no delay on the part of Parent or Stockholder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Neither Parent nor Stockholder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Parent or Stockholder, as appropriate; and any such waiver shall not be applicable or have any effect except in the specific instance in which it is given.</w:t>
      </w:r>
    </w:p>
    <w:p>
      <w:pPr>
        <w:spacing w:after="0" w:line="177" w:lineRule="exact"/>
        <w:rPr>
          <w:rFonts w:ascii="Arial" w:cs="Arial" w:eastAsia="Arial" w:hAnsi="Arial"/>
          <w:sz w:val="17"/>
          <w:szCs w:val="17"/>
          <w:color w:val="auto"/>
        </w:rPr>
      </w:pPr>
    </w:p>
    <w:p>
      <w:pPr>
        <w:ind w:right="100" w:firstLine="1305"/>
        <w:spacing w:after="0" w:line="259" w:lineRule="auto"/>
        <w:tabs>
          <w:tab w:leader="none" w:pos="1927" w:val="left"/>
        </w:tabs>
        <w:numPr>
          <w:ilvl w:val="1"/>
          <w:numId w:val="132"/>
        </w:numPr>
        <w:rPr>
          <w:rFonts w:ascii="Arial" w:cs="Arial" w:eastAsia="Arial" w:hAnsi="Arial"/>
          <w:sz w:val="18"/>
          <w:szCs w:val="18"/>
          <w:color w:val="auto"/>
        </w:rPr>
      </w:pPr>
      <w:r>
        <w:rPr>
          <w:rFonts w:ascii="Arial" w:cs="Arial" w:eastAsia="Arial" w:hAnsi="Arial"/>
          <w:sz w:val="18"/>
          <w:szCs w:val="18"/>
          <w:i w:val="1"/>
          <w:iCs w:val="1"/>
          <w:color w:val="auto"/>
        </w:rPr>
        <w:t>Notices</w:t>
      </w:r>
      <w:r>
        <w:rPr>
          <w:rFonts w:ascii="Arial" w:cs="Arial" w:eastAsia="Arial" w:hAnsi="Arial"/>
          <w:sz w:val="18"/>
          <w:szCs w:val="18"/>
          <w:color w:val="auto"/>
        </w:rPr>
        <w:t>. All notices and other communications hereunder shall be in writing and shall be deemed duly given (i) on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if delivered personally and/or by messenger service, (ii) on the date of confirmation of receipt (or, the first business day following such receipt if the date is not a business day) of transmission by facsimile or (iii) on the date of confirmation of receipt (or, the first business day following such receipt if the date is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not a business day) if delivered by a nationally recognized courier service. All notices hereunder shall be delivered as set forth below, or pursuant to such other instructions as may be designated in writing by the party to receive such notice:</w:t>
      </w:r>
    </w:p>
    <w:p>
      <w:pPr>
        <w:spacing w:after="0" w:line="170" w:lineRule="exact"/>
        <w:rPr>
          <w:sz w:val="20"/>
          <w:szCs w:val="20"/>
          <w:color w:val="auto"/>
        </w:rPr>
      </w:pPr>
    </w:p>
    <w:p>
      <w:pPr>
        <w:ind w:left="2580" w:hanging="627"/>
        <w:spacing w:after="0"/>
        <w:tabs>
          <w:tab w:leader="none" w:pos="258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if to Parent, to:</w:t>
      </w:r>
    </w:p>
    <w:p>
      <w:pPr>
        <w:spacing w:after="0" w:line="225" w:lineRule="exact"/>
        <w:rPr>
          <w:rFonts w:ascii="Arial" w:cs="Arial" w:eastAsia="Arial" w:hAnsi="Arial"/>
          <w:sz w:val="18"/>
          <w:szCs w:val="18"/>
          <w:color w:val="auto"/>
        </w:rPr>
      </w:pPr>
    </w:p>
    <w:p>
      <w:pPr>
        <w:ind w:left="2600"/>
        <w:spacing w:after="0"/>
        <w:rPr>
          <w:rFonts w:ascii="Arial" w:cs="Arial" w:eastAsia="Arial" w:hAnsi="Arial"/>
          <w:sz w:val="18"/>
          <w:szCs w:val="18"/>
          <w:color w:val="auto"/>
        </w:rPr>
      </w:pPr>
      <w:r>
        <w:rPr>
          <w:rFonts w:ascii="Arial" w:cs="Arial" w:eastAsia="Arial" w:hAnsi="Arial"/>
          <w:sz w:val="18"/>
          <w:szCs w:val="18"/>
          <w:color w:val="auto"/>
        </w:rPr>
        <w:t>Micron Technology, Inc.</w:t>
      </w:r>
    </w:p>
    <w:p>
      <w:pPr>
        <w:spacing w:after="0" w:line="23" w:lineRule="exact"/>
        <w:rPr>
          <w:rFonts w:ascii="Arial" w:cs="Arial" w:eastAsia="Arial" w:hAnsi="Arial"/>
          <w:sz w:val="18"/>
          <w:szCs w:val="18"/>
          <w:color w:val="auto"/>
        </w:rPr>
      </w:pPr>
    </w:p>
    <w:p>
      <w:pPr>
        <w:ind w:left="2600" w:right="6500"/>
        <w:spacing w:after="0" w:line="271" w:lineRule="auto"/>
        <w:rPr>
          <w:rFonts w:ascii="Arial" w:cs="Arial" w:eastAsia="Arial" w:hAnsi="Arial"/>
          <w:sz w:val="18"/>
          <w:szCs w:val="18"/>
          <w:color w:val="auto"/>
        </w:rPr>
      </w:pPr>
      <w:r>
        <w:rPr>
          <w:rFonts w:ascii="Arial" w:cs="Arial" w:eastAsia="Arial" w:hAnsi="Arial"/>
          <w:sz w:val="17"/>
          <w:szCs w:val="17"/>
          <w:color w:val="auto"/>
        </w:rPr>
        <w:t>8000 S. Federal Way Boise, ID 83707-0006 Attention: General Counsel Telephone No.: (208) 368-4517 Facsimile No.: (208) 368-4540</w:t>
      </w:r>
    </w:p>
    <w:p>
      <w:pPr>
        <w:spacing w:after="0" w:line="178" w:lineRule="exact"/>
        <w:rPr>
          <w:rFonts w:ascii="Arial" w:cs="Arial" w:eastAsia="Arial" w:hAnsi="Arial"/>
          <w:sz w:val="18"/>
          <w:szCs w:val="18"/>
          <w:color w:val="auto"/>
        </w:rPr>
      </w:pPr>
    </w:p>
    <w:p>
      <w:pPr>
        <w:ind w:left="2600"/>
        <w:spacing w:after="0"/>
        <w:rPr>
          <w:rFonts w:ascii="Arial" w:cs="Arial" w:eastAsia="Arial" w:hAnsi="Arial"/>
          <w:sz w:val="18"/>
          <w:szCs w:val="18"/>
          <w:color w:val="auto"/>
        </w:rPr>
      </w:pPr>
      <w:r>
        <w:rPr>
          <w:rFonts w:ascii="Arial" w:cs="Arial" w:eastAsia="Arial" w:hAnsi="Arial"/>
          <w:sz w:val="18"/>
          <w:szCs w:val="18"/>
          <w:color w:val="auto"/>
        </w:rPr>
        <w:t>with a copy to:</w:t>
      </w:r>
    </w:p>
    <w:p>
      <w:pPr>
        <w:spacing w:after="0" w:line="225" w:lineRule="exact"/>
        <w:rPr>
          <w:rFonts w:ascii="Arial" w:cs="Arial" w:eastAsia="Arial" w:hAnsi="Arial"/>
          <w:sz w:val="18"/>
          <w:szCs w:val="18"/>
          <w:color w:val="auto"/>
        </w:rPr>
      </w:pPr>
    </w:p>
    <w:p>
      <w:pPr>
        <w:ind w:left="2600" w:right="5600"/>
        <w:spacing w:after="0" w:line="258" w:lineRule="auto"/>
        <w:rPr>
          <w:rFonts w:ascii="Arial" w:cs="Arial" w:eastAsia="Arial" w:hAnsi="Arial"/>
          <w:sz w:val="18"/>
          <w:szCs w:val="18"/>
          <w:color w:val="auto"/>
        </w:rPr>
      </w:pPr>
      <w:r>
        <w:rPr>
          <w:rFonts w:ascii="Arial" w:cs="Arial" w:eastAsia="Arial" w:hAnsi="Arial"/>
          <w:sz w:val="18"/>
          <w:szCs w:val="18"/>
          <w:color w:val="auto"/>
        </w:rPr>
        <w:t>Skadden, Arps, Slate, Meagher &amp; Flom LLP 525 University Avenue, Suite 1100</w:t>
      </w:r>
    </w:p>
    <w:p>
      <w:pPr>
        <w:spacing w:after="0" w:line="1" w:lineRule="exact"/>
        <w:rPr>
          <w:rFonts w:ascii="Arial" w:cs="Arial" w:eastAsia="Arial" w:hAnsi="Arial"/>
          <w:sz w:val="18"/>
          <w:szCs w:val="18"/>
          <w:color w:val="auto"/>
        </w:rPr>
      </w:pPr>
    </w:p>
    <w:p>
      <w:pPr>
        <w:jc w:val="both"/>
        <w:ind w:left="2600" w:right="6760"/>
        <w:spacing w:after="0" w:line="265" w:lineRule="auto"/>
        <w:rPr>
          <w:rFonts w:ascii="Arial" w:cs="Arial" w:eastAsia="Arial" w:hAnsi="Arial"/>
          <w:sz w:val="18"/>
          <w:szCs w:val="18"/>
          <w:color w:val="auto"/>
        </w:rPr>
      </w:pPr>
      <w:r>
        <w:rPr>
          <w:rFonts w:ascii="Arial" w:cs="Arial" w:eastAsia="Arial" w:hAnsi="Arial"/>
          <w:sz w:val="17"/>
          <w:szCs w:val="17"/>
          <w:color w:val="auto"/>
        </w:rPr>
        <w:t>Palo Alto, California 94301 Attention: Kenton J. King</w:t>
      </w:r>
    </w:p>
    <w:p>
      <w:pPr>
        <w:jc w:val="right"/>
        <w:ind w:left="2600" w:right="6500" w:firstLine="972"/>
        <w:spacing w:after="0" w:line="323" w:lineRule="auto"/>
        <w:rPr>
          <w:rFonts w:ascii="Arial" w:cs="Arial" w:eastAsia="Arial" w:hAnsi="Arial"/>
          <w:sz w:val="18"/>
          <w:szCs w:val="18"/>
          <w:color w:val="auto"/>
        </w:rPr>
      </w:pPr>
      <w:r>
        <w:rPr>
          <w:rFonts w:ascii="Arial" w:cs="Arial" w:eastAsia="Arial" w:hAnsi="Arial"/>
          <w:sz w:val="16"/>
          <w:szCs w:val="16"/>
          <w:color w:val="auto"/>
        </w:rPr>
        <w:t>Celeste E. Greene Facsimile No.:  (650) 470-4570</w:t>
      </w:r>
    </w:p>
    <w:p>
      <w:pPr>
        <w:spacing w:after="0" w:line="138" w:lineRule="exact"/>
        <w:rPr>
          <w:rFonts w:ascii="Arial" w:cs="Arial" w:eastAsia="Arial" w:hAnsi="Arial"/>
          <w:sz w:val="18"/>
          <w:szCs w:val="18"/>
          <w:color w:val="auto"/>
        </w:rPr>
      </w:pPr>
    </w:p>
    <w:p>
      <w:pPr>
        <w:ind w:left="2600" w:hanging="647"/>
        <w:spacing w:after="0"/>
        <w:tabs>
          <w:tab w:leader="none" w:pos="260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if to Stockholder: To the address for notice set forth on the signature page hereof.</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0"/>
          <w:numId w:val="134"/>
        </w:numPr>
        <w:rPr>
          <w:rFonts w:ascii="Arial" w:cs="Arial" w:eastAsia="Arial" w:hAnsi="Arial"/>
          <w:sz w:val="17"/>
          <w:szCs w:val="17"/>
          <w:color w:val="auto"/>
        </w:rPr>
      </w:pPr>
      <w:r>
        <w:rPr>
          <w:rFonts w:ascii="Arial" w:cs="Arial" w:eastAsia="Arial" w:hAnsi="Arial"/>
          <w:sz w:val="17"/>
          <w:szCs w:val="17"/>
          <w:i w:val="1"/>
          <w:iCs w:val="1"/>
          <w:color w:val="auto"/>
        </w:rPr>
        <w:t>Headings</w:t>
      </w:r>
      <w:r>
        <w:rPr>
          <w:rFonts w:ascii="Arial" w:cs="Arial" w:eastAsia="Arial" w:hAnsi="Arial"/>
          <w:sz w:val="17"/>
          <w:szCs w:val="17"/>
          <w:color w:val="auto"/>
        </w:rPr>
        <w:t>. All captions and section headings used in this Agreement are for convenience only and do not form a part of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right="20" w:firstLine="1305"/>
        <w:spacing w:after="0" w:line="264" w:lineRule="auto"/>
        <w:tabs>
          <w:tab w:leader="none" w:pos="1927" w:val="left"/>
        </w:tabs>
        <w:numPr>
          <w:ilvl w:val="0"/>
          <w:numId w:val="135"/>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two or more counterparts, and by facsimile, all of which shall be considered one</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same agreement and shall become effective when one or more counterparts have been signed by each of the parties and delivered to the other parties, it being understood that all parties need not sign the same counterpart.</w:t>
      </w:r>
    </w:p>
    <w:p>
      <w:pPr>
        <w:spacing w:after="0" w:line="181" w:lineRule="exact"/>
        <w:rPr>
          <w:rFonts w:ascii="Arial" w:cs="Arial" w:eastAsia="Arial" w:hAnsi="Arial"/>
          <w:sz w:val="18"/>
          <w:szCs w:val="18"/>
          <w:color w:val="auto"/>
        </w:rPr>
      </w:pPr>
    </w:p>
    <w:p>
      <w:pPr>
        <w:jc w:val="both"/>
        <w:ind w:right="100" w:firstLine="1305"/>
        <w:spacing w:after="0" w:line="259" w:lineRule="auto"/>
        <w:tabs>
          <w:tab w:leader="none" w:pos="1917" w:val="left"/>
        </w:tabs>
        <w:numPr>
          <w:ilvl w:val="0"/>
          <w:numId w:val="135"/>
        </w:numPr>
        <w:rPr>
          <w:rFonts w:ascii="Arial" w:cs="Arial" w:eastAsia="Arial" w:hAnsi="Arial"/>
          <w:sz w:val="18"/>
          <w:szCs w:val="18"/>
          <w:color w:val="auto"/>
        </w:rPr>
      </w:pPr>
      <w:r>
        <w:rPr>
          <w:rFonts w:ascii="Arial" w:cs="Arial" w:eastAsia="Arial" w:hAnsi="Arial"/>
          <w:sz w:val="18"/>
          <w:szCs w:val="18"/>
          <w:i w:val="1"/>
          <w:iCs w:val="1"/>
          <w:color w:val="auto"/>
        </w:rPr>
        <w:t>Entire Agreement; Amendment</w:t>
      </w:r>
      <w:r>
        <w:rPr>
          <w:rFonts w:ascii="Arial" w:cs="Arial" w:eastAsia="Arial" w:hAnsi="Arial"/>
          <w:sz w:val="18"/>
          <w:szCs w:val="18"/>
          <w:color w:val="auto"/>
        </w:rPr>
        <w:t>. This Agreement and the Proxy constitutes the entire agreement among the parties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subject matter hereof and supersede all prior agreements and understandings, both written and oral, among the parties with respect to the subject matter hereof. This Agreement may not be changed or modified, except by an agreement in writing specifically referencing this Agreement and executed by each of the parties hereto.</w:t>
      </w:r>
    </w:p>
    <w:p>
      <w:pPr>
        <w:spacing w:after="0" w:line="186" w:lineRule="exact"/>
        <w:rPr>
          <w:rFonts w:ascii="Arial" w:cs="Arial" w:eastAsia="Arial" w:hAnsi="Arial"/>
          <w:sz w:val="18"/>
          <w:szCs w:val="18"/>
          <w:color w:val="auto"/>
        </w:rPr>
      </w:pPr>
    </w:p>
    <w:p>
      <w:pPr>
        <w:ind w:right="180" w:firstLine="1305"/>
        <w:spacing w:after="0" w:line="259" w:lineRule="auto"/>
        <w:tabs>
          <w:tab w:leader="none" w:pos="1935" w:val="left"/>
        </w:tabs>
        <w:numPr>
          <w:ilvl w:val="0"/>
          <w:numId w:val="135"/>
        </w:numPr>
        <w:rPr>
          <w:rFonts w:ascii="Arial" w:cs="Arial" w:eastAsia="Arial" w:hAnsi="Arial"/>
          <w:sz w:val="18"/>
          <w:szCs w:val="18"/>
          <w:color w:val="auto"/>
        </w:rPr>
      </w:pPr>
      <w:r>
        <w:rPr>
          <w:rFonts w:ascii="Arial" w:cs="Arial" w:eastAsia="Arial" w:hAnsi="Arial"/>
          <w:sz w:val="18"/>
          <w:szCs w:val="18"/>
          <w:i w:val="1"/>
          <w:iCs w:val="1"/>
          <w:color w:val="auto"/>
        </w:rPr>
        <w:t>Severability</w:t>
      </w:r>
      <w:r>
        <w:rPr>
          <w:rFonts w:ascii="Arial" w:cs="Arial" w:eastAsia="Arial" w:hAnsi="Arial"/>
          <w:sz w:val="18"/>
          <w:szCs w:val="18"/>
          <w:color w:val="auto"/>
        </w:rPr>
        <w:t>. In the event that any provision of this Agreement or the application thereof, becomes or is declared by a court of</w:t>
      </w:r>
      <w:r>
        <w:rPr>
          <w:rFonts w:ascii="Arial" w:cs="Arial" w:eastAsia="Arial" w:hAnsi="Arial"/>
          <w:sz w:val="18"/>
          <w:szCs w:val="18"/>
          <w:i w:val="1"/>
          <w:iCs w:val="1"/>
          <w:color w:val="auto"/>
        </w:rPr>
        <w:t xml:space="preserve"> </w:t>
      </w:r>
      <w:r>
        <w:rPr>
          <w:rFonts w:ascii="Arial" w:cs="Arial" w:eastAsia="Arial" w:hAnsi="Arial"/>
          <w:sz w:val="18"/>
          <w:szCs w:val="18"/>
          <w:color w:val="auto"/>
        </w:rPr>
        <w:t>competent jurisdiction to be illegal, void or unenforceable, the remainder of this Agreement will continue in full force and effect and the application of such provision to other persons or circumstances will be interpreted so as reasonably to effect the intent of the parties hereto. The parties further agree to replace such void</w:t>
      </w:r>
    </w:p>
    <w:p>
      <w:pPr>
        <w:sectPr>
          <w:pgSz w:w="11900" w:h="16838" w:orient="portrait"/>
          <w:cols w:equalWidth="0" w:num="1">
            <w:col w:w="11420"/>
          </w:cols>
          <w:pgMar w:left="240" w:top="125" w:right="239" w:bottom="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0" w:gutter="0" w:footer="0" w:header="0"/>
          <w:type w:val="continuous"/>
        </w:sectPr>
      </w:pPr>
    </w:p>
    <w:bookmarkStart w:id="47" w:name="page48"/>
    <w:bookmarkEnd w:id="47"/>
    <w:p>
      <w:pPr>
        <w:spacing w:after="0" w:line="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19050"/>
                    </a:xfrm>
                    <a:prstGeom prst="rect">
                      <a:avLst/>
                    </a:prstGeom>
                    <a:noFill/>
                  </pic:spPr>
                </pic:pic>
              </a:graphicData>
            </a:graphic>
          </wp:anchor>
        </w:drawing>
      </w:r>
    </w:p>
    <w:p>
      <w:pPr>
        <w:ind w:right="80"/>
        <w:spacing w:after="0" w:line="277" w:lineRule="auto"/>
        <w:rPr>
          <w:sz w:val="20"/>
          <w:szCs w:val="20"/>
          <w:color w:val="auto"/>
        </w:rPr>
      </w:pPr>
      <w:r>
        <w:rPr>
          <w:rFonts w:ascii="Arial" w:cs="Arial" w:eastAsia="Arial" w:hAnsi="Arial"/>
          <w:sz w:val="18"/>
          <w:szCs w:val="18"/>
          <w:color w:val="auto"/>
        </w:rPr>
        <w:t>or unenforceable provision of this Agreement with a valid and enforceable provision that will achieve, to the greatest extent possible, the economic, business and other purposes of such void or unenforceable provision.</w:t>
      </w:r>
    </w:p>
    <w:p>
      <w:pPr>
        <w:spacing w:after="0" w:line="170" w:lineRule="exact"/>
        <w:rPr>
          <w:sz w:val="20"/>
          <w:szCs w:val="20"/>
          <w:color w:val="auto"/>
        </w:rPr>
      </w:pPr>
    </w:p>
    <w:p>
      <w:pPr>
        <w:ind w:right="600" w:firstLine="1305"/>
        <w:spacing w:after="0" w:line="277" w:lineRule="auto"/>
        <w:tabs>
          <w:tab w:leader="none" w:pos="1927" w:val="left"/>
        </w:tabs>
        <w:numPr>
          <w:ilvl w:val="0"/>
          <w:numId w:val="136"/>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This Agreement shall be governed by and construed in accordance with the laws of the State of Delaware,</w:t>
      </w:r>
      <w:r>
        <w:rPr>
          <w:rFonts w:ascii="Arial" w:cs="Arial" w:eastAsia="Arial" w:hAnsi="Arial"/>
          <w:sz w:val="18"/>
          <w:szCs w:val="18"/>
          <w:i w:val="1"/>
          <w:iCs w:val="1"/>
          <w:color w:val="auto"/>
        </w:rPr>
        <w:t xml:space="preserve"> </w:t>
      </w:r>
      <w:r>
        <w:rPr>
          <w:rFonts w:ascii="Arial" w:cs="Arial" w:eastAsia="Arial" w:hAnsi="Arial"/>
          <w:sz w:val="18"/>
          <w:szCs w:val="18"/>
          <w:color w:val="auto"/>
        </w:rPr>
        <w:t>regardless of the laws that might otherwise govern under applicable principles of conflicts of law thereof.</w:t>
      </w:r>
    </w:p>
    <w:p>
      <w:pPr>
        <w:spacing w:after="0" w:line="170" w:lineRule="exact"/>
        <w:rPr>
          <w:rFonts w:ascii="Arial" w:cs="Arial" w:eastAsia="Arial" w:hAnsi="Arial"/>
          <w:sz w:val="18"/>
          <w:szCs w:val="18"/>
          <w:color w:val="auto"/>
        </w:rPr>
      </w:pPr>
    </w:p>
    <w:p>
      <w:pPr>
        <w:jc w:val="both"/>
        <w:ind w:right="140" w:firstLine="1305"/>
        <w:spacing w:after="0" w:line="264" w:lineRule="auto"/>
        <w:tabs>
          <w:tab w:leader="none" w:pos="1927" w:val="left"/>
        </w:tabs>
        <w:numPr>
          <w:ilvl w:val="0"/>
          <w:numId w:val="136"/>
        </w:numPr>
        <w:rPr>
          <w:rFonts w:ascii="Arial" w:cs="Arial" w:eastAsia="Arial" w:hAnsi="Arial"/>
          <w:sz w:val="18"/>
          <w:szCs w:val="18"/>
          <w:color w:val="auto"/>
        </w:rPr>
      </w:pPr>
      <w:r>
        <w:rPr>
          <w:rFonts w:ascii="Arial" w:cs="Arial" w:eastAsia="Arial" w:hAnsi="Arial"/>
          <w:sz w:val="18"/>
          <w:szCs w:val="18"/>
          <w:i w:val="1"/>
          <w:iCs w:val="1"/>
          <w:color w:val="auto"/>
        </w:rPr>
        <w:t>Rules of Construction</w:t>
      </w:r>
      <w:r>
        <w:rPr>
          <w:rFonts w:ascii="Arial" w:cs="Arial" w:eastAsia="Arial" w:hAnsi="Arial"/>
          <w:sz w:val="18"/>
          <w:szCs w:val="18"/>
          <w:color w:val="auto"/>
        </w:rPr>
        <w:t>. The parties hereto agree that they have been represented by counsel during the negotiation and execution</w:t>
      </w:r>
      <w:r>
        <w:rPr>
          <w:rFonts w:ascii="Arial" w:cs="Arial" w:eastAsia="Arial" w:hAnsi="Arial"/>
          <w:sz w:val="18"/>
          <w:szCs w:val="18"/>
          <w:i w:val="1"/>
          <w:iCs w:val="1"/>
          <w:color w:val="auto"/>
        </w:rPr>
        <w:t xml:space="preserve"> </w:t>
      </w:r>
      <w:r>
        <w:rPr>
          <w:rFonts w:ascii="Arial" w:cs="Arial" w:eastAsia="Arial" w:hAnsi="Arial"/>
          <w:sz w:val="18"/>
          <w:szCs w:val="18"/>
          <w:color w:val="auto"/>
        </w:rPr>
        <w:t>of this Agreement and, therefore, waive the application of any law, regulation, holding or rule of construction providing that ambiguities in an agreement or other document will be construed against the party drafting such agreement or document.</w:t>
      </w:r>
    </w:p>
    <w:p>
      <w:pPr>
        <w:spacing w:after="0" w:line="181" w:lineRule="exact"/>
        <w:rPr>
          <w:rFonts w:ascii="Arial" w:cs="Arial" w:eastAsia="Arial" w:hAnsi="Arial"/>
          <w:sz w:val="18"/>
          <w:szCs w:val="18"/>
          <w:color w:val="auto"/>
        </w:rPr>
      </w:pPr>
    </w:p>
    <w:p>
      <w:pPr>
        <w:ind w:firstLine="1305"/>
        <w:spacing w:after="0" w:line="255" w:lineRule="auto"/>
        <w:tabs>
          <w:tab w:leader="none" w:pos="1925" w:val="left"/>
        </w:tabs>
        <w:numPr>
          <w:ilvl w:val="0"/>
          <w:numId w:val="136"/>
        </w:numPr>
        <w:rPr>
          <w:rFonts w:ascii="Arial" w:cs="Arial" w:eastAsia="Arial" w:hAnsi="Arial"/>
          <w:sz w:val="18"/>
          <w:szCs w:val="18"/>
          <w:color w:val="auto"/>
        </w:rPr>
      </w:pPr>
      <w:r>
        <w:rPr>
          <w:rFonts w:ascii="Arial" w:cs="Arial" w:eastAsia="Arial" w:hAnsi="Arial"/>
          <w:sz w:val="18"/>
          <w:szCs w:val="18"/>
          <w:i w:val="1"/>
          <w:iCs w:val="1"/>
          <w:color w:val="auto"/>
        </w:rPr>
        <w:t>Specific Performance</w:t>
      </w:r>
      <w:r>
        <w:rPr>
          <w:rFonts w:ascii="Arial" w:cs="Arial" w:eastAsia="Arial" w:hAnsi="Arial"/>
          <w:sz w:val="18"/>
          <w:szCs w:val="18"/>
          <w:color w:val="auto"/>
        </w:rPr>
        <w:t>. The parties hereto agree that irreparable damage would occur in the event that any of the provisions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were not performed in accordance with their specific terms or were otherwise breached. It is accordingly agreed that the parties shall be entitled to seek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 In the event of any such proceedings to enforce this agreement, the non-prevailing party will pay all costs and expenses incurred by the prevailing party, including all reasonable attorneys’ and experts’ fees.</w:t>
      </w:r>
    </w:p>
    <w:p>
      <w:pPr>
        <w:spacing w:after="0" w:line="193" w:lineRule="exact"/>
        <w:rPr>
          <w:rFonts w:ascii="Arial" w:cs="Arial" w:eastAsia="Arial" w:hAnsi="Arial"/>
          <w:sz w:val="18"/>
          <w:szCs w:val="18"/>
          <w:color w:val="auto"/>
        </w:rPr>
      </w:pPr>
    </w:p>
    <w:p>
      <w:pPr>
        <w:ind w:right="80" w:firstLine="1305"/>
        <w:spacing w:after="0" w:line="259" w:lineRule="auto"/>
        <w:tabs>
          <w:tab w:leader="none" w:pos="1925" w:val="left"/>
        </w:tabs>
        <w:numPr>
          <w:ilvl w:val="0"/>
          <w:numId w:val="136"/>
        </w:numPr>
        <w:rPr>
          <w:rFonts w:ascii="Arial" w:cs="Arial" w:eastAsia="Arial" w:hAnsi="Arial"/>
          <w:sz w:val="18"/>
          <w:szCs w:val="18"/>
          <w:color w:val="auto"/>
        </w:rPr>
      </w:pPr>
      <w:r>
        <w:rPr>
          <w:rFonts w:ascii="Arial" w:cs="Arial" w:eastAsia="Arial" w:hAnsi="Arial"/>
          <w:sz w:val="18"/>
          <w:szCs w:val="18"/>
          <w:i w:val="1"/>
          <w:iCs w:val="1"/>
          <w:color w:val="auto"/>
        </w:rPr>
        <w:t>Binding Effect; No Assignment</w:t>
      </w:r>
      <w:r>
        <w:rPr>
          <w:rFonts w:ascii="Arial" w:cs="Arial" w:eastAsia="Arial" w:hAnsi="Arial"/>
          <w:sz w:val="18"/>
          <w:szCs w:val="18"/>
          <w:color w:val="auto"/>
        </w:rPr>
        <w:t>. This Agreement and all of the provisions hereof shall be binding upon and inure to the benefit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parties hereto and their respective successors and permitted assigns, but, except as otherwise specifically provided herein, neither this Agreement nor any of the rights, interests or obligations of the parties hereto may be assigned by any of the parties without the prior written consent of the other parties. Any purported assignment in violation of this </w:t>
      </w:r>
      <w:r>
        <w:rPr>
          <w:rFonts w:ascii="Arial" w:cs="Arial" w:eastAsia="Arial" w:hAnsi="Arial"/>
          <w:sz w:val="18"/>
          <w:szCs w:val="18"/>
          <w:b w:val="1"/>
          <w:bCs w:val="1"/>
          <w:color w:val="auto"/>
        </w:rPr>
        <w:t>Section 10(j)</w:t>
      </w:r>
      <w:r>
        <w:rPr>
          <w:rFonts w:ascii="Arial" w:cs="Arial" w:eastAsia="Arial" w:hAnsi="Arial"/>
          <w:sz w:val="18"/>
          <w:szCs w:val="18"/>
          <w:color w:val="auto"/>
        </w:rPr>
        <w:t xml:space="preserve"> shall be void.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have executed this Agreement on the date first above written.</w:t>
      </w:r>
    </w:p>
    <w:p>
      <w:pPr>
        <w:spacing w:after="0" w:line="221"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b w:val="1"/>
          <w:bCs w:val="1"/>
          <w:color w:val="auto"/>
        </w:rPr>
        <w:t>MICRON TECHNOLOGY, INC.</w:t>
      </w:r>
      <w:r>
        <w:rPr>
          <w:sz w:val="20"/>
          <w:szCs w:val="20"/>
          <w:color w:val="auto"/>
        </w:rPr>
        <w:tab/>
      </w:r>
      <w:r>
        <w:rPr>
          <w:rFonts w:ascii="Arial" w:cs="Arial" w:eastAsia="Arial" w:hAnsi="Arial"/>
          <w:sz w:val="18"/>
          <w:szCs w:val="18"/>
          <w:b w:val="1"/>
          <w:bCs w:val="1"/>
          <w:color w:val="auto"/>
        </w:rPr>
        <w:t>STOCKHOLDER: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-130810</wp:posOffset>
            </wp:positionV>
            <wp:extent cx="622617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261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289560</wp:posOffset>
            </wp:positionV>
            <wp:extent cx="286448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864485" cy="8890"/>
                    </a:xfrm>
                    <a:prstGeom prst="rect">
                      <a:avLst/>
                    </a:prstGeom>
                    <a:noFill/>
                  </pic:spPr>
                </pic:pic>
              </a:graphicData>
            </a:graphic>
          </wp:anchor>
        </w:drawing>
        <w:drawing>
          <wp:anchor simplePos="0" relativeHeight="251657728" behindDoc="1" locked="0" layoutInCell="0" allowOverlap="1">
            <wp:simplePos x="0" y="0"/>
            <wp:positionH relativeFrom="column">
              <wp:posOffset>3718560</wp:posOffset>
            </wp:positionH>
            <wp:positionV relativeFrom="paragraph">
              <wp:posOffset>-130175</wp:posOffset>
            </wp:positionV>
            <wp:extent cx="286448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-130175</wp:posOffset>
            </wp:positionV>
            <wp:extent cx="286448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3"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Shares and Options:</w:t>
      </w:r>
    </w:p>
    <w:p>
      <w:pPr>
        <w:spacing w:after="0" w:line="21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Company Common Stock:</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Company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4773295</wp:posOffset>
            </wp:positionH>
            <wp:positionV relativeFrom="paragraph">
              <wp:posOffset>5715</wp:posOffset>
            </wp:positionV>
            <wp:extent cx="180086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800860" cy="8890"/>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-130810</wp:posOffset>
            </wp:positionV>
            <wp:extent cx="13893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 PAGE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IRREVOCABLE PROXY</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undersigned stockholder (“</w:t>
      </w:r>
      <w:r>
        <w:rPr>
          <w:rFonts w:ascii="Arial" w:cs="Arial" w:eastAsia="Arial" w:hAnsi="Arial"/>
          <w:sz w:val="16"/>
          <w:szCs w:val="16"/>
          <w:b w:val="1"/>
          <w:bCs w:val="1"/>
          <w:color w:val="auto"/>
        </w:rPr>
        <w:t>Stockholder</w:t>
      </w:r>
      <w:r>
        <w:rPr>
          <w:rFonts w:ascii="Arial" w:cs="Arial" w:eastAsia="Arial" w:hAnsi="Arial"/>
          <w:sz w:val="16"/>
          <w:szCs w:val="16"/>
          <w:color w:val="auto"/>
        </w:rPr>
        <w:t>”) of Lexar Media,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hereby irrevocably (to the fullest extent permitted by law) appoints Micron Technology, Inc., a Delaware corporation (“</w:t>
      </w:r>
      <w:r>
        <w:rPr>
          <w:rFonts w:ascii="Arial" w:cs="Arial" w:eastAsia="Arial" w:hAnsi="Arial"/>
          <w:sz w:val="16"/>
          <w:szCs w:val="16"/>
          <w:b w:val="1"/>
          <w:bCs w:val="1"/>
          <w:color w:val="auto"/>
        </w:rPr>
        <w:t>Parent</w:t>
      </w:r>
      <w:r>
        <w:rPr>
          <w:rFonts w:ascii="Arial" w:cs="Arial" w:eastAsia="Arial" w:hAnsi="Arial"/>
          <w:sz w:val="16"/>
          <w:szCs w:val="16"/>
          <w:color w:val="auto"/>
        </w:rPr>
        <w:t>”), and any designee of Parent, and each of them individually, as the sole and exclusive attorneys-in-fact and proxies of the undersigned with full power of substitution and resubstitution, to vote and exercise all voting and related rights with respect to, and to grant a consent or approval in respect of (in each case, to the full extent that the undersigned is entitled to do so), all of the shares of capital stock of the Company that now are or hereafter may be Beneficially Owned by the undersigned, and any and all other shares or securities of the Company issued or issuable in respect thereof on or after the date hereof (collectively, the “</w:t>
      </w:r>
      <w:r>
        <w:rPr>
          <w:rFonts w:ascii="Arial" w:cs="Arial" w:eastAsia="Arial" w:hAnsi="Arial"/>
          <w:sz w:val="16"/>
          <w:szCs w:val="16"/>
          <w:b w:val="1"/>
          <w:bCs w:val="1"/>
          <w:color w:val="auto"/>
        </w:rPr>
        <w:t>Shares</w:t>
      </w:r>
      <w:r>
        <w:rPr>
          <w:rFonts w:ascii="Arial" w:cs="Arial" w:eastAsia="Arial" w:hAnsi="Arial"/>
          <w:sz w:val="16"/>
          <w:szCs w:val="16"/>
          <w:color w:val="auto"/>
        </w:rPr>
        <w:t>”), in accordance with the terms of this Proxy. The Shares Beneficially Owned by the undersigned as of the date of this Proxy are set forth on the signature page hereof. Any and all prior proxies heretofore given by the undersigned with respect to any Shares are hereby revoked and the undersigned hereby covenants and agrees not to grant any subsequent proxies with respect to any Shares. Capitalized terms used and not defined herein have the meanings assigned to them in that certain Voting Agreement, dated of even date herewith, by and among Parent and Stockholder (the “</w:t>
      </w:r>
      <w:r>
        <w:rPr>
          <w:rFonts w:ascii="Arial" w:cs="Arial" w:eastAsia="Arial" w:hAnsi="Arial"/>
          <w:sz w:val="16"/>
          <w:szCs w:val="16"/>
          <w:b w:val="1"/>
          <w:bCs w:val="1"/>
          <w:color w:val="auto"/>
        </w:rPr>
        <w:t>Voting Agreement</w:t>
      </w:r>
      <w:r>
        <w:rPr>
          <w:rFonts w:ascii="Arial" w:cs="Arial" w:eastAsia="Arial" w:hAnsi="Arial"/>
          <w:sz w:val="16"/>
          <w:szCs w:val="16"/>
          <w:color w:val="auto"/>
        </w:rPr>
        <w:t>”).</w:t>
      </w:r>
    </w:p>
    <w:p>
      <w:pPr>
        <w:spacing w:after="0" w:line="16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This Proxy is irrevocable (to the fullest extent permitted by law), is coupled with an interest and is granted pursuant to the Voting Agreement, and is granted in consideration of Parent entering into that certain Agreement and Plan of Merger (the “</w:t>
      </w:r>
      <w:r>
        <w:rPr>
          <w:rFonts w:ascii="Arial" w:cs="Arial" w:eastAsia="Arial" w:hAnsi="Arial"/>
          <w:sz w:val="17"/>
          <w:szCs w:val="17"/>
          <w:b w:val="1"/>
          <w:bCs w:val="1"/>
          <w:color w:val="auto"/>
        </w:rPr>
        <w:t>Merger Agreement</w:t>
      </w:r>
      <w:r>
        <w:rPr>
          <w:rFonts w:ascii="Arial" w:cs="Arial" w:eastAsia="Arial" w:hAnsi="Arial"/>
          <w:sz w:val="17"/>
          <w:szCs w:val="17"/>
          <w:color w:val="auto"/>
        </w:rPr>
        <w:t>”), dated as of March 6, 2006, by and among Parent, March 2006 Merger Corp., a Delaware corporation and a wholly owned subsidiary of Parent (“</w:t>
      </w:r>
      <w:r>
        <w:rPr>
          <w:rFonts w:ascii="Arial" w:cs="Arial" w:eastAsia="Arial" w:hAnsi="Arial"/>
          <w:sz w:val="17"/>
          <w:szCs w:val="17"/>
          <w:b w:val="1"/>
          <w:bCs w:val="1"/>
          <w:color w:val="auto"/>
        </w:rPr>
        <w:t>Merger Sub</w:t>
      </w:r>
      <w:r>
        <w:rPr>
          <w:rFonts w:ascii="Arial" w:cs="Arial" w:eastAsia="Arial" w:hAnsi="Arial"/>
          <w:sz w:val="17"/>
          <w:szCs w:val="17"/>
          <w:color w:val="auto"/>
        </w:rPr>
        <w:t>”) and the Company. The Merger Agreement provides for the merger of Merger Sub with and into the Company in accordance with its terms (the “</w:t>
      </w:r>
      <w:r>
        <w:rPr>
          <w:rFonts w:ascii="Arial" w:cs="Arial" w:eastAsia="Arial" w:hAnsi="Arial"/>
          <w:sz w:val="17"/>
          <w:szCs w:val="17"/>
          <w:b w:val="1"/>
          <w:bCs w:val="1"/>
          <w:color w:val="auto"/>
        </w:rPr>
        <w:t>Merger</w:t>
      </w:r>
      <w:r>
        <w:rPr>
          <w:rFonts w:ascii="Arial" w:cs="Arial" w:eastAsia="Arial" w:hAnsi="Arial"/>
          <w:sz w:val="17"/>
          <w:szCs w:val="17"/>
          <w:color w:val="auto"/>
        </w:rPr>
        <w:t>”) and the receipt by Stockholder of shares of common stock, par value $0.10 per share, of Parent in exchange for the Shares.</w:t>
      </w:r>
    </w:p>
    <w:p>
      <w:pPr>
        <w:sectPr>
          <w:pgSz w:w="11900" w:h="16913" w:orient="portrait"/>
          <w:cols w:equalWidth="0" w:num="1">
            <w:col w:w="11380"/>
          </w:cols>
          <w:pgMar w:left="240" w:top="719" w:right="279" w:bottom="0" w:gutter="0" w:footer="0" w:header="0"/>
        </w:sectPr>
      </w:pPr>
    </w:p>
    <w:bookmarkStart w:id="48" w:name="page49"/>
    <w:bookmarkEnd w:id="48"/>
    <w:p>
      <w:pPr>
        <w:ind w:firstLine="648"/>
        <w:spacing w:after="0" w:line="259" w:lineRule="auto"/>
        <w:rPr>
          <w:sz w:val="20"/>
          <w:szCs w:val="20"/>
          <w:color w:val="auto"/>
        </w:rPr>
      </w:pPr>
      <w:r>
        <w:rPr>
          <w:rFonts w:ascii="Arial" w:cs="Arial" w:eastAsia="Arial" w:hAnsi="Arial"/>
          <w:sz w:val="18"/>
          <w:szCs w:val="18"/>
          <w:color w:val="auto"/>
        </w:rPr>
        <w:t>The attorneys-in-fact and proxies named above are hereby authorized and empowered by the undersigned to act as the undersigned’s attorney-in-fact and proxy to vote the Shares, and to exercise all voting, consent and similar rights of the undersigned with respect to the Shares (including, without limitation, the power to execute and deliver written consents), at every annual, special, adjourned or postponed meeting of stockholders of the Company and in every written consent in lieu of such meeting:</w:t>
      </w:r>
    </w:p>
    <w:p>
      <w:pPr>
        <w:spacing w:after="0" w:line="187" w:lineRule="exact"/>
        <w:rPr>
          <w:sz w:val="20"/>
          <w:szCs w:val="20"/>
          <w:color w:val="auto"/>
        </w:rPr>
      </w:pPr>
    </w:p>
    <w:p>
      <w:pPr>
        <w:jc w:val="both"/>
        <w:ind w:right="20" w:firstLine="1305"/>
        <w:spacing w:after="0" w:line="286" w:lineRule="auto"/>
        <w:tabs>
          <w:tab w:leader="none" w:pos="1932" w:val="left"/>
        </w:tabs>
        <w:numPr>
          <w:ilvl w:val="0"/>
          <w:numId w:val="137"/>
        </w:numPr>
        <w:rPr>
          <w:rFonts w:ascii="Arial" w:cs="Arial" w:eastAsia="Arial" w:hAnsi="Arial"/>
          <w:sz w:val="17"/>
          <w:szCs w:val="17"/>
          <w:color w:val="auto"/>
        </w:rPr>
      </w:pPr>
      <w:r>
        <w:rPr>
          <w:rFonts w:ascii="Arial" w:cs="Arial" w:eastAsia="Arial" w:hAnsi="Arial"/>
          <w:sz w:val="17"/>
          <w:szCs w:val="17"/>
          <w:color w:val="auto"/>
        </w:rPr>
        <w:t>in favor of (1) adoption of the Merger Agreement, including all actions and transactions contemplated by the Merger Agreement or this Proxy and (2) any other actions presented to holders of shares of capital stock of the Company that would reasonably be expected to facilitate the Merger Agreement, the Merger and the other actions and transactions contemplated by the Merger Agreement or this Proxy;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67" w:lineRule="exact"/>
        <w:rPr>
          <w:rFonts w:ascii="Arial" w:cs="Arial" w:eastAsia="Arial" w:hAnsi="Arial"/>
          <w:sz w:val="17"/>
          <w:szCs w:val="17"/>
          <w:color w:val="auto"/>
        </w:rPr>
      </w:pPr>
    </w:p>
    <w:p>
      <w:pPr>
        <w:ind w:right="320" w:firstLine="1305"/>
        <w:spacing w:after="0" w:line="277" w:lineRule="auto"/>
        <w:tabs>
          <w:tab w:leader="none" w:pos="193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against approval of any proposal made in opposition to, or in competition with, the Merger Agreement or consummation of the Merger and the other transactions contemplated by the Merger Agreement or this Proxy; and</w:t>
      </w:r>
    </w:p>
    <w:p>
      <w:pPr>
        <w:spacing w:after="0" w:line="170" w:lineRule="exact"/>
        <w:rPr>
          <w:rFonts w:ascii="Arial" w:cs="Arial" w:eastAsia="Arial" w:hAnsi="Arial"/>
          <w:sz w:val="18"/>
          <w:szCs w:val="18"/>
          <w:color w:val="auto"/>
        </w:rPr>
      </w:pPr>
    </w:p>
    <w:p>
      <w:pPr>
        <w:ind w:right="100" w:firstLine="1305"/>
        <w:spacing w:after="0" w:line="264" w:lineRule="auto"/>
        <w:tabs>
          <w:tab w:leader="none" w:pos="1949"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against any Acquisition Proposal or any other action that is intended, or would reasonably be expected, to, in any manner impede, prevent, interfere with, delay, postpone, discourage or otherwise adversely affect the Merger or any of the other transactions contemplated by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-1214755</wp:posOffset>
            </wp:positionV>
            <wp:extent cx="7267575"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16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attorneys-in-fact and proxies named above may not exercise this Proxy with respect to any matter other than the matters described in clauses (i), (ii) or (iii) above, and Stockholder may vote the Shares on all other matters.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obligation of the undersigned hereunder shall be binding upon the successors and assigns of the undersigned.</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So long as Stockholder is an officer or director of the Company, nothing in this Proxy shall be construed as preventing or otherwise affecting any actions taken by Stockholder in his or her capacity as an officer or director of the Company or any of its Subsidiaries or from fulfilling the obligations of such office (including without limitation, the performance of obligations required by the fiduciary obligations of Stockholder acting solely in his or her capacity as an officer or director).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Proxy shall terminate, and be of no further force or effect, on the Expiration Date.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2006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-130175</wp:posOffset>
            </wp:positionV>
            <wp:extent cx="355028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289560</wp:posOffset>
            </wp:positionV>
            <wp:extent cx="27444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744470" cy="8890"/>
                    </a:xfrm>
                    <a:prstGeom prst="rect">
                      <a:avLst/>
                    </a:prstGeom>
                    <a:noFill/>
                  </pic:spPr>
                </pic:pic>
              </a:graphicData>
            </a:graphic>
          </wp:anchor>
        </w:drawing>
        <w:drawing>
          <wp:anchor simplePos="0" relativeHeight="251657728" behindDoc="1" locked="0" layoutInCell="0" allowOverlap="1">
            <wp:simplePos x="0" y="0"/>
            <wp:positionH relativeFrom="column">
              <wp:posOffset>3701415</wp:posOffset>
            </wp:positionH>
            <wp:positionV relativeFrom="paragraph">
              <wp:posOffset>-130175</wp:posOffset>
            </wp:positionV>
            <wp:extent cx="355028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-130175</wp:posOffset>
            </wp:positionV>
            <wp:extent cx="355028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1"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17145</wp:posOffset>
            </wp:positionV>
            <wp:extent cx="220408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 PAGE TO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00"/>
      </w:cols>
      <w:pgMar w:left="240" w:top="34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590700B"/>
    <w:multiLevelType w:val="hybridMultilevel"/>
    <w:lvl w:ilvl="0">
      <w:lvlJc w:val="left"/>
      <w:lvlText w:val="☒"/>
      <w:numFmt w:val="bullet"/>
      <w:start w:val="1"/>
    </w:lvl>
  </w:abstractNum>
  <w:abstractNum w:abstractNumId="1">
    <w:nsid w:val="15014ACB"/>
    <w:multiLevelType w:val="hybridMultilevel"/>
    <w:lvl w:ilvl="0">
      <w:lvlJc w:val="left"/>
      <w:lvlText w:val="o"/>
      <w:numFmt w:val="bullet"/>
      <w:start w:val="1"/>
    </w:lvl>
  </w:abstractNum>
  <w:abstractNum w:abstractNumId="2">
    <w:nsid w:val="5F5E7FD0"/>
    <w:multiLevelType w:val="hybridMultilevel"/>
    <w:lvl w:ilvl="0">
      <w:lvlJc w:val="left"/>
      <w:lvlText w:val="(%1)"/>
      <w:numFmt w:val="lowerRoman"/>
      <w:start w:val="2"/>
    </w:lvl>
  </w:abstractNum>
  <w:abstractNum w:abstractNumId="3">
    <w:nsid w:val="98A3148"/>
    <w:multiLevelType w:val="hybridMultilevel"/>
    <w:lvl w:ilvl="0">
      <w:lvlJc w:val="left"/>
      <w:lvlText w:val="%1."/>
      <w:numFmt w:val="upperLetter"/>
      <w:start w:val="1"/>
    </w:lvl>
  </w:abstractNum>
  <w:abstractNum w:abstractNumId="4">
    <w:nsid w:val="799D0247"/>
    <w:multiLevelType w:val="hybridMultilevel"/>
    <w:lvl w:ilvl="0">
      <w:lvlJc w:val="left"/>
      <w:lvlText w:val="%1."/>
      <w:numFmt w:val="upperLetter"/>
      <w:start w:val="3"/>
    </w:lvl>
  </w:abstractNum>
  <w:abstractNum w:abstractNumId="5">
    <w:nsid w:val="6B94764"/>
    <w:multiLevelType w:val="hybridMultilevel"/>
    <w:lvl w:ilvl="0">
      <w:lvlJc w:val="left"/>
      <w:lvlText w:val="(%1)"/>
      <w:numFmt w:val="lowerLetter"/>
      <w:start w:val="1"/>
    </w:lvl>
  </w:abstractNum>
  <w:abstractNum w:abstractNumId="6">
    <w:nsid w:val="42C296BD"/>
    <w:multiLevelType w:val="hybridMultilevel"/>
    <w:lvl w:ilvl="0">
      <w:lvlJc w:val="left"/>
      <w:lvlText w:val="(%1)"/>
      <w:numFmt w:val="lowerLetter"/>
      <w:start w:val="2"/>
    </w:lvl>
  </w:abstractNum>
  <w:abstractNum w:abstractNumId="7">
    <w:nsid w:val="168E121F"/>
    <w:multiLevelType w:val="hybridMultilevel"/>
    <w:lvl w:ilvl="0">
      <w:lvlJc w:val="left"/>
      <w:lvlText w:val="(%1)"/>
      <w:numFmt w:val="lowerLetter"/>
      <w:start w:val="4"/>
    </w:lvl>
  </w:abstractNum>
  <w:abstractNum w:abstractNumId="8">
    <w:nsid w:val="1EBA5D23"/>
    <w:multiLevelType w:val="hybridMultilevel"/>
    <w:lvl w:ilvl="0">
      <w:lvlJc w:val="left"/>
      <w:lvlText w:val="(%1)"/>
      <w:numFmt w:val="lowerLetter"/>
      <w:start w:val="1"/>
    </w:lvl>
  </w:abstractNum>
  <w:abstractNum w:abstractNumId="9">
    <w:nsid w:val="661E3F1E"/>
    <w:multiLevelType w:val="hybridMultilevel"/>
    <w:lvl w:ilvl="0">
      <w:lvlJc w:val="left"/>
      <w:lvlText w:val="(%1)"/>
      <w:numFmt w:val="lowerLetter"/>
      <w:start w:val="4"/>
    </w:lvl>
  </w:abstractNum>
  <w:abstractNum w:abstractNumId="10">
    <w:nsid w:val="5DC79EA8"/>
    <w:multiLevelType w:val="hybridMultilevel"/>
    <w:lvl w:ilvl="0">
      <w:lvlJc w:val="left"/>
      <w:lvlText w:val="%1"/>
      <w:numFmt w:val="decimal"/>
      <w:start w:val="1"/>
    </w:lvl>
    <w:lvl w:ilvl="1">
      <w:lvlJc w:val="left"/>
      <w:lvlText w:val="(%2)"/>
      <w:numFmt w:val="lowerRoman"/>
      <w:start w:val="1"/>
    </w:lvl>
  </w:abstractNum>
  <w:abstractNum w:abstractNumId="11">
    <w:nsid w:val="540A471C"/>
    <w:multiLevelType w:val="hybridMultilevel"/>
    <w:lvl w:ilvl="0">
      <w:lvlJc w:val="left"/>
      <w:lvlText w:val="(%1)"/>
      <w:numFmt w:val="decimal"/>
      <w:start w:val="6"/>
    </w:lvl>
    <w:lvl w:ilvl="1">
      <w:lvlJc w:val="left"/>
      <w:lvlText w:val="%2"/>
      <w:numFmt w:val="lowerRoman"/>
      <w:start w:val="1"/>
    </w:lvl>
  </w:abstractNum>
  <w:abstractNum w:abstractNumId="12">
    <w:nsid w:val="7BD3EE7B"/>
    <w:multiLevelType w:val="hybridMultilevel"/>
    <w:lvl w:ilvl="0">
      <w:lvlJc w:val="left"/>
      <w:lvlText w:val="%1"/>
      <w:numFmt w:val="lowerLetter"/>
      <w:start w:val="1"/>
    </w:lvl>
    <w:lvl w:ilvl="1">
      <w:lvlJc w:val="left"/>
      <w:lvlText w:val="(%2)"/>
      <w:numFmt w:val="lowerLetter"/>
      <w:start w:val="1"/>
    </w:lvl>
  </w:abstractNum>
  <w:abstractNum w:abstractNumId="13">
    <w:nsid w:val="51D9C564"/>
    <w:multiLevelType w:val="hybridMultilevel"/>
    <w:lvl w:ilvl="0">
      <w:lvlJc w:val="left"/>
      <w:lvlText w:val="(%1)"/>
      <w:numFmt w:val="lowerLetter"/>
      <w:start w:val="35"/>
    </w:lvl>
    <w:lvl w:ilvl="1">
      <w:lvlJc w:val="left"/>
      <w:lvlText w:val="(%2)"/>
      <w:numFmt w:val="lowerLetter"/>
      <w:start w:val="2"/>
    </w:lvl>
  </w:abstractNum>
  <w:abstractNum w:abstractNumId="14">
    <w:nsid w:val="613EFDC5"/>
    <w:multiLevelType w:val="hybridMultilevel"/>
    <w:lvl w:ilvl="0">
      <w:lvlJc w:val="left"/>
      <w:lvlText w:val="(%1)"/>
      <w:numFmt w:val="lowerLetter"/>
      <w:start w:val="3"/>
    </w:lvl>
  </w:abstractNum>
  <w:abstractNum w:abstractNumId="15">
    <w:nsid w:val="BF72B14"/>
    <w:multiLevelType w:val="hybridMultilevel"/>
    <w:lvl w:ilvl="0">
      <w:lvlJc w:val="left"/>
      <w:lvlText w:val="%1"/>
      <w:numFmt w:val="lowerLetter"/>
      <w:start w:val="1"/>
    </w:lvl>
    <w:lvl w:ilvl="1">
      <w:lvlJc w:val="left"/>
      <w:lvlText w:val="(%2)"/>
      <w:numFmt w:val="lowerLetter"/>
      <w:start w:val="1"/>
    </w:lvl>
  </w:abstractNum>
  <w:abstractNum w:abstractNumId="16">
    <w:nsid w:val="11447B73"/>
    <w:multiLevelType w:val="hybridMultilevel"/>
    <w:lvl w:ilvl="0">
      <w:lvlJc w:val="left"/>
      <w:lvlText w:val="(%1)"/>
      <w:numFmt w:val="lowerLetter"/>
      <w:start w:val="35"/>
    </w:lvl>
    <w:lvl w:ilvl="1">
      <w:lvlJc w:val="left"/>
      <w:lvlText w:val="(%2)"/>
      <w:numFmt w:val="lowerLetter"/>
      <w:start w:val="2"/>
    </w:lvl>
  </w:abstractNum>
  <w:abstractNum w:abstractNumId="17">
    <w:nsid w:val="42963E5A"/>
    <w:multiLevelType w:val="hybridMultilevel"/>
    <w:lvl w:ilvl="0">
      <w:lvlJc w:val="left"/>
      <w:lvlText w:val="(%1)"/>
      <w:numFmt w:val="lowerLetter"/>
      <w:start w:val="3"/>
    </w:lvl>
  </w:abstractNum>
  <w:abstractNum w:abstractNumId="18">
    <w:nsid w:val="A0382C5"/>
    <w:multiLevelType w:val="hybridMultilevel"/>
    <w:lvl w:ilvl="0">
      <w:lvlJc w:val="left"/>
      <w:lvlText w:val="%1"/>
      <w:numFmt w:val="upperLetter"/>
      <w:start w:val="1"/>
    </w:lvl>
    <w:lvl w:ilvl="1">
      <w:lvlJc w:val="left"/>
      <w:lvlText w:val="(%2)"/>
      <w:numFmt w:val="lowerLetter"/>
      <w:start w:val="5"/>
    </w:lvl>
  </w:abstractNum>
  <w:abstractNum w:abstractNumId="19">
    <w:nsid w:val="8F2B15E"/>
    <w:multiLevelType w:val="hybridMultilevel"/>
    <w:lvl w:ilvl="0">
      <w:lvlJc w:val="left"/>
      <w:lvlText w:val="(%1)"/>
      <w:numFmt w:val="upperLetter"/>
      <w:start w:val="1"/>
    </w:lvl>
    <w:lvl w:ilvl="1">
      <w:lvlJc w:val="left"/>
      <w:lvlText w:val="%2"/>
      <w:numFmt w:val="lowerLetter"/>
      <w:start w:val="1"/>
    </w:lvl>
  </w:abstractNum>
  <w:abstractNum w:abstractNumId="20">
    <w:nsid w:val="1A32234B"/>
    <w:multiLevelType w:val="hybridMultilevel"/>
    <w:lvl w:ilvl="0">
      <w:lvlJc w:val="left"/>
      <w:lvlText w:val="(%1)"/>
      <w:numFmt w:val="lowerLetter"/>
      <w:start w:val="1"/>
    </w:lvl>
  </w:abstractNum>
  <w:abstractNum w:abstractNumId="21">
    <w:nsid w:val="3B0FD379"/>
    <w:multiLevelType w:val="hybridMultilevel"/>
    <w:lvl w:ilvl="0">
      <w:lvlJc w:val="left"/>
      <w:lvlText w:val="(%1)"/>
      <w:numFmt w:val="lowerLetter"/>
      <w:start w:val="4"/>
    </w:lvl>
  </w:abstractNum>
  <w:abstractNum w:abstractNumId="22">
    <w:nsid w:val="68EB2F63"/>
    <w:multiLevelType w:val="hybridMultilevel"/>
    <w:lvl w:ilvl="0">
      <w:lvlJc w:val="left"/>
      <w:lvlText w:val="(%1)"/>
      <w:numFmt w:val="lowerLetter"/>
      <w:start w:val="1"/>
    </w:lvl>
  </w:abstractNum>
  <w:abstractNum w:abstractNumId="23">
    <w:nsid w:val="4962813B"/>
    <w:multiLevelType w:val="hybridMultilevel"/>
    <w:lvl w:ilvl="0">
      <w:lvlJc w:val="left"/>
      <w:lvlText w:val="%1"/>
      <w:numFmt w:val="lowerLetter"/>
      <w:start w:val="1"/>
    </w:lvl>
    <w:lvl w:ilvl="1">
      <w:lvlJc w:val="left"/>
      <w:lvlText w:val="(%2)"/>
      <w:numFmt w:val="lowerLetter"/>
      <w:start w:val="2"/>
    </w:lvl>
  </w:abstractNum>
  <w:abstractNum w:abstractNumId="24">
    <w:nsid w:val="60B6DF70"/>
    <w:multiLevelType w:val="hybridMultilevel"/>
    <w:lvl w:ilvl="0">
      <w:lvlJc w:val="left"/>
      <w:lvlText w:val="(%1)"/>
      <w:numFmt w:val="lowerLetter"/>
      <w:start w:val="35"/>
    </w:lvl>
    <w:lvl w:ilvl="1">
      <w:lvlJc w:val="left"/>
      <w:lvlText w:val="%2"/>
      <w:numFmt w:val="lowerLetter"/>
      <w:start w:val="1"/>
    </w:lvl>
  </w:abstractNum>
  <w:abstractNum w:abstractNumId="25">
    <w:nsid w:val="6A5EE64"/>
    <w:multiLevelType w:val="hybridMultilevel"/>
    <w:lvl w:ilvl="0">
      <w:lvlJc w:val="left"/>
      <w:lvlText w:val="(%1)"/>
      <w:numFmt w:val="lowerLetter"/>
      <w:start w:val="3"/>
    </w:lvl>
  </w:abstractNum>
  <w:abstractNum w:abstractNumId="26">
    <w:nsid w:val="14330624"/>
    <w:multiLevelType w:val="hybridMultilevel"/>
    <w:lvl w:ilvl="0">
      <w:lvlJc w:val="left"/>
      <w:lvlText w:val="(%1)"/>
      <w:numFmt w:val="lowerLetter"/>
      <w:start w:val="4"/>
    </w:lvl>
  </w:abstractNum>
  <w:abstractNum w:abstractNumId="27">
    <w:nsid w:val="7FFFCA11"/>
    <w:multiLevelType w:val="hybridMultilevel"/>
    <w:lvl w:ilvl="0">
      <w:lvlJc w:val="left"/>
      <w:lvlText w:val="(%1)"/>
      <w:numFmt w:val="lowerLetter"/>
      <w:start w:val="6"/>
    </w:lvl>
  </w:abstractNum>
  <w:abstractNum w:abstractNumId="28">
    <w:nsid w:val="1A27709E"/>
    <w:multiLevelType w:val="hybridMultilevel"/>
    <w:lvl w:ilvl="0">
      <w:lvlJc w:val="left"/>
      <w:lvlText w:val="(%1)"/>
      <w:numFmt w:val="lowerLetter"/>
      <w:start w:val="1"/>
    </w:lvl>
  </w:abstractNum>
  <w:abstractNum w:abstractNumId="29">
    <w:nsid w:val="71EA1109"/>
    <w:multiLevelType w:val="hybridMultilevel"/>
    <w:lvl w:ilvl="0">
      <w:lvlJc w:val="left"/>
      <w:lvlText w:val="(%1)"/>
      <w:numFmt w:val="lowerLetter"/>
      <w:start w:val="3"/>
    </w:lvl>
  </w:abstractNum>
  <w:abstractNum w:abstractNumId="30">
    <w:nsid w:val="100F59DC"/>
    <w:multiLevelType w:val="hybridMultilevel"/>
    <w:lvl w:ilvl="0">
      <w:lvlJc w:val="left"/>
      <w:lvlText w:val="(%1)"/>
      <w:numFmt w:val="lowerLetter"/>
      <w:start w:val="6"/>
    </w:lvl>
  </w:abstractNum>
  <w:abstractNum w:abstractNumId="31">
    <w:nsid w:val="7FB7E0AA"/>
    <w:multiLevelType w:val="hybridMultilevel"/>
    <w:lvl w:ilvl="0">
      <w:lvlJc w:val="left"/>
      <w:lvlText w:val="(%1)"/>
      <w:numFmt w:val="lowerLetter"/>
      <w:start w:val="15"/>
    </w:lvl>
  </w:abstractNum>
  <w:abstractNum w:abstractNumId="32">
    <w:nsid w:val="6EB5BD4"/>
    <w:multiLevelType w:val="hybridMultilevel"/>
    <w:lvl w:ilvl="0">
      <w:lvlJc w:val="left"/>
      <w:lvlText w:val="(%1)"/>
      <w:numFmt w:val="lowerLetter"/>
      <w:start w:val="19"/>
    </w:lvl>
  </w:abstractNum>
  <w:abstractNum w:abstractNumId="33">
    <w:nsid w:val="6F6DD9AC"/>
    <w:multiLevelType w:val="hybridMultilevel"/>
    <w:lvl w:ilvl="0">
      <w:lvlJc w:val="left"/>
      <w:lvlText w:val="(%1)"/>
      <w:numFmt w:val="lowerLetter"/>
      <w:start w:val="1"/>
    </w:lvl>
  </w:abstractNum>
  <w:abstractNum w:abstractNumId="34">
    <w:nsid w:val="94211F2"/>
    <w:multiLevelType w:val="hybridMultilevel"/>
    <w:lvl w:ilvl="0">
      <w:lvlJc w:val="left"/>
      <w:lvlText w:val="(%1)"/>
      <w:numFmt w:val="lowerLetter"/>
      <w:start w:val="2"/>
    </w:lvl>
    <w:lvl w:ilvl="1">
      <w:lvlJc w:val="left"/>
      <w:lvlText w:val="(%2)"/>
      <w:numFmt w:val="lowerRoman"/>
      <w:start w:val="1"/>
    </w:lvl>
  </w:abstractNum>
  <w:abstractNum w:abstractNumId="35">
    <w:nsid w:val="885E1B"/>
    <w:multiLevelType w:val="hybridMultilevel"/>
    <w:lvl w:ilvl="0">
      <w:lvlJc w:val="left"/>
      <w:lvlText w:val="%1"/>
      <w:numFmt w:val="upperLetter"/>
      <w:start w:val="1"/>
    </w:lvl>
    <w:lvl w:ilvl="1">
      <w:lvlJc w:val="left"/>
      <w:lvlText w:val="(%2)"/>
      <w:numFmt w:val="lowerRoman"/>
      <w:start w:val="9"/>
    </w:lvl>
  </w:abstractNum>
  <w:abstractNum w:abstractNumId="36">
    <w:nsid w:val="76272110"/>
    <w:multiLevelType w:val="hybridMultilevel"/>
    <w:lvl w:ilvl="0">
      <w:lvlJc w:val="left"/>
      <w:lvlText w:val="(%1)"/>
      <w:numFmt w:val="upperLetter"/>
      <w:start w:val="2"/>
    </w:lvl>
    <w:lvl w:ilvl="1">
      <w:lvlJc w:val="left"/>
      <w:lvlText w:val="%2"/>
      <w:numFmt w:val="lowerRoman"/>
      <w:start w:val="1"/>
    </w:lvl>
  </w:abstractNum>
  <w:abstractNum w:abstractNumId="37">
    <w:nsid w:val="4C04A8AF"/>
    <w:multiLevelType w:val="hybridMultilevel"/>
    <w:lvl w:ilvl="0">
      <w:lvlJc w:val="left"/>
      <w:lvlText w:val="(%1)"/>
      <w:numFmt w:val="lowerRoman"/>
      <w:start w:val="12"/>
    </w:lvl>
  </w:abstractNum>
  <w:abstractNum w:abstractNumId="38">
    <w:nsid w:val="1716703B"/>
    <w:multiLevelType w:val="hybridMultilevel"/>
    <w:lvl w:ilvl="0">
      <w:lvlJc w:val="left"/>
      <w:lvlText w:val="(%1)"/>
      <w:numFmt w:val="lowerLetter"/>
      <w:start w:val="1"/>
    </w:lvl>
  </w:abstractNum>
  <w:abstractNum w:abstractNumId="39">
    <w:nsid w:val="14E17E33"/>
    <w:multiLevelType w:val="hybridMultilevel"/>
    <w:lvl w:ilvl="0">
      <w:lvlJc w:val="left"/>
      <w:lvlText w:val="%1"/>
      <w:numFmt w:val="upperLetter"/>
      <w:start w:val="1"/>
    </w:lvl>
    <w:lvl w:ilvl="1">
      <w:lvlJc w:val="left"/>
      <w:lvlText w:val="(%2)"/>
      <w:numFmt w:val="lowerLetter"/>
      <w:start w:val="2"/>
    </w:lvl>
  </w:abstractNum>
  <w:abstractNum w:abstractNumId="40">
    <w:nsid w:val="3222E7CD"/>
    <w:multiLevelType w:val="hybridMultilevel"/>
    <w:lvl w:ilvl="0">
      <w:lvlJc w:val="left"/>
      <w:lvlText w:val="(%1)"/>
      <w:numFmt w:val="upperLetter"/>
      <w:start w:val="5"/>
    </w:lvl>
    <w:lvl w:ilvl="1">
      <w:lvlJc w:val="left"/>
      <w:lvlText w:val="%2"/>
      <w:numFmt w:val="lowerLetter"/>
      <w:start w:val="1"/>
    </w:lvl>
  </w:abstractNum>
  <w:abstractNum w:abstractNumId="41">
    <w:nsid w:val="74DE0EE3"/>
    <w:multiLevelType w:val="hybridMultilevel"/>
    <w:lvl w:ilvl="0">
      <w:lvlJc w:val="left"/>
      <w:lvlText w:val="(%1)"/>
      <w:numFmt w:val="lowerLetter"/>
      <w:start w:val="1"/>
    </w:lvl>
  </w:abstractNum>
  <w:abstractNum w:abstractNumId="42">
    <w:nsid w:val="68EBC550"/>
    <w:multiLevelType w:val="hybridMultilevel"/>
    <w:lvl w:ilvl="0">
      <w:lvlJc w:val="left"/>
      <w:lvlText w:val="(%1)"/>
      <w:numFmt w:val="lowerLetter"/>
      <w:start w:val="2"/>
    </w:lvl>
  </w:abstractNum>
  <w:abstractNum w:abstractNumId="43">
    <w:nsid w:val="2DF6D648"/>
    <w:multiLevelType w:val="hybridMultilevel"/>
    <w:lvl w:ilvl="0">
      <w:lvlJc w:val="left"/>
      <w:lvlText w:val="(%1)"/>
      <w:numFmt w:val="lowerLetter"/>
      <w:start w:val="5"/>
    </w:lvl>
  </w:abstractNum>
  <w:abstractNum w:abstractNumId="44">
    <w:nsid w:val="46B7D447"/>
    <w:multiLevelType w:val="hybridMultilevel"/>
    <w:lvl w:ilvl="0">
      <w:lvlJc w:val="left"/>
      <w:lvlText w:val="(%1)"/>
      <w:numFmt w:val="lowerLetter"/>
      <w:start w:val="7"/>
    </w:lvl>
  </w:abstractNum>
  <w:abstractNum w:abstractNumId="45">
    <w:nsid w:val="4A2AC315"/>
    <w:multiLevelType w:val="hybridMultilevel"/>
    <w:lvl w:ilvl="0">
      <w:lvlJc w:val="left"/>
      <w:lvlText w:val="(%1)"/>
      <w:numFmt w:val="lowerLetter"/>
      <w:start w:val="9"/>
    </w:lvl>
  </w:abstractNum>
  <w:abstractNum w:abstractNumId="46">
    <w:nsid w:val="39EE015C"/>
    <w:multiLevelType w:val="hybridMultilevel"/>
    <w:lvl w:ilvl="0">
      <w:lvlJc w:val="left"/>
      <w:lvlText w:val="(%1)"/>
      <w:numFmt w:val="lowerLetter"/>
      <w:start w:val="14"/>
    </w:lvl>
  </w:abstractNum>
  <w:abstractNum w:abstractNumId="47">
    <w:nsid w:val="57FC4FBB"/>
    <w:multiLevelType w:val="hybridMultilevel"/>
    <w:lvl w:ilvl="0">
      <w:lvlJc w:val="left"/>
      <w:lvlText w:val="(%1)"/>
      <w:numFmt w:val="lowerLetter"/>
      <w:start w:val="16"/>
    </w:lvl>
  </w:abstractNum>
  <w:abstractNum w:abstractNumId="48">
    <w:nsid w:val="CC1016F"/>
    <w:multiLevelType w:val="hybridMultilevel"/>
    <w:lvl w:ilvl="0">
      <w:lvlJc w:val="left"/>
      <w:lvlText w:val="(%1)"/>
      <w:numFmt w:val="lowerLetter"/>
      <w:start w:val="17"/>
    </w:lvl>
  </w:abstractNum>
  <w:abstractNum w:abstractNumId="49">
    <w:nsid w:val="43F18422"/>
    <w:multiLevelType w:val="hybridMultilevel"/>
    <w:lvl w:ilvl="0">
      <w:lvlJc w:val="left"/>
      <w:lvlText w:val="(%1)"/>
      <w:numFmt w:val="lowerLetter"/>
      <w:start w:val="2"/>
    </w:lvl>
  </w:abstractNum>
  <w:abstractNum w:abstractNumId="50">
    <w:nsid w:val="60EF0119"/>
    <w:multiLevelType w:val="hybridMultilevel"/>
    <w:lvl w:ilvl="0">
      <w:lvlJc w:val="left"/>
      <w:lvlText w:val="%1"/>
      <w:numFmt w:val="lowerLetter"/>
      <w:start w:val="1"/>
    </w:lvl>
    <w:lvl w:ilvl="1">
      <w:lvlJc w:val="left"/>
      <w:lvlText w:val="(%2)"/>
      <w:numFmt w:val="lowerLetter"/>
      <w:start w:val="2"/>
    </w:lvl>
  </w:abstractNum>
  <w:abstractNum w:abstractNumId="51">
    <w:nsid w:val="26F324BA"/>
    <w:multiLevelType w:val="hybridMultilevel"/>
    <w:lvl w:ilvl="0">
      <w:lvlJc w:val="left"/>
      <w:lvlText w:val="(%1)"/>
      <w:numFmt w:val="lowerLetter"/>
      <w:start w:val="35"/>
    </w:lvl>
    <w:lvl w:ilvl="1">
      <w:lvlJc w:val="left"/>
      <w:lvlText w:val="%2"/>
      <w:numFmt w:val="lowerLetter"/>
      <w:start w:val="1"/>
    </w:lvl>
  </w:abstractNum>
  <w:abstractNum w:abstractNumId="52">
    <w:nsid w:val="7F01579B"/>
    <w:multiLevelType w:val="hybridMultilevel"/>
    <w:lvl w:ilvl="0">
      <w:lvlJc w:val="left"/>
      <w:lvlText w:val="(%1)"/>
      <w:numFmt w:val="lowerLetter"/>
      <w:start w:val="4"/>
    </w:lvl>
    <w:lvl w:ilvl="1">
      <w:lvlJc w:val="left"/>
      <w:lvlText w:val="(%2)"/>
      <w:numFmt w:val="lowerLetter"/>
      <w:start w:val="9"/>
    </w:lvl>
  </w:abstractNum>
  <w:abstractNum w:abstractNumId="53">
    <w:nsid w:val="49DA307D"/>
    <w:multiLevelType w:val="hybridMultilevel"/>
    <w:lvl w:ilvl="0">
      <w:lvlJc w:val="left"/>
      <w:lvlText w:val="(%1)"/>
      <w:numFmt w:val="lowerRoman"/>
      <w:start w:val="2"/>
    </w:lvl>
  </w:abstractNum>
  <w:abstractNum w:abstractNumId="54">
    <w:nsid w:val="7055A5F5"/>
    <w:multiLevelType w:val="hybridMultilevel"/>
    <w:lvl w:ilvl="0">
      <w:lvlJc w:val="left"/>
      <w:lvlText w:val="(%1)"/>
      <w:numFmt w:val="lowerLetter"/>
      <w:start w:val="6"/>
    </w:lvl>
    <w:lvl w:ilvl="1">
      <w:lvlJc w:val="left"/>
      <w:lvlText w:val="(%2)"/>
      <w:numFmt w:val="lowerLetter"/>
      <w:start w:val="7"/>
    </w:lvl>
  </w:abstractNum>
  <w:abstractNum w:abstractNumId="55">
    <w:nsid w:val="5FB8370B"/>
    <w:multiLevelType w:val="hybridMultilevel"/>
    <w:lvl w:ilvl="0">
      <w:lvlJc w:val="left"/>
      <w:lvlText w:val="(%1)"/>
      <w:numFmt w:val="lowerLetter"/>
      <w:start w:val="8"/>
    </w:lvl>
  </w:abstractNum>
  <w:abstractNum w:abstractNumId="56">
    <w:nsid w:val="50801EE1"/>
    <w:multiLevelType w:val="hybridMultilevel"/>
    <w:lvl w:ilvl="0">
      <w:lvlJc w:val="left"/>
      <w:lvlText w:val="(%1)"/>
      <w:numFmt w:val="lowerLetter"/>
      <w:start w:val="12"/>
    </w:lvl>
  </w:abstractNum>
  <w:abstractNum w:abstractNumId="57">
    <w:nsid w:val="488AC1A"/>
    <w:multiLevelType w:val="hybridMultilevel"/>
    <w:lvl w:ilvl="0">
      <w:lvlJc w:val="left"/>
      <w:lvlText w:val="(%1)"/>
      <w:numFmt w:val="lowerLetter"/>
      <w:start w:val="14"/>
    </w:lvl>
  </w:abstractNum>
  <w:abstractNum w:abstractNumId="58">
    <w:nsid w:val="5FB8011C"/>
    <w:multiLevelType w:val="hybridMultilevel"/>
    <w:lvl w:ilvl="0">
      <w:lvlJc w:val="left"/>
      <w:lvlText w:val="(%1)"/>
      <w:numFmt w:val="lowerLetter"/>
      <w:start w:val="1"/>
    </w:lvl>
    <w:lvl w:ilvl="1">
      <w:lvlJc w:val="left"/>
      <w:lvlText w:val="(%2)"/>
      <w:numFmt w:val="lowerRoman"/>
      <w:start w:val="1"/>
    </w:lvl>
  </w:abstractNum>
  <w:abstractNum w:abstractNumId="59">
    <w:nsid w:val="6AA78F7F"/>
    <w:multiLevelType w:val="hybridMultilevel"/>
    <w:lvl w:ilvl="0">
      <w:lvlJc w:val="left"/>
      <w:lvlText w:val="(%1)"/>
      <w:numFmt w:val="lowerRoman"/>
      <w:start w:val="4"/>
    </w:lvl>
  </w:abstractNum>
  <w:abstractNum w:abstractNumId="60">
    <w:nsid w:val="7672BD23"/>
    <w:multiLevelType w:val="hybridMultilevel"/>
    <w:lvl w:ilvl="0">
      <w:lvlJc w:val="left"/>
      <w:lvlText w:val="(%1)"/>
      <w:numFmt w:val="lowerRoman"/>
      <w:start w:val="13"/>
    </w:lvl>
  </w:abstractNum>
  <w:abstractNum w:abstractNumId="61">
    <w:nsid w:val="6FC75AF8"/>
    <w:multiLevelType w:val="hybridMultilevel"/>
    <w:lvl w:ilvl="0">
      <w:lvlJc w:val="left"/>
      <w:lvlText w:val="(%1)"/>
      <w:numFmt w:val="lowerLetter"/>
      <w:start w:val="2"/>
    </w:lvl>
  </w:abstractNum>
  <w:abstractNum w:abstractNumId="62">
    <w:nsid w:val="6A5F7029"/>
    <w:multiLevelType w:val="hybridMultilevel"/>
    <w:lvl w:ilvl="0">
      <w:lvlJc w:val="left"/>
      <w:lvlText w:val="(%1)"/>
      <w:numFmt w:val="lowerLetter"/>
      <w:start w:val="1"/>
    </w:lvl>
  </w:abstractNum>
  <w:abstractNum w:abstractNumId="63">
    <w:nsid w:val="7D5E18F8"/>
    <w:multiLevelType w:val="hybridMultilevel"/>
    <w:lvl w:ilvl="0">
      <w:lvlJc w:val="left"/>
      <w:lvlText w:val="(%1)"/>
      <w:numFmt w:val="lowerLetter"/>
      <w:start w:val="3"/>
    </w:lvl>
  </w:abstractNum>
  <w:abstractNum w:abstractNumId="64">
    <w:nsid w:val="5F3534A4"/>
    <w:multiLevelType w:val="hybridMultilevel"/>
    <w:lvl w:ilvl="0">
      <w:lvlJc w:val="left"/>
      <w:lvlText w:val="(%1)"/>
      <w:numFmt w:val="lowerLetter"/>
      <w:start w:val="1"/>
    </w:lvl>
  </w:abstractNum>
  <w:abstractNum w:abstractNumId="65">
    <w:nsid w:val="73A1821B"/>
    <w:multiLevelType w:val="hybridMultilevel"/>
    <w:lvl w:ilvl="0">
      <w:lvlJc w:val="left"/>
      <w:lvlText w:val="(%1)"/>
      <w:numFmt w:val="lowerLetter"/>
      <w:start w:val="2"/>
    </w:lvl>
  </w:abstractNum>
  <w:abstractNum w:abstractNumId="66">
    <w:nsid w:val="7DE67713"/>
    <w:multiLevelType w:val="hybridMultilevel"/>
    <w:lvl w:ilvl="0">
      <w:lvlJc w:val="left"/>
      <w:lvlText w:val="(%1)"/>
      <w:numFmt w:val="lowerLetter"/>
      <w:start w:val="1"/>
    </w:lvl>
  </w:abstractNum>
  <w:abstractNum w:abstractNumId="67">
    <w:nsid w:val="555C55B5"/>
    <w:multiLevelType w:val="hybridMultilevel"/>
    <w:lvl w:ilvl="0">
      <w:lvlJc w:val="left"/>
      <w:lvlText w:val="(%1)"/>
      <w:numFmt w:val="lowerLetter"/>
      <w:start w:val="2"/>
    </w:lvl>
  </w:abstractNum>
  <w:abstractNum w:abstractNumId="68">
    <w:nsid w:val="3FA62ACA"/>
    <w:multiLevelType w:val="hybridMultilevel"/>
    <w:lvl w:ilvl="0">
      <w:lvlJc w:val="left"/>
      <w:lvlText w:val="(%1)"/>
      <w:numFmt w:val="lowerLetter"/>
      <w:start w:val="1"/>
    </w:lvl>
  </w:abstractNum>
  <w:abstractNum w:abstractNumId="69">
    <w:nsid w:val="14FCE74E"/>
    <w:multiLevelType w:val="hybridMultilevel"/>
    <w:lvl w:ilvl="0">
      <w:lvlJc w:val="left"/>
      <w:lvlText w:val="(%1)"/>
      <w:numFmt w:val="lowerLetter"/>
      <w:start w:val="3"/>
    </w:lvl>
  </w:abstractNum>
  <w:abstractNum w:abstractNumId="70">
    <w:nsid w:val="6A3DD3E8"/>
    <w:multiLevelType w:val="hybridMultilevel"/>
    <w:lvl w:ilvl="0">
      <w:lvlJc w:val="left"/>
      <w:lvlText w:val="(%1)"/>
      <w:numFmt w:val="lowerLetter"/>
      <w:start w:val="4"/>
    </w:lvl>
  </w:abstractNum>
  <w:abstractNum w:abstractNumId="71">
    <w:nsid w:val="71C91298"/>
    <w:multiLevelType w:val="hybridMultilevel"/>
    <w:lvl w:ilvl="0">
      <w:lvlJc w:val="left"/>
      <w:lvlText w:val="(%1)"/>
      <w:numFmt w:val="lowerLetter"/>
      <w:start w:val="1"/>
    </w:lvl>
  </w:abstractNum>
  <w:abstractNum w:abstractNumId="72">
    <w:nsid w:val="9DAF632"/>
    <w:multiLevelType w:val="hybridMultilevel"/>
    <w:lvl w:ilvl="0">
      <w:lvlJc w:val="left"/>
      <w:lvlText w:val="(%1)"/>
      <w:numFmt w:val="lowerLetter"/>
      <w:start w:val="1"/>
    </w:lvl>
    <w:lvl w:ilvl="1">
      <w:lvlJc w:val="left"/>
      <w:lvlText w:val="(%2)"/>
      <w:numFmt w:val="lowerRoman"/>
      <w:start w:val="1"/>
    </w:lvl>
  </w:abstractNum>
  <w:abstractNum w:abstractNumId="73">
    <w:nsid w:val="53299938"/>
    <w:multiLevelType w:val="hybridMultilevel"/>
    <w:lvl w:ilvl="0">
      <w:lvlJc w:val="left"/>
      <w:lvlText w:val="(%1)"/>
      <w:numFmt w:val="lowerRoman"/>
      <w:start w:val="3"/>
    </w:lvl>
  </w:abstractNum>
  <w:abstractNum w:abstractNumId="74">
    <w:nsid w:val="1FBFE8E0"/>
    <w:multiLevelType w:val="hybridMultilevel"/>
    <w:lvl w:ilvl="0">
      <w:lvlJc w:val="left"/>
      <w:lvlText w:val="(%1)"/>
      <w:numFmt w:val="lowerRoman"/>
      <w:start w:val="2"/>
    </w:lvl>
    <w:lvl w:ilvl="1">
      <w:lvlJc w:val="left"/>
      <w:lvlText w:val="(%2)"/>
      <w:numFmt w:val="lowerRoman"/>
      <w:start w:val="9"/>
    </w:lvl>
  </w:abstractNum>
  <w:abstractNum w:abstractNumId="75">
    <w:nsid w:val="5092CA79"/>
    <w:multiLevelType w:val="hybridMultilevel"/>
    <w:lvl w:ilvl="0">
      <w:lvlJc w:val="left"/>
      <w:lvlText w:val="%1"/>
      <w:numFmt w:val="lowerLetter"/>
      <w:start w:val="1"/>
    </w:lvl>
    <w:lvl w:ilvl="1">
      <w:lvlJc w:val="left"/>
      <w:lvlText w:val="(%2)"/>
      <w:numFmt w:val="lowerRoman"/>
      <w:start w:val="10"/>
    </w:lvl>
  </w:abstractNum>
  <w:abstractNum w:abstractNumId="76">
    <w:nsid w:val="1D545C4D"/>
    <w:multiLevelType w:val="hybridMultilevel"/>
    <w:lvl w:ilvl="0">
      <w:lvlJc w:val="left"/>
      <w:lvlText w:val="(%1)"/>
      <w:numFmt w:val="lowerLetter"/>
      <w:start w:val="1"/>
    </w:lvl>
    <w:lvl w:ilvl="1">
      <w:lvlJc w:val="left"/>
      <w:lvlText w:val="%2"/>
      <w:numFmt w:val="lowerRoman"/>
      <w:start w:val="1"/>
    </w:lvl>
  </w:abstractNum>
  <w:abstractNum w:abstractNumId="77">
    <w:nsid w:val="59ADEA3D"/>
    <w:multiLevelType w:val="hybridMultilevel"/>
    <w:lvl w:ilvl="0">
      <w:lvlJc w:val="left"/>
      <w:lvlText w:val="(%1)"/>
      <w:numFmt w:val="lowerRoman"/>
      <w:start w:val="16"/>
    </w:lvl>
  </w:abstractNum>
  <w:abstractNum w:abstractNumId="78">
    <w:nsid w:val="288F1A34"/>
    <w:multiLevelType w:val="hybridMultilevel"/>
    <w:lvl w:ilvl="0">
      <w:lvlJc w:val="left"/>
      <w:lvlText w:val="(%1)"/>
      <w:numFmt w:val="lowerRoman"/>
      <w:start w:val="23"/>
    </w:lvl>
  </w:abstractNum>
  <w:abstractNum w:abstractNumId="79">
    <w:nsid w:val="2A155DBC"/>
    <w:multiLevelType w:val="hybridMultilevel"/>
    <w:lvl w:ilvl="0">
      <w:lvlJc w:val="left"/>
      <w:lvlText w:val="(%1)"/>
      <w:numFmt w:val="lowerLetter"/>
      <w:start w:val="1"/>
    </w:lvl>
  </w:abstractNum>
  <w:abstractNum w:abstractNumId="80">
    <w:nsid w:val="1D9F6E5F"/>
    <w:multiLevelType w:val="hybridMultilevel"/>
    <w:lvl w:ilvl="0">
      <w:lvlJc w:val="left"/>
      <w:lvlText w:val="(%1)"/>
      <w:numFmt w:val="lowerLetter"/>
      <w:start w:val="2"/>
    </w:lvl>
  </w:abstractNum>
  <w:abstractNum w:abstractNumId="81">
    <w:nsid w:val="97E1B4E"/>
    <w:multiLevelType w:val="hybridMultilevel"/>
    <w:lvl w:ilvl="0">
      <w:lvlJc w:val="left"/>
      <w:lvlText w:val="(%1)"/>
      <w:numFmt w:val="lowerLetter"/>
      <w:start w:val="1"/>
    </w:lvl>
  </w:abstractNum>
  <w:abstractNum w:abstractNumId="82">
    <w:nsid w:val="51088277"/>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83">
    <w:nsid w:val="1CA0C5F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84">
    <w:nsid w:val="53584BCB"/>
    <w:multiLevelType w:val="hybridMultilevel"/>
    <w:lvl w:ilvl="0">
      <w:lvlJc w:val="left"/>
      <w:lvlText w:val="%1"/>
      <w:numFmt w:val="lowerLetter"/>
      <w:start w:val="1"/>
    </w:lvl>
    <w:lvl w:ilvl="1">
      <w:lvlJc w:val="left"/>
      <w:lvlText w:val="(%2)"/>
      <w:numFmt w:val="lowerLetter"/>
      <w:start w:val="61"/>
    </w:lvl>
  </w:abstractNum>
  <w:abstractNum w:abstractNumId="85">
    <w:nsid w:val="415E286C"/>
    <w:multiLevelType w:val="hybridMultilevel"/>
    <w:lvl w:ilvl="0">
      <w:lvlJc w:val="left"/>
      <w:lvlText w:val="(%1)"/>
      <w:numFmt w:val="lowerLetter"/>
      <w:start w:val="4"/>
    </w:lvl>
    <w:lvl w:ilvl="1">
      <w:lvlJc w:val="left"/>
      <w:lvlText w:val="%2"/>
      <w:numFmt w:val="lowerLetter"/>
      <w:start w:val="1"/>
    </w:lvl>
  </w:abstractNum>
  <w:abstractNum w:abstractNumId="86">
    <w:nsid w:val="7C58FD05"/>
    <w:multiLevelType w:val="hybridMultilevel"/>
    <w:lvl w:ilvl="0">
      <w:lvlJc w:val="left"/>
      <w:lvlText w:val="%1"/>
      <w:numFmt w:val="upperLetter"/>
      <w:start w:val="1"/>
    </w:lvl>
    <w:lvl w:ilvl="1">
      <w:lvlJc w:val="left"/>
      <w:lvlText w:val="(%2)"/>
      <w:numFmt w:val="lowerRoman"/>
      <w:start w:val="1"/>
    </w:lvl>
  </w:abstractNum>
  <w:abstractNum w:abstractNumId="87">
    <w:nsid w:val="23D86AAC"/>
    <w:multiLevelType w:val="hybridMultilevel"/>
    <w:lvl w:ilvl="0">
      <w:lvlJc w:val="left"/>
      <w:lvlText w:val="(%1)"/>
      <w:numFmt w:val="upperLetter"/>
      <w:start w:val="2"/>
    </w:lvl>
    <w:lvl w:ilvl="1">
      <w:lvlJc w:val="left"/>
      <w:lvlText w:val="(%2)"/>
      <w:numFmt w:val="lowerRoman"/>
      <w:start w:val="4"/>
    </w:lvl>
  </w:abstractNum>
  <w:abstractNum w:abstractNumId="88">
    <w:nsid w:val="45E6D486"/>
    <w:multiLevelType w:val="hybridMultilevel"/>
    <w:lvl w:ilvl="0">
      <w:lvlJc w:val="left"/>
      <w:lvlText w:val="%1"/>
      <w:numFmt w:val="lowerLetter"/>
      <w:start w:val="1"/>
    </w:lvl>
    <w:lvl w:ilvl="1">
      <w:lvlJc w:val="left"/>
      <w:lvlText w:val="(%2)"/>
      <w:numFmt w:val="lowerRoman"/>
      <w:start w:val="5"/>
    </w:lvl>
  </w:abstractNum>
  <w:abstractNum w:abstractNumId="89">
    <w:nsid w:val="5C10FE21"/>
    <w:multiLevelType w:val="hybridMultilevel"/>
    <w:lvl w:ilvl="0">
      <w:lvlJc w:val="left"/>
      <w:lvlText w:val="(%1)"/>
      <w:numFmt w:val="lowerLetter"/>
      <w:start w:val="5"/>
    </w:lvl>
    <w:lvl w:ilvl="1">
      <w:lvlJc w:val="left"/>
      <w:lvlText w:val="(%2)"/>
      <w:numFmt w:val="lowerRoman"/>
      <w:start w:val="1"/>
    </w:lvl>
  </w:abstractNum>
  <w:abstractNum w:abstractNumId="90">
    <w:nsid w:val="E7FFA2B"/>
    <w:multiLevelType w:val="hybridMultilevel"/>
    <w:lvl w:ilvl="0">
      <w:lvlJc w:val="left"/>
      <w:lvlText w:val="%1"/>
      <w:numFmt w:val="lowerRoman"/>
      <w:start w:val="1"/>
    </w:lvl>
    <w:lvl w:ilvl="1">
      <w:lvlJc w:val="left"/>
      <w:lvlText w:val="(%2)"/>
      <w:numFmt w:val="lowerRoman"/>
      <w:start w:val="2"/>
    </w:lvl>
  </w:abstractNum>
  <w:abstractNum w:abstractNumId="91">
    <w:nsid w:val="3C5991AA"/>
    <w:multiLevelType w:val="hybridMultilevel"/>
    <w:lvl w:ilvl="0">
      <w:lvlJc w:val="left"/>
      <w:lvlText w:val="(%1)"/>
      <w:numFmt w:val="lowerRoman"/>
      <w:start w:val="1"/>
    </w:lvl>
    <w:lvl w:ilvl="1">
      <w:lvlJc w:val="left"/>
      <w:lvlText w:val="%2"/>
      <w:numFmt w:val="lowerRoman"/>
      <w:start w:val="1"/>
    </w:lvl>
  </w:abstractNum>
  <w:abstractNum w:abstractNumId="92">
    <w:nsid w:val="4BD8591A"/>
    <w:multiLevelType w:val="hybridMultilevel"/>
    <w:lvl w:ilvl="0">
      <w:lvlJc w:val="left"/>
      <w:lvlText w:val="(%1)"/>
      <w:numFmt w:val="lowerLetter"/>
      <w:start w:val="1"/>
    </w:lvl>
  </w:abstractNum>
  <w:abstractNum w:abstractNumId="93">
    <w:nsid w:val="78DF6A55"/>
    <w:multiLevelType w:val="hybridMultilevel"/>
    <w:lvl w:ilvl="0">
      <w:lvlJc w:val="left"/>
      <w:lvlText w:val="(%1)"/>
      <w:numFmt w:val="lowerLetter"/>
      <w:start w:val="3"/>
    </w:lvl>
  </w:abstractNum>
  <w:abstractNum w:abstractNumId="94">
    <w:nsid w:val="39B7AAA2"/>
    <w:multiLevelType w:val="hybridMultilevel"/>
    <w:lvl w:ilvl="0">
      <w:lvlJc w:val="left"/>
      <w:lvlText w:val="(%1)"/>
      <w:numFmt w:val="lowerLetter"/>
      <w:start w:val="1"/>
    </w:lvl>
  </w:abstractNum>
  <w:abstractNum w:abstractNumId="95">
    <w:nsid w:val="2B0D8DBE"/>
    <w:multiLevelType w:val="hybridMultilevel"/>
    <w:lvl w:ilvl="0">
      <w:lvlJc w:val="left"/>
      <w:lvlText w:val="(%1)"/>
      <w:numFmt w:val="lowerLetter"/>
      <w:start w:val="2"/>
    </w:lvl>
  </w:abstractNum>
  <w:abstractNum w:abstractNumId="96">
    <w:nsid w:val="6C80EC70"/>
    <w:multiLevelType w:val="hybridMultilevel"/>
    <w:lvl w:ilvl="0">
      <w:lvlJc w:val="left"/>
      <w:lvlText w:val="(%1)"/>
      <w:numFmt w:val="lowerLetter"/>
      <w:start w:val="3"/>
    </w:lvl>
  </w:abstractNum>
  <w:abstractNum w:abstractNumId="97">
    <w:nsid w:val="379E21B5"/>
    <w:multiLevelType w:val="hybridMultilevel"/>
    <w:lvl w:ilvl="0">
      <w:lvlJc w:val="left"/>
      <w:lvlText w:val="(%1)"/>
      <w:numFmt w:val="lowerLetter"/>
      <w:start w:val="4"/>
    </w:lvl>
  </w:abstractNum>
  <w:abstractNum w:abstractNumId="98">
    <w:nsid w:val="69E373"/>
    <w:multiLevelType w:val="hybridMultilevel"/>
    <w:lvl w:ilvl="0">
      <w:lvlJc w:val="left"/>
      <w:lvlText w:val="(%1)"/>
      <w:numFmt w:val="lowerLetter"/>
      <w:start w:val="1"/>
    </w:lvl>
  </w:abstractNum>
  <w:abstractNum w:abstractNumId="99">
    <w:nsid w:val="2C27173B"/>
    <w:multiLevelType w:val="hybridMultilevel"/>
    <w:lvl w:ilvl="0">
      <w:lvlJc w:val="left"/>
      <w:lvlText w:val="(%1)"/>
      <w:numFmt w:val="lowerLetter"/>
      <w:start w:val="1"/>
    </w:lvl>
    <w:lvl w:ilvl="1">
      <w:lvlJc w:val="left"/>
      <w:lvlText w:val="(%2)"/>
      <w:numFmt w:val="lowerLetter"/>
      <w:start w:val="9"/>
    </w:lvl>
  </w:abstractNum>
  <w:abstractNum w:abstractNumId="100">
    <w:nsid w:val="4C9B0904"/>
    <w:multiLevelType w:val="hybridMultilevel"/>
    <w:lvl w:ilvl="0">
      <w:lvlJc w:val="left"/>
      <w:lvlText w:val="(%1)"/>
      <w:numFmt w:val="lowerRoman"/>
      <w:start w:val="2"/>
    </w:lvl>
  </w:abstractNum>
  <w:abstractNum w:abstractNumId="101">
    <w:nsid w:val="6AA7B75C"/>
    <w:multiLevelType w:val="hybridMultilevel"/>
    <w:lvl w:ilvl="0">
      <w:lvlJc w:val="left"/>
      <w:lvlText w:val="%1"/>
      <w:numFmt w:val="lowerLetter"/>
      <w:start w:val="1"/>
    </w:lvl>
    <w:lvl w:ilvl="1">
      <w:lvlJc w:val="left"/>
      <w:lvlText w:val="(%2)"/>
      <w:numFmt w:val="lowerLetter"/>
      <w:start w:val="61"/>
    </w:lvl>
  </w:abstractNum>
  <w:abstractNum w:abstractNumId="102">
    <w:nsid w:val="1DF029D3"/>
    <w:multiLevelType w:val="hybridMultilevel"/>
    <w:lvl w:ilvl="0">
      <w:lvlJc w:val="left"/>
      <w:lvlText w:val="(%1)"/>
      <w:numFmt w:val="lowerLetter"/>
      <w:start w:val="2"/>
    </w:lvl>
    <w:lvl w:ilvl="1">
      <w:lvlJc w:val="left"/>
      <w:lvlText w:val="%2"/>
      <w:numFmt w:val="lowerLetter"/>
      <w:start w:val="1"/>
    </w:lvl>
  </w:abstractNum>
  <w:abstractNum w:abstractNumId="103">
    <w:nsid w:val="5675FF36"/>
    <w:multiLevelType w:val="hybridMultilevel"/>
    <w:lvl w:ilvl="0">
      <w:lvlJc w:val="left"/>
      <w:lvlText w:val="(%1)"/>
      <w:numFmt w:val="lowerLetter"/>
      <w:start w:val="5"/>
    </w:lvl>
  </w:abstractNum>
  <w:abstractNum w:abstractNumId="104">
    <w:nsid w:val="3DD15094"/>
    <w:multiLevelType w:val="hybridMultilevel"/>
    <w:lvl w:ilvl="0">
      <w:lvlJc w:val="left"/>
      <w:lvlText w:val="(%1)"/>
      <w:numFmt w:val="lowerLetter"/>
      <w:start w:val="1"/>
    </w:lvl>
  </w:abstractNum>
  <w:abstractNum w:abstractNumId="105">
    <w:nsid w:val="3DB012B3"/>
    <w:multiLevelType w:val="hybridMultilevel"/>
    <w:lvl w:ilvl="0">
      <w:lvlJc w:val="left"/>
      <w:lvlText w:val="%1"/>
      <w:numFmt w:val="lowerLetter"/>
      <w:start w:val="1"/>
    </w:lvl>
    <w:lvl w:ilvl="1">
      <w:lvlJc w:val="left"/>
      <w:lvlText w:val="(%2)"/>
      <w:numFmt w:val="lowerLetter"/>
      <w:start w:val="1"/>
    </w:lvl>
  </w:abstractNum>
  <w:abstractNum w:abstractNumId="106">
    <w:nsid w:val="2708C9AF"/>
    <w:multiLevelType w:val="hybridMultilevel"/>
    <w:lvl w:ilvl="0">
      <w:lvlJc w:val="left"/>
      <w:lvlText w:val="(%1)"/>
      <w:numFmt w:val="lowerLetter"/>
      <w:start w:val="35"/>
    </w:lvl>
    <w:lvl w:ilvl="1">
      <w:lvlJc w:val="left"/>
      <w:lvlText w:val="%2"/>
      <w:numFmt w:val="lowerLetter"/>
      <w:start w:val="1"/>
    </w:lvl>
  </w:abstractNum>
  <w:abstractNum w:abstractNumId="107">
    <w:nsid w:val="5B25ACE2"/>
    <w:multiLevelType w:val="hybridMultilevel"/>
    <w:lvl w:ilvl="0">
      <w:lvlJc w:val="left"/>
      <w:lvlText w:val="(%1)"/>
      <w:numFmt w:val="lowerLetter"/>
      <w:start w:val="3"/>
    </w:lvl>
  </w:abstractNum>
  <w:abstractNum w:abstractNumId="108">
    <w:nsid w:val="175DFCF0"/>
    <w:multiLevelType w:val="hybridMultilevel"/>
    <w:lvl w:ilvl="0">
      <w:lvlJc w:val="left"/>
      <w:lvlText w:val="(%1)"/>
      <w:numFmt w:val="lowerLetter"/>
      <w:start w:val="1"/>
    </w:lvl>
  </w:abstractNum>
  <w:abstractNum w:abstractNumId="109">
    <w:nsid w:val="4F97E3E4"/>
    <w:multiLevelType w:val="hybridMultilevel"/>
    <w:lvl w:ilvl="0">
      <w:lvlJc w:val="left"/>
      <w:lvlText w:val="(%1)"/>
      <w:numFmt w:val="lowerLetter"/>
      <w:start w:val="3"/>
    </w:lvl>
  </w:abstractNum>
  <w:abstractNum w:abstractNumId="110">
    <w:nsid w:val="53B0A9E"/>
    <w:multiLevelType w:val="hybridMultilevel"/>
    <w:lvl w:ilvl="0">
      <w:lvlJc w:val="left"/>
      <w:lvlText w:val="%1"/>
      <w:numFmt w:val="lowerLetter"/>
      <w:start w:val="1"/>
    </w:lvl>
    <w:lvl w:ilvl="1">
      <w:lvlJc w:val="left"/>
      <w:lvlText w:val="(%2)"/>
      <w:numFmt w:val="lowerLetter"/>
      <w:start w:val="1"/>
    </w:lvl>
  </w:abstractNum>
  <w:abstractNum w:abstractNumId="111">
    <w:nsid w:val="34FD6B4F"/>
    <w:multiLevelType w:val="hybridMultilevel"/>
    <w:lvl w:ilvl="0">
      <w:lvlJc w:val="left"/>
      <w:lvlText w:val="(%1)"/>
      <w:numFmt w:val="lowerLetter"/>
      <w:start w:val="2"/>
    </w:lvl>
    <w:lvl w:ilvl="1">
      <w:lvlJc w:val="left"/>
      <w:lvlText w:val="%2"/>
      <w:numFmt w:val="lowerLetter"/>
      <w:start w:val="1"/>
    </w:lvl>
  </w:abstractNum>
  <w:abstractNum w:abstractNumId="112">
    <w:nsid w:val="5915FF32"/>
    <w:multiLevelType w:val="hybridMultilevel"/>
    <w:lvl w:ilvl="0">
      <w:lvlJc w:val="left"/>
      <w:lvlText w:val="(%1)"/>
      <w:numFmt w:val="lowerLetter"/>
      <w:start w:val="3"/>
    </w:lvl>
  </w:abstractNum>
  <w:abstractNum w:abstractNumId="113">
    <w:nsid w:val="56438D15"/>
    <w:multiLevelType w:val="hybridMultilevel"/>
    <w:lvl w:ilvl="0">
      <w:lvlJc w:val="left"/>
      <w:lvlText w:val="(%1)"/>
      <w:numFmt w:val="lowerLetter"/>
      <w:start w:val="1"/>
    </w:lvl>
  </w:abstractNum>
  <w:abstractNum w:abstractNumId="114">
    <w:nsid w:val="519E3149"/>
    <w:multiLevelType w:val="hybridMultilevel"/>
    <w:lvl w:ilvl="0">
      <w:lvlJc w:val="left"/>
      <w:lvlText w:val="(%1)"/>
      <w:numFmt w:val="lowerLetter"/>
      <w:start w:val="7"/>
    </w:lvl>
  </w:abstractNum>
  <w:abstractNum w:abstractNumId="115">
    <w:nsid w:val="2C6E4AFD"/>
    <w:multiLevelType w:val="hybridMultilevel"/>
    <w:lvl w:ilvl="0">
      <w:lvlJc w:val="left"/>
      <w:lvlText w:val="(%1)"/>
      <w:numFmt w:val="lowerLetter"/>
      <w:start w:val="1"/>
    </w:lvl>
  </w:abstractNum>
  <w:abstractNum w:abstractNumId="116">
    <w:nsid w:val="17A1B582"/>
    <w:multiLevelType w:val="hybridMultilevel"/>
    <w:lvl w:ilvl="0">
      <w:lvlJc w:val="left"/>
      <w:lvlText w:val="(%1)"/>
      <w:numFmt w:val="lowerLetter"/>
      <w:start w:val="2"/>
    </w:lvl>
    <w:lvl w:ilvl="1">
      <w:lvlJc w:val="left"/>
      <w:lvlText w:val="(%2)"/>
      <w:numFmt w:val="lowerRoman"/>
      <w:start w:val="1"/>
    </w:lvl>
  </w:abstractNum>
  <w:abstractNum w:abstractNumId="117">
    <w:nsid w:val="4DF72E4E"/>
    <w:multiLevelType w:val="hybridMultilevel"/>
    <w:lvl w:ilvl="0">
      <w:lvlJc w:val="left"/>
      <w:lvlText w:val="(%1)"/>
      <w:numFmt w:val="lowerRoman"/>
      <w:start w:val="2"/>
    </w:lvl>
  </w:abstractNum>
  <w:abstractNum w:abstractNumId="118">
    <w:nsid w:val="5046B5A9"/>
    <w:multiLevelType w:val="hybridMultilevel"/>
    <w:lvl w:ilvl="0">
      <w:lvlJc w:val="left"/>
      <w:lvlText w:val="(%1)"/>
      <w:numFmt w:val="lowerLetter"/>
      <w:start w:val="1"/>
    </w:lvl>
  </w:abstractNum>
  <w:abstractNum w:abstractNumId="119">
    <w:nsid w:val="5D888A08"/>
    <w:multiLevelType w:val="hybridMultilevel"/>
    <w:lvl w:ilvl="0">
      <w:lvlJc w:val="left"/>
      <w:lvlText w:val="(%1)"/>
      <w:numFmt w:val="lowerLetter"/>
      <w:start w:val="1"/>
    </w:lvl>
  </w:abstractNum>
  <w:abstractNum w:abstractNumId="120">
    <w:nsid w:val="2A082C70"/>
    <w:multiLevelType w:val="hybridMultilevel"/>
    <w:lvl w:ilvl="0">
      <w:lvlJc w:val="left"/>
      <w:lvlText w:val="%1"/>
      <w:numFmt w:val="upperLetter"/>
      <w:start w:val="1"/>
    </w:lvl>
    <w:lvl w:ilvl="1">
      <w:lvlJc w:val="left"/>
      <w:lvlText w:val="(%2)"/>
      <w:numFmt w:val="lowerLetter"/>
      <w:start w:val="2"/>
    </w:lvl>
  </w:abstractNum>
  <w:abstractNum w:abstractNumId="121">
    <w:nsid w:val="5EC6AFD4"/>
    <w:multiLevelType w:val="hybridMultilevel"/>
    <w:lvl w:ilvl="0">
      <w:lvlJc w:val="left"/>
      <w:lvlText w:val="(%1)"/>
      <w:numFmt w:val="upperLetter"/>
      <w:start w:val="4"/>
    </w:lvl>
    <w:lvl w:ilvl="1">
      <w:lvlJc w:val="left"/>
      <w:lvlText w:val="(%2)"/>
      <w:numFmt w:val="lowerLetter"/>
      <w:start w:val="5"/>
    </w:lvl>
  </w:abstractNum>
  <w:abstractNum w:abstractNumId="122">
    <w:nsid w:val="19E21BB2"/>
    <w:multiLevelType w:val="hybridMultilevel"/>
    <w:lvl w:ilvl="0">
      <w:lvlJc w:val="left"/>
      <w:lvlText w:val="(%1)"/>
      <w:numFmt w:val="lowerRoman"/>
      <w:start w:val="1"/>
    </w:lvl>
  </w:abstractNum>
  <w:abstractNum w:abstractNumId="123">
    <w:nsid w:val="75E0858A"/>
    <w:multiLevelType w:val="hybridMultilevel"/>
    <w:lvl w:ilvl="0">
      <w:lvlJc w:val="left"/>
      <w:lvlText w:val="%1."/>
      <w:numFmt w:val="upperLetter"/>
      <w:start w:val="1"/>
    </w:lvl>
  </w:abstractNum>
  <w:abstractNum w:abstractNumId="124">
    <w:nsid w:val="57A61A29"/>
    <w:multiLevelType w:val="hybridMultilevel"/>
    <w:lvl w:ilvl="0">
      <w:lvlJc w:val="left"/>
      <w:lvlText w:val="%1."/>
      <w:numFmt w:val="decimal"/>
      <w:start w:val="1"/>
    </w:lvl>
    <w:lvl w:ilvl="1">
      <w:lvlJc w:val="left"/>
      <w:lvlText w:val="(%2)"/>
      <w:numFmt w:val="lowerLetter"/>
      <w:start w:val="1"/>
    </w:lvl>
  </w:abstractNum>
  <w:abstractNum w:abstractNumId="125">
    <w:nsid w:val="5399C654"/>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1"/>
    </w:lvl>
  </w:abstractNum>
  <w:abstractNum w:abstractNumId="126">
    <w:nsid w:val="20EE1348"/>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127">
    <w:nsid w:val="4427069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28">
    <w:nsid w:val="B37E80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29">
    <w:nsid w:val="2157F6B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30">
    <w:nsid w:val="704E1DD5"/>
    <w:multiLevelType w:val="hybridMultilevel"/>
    <w:lvl w:ilvl="0">
      <w:lvlJc w:val="left"/>
      <w:lvlText w:val="(%1)"/>
      <w:numFmt w:val="lowerLetter"/>
      <w:start w:val="6"/>
    </w:lvl>
  </w:abstractNum>
  <w:abstractNum w:abstractNumId="131">
    <w:nsid w:val="57D2F10E"/>
    <w:multiLevelType w:val="hybridMultilevel"/>
    <w:lvl w:ilvl="0">
      <w:lvlJc w:val="left"/>
      <w:lvlText w:val="%1."/>
      <w:numFmt w:val="decimal"/>
      <w:start w:val="7"/>
    </w:lvl>
    <w:lvl w:ilvl="1">
      <w:lvlJc w:val="left"/>
      <w:lvlText w:val="(%2)"/>
      <w:numFmt w:val="lowerLetter"/>
      <w:start w:val="1"/>
    </w:lvl>
  </w:abstractNum>
  <w:abstractNum w:abstractNumId="132">
    <w:nsid w:val="BFFAE18"/>
    <w:multiLevelType w:val="hybridMultilevel"/>
    <w:lvl w:ilvl="0">
      <w:lvlJc w:val="left"/>
      <w:lvlText w:val="%1"/>
      <w:numFmt w:val="lowerLetter"/>
      <w:start w:val="1"/>
    </w:lvl>
    <w:lvl w:ilvl="1">
      <w:lvlJc w:val="left"/>
      <w:lvlText w:val="(%2)"/>
      <w:numFmt w:val="lowerRoman"/>
      <w:start w:val="1"/>
    </w:lvl>
  </w:abstractNum>
  <w:abstractNum w:abstractNumId="133">
    <w:nsid w:val="E3E47A8"/>
    <w:multiLevelType w:val="hybridMultilevel"/>
    <w:lvl w:ilvl="0">
      <w:lvlJc w:val="left"/>
      <w:lvlText w:val="(%1)"/>
      <w:numFmt w:val="lowerLetter"/>
      <w:start w:val="3"/>
    </w:lvl>
    <w:lvl w:ilvl="1">
      <w:lvlJc w:val="left"/>
      <w:lvlText w:val="%2"/>
      <w:numFmt w:val="lowerRoman"/>
      <w:start w:val="1"/>
    </w:lvl>
  </w:abstractNum>
  <w:abstractNum w:abstractNumId="134">
    <w:nsid w:val="2E48F044"/>
    <w:multiLevelType w:val="hybridMultilevel"/>
    <w:lvl w:ilvl="0">
      <w:lvlJc w:val="left"/>
      <w:lvlText w:val="(%1)"/>
      <w:numFmt w:val="lowerLetter"/>
      <w:start w:val="4"/>
    </w:lvl>
  </w:abstractNum>
  <w:abstractNum w:abstractNumId="135">
    <w:nsid w:val="49D0FEAC"/>
    <w:multiLevelType w:val="hybridMultilevel"/>
    <w:lvl w:ilvl="0">
      <w:lvlJc w:val="left"/>
      <w:lvlText w:val="(%1)"/>
      <w:numFmt w:val="lowerLetter"/>
      <w:start w:val="7"/>
    </w:lvl>
  </w:abstractNum>
  <w:abstractNum w:abstractNumId="136">
    <w:nsid w:val="4BEE5A5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2019-12-16T21:22:18Z</dcterms:created>
  <dcterms:modified xsi:type="dcterms:W3CDTF">2019-12-16T21:22:18Z</dcterms:modified>
</cp:coreProperties>
</file>