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i w:val="1"/>
          <w:iCs w:val="1"/>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Registration No. 333-249838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Issuer Free Writing Prospectus dated October 26, 2022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Relating to Preliminary Prospectus Supplement dated October 26, 2022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OCTOBER 26, 2022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$750,000,000 6.750% SENIOR NOTES DUE 2029</w:t>
      </w:r>
    </w:p>
    <w:p>
      <w:pPr>
        <w:spacing w:after="0" w:line="229" w:lineRule="exact"/>
        <w:rPr>
          <w:sz w:val="24"/>
          <w:szCs w:val="24"/>
          <w:color w:val="auto"/>
        </w:rPr>
      </w:pPr>
    </w:p>
    <w:p>
      <w:pPr>
        <w:ind w:right="160" w:firstLine="653"/>
        <w:spacing w:after="0" w:line="259" w:lineRule="auto"/>
        <w:rPr>
          <w:sz w:val="20"/>
          <w:szCs w:val="20"/>
          <w:color w:val="auto"/>
        </w:rPr>
      </w:pPr>
      <w:r>
        <w:rPr>
          <w:rFonts w:ascii="Arial" w:cs="Arial" w:eastAsia="Arial" w:hAnsi="Arial"/>
          <w:sz w:val="18"/>
          <w:szCs w:val="18"/>
          <w:color w:val="auto"/>
        </w:rPr>
        <w:t>The information in this pricing term sheet supplements Micron Technology, Inc.’s (“Micron”) preliminary prospectus supplement, dated October 26, 2022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Issuer:</w:t>
            </w:r>
          </w:p>
        </w:tc>
        <w:tc>
          <w:tcPr>
            <w:tcW w:w="7860" w:type="dxa"/>
            <w:vAlign w:val="bottom"/>
          </w:tcPr>
          <w:p>
            <w:pPr>
              <w:ind w:left="680"/>
              <w:spacing w:after="0"/>
              <w:rPr>
                <w:sz w:val="20"/>
                <w:szCs w:val="20"/>
                <w:color w:val="auto"/>
              </w:rPr>
            </w:pPr>
            <w:r>
              <w:rPr>
                <w:rFonts w:ascii="Arial" w:cs="Arial" w:eastAsia="Arial" w:hAnsi="Arial"/>
                <w:sz w:val="18"/>
                <w:szCs w:val="18"/>
                <w:color w:val="auto"/>
              </w:rPr>
              <w:t>Micron Technology, Inc. (Nasdaq: MU)</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Pricing Date:</w:t>
            </w:r>
          </w:p>
        </w:tc>
        <w:tc>
          <w:tcPr>
            <w:tcW w:w="7860" w:type="dxa"/>
            <w:vAlign w:val="bottom"/>
          </w:tcPr>
          <w:p>
            <w:pPr>
              <w:ind w:left="680"/>
              <w:spacing w:after="0"/>
              <w:rPr>
                <w:sz w:val="20"/>
                <w:szCs w:val="20"/>
                <w:color w:val="auto"/>
              </w:rPr>
            </w:pPr>
            <w:r>
              <w:rPr>
                <w:rFonts w:ascii="Arial" w:cs="Arial" w:eastAsia="Arial" w:hAnsi="Arial"/>
                <w:sz w:val="18"/>
                <w:szCs w:val="18"/>
                <w:color w:val="auto"/>
              </w:rPr>
              <w:t>October 26, 2022</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Closing Date:*</w:t>
            </w:r>
          </w:p>
        </w:tc>
        <w:tc>
          <w:tcPr>
            <w:tcW w:w="7860" w:type="dxa"/>
            <w:vAlign w:val="bottom"/>
          </w:tcPr>
          <w:p>
            <w:pPr>
              <w:ind w:left="680"/>
              <w:spacing w:after="0"/>
              <w:rPr>
                <w:sz w:val="20"/>
                <w:szCs w:val="20"/>
                <w:color w:val="auto"/>
              </w:rPr>
            </w:pPr>
            <w:r>
              <w:rPr>
                <w:rFonts w:ascii="Arial" w:cs="Arial" w:eastAsia="Arial" w:hAnsi="Arial"/>
                <w:sz w:val="18"/>
                <w:szCs w:val="18"/>
                <w:color w:val="auto"/>
              </w:rPr>
              <w:t>October 31, 2022 (T+3)</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Denominations:</w:t>
            </w:r>
          </w:p>
        </w:tc>
        <w:tc>
          <w:tcPr>
            <w:tcW w:w="7860" w:type="dxa"/>
            <w:vAlign w:val="bottom"/>
          </w:tcPr>
          <w:p>
            <w:pPr>
              <w:ind w:left="680"/>
              <w:spacing w:after="0"/>
              <w:rPr>
                <w:sz w:val="20"/>
                <w:szCs w:val="20"/>
                <w:color w:val="auto"/>
              </w:rPr>
            </w:pPr>
            <w:r>
              <w:rPr>
                <w:rFonts w:ascii="Arial" w:cs="Arial" w:eastAsia="Arial" w:hAnsi="Arial"/>
                <w:sz w:val="18"/>
                <w:szCs w:val="18"/>
                <w:color w:val="auto"/>
              </w:rPr>
              <w:t>$2,000 and integral multiples of $1,000 in excess thereof</w:t>
            </w:r>
          </w:p>
        </w:tc>
      </w:tr>
      <w:tr>
        <w:trPr>
          <w:trHeight w:val="418"/>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Net Proceeds:</w:t>
            </w:r>
          </w:p>
        </w:tc>
        <w:tc>
          <w:tcPr>
            <w:tcW w:w="7860" w:type="dxa"/>
            <w:vAlign w:val="bottom"/>
          </w:tcPr>
          <w:p>
            <w:pPr>
              <w:ind w:left="680"/>
              <w:spacing w:after="0"/>
              <w:rPr>
                <w:sz w:val="20"/>
                <w:szCs w:val="20"/>
                <w:color w:val="auto"/>
              </w:rPr>
            </w:pPr>
            <w:r>
              <w:rPr>
                <w:rFonts w:ascii="Arial" w:cs="Arial" w:eastAsia="Arial" w:hAnsi="Arial"/>
                <w:sz w:val="18"/>
                <w:szCs w:val="18"/>
                <w:color w:val="auto"/>
                <w:w w:val="96"/>
              </w:rPr>
              <w:t>Micron estimates that the net proceeds from the sale of the notes, after deducting underwriter</w:t>
            </w:r>
          </w:p>
        </w:tc>
      </w:tr>
      <w:tr>
        <w:trPr>
          <w:trHeight w:val="230"/>
        </w:trPr>
        <w:tc>
          <w:tcPr>
            <w:tcW w:w="3380" w:type="dxa"/>
            <w:vAlign w:val="bottom"/>
          </w:tcPr>
          <w:p>
            <w:pPr>
              <w:spacing w:after="0"/>
              <w:rPr>
                <w:sz w:val="20"/>
                <w:szCs w:val="20"/>
                <w:color w:val="auto"/>
              </w:rPr>
            </w:pPr>
          </w:p>
        </w:tc>
        <w:tc>
          <w:tcPr>
            <w:tcW w:w="7860" w:type="dxa"/>
            <w:vAlign w:val="bottom"/>
          </w:tcPr>
          <w:p>
            <w:pPr>
              <w:ind w:left="680"/>
              <w:spacing w:after="0"/>
              <w:rPr>
                <w:sz w:val="20"/>
                <w:szCs w:val="20"/>
                <w:color w:val="auto"/>
              </w:rPr>
            </w:pPr>
            <w:r>
              <w:rPr>
                <w:rFonts w:ascii="Arial" w:cs="Arial" w:eastAsia="Arial" w:hAnsi="Arial"/>
                <w:sz w:val="18"/>
                <w:szCs w:val="18"/>
                <w:color w:val="auto"/>
              </w:rPr>
              <w:t>discounts and other estimated offering expenses, will be approximately $744 million.</w:t>
            </w:r>
          </w:p>
        </w:tc>
      </w:tr>
      <w:tr>
        <w:trPr>
          <w:trHeight w:val="418"/>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Ratings:**</w:t>
            </w:r>
          </w:p>
        </w:tc>
        <w:tc>
          <w:tcPr>
            <w:tcW w:w="7860" w:type="dxa"/>
            <w:vAlign w:val="bottom"/>
          </w:tcPr>
          <w:p>
            <w:pPr>
              <w:ind w:left="680"/>
              <w:spacing w:after="0"/>
              <w:rPr>
                <w:sz w:val="20"/>
                <w:szCs w:val="20"/>
                <w:color w:val="auto"/>
              </w:rPr>
            </w:pPr>
            <w:r>
              <w:rPr>
                <w:rFonts w:ascii="Arial" w:cs="Arial" w:eastAsia="Arial" w:hAnsi="Arial"/>
                <w:sz w:val="18"/>
                <w:szCs w:val="18"/>
                <w:color w:val="auto"/>
              </w:rPr>
              <w:t>Baa3 (Stable) (Moody’s Investors Service, Inc.)</w:t>
            </w:r>
          </w:p>
        </w:tc>
      </w:tr>
      <w:tr>
        <w:trPr>
          <w:trHeight w:val="216"/>
        </w:trPr>
        <w:tc>
          <w:tcPr>
            <w:tcW w:w="3380" w:type="dxa"/>
            <w:vAlign w:val="bottom"/>
          </w:tcPr>
          <w:p>
            <w:pPr>
              <w:spacing w:after="0"/>
              <w:rPr>
                <w:sz w:val="18"/>
                <w:szCs w:val="18"/>
                <w:color w:val="auto"/>
              </w:rPr>
            </w:pPr>
          </w:p>
        </w:tc>
        <w:tc>
          <w:tcPr>
            <w:tcW w:w="7860" w:type="dxa"/>
            <w:vAlign w:val="bottom"/>
          </w:tcPr>
          <w:p>
            <w:pPr>
              <w:ind w:left="680"/>
              <w:spacing w:after="0"/>
              <w:rPr>
                <w:sz w:val="20"/>
                <w:szCs w:val="20"/>
                <w:color w:val="auto"/>
              </w:rPr>
            </w:pPr>
            <w:r>
              <w:rPr>
                <w:rFonts w:ascii="Arial" w:cs="Arial" w:eastAsia="Arial" w:hAnsi="Arial"/>
                <w:sz w:val="18"/>
                <w:szCs w:val="18"/>
                <w:color w:val="auto"/>
              </w:rPr>
              <w:t>BBB (Stable) (Fitch Ratings Inc.)</w:t>
            </w:r>
          </w:p>
        </w:tc>
      </w:tr>
      <w:tr>
        <w:trPr>
          <w:trHeight w:val="230"/>
        </w:trPr>
        <w:tc>
          <w:tcPr>
            <w:tcW w:w="3380" w:type="dxa"/>
            <w:vAlign w:val="bottom"/>
          </w:tcPr>
          <w:p>
            <w:pPr>
              <w:spacing w:after="0"/>
              <w:rPr>
                <w:sz w:val="20"/>
                <w:szCs w:val="20"/>
                <w:color w:val="auto"/>
              </w:rPr>
            </w:pPr>
          </w:p>
        </w:tc>
        <w:tc>
          <w:tcPr>
            <w:tcW w:w="7860" w:type="dxa"/>
            <w:vAlign w:val="bottom"/>
          </w:tcPr>
          <w:p>
            <w:pPr>
              <w:ind w:left="680"/>
              <w:spacing w:after="0"/>
              <w:rPr>
                <w:sz w:val="20"/>
                <w:szCs w:val="20"/>
                <w:color w:val="auto"/>
              </w:rPr>
            </w:pPr>
            <w:r>
              <w:rPr>
                <w:rFonts w:ascii="Arial" w:cs="Arial" w:eastAsia="Arial" w:hAnsi="Arial"/>
                <w:sz w:val="18"/>
                <w:szCs w:val="18"/>
                <w:color w:val="auto"/>
              </w:rPr>
              <w:t>BBB- (Positive) (S&amp;P Global Ratings)</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Securities:</w:t>
            </w:r>
          </w:p>
        </w:tc>
        <w:tc>
          <w:tcPr>
            <w:tcW w:w="7860" w:type="dxa"/>
            <w:vAlign w:val="bottom"/>
          </w:tcPr>
          <w:p>
            <w:pPr>
              <w:ind w:left="680"/>
              <w:spacing w:after="0"/>
              <w:rPr>
                <w:sz w:val="20"/>
                <w:szCs w:val="20"/>
                <w:color w:val="auto"/>
              </w:rPr>
            </w:pPr>
            <w:r>
              <w:rPr>
                <w:rFonts w:ascii="Arial" w:cs="Arial" w:eastAsia="Arial" w:hAnsi="Arial"/>
                <w:sz w:val="18"/>
                <w:szCs w:val="18"/>
                <w:color w:val="auto"/>
              </w:rPr>
              <w:t>6.750% Senior Notes due 2029 (the “notes”)</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Principal Amount:</w:t>
            </w:r>
          </w:p>
        </w:tc>
        <w:tc>
          <w:tcPr>
            <w:tcW w:w="7860" w:type="dxa"/>
            <w:vAlign w:val="bottom"/>
          </w:tcPr>
          <w:p>
            <w:pPr>
              <w:ind w:left="680"/>
              <w:spacing w:after="0"/>
              <w:rPr>
                <w:sz w:val="20"/>
                <w:szCs w:val="20"/>
                <w:color w:val="auto"/>
              </w:rPr>
            </w:pPr>
            <w:r>
              <w:rPr>
                <w:rFonts w:ascii="Arial" w:cs="Arial" w:eastAsia="Arial" w:hAnsi="Arial"/>
                <w:sz w:val="18"/>
                <w:szCs w:val="18"/>
                <w:color w:val="auto"/>
              </w:rPr>
              <w:t>$750,000,000</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Maturity Date:</w:t>
            </w:r>
          </w:p>
        </w:tc>
        <w:tc>
          <w:tcPr>
            <w:tcW w:w="7860" w:type="dxa"/>
            <w:vAlign w:val="bottom"/>
          </w:tcPr>
          <w:p>
            <w:pPr>
              <w:ind w:left="680"/>
              <w:spacing w:after="0"/>
              <w:rPr>
                <w:sz w:val="20"/>
                <w:szCs w:val="20"/>
                <w:color w:val="auto"/>
              </w:rPr>
            </w:pPr>
            <w:r>
              <w:rPr>
                <w:rFonts w:ascii="Arial" w:cs="Arial" w:eastAsia="Arial" w:hAnsi="Arial"/>
                <w:sz w:val="18"/>
                <w:szCs w:val="18"/>
                <w:color w:val="auto"/>
              </w:rPr>
              <w:t>November 1, 2029</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Interest Rate:</w:t>
            </w:r>
          </w:p>
        </w:tc>
        <w:tc>
          <w:tcPr>
            <w:tcW w:w="7860" w:type="dxa"/>
            <w:vAlign w:val="bottom"/>
          </w:tcPr>
          <w:p>
            <w:pPr>
              <w:ind w:left="680"/>
              <w:spacing w:after="0"/>
              <w:rPr>
                <w:sz w:val="20"/>
                <w:szCs w:val="20"/>
                <w:color w:val="auto"/>
              </w:rPr>
            </w:pPr>
            <w:r>
              <w:rPr>
                <w:rFonts w:ascii="Arial" w:cs="Arial" w:eastAsia="Arial" w:hAnsi="Arial"/>
                <w:sz w:val="18"/>
                <w:szCs w:val="18"/>
                <w:color w:val="auto"/>
              </w:rPr>
              <w:t>6.750% per year</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Interest Payment Dates:</w:t>
            </w:r>
          </w:p>
        </w:tc>
        <w:tc>
          <w:tcPr>
            <w:tcW w:w="7860" w:type="dxa"/>
            <w:vAlign w:val="bottom"/>
          </w:tcPr>
          <w:p>
            <w:pPr>
              <w:ind w:left="680"/>
              <w:spacing w:after="0"/>
              <w:rPr>
                <w:sz w:val="20"/>
                <w:szCs w:val="20"/>
                <w:color w:val="auto"/>
              </w:rPr>
            </w:pPr>
            <w:r>
              <w:rPr>
                <w:rFonts w:ascii="Arial" w:cs="Arial" w:eastAsia="Arial" w:hAnsi="Arial"/>
                <w:sz w:val="18"/>
                <w:szCs w:val="18"/>
                <w:color w:val="auto"/>
              </w:rPr>
              <w:t>May 1 and November 1, beginning May 1, 2023, accruing from October 31, 2022</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Record Dates:</w:t>
            </w:r>
          </w:p>
        </w:tc>
        <w:tc>
          <w:tcPr>
            <w:tcW w:w="7860" w:type="dxa"/>
            <w:vAlign w:val="bottom"/>
          </w:tcPr>
          <w:p>
            <w:pPr>
              <w:ind w:left="680"/>
              <w:spacing w:after="0"/>
              <w:rPr>
                <w:sz w:val="20"/>
                <w:szCs w:val="20"/>
                <w:color w:val="auto"/>
              </w:rPr>
            </w:pPr>
            <w:r>
              <w:rPr>
                <w:rFonts w:ascii="Arial" w:cs="Arial" w:eastAsia="Arial" w:hAnsi="Arial"/>
                <w:sz w:val="18"/>
                <w:szCs w:val="18"/>
                <w:color w:val="auto"/>
              </w:rPr>
              <w:t>April 15 and October 15</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Price to Public:</w:t>
            </w:r>
          </w:p>
        </w:tc>
        <w:tc>
          <w:tcPr>
            <w:tcW w:w="7860" w:type="dxa"/>
            <w:vAlign w:val="bottom"/>
          </w:tcPr>
          <w:p>
            <w:pPr>
              <w:ind w:left="680"/>
              <w:spacing w:after="0"/>
              <w:rPr>
                <w:sz w:val="20"/>
                <w:szCs w:val="20"/>
                <w:color w:val="auto"/>
              </w:rPr>
            </w:pPr>
            <w:r>
              <w:rPr>
                <w:rFonts w:ascii="Arial" w:cs="Arial" w:eastAsia="Arial" w:hAnsi="Arial"/>
                <w:sz w:val="18"/>
                <w:szCs w:val="18"/>
                <w:color w:val="auto"/>
              </w:rPr>
              <w:t>99.873% of the principal amount</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Underwriting Discount:</w:t>
            </w:r>
          </w:p>
        </w:tc>
        <w:tc>
          <w:tcPr>
            <w:tcW w:w="7860" w:type="dxa"/>
            <w:vAlign w:val="bottom"/>
          </w:tcPr>
          <w:p>
            <w:pPr>
              <w:ind w:left="680"/>
              <w:spacing w:after="0"/>
              <w:rPr>
                <w:sz w:val="20"/>
                <w:szCs w:val="20"/>
                <w:color w:val="auto"/>
              </w:rPr>
            </w:pPr>
            <w:r>
              <w:rPr>
                <w:rFonts w:ascii="Arial" w:cs="Arial" w:eastAsia="Arial" w:hAnsi="Arial"/>
                <w:sz w:val="18"/>
                <w:szCs w:val="18"/>
                <w:color w:val="auto"/>
              </w:rPr>
              <w:t>0.400% per note</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Benchmark Treasury:</w:t>
            </w:r>
          </w:p>
        </w:tc>
        <w:tc>
          <w:tcPr>
            <w:tcW w:w="7860" w:type="dxa"/>
            <w:vAlign w:val="bottom"/>
          </w:tcPr>
          <w:p>
            <w:pPr>
              <w:ind w:left="680"/>
              <w:spacing w:after="0"/>
              <w:rPr>
                <w:sz w:val="20"/>
                <w:szCs w:val="20"/>
                <w:color w:val="auto"/>
              </w:rPr>
            </w:pPr>
            <w:r>
              <w:rPr>
                <w:rFonts w:ascii="Arial" w:cs="Arial" w:eastAsia="Arial" w:hAnsi="Arial"/>
                <w:sz w:val="18"/>
                <w:szCs w:val="18"/>
                <w:color w:val="auto"/>
              </w:rPr>
              <w:t>UST 3.875% due September 30, 2029</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Benchmark Treasury Price / Yield:</w:t>
            </w:r>
          </w:p>
        </w:tc>
        <w:tc>
          <w:tcPr>
            <w:tcW w:w="7860" w:type="dxa"/>
            <w:vAlign w:val="bottom"/>
          </w:tcPr>
          <w:p>
            <w:pPr>
              <w:ind w:left="680"/>
              <w:spacing w:after="0"/>
              <w:rPr>
                <w:sz w:val="20"/>
                <w:szCs w:val="20"/>
                <w:color w:val="auto"/>
              </w:rPr>
            </w:pPr>
            <w:r>
              <w:rPr>
                <w:rFonts w:ascii="Arial" w:cs="Arial" w:eastAsia="Arial" w:hAnsi="Arial"/>
                <w:sz w:val="18"/>
                <w:szCs w:val="18"/>
                <w:color w:val="auto"/>
              </w:rPr>
              <w:t>98-16+ / 4.123%</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Spread to Benchmark Treasury:</w:t>
            </w:r>
          </w:p>
        </w:tc>
        <w:tc>
          <w:tcPr>
            <w:tcW w:w="7860" w:type="dxa"/>
            <w:vAlign w:val="bottom"/>
          </w:tcPr>
          <w:p>
            <w:pPr>
              <w:ind w:left="680"/>
              <w:spacing w:after="0"/>
              <w:rPr>
                <w:sz w:val="20"/>
                <w:szCs w:val="20"/>
                <w:color w:val="auto"/>
              </w:rPr>
            </w:pPr>
            <w:r>
              <w:rPr>
                <w:rFonts w:ascii="Arial" w:cs="Arial" w:eastAsia="Arial" w:hAnsi="Arial"/>
                <w:sz w:val="18"/>
                <w:szCs w:val="18"/>
                <w:color w:val="auto"/>
              </w:rPr>
              <w:t>+265 basis points</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Yield to Maturity:</w:t>
            </w:r>
          </w:p>
        </w:tc>
        <w:tc>
          <w:tcPr>
            <w:tcW w:w="7860" w:type="dxa"/>
            <w:vAlign w:val="bottom"/>
          </w:tcPr>
          <w:p>
            <w:pPr>
              <w:ind w:left="680"/>
              <w:spacing w:after="0"/>
              <w:rPr>
                <w:sz w:val="20"/>
                <w:szCs w:val="20"/>
                <w:color w:val="auto"/>
              </w:rPr>
            </w:pPr>
            <w:r>
              <w:rPr>
                <w:rFonts w:ascii="Arial" w:cs="Arial" w:eastAsia="Arial" w:hAnsi="Arial"/>
                <w:sz w:val="18"/>
                <w:szCs w:val="18"/>
                <w:color w:val="auto"/>
              </w:rPr>
              <w:t>6.773%</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CUSIP Number:</w:t>
            </w:r>
          </w:p>
        </w:tc>
        <w:tc>
          <w:tcPr>
            <w:tcW w:w="7860" w:type="dxa"/>
            <w:vAlign w:val="bottom"/>
          </w:tcPr>
          <w:p>
            <w:pPr>
              <w:ind w:left="680"/>
              <w:spacing w:after="0"/>
              <w:rPr>
                <w:sz w:val="20"/>
                <w:szCs w:val="20"/>
                <w:color w:val="auto"/>
              </w:rPr>
            </w:pPr>
            <w:r>
              <w:rPr>
                <w:rFonts w:ascii="Arial" w:cs="Arial" w:eastAsia="Arial" w:hAnsi="Arial"/>
                <w:sz w:val="18"/>
                <w:szCs w:val="18"/>
                <w:color w:val="auto"/>
              </w:rPr>
              <w:t>595112BV4</w:t>
            </w:r>
          </w:p>
        </w:tc>
      </w:tr>
      <w:tr>
        <w:trPr>
          <w:trHeight w:val="43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ISIN Number:</w:t>
            </w:r>
          </w:p>
        </w:tc>
        <w:tc>
          <w:tcPr>
            <w:tcW w:w="7860" w:type="dxa"/>
            <w:vAlign w:val="bottom"/>
          </w:tcPr>
          <w:p>
            <w:pPr>
              <w:ind w:left="680"/>
              <w:spacing w:after="0"/>
              <w:rPr>
                <w:sz w:val="20"/>
                <w:szCs w:val="20"/>
                <w:color w:val="auto"/>
              </w:rPr>
            </w:pPr>
            <w:r>
              <w:rPr>
                <w:rFonts w:ascii="Arial" w:cs="Arial" w:eastAsia="Arial" w:hAnsi="Arial"/>
                <w:sz w:val="18"/>
                <w:szCs w:val="18"/>
                <w:color w:val="auto"/>
              </w:rPr>
              <w:t>US595112BV48</w:t>
            </w:r>
          </w:p>
        </w:tc>
      </w:tr>
      <w:tr>
        <w:trPr>
          <w:trHeight w:val="675"/>
        </w:trPr>
        <w:tc>
          <w:tcPr>
            <w:tcW w:w="3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6"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6"/>
          <w:szCs w:val="16"/>
          <w:b w:val="1"/>
          <w:bCs w:val="1"/>
          <w:color w:val="auto"/>
        </w:rPr>
        <w:t>Redemption at Micron’s Option:</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7"/>
          <w:szCs w:val="17"/>
          <w:color w:val="auto"/>
        </w:rPr>
        <w:t>Prior to the Par Call Date, Micron may redeem the notes, in whole or in part, at any time and from time to time, at a redemption price (expressed as a percentage of principal amount and rounded to three decimal places) equal to the greater of (A)(i)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40 basis points, less (ii) interest accrued to the date of redemption, and (B) 100% of the principal amount of the notes to be redeemed, plus, in each case, accrued and unpaid interest, if any, on the amount being redeemed to, but excluding, the date of redemption. On or after the Par Call Date, Micron may redeem the notes in whole or in part, at any time and from time to time, at a redemption price equal to 100% of the principal amount of the notes redeemed, plus accrued and unpaid interest, if any, to, but excluding, the date of redemption. The “Par Call Date” for the notes means September 1, 2029 (two months prior to the maturity date).</w:t>
      </w:r>
    </w:p>
    <w:p>
      <w:pPr>
        <w:spacing w:after="0" w:line="182" w:lineRule="exact"/>
        <w:rPr>
          <w:sz w:val="20"/>
          <w:szCs w:val="20"/>
          <w:color w:val="auto"/>
        </w:rPr>
      </w:pPr>
    </w:p>
    <w:p>
      <w:pPr>
        <w:sectPr>
          <w:pgSz w:w="11900" w:h="16838" w:orient="portrait"/>
          <w:cols w:equalWidth="0" w:num="2">
            <w:col w:w="3340" w:space="720"/>
            <w:col w:w="7180"/>
          </w:cols>
          <w:pgMar w:left="320" w:top="904"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Wells Fargo Securities, LLC</w:t>
      </w:r>
    </w:p>
    <w:p>
      <w:pPr>
        <w:spacing w:after="0" w:line="200" w:lineRule="exact"/>
        <w:rPr>
          <w:sz w:val="20"/>
          <w:szCs w:val="20"/>
          <w:color w:val="auto"/>
        </w:rPr>
      </w:pPr>
    </w:p>
    <w:p>
      <w:pPr>
        <w:sectPr>
          <w:pgSz w:w="11900" w:h="16838" w:orient="portrait"/>
          <w:cols w:equalWidth="0" w:num="2">
            <w:col w:w="3340" w:space="720"/>
            <w:col w:w="7180"/>
          </w:cols>
          <w:pgMar w:left="320" w:top="904" w:right="339" w:bottom="1440" w:gutter="0" w:footer="0" w:header="0"/>
          <w:type w:val="continuous"/>
        </w:sectPr>
      </w:pPr>
    </w:p>
    <w:p>
      <w:pPr>
        <w:spacing w:after="0" w:line="3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ANZ Securities,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Credit Agricole Securities (USA) Inc.</w:t>
      </w:r>
    </w:p>
    <w:p>
      <w:pPr>
        <w:spacing w:after="0" w:line="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Truist Securities, Inc.</w:t>
      </w:r>
    </w:p>
    <w:p>
      <w:pPr>
        <w:sectPr>
          <w:pgSz w:w="11900" w:h="16838" w:orient="portrait"/>
          <w:cols w:equalWidth="0" w:num="1">
            <w:col w:w="11240"/>
          </w:cols>
          <w:pgMar w:left="320" w:top="904" w:right="339" w:bottom="1440" w:gutter="0" w:footer="0" w:header="0"/>
          <w:type w:val="continuous"/>
        </w:sect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Siebert Williams Shank &amp; Co., LLC</w:t>
      </w:r>
    </w:p>
    <w:p>
      <w:pPr>
        <w:spacing w:after="0" w:line="200" w:lineRule="exact"/>
        <w:rPr>
          <w:sz w:val="20"/>
          <w:szCs w:val="20"/>
          <w:color w:val="auto"/>
        </w:rPr>
      </w:pPr>
    </w:p>
    <w:p>
      <w:pPr>
        <w:sectPr>
          <w:pgSz w:w="11900" w:h="16838" w:orient="portrait"/>
          <w:cols w:equalWidth="0" w:num="2">
            <w:col w:w="3340" w:space="720"/>
            <w:col w:w="7180"/>
          </w:cols>
          <w:pgMar w:left="320" w:top="904" w:right="339" w:bottom="1440" w:gutter="0" w:footer="0" w:header="0"/>
          <w:type w:val="continuous"/>
        </w:sectPr>
      </w:pPr>
    </w:p>
    <w:p>
      <w:pPr>
        <w:spacing w:after="0" w:line="30" w:lineRule="exact"/>
        <w:rPr>
          <w:sz w:val="20"/>
          <w:szCs w:val="20"/>
          <w:color w:val="auto"/>
        </w:rPr>
      </w:pPr>
    </w:p>
    <w:p>
      <w:pPr>
        <w:ind w:firstLine="656"/>
        <w:spacing w:after="0" w:line="322" w:lineRule="auto"/>
        <w:tabs>
          <w:tab w:leader="none" w:pos="783"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It is expected that delivery of the notes will be made against payment therefor on or about October 31, 2022, which will be the third business day following the date of pricing of the notes. Under Rule 15c6-1 of the Securities Exchange Act of 1934, as amended, trades in the secondary market generally are required to settle in two business days, unless the parties to any such trade expressly agree otherwise. Accordingly, purchasers who wish to trade notes on any date prior to the date that is two business days before delivery will be required, by virtue of the fact that the notes initially will settle in three business days (T+3), to specify alternative settlement arrangements to prevent a failed settlement.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Note: A securities rating is not a recommendation to buy, sell or hold securities and may be subject to revision or withdrawal at 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20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Morgan Stanley &amp; Co. LLC toll-free at 1-866-718-1649, BofA Securities, Inc. toll-free at 1-800-294-1322 or Wells Fargo Securities, LLC toll free at 1-800-645-3751.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2022-10-27T05:14:40Z</dcterms:created>
  <dcterms:modified xsi:type="dcterms:W3CDTF">2022-10-27T05:14:40Z</dcterms:modified>
</cp:coreProperties>
</file>