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732155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1700" w:hanging="936"/>
        <w:spacing w:after="0"/>
        <w:tabs>
          <w:tab w:leader="none" w:pos="17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1700" w:hanging="936"/>
        <w:spacing w:after="0"/>
        <w:tabs>
          <w:tab w:leader="none" w:pos="1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1237" w:right="359" w:bottom="1440" w:gutter="0" w:footer="0" w:header="0"/>
        </w:sectPr>
      </w:pPr>
    </w:p>
    <w:p>
      <w:pPr>
        <w:spacing w:after="0" w:line="142" w:lineRule="exact"/>
        <w:rPr>
          <w:sz w:val="24"/>
          <w:szCs w:val="24"/>
          <w:color w:val="auto"/>
        </w:rPr>
      </w:pPr>
    </w:p>
    <w:p>
      <w:pPr>
        <w:ind w:left="39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6500" w:space="600"/>
            <w:col w:w="4120"/>
          </w:cols>
          <w:pgMar w:left="320" w:top="1237"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61595</wp:posOffset>
            </wp:positionV>
            <wp:extent cx="152590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Delaware</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75-1618004</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(IRS Employer Identification No.)</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8000 S. Federal Way, Boise, Idaho</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83716-9632</w:t>
            </w: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(Address of principal executive offices)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tcPr>
          <w:p>
            <w:pPr>
              <w:jc w:val="center"/>
              <w:ind w:left="1510"/>
              <w:spacing w:after="0"/>
              <w:rPr>
                <w:sz w:val="20"/>
                <w:szCs w:val="20"/>
                <w:color w:val="auto"/>
              </w:rPr>
            </w:pPr>
            <w:r>
              <w:rPr>
                <w:rFonts w:ascii="Arial" w:cs="Arial" w:eastAsia="Arial" w:hAnsi="Arial"/>
                <w:sz w:val="18"/>
                <w:szCs w:val="18"/>
                <w:color w:val="auto"/>
                <w:w w:val="98"/>
              </w:rPr>
              <w:t>(Zip Code)</w:t>
            </w: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Registrant’s telephone number, including area code</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tcPr>
          <w:p>
            <w:pPr>
              <w:jc w:val="center"/>
              <w:ind w:left="1510"/>
              <w:spacing w:after="0"/>
              <w:rPr>
                <w:sz w:val="20"/>
                <w:szCs w:val="20"/>
                <w:color w:val="auto"/>
              </w:rPr>
            </w:pPr>
            <w:r>
              <w:rPr>
                <w:rFonts w:ascii="Arial" w:cs="Arial" w:eastAsia="Arial" w:hAnsi="Arial"/>
                <w:sz w:val="18"/>
                <w:szCs w:val="18"/>
                <w:b w:val="1"/>
                <w:bCs w:val="1"/>
                <w:color w:val="auto"/>
              </w:rPr>
              <w:t>(208) 368-4000</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382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NASDAQ Global Select Market</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580" w:type="dxa"/>
            <w:vAlign w:val="bottom"/>
            <w:gridSpan w:val="5"/>
          </w:tcPr>
          <w:p>
            <w:pPr>
              <w:ind w:left="30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60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7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9600" w:type="dxa"/>
            <w:vAlign w:val="bottom"/>
            <w:gridSpan w:val="6"/>
          </w:tcPr>
          <w:p>
            <w:pPr>
              <w:spacing w:after="0" w:line="202"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600" w:type="dxa"/>
            <w:vAlign w:val="bottom"/>
            <w:gridSpan w:val="6"/>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780" w:type="dxa"/>
            <w:vAlign w:val="bottom"/>
            <w:vMerge w:val="restart"/>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2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2"/>
        </w:trPr>
        <w:tc>
          <w:tcPr>
            <w:tcW w:w="960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7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00" w:type="dxa"/>
            <w:vAlign w:val="bottom"/>
            <w:gridSpan w:val="6"/>
          </w:tcPr>
          <w:p>
            <w:pPr>
              <w:spacing w:after="0" w:line="202" w:lineRule="exact"/>
              <w:rPr>
                <w:sz w:val="20"/>
                <w:szCs w:val="20"/>
                <w:color w:val="auto"/>
              </w:rPr>
            </w:pPr>
            <w:r>
              <w:rPr>
                <w:rFonts w:ascii="Arial" w:cs="Arial" w:eastAsia="Arial" w:hAnsi="Arial"/>
                <w:sz w:val="18"/>
                <w:szCs w:val="18"/>
                <w:color w:val="auto"/>
              </w:rPr>
              <w:t>submitted pursuant to Rule 405 of Regulation S-T (§ 232.405 of this chapter) during the preceding 12 months (or for</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gridSpan w:val="5"/>
          </w:tcPr>
          <w:p>
            <w:pPr>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3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20" w:right="30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400" w:type="dxa"/>
            <w:vAlign w:val="bottom"/>
          </w:tcPr>
          <w:p>
            <w:pPr>
              <w:jc w:val="center"/>
              <w:ind w:right="90"/>
              <w:spacing w:after="0"/>
              <w:rPr>
                <w:sz w:val="20"/>
                <w:szCs w:val="20"/>
                <w:color w:val="auto"/>
              </w:rPr>
            </w:pPr>
            <w:r>
              <w:rPr>
                <w:rFonts w:ascii="Arial" w:cs="Arial" w:eastAsia="Arial" w:hAnsi="Arial"/>
                <w:sz w:val="18"/>
                <w:szCs w:val="18"/>
                <w:color w:val="auto"/>
                <w:w w:val="99"/>
              </w:rPr>
              <w:t>Large Accelerated Filer</w:t>
            </w:r>
          </w:p>
        </w:tc>
        <w:tc>
          <w:tcPr>
            <w:tcW w:w="200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15"/>
              <w:spacing w:after="0"/>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040" w:type="dxa"/>
            <w:vAlign w:val="bottom"/>
            <w:gridSpan w:val="2"/>
          </w:tcPr>
          <w:p>
            <w:pPr>
              <w:jc w:val="center"/>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83"/>
        </w:trPr>
        <w:tc>
          <w:tcPr>
            <w:tcW w:w="240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2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40" w:type="dxa"/>
            <w:vAlign w:val="bottom"/>
          </w:tcPr>
          <w:p>
            <w:pPr>
              <w:jc w:val="center"/>
              <w:ind w:left="11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2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10380" w:type="dxa"/>
            <w:vAlign w:val="bottom"/>
            <w:gridSpan w:val="5"/>
          </w:tcPr>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380" w:type="dxa"/>
            <w:vAlign w:val="bottom"/>
            <w:gridSpan w:val="5"/>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6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2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20" w:type="dxa"/>
            <w:vAlign w:val="bottom"/>
          </w:tcPr>
          <w:p>
            <w:pPr>
              <w:jc w:val="right"/>
              <w:ind w:right="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March 19, 2020 was 1,112,186,006.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1137920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143510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168910</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type w:val="continuous"/>
        </w:sectPr>
      </w:pPr>
    </w:p>
    <w:bookmarkStart w:id="1" w:name="page2"/>
    <w:bookmarkEnd w:id="1"/>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2494280" cy="216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2160270"/>
                    </a:xfrm>
                    <a:prstGeom prst="rect">
                      <a:avLst/>
                    </a:prstGeom>
                    <a:noFill/>
                  </pic:spPr>
                </pic:pic>
              </a:graphicData>
            </a:graphic>
          </wp:anchor>
        </w:drawing>
      </w:r>
    </w:p>
    <w:p>
      <w:pPr>
        <w:ind w:left="212" w:right="420"/>
        <w:spacing w:after="0" w:line="262" w:lineRule="auto"/>
        <w:rPr>
          <w:sz w:val="20"/>
          <w:szCs w:val="20"/>
          <w:color w:val="auto"/>
        </w:rPr>
      </w:pPr>
      <w:r>
        <w:rPr>
          <w:rFonts w:ascii="Arial" w:cs="Arial" w:eastAsia="Arial" w:hAnsi="Arial"/>
          <w:sz w:val="64"/>
          <w:szCs w:val="64"/>
          <w:b w:val="1"/>
          <w:bCs w:val="1"/>
          <w:color w:val="FFFFFF"/>
        </w:rPr>
        <w:t>Micron 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2494280" cy="510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5109210"/>
                    </a:xfrm>
                    <a:prstGeom prst="rect">
                      <a:avLst/>
                    </a:prstGeom>
                    <a:noFill/>
                  </pic:spPr>
                </pic:pic>
              </a:graphicData>
            </a:graphic>
          </wp:anchor>
        </w:drawing>
      </w:r>
    </w:p>
    <w:p>
      <w:pPr>
        <w:spacing w:after="0" w:line="127" w:lineRule="exact"/>
        <w:rPr>
          <w:sz w:val="20"/>
          <w:szCs w:val="20"/>
          <w:color w:val="auto"/>
        </w:rPr>
      </w:pPr>
    </w:p>
    <w:p>
      <w:pPr>
        <w:ind w:left="212" w:right="1180"/>
        <w:spacing w:after="0" w:line="227" w:lineRule="auto"/>
        <w:rPr>
          <w:sz w:val="20"/>
          <w:szCs w:val="20"/>
          <w:color w:val="auto"/>
        </w:rPr>
      </w:pPr>
      <w:r>
        <w:rPr>
          <w:rFonts w:ascii="Arial" w:cs="Arial" w:eastAsia="Arial" w:hAnsi="Arial"/>
          <w:sz w:val="18"/>
          <w:szCs w:val="18"/>
          <w:color w:val="FFFFFF"/>
        </w:rPr>
        <w:t>Founded over 40 years ago on October 5, 1978</w:t>
      </w:r>
    </w:p>
    <w:p>
      <w:pPr>
        <w:spacing w:after="0" w:line="252"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Headquartered in</w:t>
      </w:r>
    </w:p>
    <w:p>
      <w:pPr>
        <w:ind w:left="212"/>
        <w:spacing w:after="0"/>
        <w:rPr>
          <w:sz w:val="20"/>
          <w:szCs w:val="20"/>
          <w:color w:val="auto"/>
        </w:rPr>
      </w:pPr>
      <w:r>
        <w:rPr>
          <w:rFonts w:ascii="Arial" w:cs="Arial" w:eastAsia="Arial" w:hAnsi="Arial"/>
          <w:sz w:val="18"/>
          <w:szCs w:val="18"/>
          <w:color w:val="FFFFFF"/>
        </w:rPr>
        <w:t>Boise, Idaho, USA</w:t>
      </w:r>
    </w:p>
    <w:p>
      <w:pPr>
        <w:spacing w:after="0" w:line="205"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4th</w:t>
      </w:r>
    </w:p>
    <w:p>
      <w:pPr>
        <w:spacing w:after="0" w:line="12" w:lineRule="exact"/>
        <w:rPr>
          <w:sz w:val="20"/>
          <w:szCs w:val="20"/>
          <w:color w:val="auto"/>
        </w:rPr>
      </w:pPr>
    </w:p>
    <w:p>
      <w:pPr>
        <w:ind w:left="212" w:right="780"/>
        <w:spacing w:after="0" w:line="227" w:lineRule="auto"/>
        <w:rPr>
          <w:sz w:val="20"/>
          <w:szCs w:val="20"/>
          <w:color w:val="auto"/>
        </w:rPr>
      </w:pPr>
      <w:r>
        <w:rPr>
          <w:rFonts w:ascii="Arial" w:cs="Arial" w:eastAsia="Arial" w:hAnsi="Arial"/>
          <w:sz w:val="18"/>
          <w:szCs w:val="18"/>
          <w:color w:val="FFFFFF"/>
        </w:rPr>
        <w:t>Largest semiconductor company in the world*</w:t>
      </w:r>
    </w:p>
    <w:p>
      <w:pPr>
        <w:spacing w:after="0" w:line="196"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18</w:t>
      </w:r>
    </w:p>
    <w:p>
      <w:pPr>
        <w:spacing w:after="0" w:line="12"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Countries*</w:t>
      </w:r>
    </w:p>
    <w:p>
      <w:pPr>
        <w:spacing w:after="0" w:line="205"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13</w:t>
      </w:r>
    </w:p>
    <w:p>
      <w:pPr>
        <w:ind w:left="212"/>
        <w:spacing w:after="0" w:line="217" w:lineRule="auto"/>
        <w:rPr>
          <w:sz w:val="20"/>
          <w:szCs w:val="20"/>
          <w:color w:val="auto"/>
        </w:rPr>
      </w:pPr>
      <w:r>
        <w:rPr>
          <w:rFonts w:ascii="Arial" w:cs="Arial" w:eastAsia="Arial" w:hAnsi="Arial"/>
          <w:sz w:val="18"/>
          <w:szCs w:val="18"/>
          <w:color w:val="FFFFFF"/>
        </w:rPr>
        <w:t>Manufacturing sites and</w:t>
      </w:r>
    </w:p>
    <w:p>
      <w:pPr>
        <w:ind w:left="212"/>
        <w:spacing w:after="0"/>
        <w:rPr>
          <w:sz w:val="20"/>
          <w:szCs w:val="20"/>
          <w:color w:val="auto"/>
        </w:rPr>
      </w:pPr>
      <w:r>
        <w:rPr>
          <w:rFonts w:ascii="Arial" w:cs="Arial" w:eastAsia="Arial" w:hAnsi="Arial"/>
          <w:sz w:val="18"/>
          <w:szCs w:val="18"/>
          <w:color w:val="FFFFFF"/>
        </w:rPr>
        <w:t>13 customer labs*</w:t>
      </w:r>
    </w:p>
    <w:p>
      <w:pPr>
        <w:spacing w:after="0" w:line="205"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37,000</w:t>
      </w:r>
    </w:p>
    <w:p>
      <w:pPr>
        <w:spacing w:after="0" w:line="12"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Team members*</w:t>
      </w:r>
    </w:p>
    <w:p>
      <w:pPr>
        <w:spacing w:after="0" w:line="206" w:lineRule="exact"/>
        <w:rPr>
          <w:sz w:val="20"/>
          <w:szCs w:val="20"/>
          <w:color w:val="auto"/>
        </w:rPr>
      </w:pPr>
    </w:p>
    <w:p>
      <w:pPr>
        <w:ind w:left="212"/>
        <w:spacing w:after="0"/>
        <w:rPr>
          <w:sz w:val="20"/>
          <w:szCs w:val="20"/>
          <w:color w:val="auto"/>
        </w:rPr>
      </w:pPr>
      <w:r>
        <w:rPr>
          <w:rFonts w:ascii="Arial" w:cs="Arial" w:eastAsia="Arial" w:hAnsi="Arial"/>
          <w:sz w:val="16"/>
          <w:szCs w:val="16"/>
          <w:color w:val="FFFFFF"/>
        </w:rPr>
        <w:t>*Micron data as of August 29, 2019.</w:t>
      </w:r>
    </w:p>
    <w:p>
      <w:pPr>
        <w:ind w:left="212"/>
        <w:spacing w:after="0" w:line="232" w:lineRule="auto"/>
        <w:rPr>
          <w:sz w:val="20"/>
          <w:szCs w:val="20"/>
          <w:color w:val="auto"/>
        </w:rPr>
      </w:pPr>
      <w:r>
        <w:rPr>
          <w:rFonts w:ascii="Arial" w:cs="Arial" w:eastAsia="Arial" w:hAnsi="Arial"/>
          <w:sz w:val="16"/>
          <w:szCs w:val="16"/>
          <w:color w:val="FFFFFF"/>
        </w:rPr>
        <w:t>Gartner Market Share: Semiconductors by End Market, Worldwide, 2018 (April 2019)</w:t>
      </w:r>
    </w:p>
    <w:p>
      <w:pPr>
        <w:spacing w:after="0" w:line="114" w:lineRule="exact"/>
        <w:rPr>
          <w:sz w:val="20"/>
          <w:szCs w:val="20"/>
          <w:color w:val="auto"/>
        </w:rPr>
      </w:pPr>
    </w:p>
    <w:p>
      <w:pPr>
        <w:ind w:left="212" w:right="1100"/>
        <w:spacing w:after="0" w:line="274" w:lineRule="auto"/>
        <w:rPr>
          <w:sz w:val="20"/>
          <w:szCs w:val="20"/>
          <w:color w:val="auto"/>
        </w:rPr>
      </w:pPr>
      <w:r>
        <w:rPr>
          <w:rFonts w:ascii="Arial" w:cs="Arial" w:eastAsia="Arial" w:hAnsi="Arial"/>
          <w:sz w:val="17"/>
          <w:szCs w:val="17"/>
          <w:color w:val="FFFFFF"/>
        </w:rPr>
        <w:t>Media Inquiries mediarelations@micron.com</w:t>
      </w:r>
    </w:p>
    <w:p>
      <w:pPr>
        <w:spacing w:after="0" w:line="157"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Government Inquiries</w:t>
      </w:r>
    </w:p>
    <w:p>
      <w:pPr>
        <w:ind w:left="212"/>
        <w:spacing w:after="0"/>
        <w:rPr>
          <w:sz w:val="20"/>
          <w:szCs w:val="20"/>
          <w:color w:val="auto"/>
        </w:rPr>
      </w:pPr>
      <w:r>
        <w:rPr>
          <w:rFonts w:ascii="Arial" w:cs="Arial" w:eastAsia="Arial" w:hAnsi="Arial"/>
          <w:sz w:val="18"/>
          <w:szCs w:val="18"/>
          <w:color w:val="FFFFFF"/>
        </w:rPr>
        <w:t>govaffairs@micron.com</w:t>
      </w:r>
    </w:p>
    <w:p>
      <w:pPr>
        <w:spacing w:after="0" w:line="198" w:lineRule="exact"/>
        <w:rPr>
          <w:sz w:val="20"/>
          <w:szCs w:val="20"/>
          <w:color w:val="auto"/>
        </w:rPr>
      </w:pPr>
    </w:p>
    <w:p>
      <w:pPr>
        <w:ind w:left="212" w:right="960"/>
        <w:spacing w:after="0" w:line="274" w:lineRule="auto"/>
        <w:rPr>
          <w:sz w:val="20"/>
          <w:szCs w:val="20"/>
          <w:color w:val="auto"/>
        </w:rPr>
      </w:pPr>
      <w:r>
        <w:rPr>
          <w:rFonts w:ascii="Arial" w:cs="Arial" w:eastAsia="Arial" w:hAnsi="Arial"/>
          <w:sz w:val="17"/>
          <w:szCs w:val="17"/>
          <w:color w:val="FFFFFF"/>
        </w:rPr>
        <w:t>Investor Inquiries 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100"/>
        <w:spacing w:after="0" w:line="248" w:lineRule="auto"/>
        <w:rPr>
          <w:sz w:val="20"/>
          <w:szCs w:val="20"/>
          <w:color w:val="auto"/>
        </w:rPr>
      </w:pPr>
      <w:r>
        <w:rPr>
          <w:rFonts w:ascii="Arial" w:cs="Arial" w:eastAsia="Arial" w:hAnsi="Arial"/>
          <w:sz w:val="57"/>
          <w:szCs w:val="57"/>
          <w:color w:val="auto"/>
        </w:rPr>
        <w:t>Redefining What’s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-3090545</wp:posOffset>
            </wp:positionV>
            <wp:extent cx="4217670" cy="214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17670" cy="2143125"/>
                    </a:xfrm>
                    <a:prstGeom prst="rect">
                      <a:avLst/>
                    </a:prstGeom>
                    <a:noFill/>
                  </pic:spPr>
                </pic:pic>
              </a:graphicData>
            </a:graphic>
          </wp:anchor>
        </w:drawing>
      </w:r>
    </w:p>
    <w:p>
      <w:pPr>
        <w:ind w:right="280"/>
        <w:spacing w:after="0" w:line="247" w:lineRule="auto"/>
        <w:rPr>
          <w:sz w:val="20"/>
          <w:szCs w:val="20"/>
          <w:color w:val="auto"/>
        </w:rPr>
      </w:pPr>
      <w:r>
        <w:rPr>
          <w:rFonts w:ascii="Arial" w:cs="Arial" w:eastAsia="Arial" w:hAnsi="Arial"/>
          <w:sz w:val="27"/>
          <w:szCs w:val="27"/>
          <w:b w:val="1"/>
          <w:bCs w:val="1"/>
          <w:color w:val="0090DA"/>
        </w:rPr>
        <w:t>The world is moving to a new economic model, where data is driving value creation in ways nobody had imagined just a few years ago.</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Data is today’s new business currency, and memory and storage are emerging as strategic differentiators that will redefine how we extract value from data to learn, explore, communicate, and experience. Our more than 37,000 team members, in 18 different countries, work with countless customers to innovate every day and pursue the products that will shape how we live and work tomorrow.</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a global leader in memory and storage solutions, we are transforming how the world uses information to enrich life by enabling technologies to collect, store, and manage data with unprecedented speed and efficiency. We are accelerating the transformation of information into intelligence – inspiring the world to learn, communicate, and advance faster than ever.</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day-to-day operations wouldn’t be possible without our team members’ commitment to business integrity and environmental sustainability. Whether it’s adhering to our professional values or valuing the communities we work in, for us, doing business better means doing business right.</w:t>
      </w:r>
    </w:p>
    <w:p>
      <w:pPr>
        <w:spacing w:after="0" w:line="139"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0090DA"/>
        </w:rPr>
        <w:t>DRAM | NAND | 3D XPoint</w:t>
      </w:r>
      <w:r>
        <w:rPr>
          <w:rFonts w:ascii="Arial" w:cs="Arial" w:eastAsia="Arial" w:hAnsi="Arial"/>
          <w:sz w:val="21"/>
          <w:szCs w:val="21"/>
          <w:color w:val="0090DA"/>
          <w:vertAlign w:val="superscript"/>
        </w:rPr>
        <w:t>TM</w:t>
      </w:r>
      <w:r>
        <w:rPr>
          <w:rFonts w:ascii="Arial" w:cs="Arial" w:eastAsia="Arial" w:hAnsi="Arial"/>
          <w:sz w:val="16"/>
          <w:szCs w:val="16"/>
          <w:color w:val="0090DA"/>
        </w:rPr>
        <w:t xml:space="preserve"> Memory | NOR | Solid-State Drives</w:t>
      </w:r>
    </w:p>
    <w:p>
      <w:pPr>
        <w:spacing w:after="0"/>
        <w:rPr>
          <w:sz w:val="20"/>
          <w:szCs w:val="20"/>
          <w:color w:val="auto"/>
        </w:rPr>
      </w:pPr>
      <w:r>
        <w:rPr>
          <w:rFonts w:ascii="Arial" w:cs="Arial" w:eastAsia="Arial" w:hAnsi="Arial"/>
          <w:sz w:val="16"/>
          <w:szCs w:val="16"/>
          <w:color w:val="0090DA"/>
        </w:rPr>
        <w:t>High Bandwidth Memory (HBM) | Multichip Packages | Advanced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453453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308610"/>
                    </a:xfrm>
                    <a:prstGeom prst="rect">
                      <a:avLst/>
                    </a:prstGeom>
                    <a:noFill/>
                  </pic:spPr>
                </pic:pic>
              </a:graphicData>
            </a:graphic>
          </wp:anchor>
        </w:drawing>
      </w:r>
    </w:p>
    <w:p>
      <w:pPr>
        <w:spacing w:after="0" w:line="182" w:lineRule="exact"/>
        <w:rPr>
          <w:sz w:val="20"/>
          <w:szCs w:val="20"/>
          <w:color w:val="auto"/>
        </w:rPr>
      </w:pPr>
    </w:p>
    <w:p>
      <w:pPr>
        <w:jc w:val="right"/>
        <w:ind w:right="80"/>
        <w:spacing w:after="0"/>
        <w:rPr>
          <w:sz w:val="20"/>
          <w:szCs w:val="20"/>
          <w:color w:val="auto"/>
        </w:rPr>
      </w:pPr>
      <w:r>
        <w:rPr>
          <w:rFonts w:ascii="Arial" w:cs="Arial" w:eastAsia="Arial" w:hAnsi="Arial"/>
          <w:sz w:val="25"/>
          <w:szCs w:val="25"/>
          <w:b w:val="1"/>
          <w:bCs w:val="1"/>
          <w:color w:val="FFFFFF"/>
        </w:rPr>
        <w:t>Connect with us on micron.com</w:t>
      </w:r>
    </w:p>
    <w:p>
      <w:pPr>
        <w:spacing w:after="0" w:line="238" w:lineRule="exact"/>
        <w:rPr>
          <w:sz w:val="20"/>
          <w:szCs w:val="20"/>
          <w:color w:val="auto"/>
        </w:rPr>
      </w:pPr>
    </w:p>
    <w:p>
      <w:pPr>
        <w:sectPr>
          <w:pgSz w:w="11900" w:h="16838" w:orient="portrait"/>
          <w:cols w:equalWidth="0" w:num="2">
            <w:col w:w="3592" w:space="440"/>
            <w:col w:w="7200"/>
          </w:cols>
          <w:pgMar w:left="328" w:top="1440" w:right="339" w:bottom="1440" w:gutter="0" w:footer="0" w:header="0"/>
        </w:sectPr>
      </w:pPr>
    </w:p>
    <w:p>
      <w:pPr>
        <w:ind w:left="-8" w:firstLine="8"/>
        <w:spacing w:after="0" w:line="223" w:lineRule="auto"/>
        <w:tabs>
          <w:tab w:leader="none" w:pos="138" w:val="left"/>
        </w:tabs>
        <w:numPr>
          <w:ilvl w:val="0"/>
          <w:numId w:val="3"/>
        </w:numPr>
        <w:rPr>
          <w:rFonts w:ascii="Arial" w:cs="Arial" w:eastAsia="Arial" w:hAnsi="Arial"/>
          <w:sz w:val="14"/>
          <w:szCs w:val="14"/>
          <w:color w:val="auto"/>
        </w:rPr>
      </w:pPr>
      <w:r>
        <w:rPr>
          <w:rFonts w:ascii="Arial" w:cs="Arial" w:eastAsia="Arial" w:hAnsi="Arial"/>
          <w:sz w:val="14"/>
          <w:szCs w:val="14"/>
          <w:color w:val="auto"/>
        </w:rPr>
        <w:t>2020 Micron Technology, Inc. Micron, the Micron logo, the M orbit logo, Intelligence Accelerated</w:t>
      </w:r>
      <w:r>
        <w:rPr>
          <w:rFonts w:ascii="Arial" w:cs="Arial" w:eastAsia="Arial" w:hAnsi="Arial"/>
          <w:sz w:val="18"/>
          <w:szCs w:val="18"/>
          <w:color w:val="auto"/>
          <w:vertAlign w:val="superscript"/>
        </w:rPr>
        <w:t>TM</w:t>
      </w:r>
      <w:r>
        <w:rPr>
          <w:rFonts w:ascii="Arial" w:cs="Arial" w:eastAsia="Arial" w:hAnsi="Arial"/>
          <w:sz w:val="14"/>
          <w:szCs w:val="14"/>
          <w:color w:val="auto"/>
        </w:rPr>
        <w:t>, and other Micron trademarks are the property of Micron Technology, Inc. All other trademarks are the property of their respective owners. Products and specifications are subject to change without notice. Rev 03/20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9"/>
          <w:szCs w:val="3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Introduction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Financial Statements:</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Comprehensive Income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50" w:lineRule="exact"/>
        <w:rPr>
          <w:sz w:val="20"/>
          <w:szCs w:val="20"/>
          <w:color w:val="auto"/>
        </w:rPr>
      </w:pPr>
    </w:p>
    <w:p>
      <w:pPr>
        <w:ind w:left="1180" w:right="1180" w:hanging="1160"/>
        <w:spacing w:after="0" w:line="297" w:lineRule="auto"/>
        <w:tabs>
          <w:tab w:leader="none" w:pos="11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Quantitative and Qualitative Disclosures about Market Risk</w:t>
      </w:r>
    </w:p>
    <w:p>
      <w:pPr>
        <w:spacing w:after="0" w:line="5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 Other Information</w:t>
      </w:r>
    </w:p>
    <w:p>
      <w:pPr>
        <w:spacing w:after="0" w:line="72"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5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Exhibits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960"/>
        <w:spacing w:after="0"/>
        <w:rPr>
          <w:rFonts w:ascii="Arial" w:cs="Arial" w:eastAsia="Arial" w:hAnsi="Arial"/>
          <w:sz w:val="18"/>
          <w:szCs w:val="18"/>
          <w:u w:val="single" w:color="auto"/>
          <w:color w:val="auto"/>
        </w:rPr>
      </w:pPr>
      <w:hyperlink w:anchor="page3">
        <w:r>
          <w:rPr>
            <w:rFonts w:ascii="Arial" w:cs="Arial" w:eastAsia="Arial" w:hAnsi="Arial"/>
            <w:sz w:val="18"/>
            <w:szCs w:val="18"/>
            <w:u w:val="single" w:color="auto"/>
            <w:color w:val="auto"/>
          </w:rPr>
          <w:t>2</w:t>
        </w:r>
      </w:hyperlink>
    </w:p>
    <w:p>
      <w:pPr>
        <w:spacing w:after="0" w:line="200" w:lineRule="exact"/>
        <w:rPr>
          <w:sz w:val="20"/>
          <w:szCs w:val="20"/>
          <w:color w:val="auto"/>
        </w:rPr>
      </w:pPr>
    </w:p>
    <w:p>
      <w:pPr>
        <w:spacing w:after="0" w:line="363"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3</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4</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6">
        <w:r>
          <w:rPr>
            <w:rFonts w:ascii="Arial" w:cs="Arial" w:eastAsia="Arial" w:hAnsi="Arial"/>
            <w:sz w:val="18"/>
            <w:szCs w:val="18"/>
            <w:u w:val="single" w:color="auto"/>
            <w:color w:val="auto"/>
          </w:rPr>
          <w:t>5</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7">
        <w:r>
          <w:rPr>
            <w:rFonts w:ascii="Arial" w:cs="Arial" w:eastAsia="Arial" w:hAnsi="Arial"/>
            <w:sz w:val="18"/>
            <w:szCs w:val="18"/>
            <w:u w:val="single" w:color="auto"/>
            <w:color w:val="auto"/>
          </w:rPr>
          <w:t>6</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9">
        <w:r>
          <w:rPr>
            <w:rFonts w:ascii="Arial" w:cs="Arial" w:eastAsia="Arial" w:hAnsi="Arial"/>
            <w:sz w:val="18"/>
            <w:szCs w:val="18"/>
            <w:u w:val="single" w:color="auto"/>
            <w:color w:val="auto"/>
          </w:rPr>
          <w:t>8</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10">
        <w:r>
          <w:rPr>
            <w:rFonts w:ascii="Arial" w:cs="Arial" w:eastAsia="Arial" w:hAnsi="Arial"/>
            <w:sz w:val="18"/>
            <w:szCs w:val="18"/>
            <w:u w:val="single" w:color="auto"/>
            <w:color w:val="auto"/>
          </w:rPr>
          <w:t>9</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28">
        <w:r>
          <w:rPr>
            <w:rFonts w:ascii="Arial" w:cs="Arial" w:eastAsia="Arial" w:hAnsi="Arial"/>
            <w:sz w:val="18"/>
            <w:szCs w:val="18"/>
            <w:u w:val="single" w:color="auto"/>
            <w:color w:val="auto"/>
          </w:rPr>
          <w:t>26</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0">
        <w:r>
          <w:rPr>
            <w:rFonts w:ascii="Arial" w:cs="Arial" w:eastAsia="Arial" w:hAnsi="Arial"/>
            <w:sz w:val="18"/>
            <w:szCs w:val="18"/>
            <w:u w:val="single" w:color="auto"/>
            <w:color w:val="auto"/>
          </w:rPr>
          <w:t>28</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4">
        <w:r>
          <w:rPr>
            <w:rFonts w:ascii="Arial" w:cs="Arial" w:eastAsia="Arial" w:hAnsi="Arial"/>
            <w:sz w:val="18"/>
            <w:szCs w:val="18"/>
            <w:u w:val="single" w:color="auto"/>
            <w:color w:val="auto"/>
          </w:rPr>
          <w:t>32</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6">
        <w:r>
          <w:rPr>
            <w:rFonts w:ascii="Arial" w:cs="Arial" w:eastAsia="Arial" w:hAnsi="Arial"/>
            <w:sz w:val="18"/>
            <w:szCs w:val="18"/>
            <w:u w:val="single" w:color="auto"/>
            <w:color w:val="auto"/>
          </w:rPr>
          <w:t>34</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6">
        <w:r>
          <w:rPr>
            <w:rFonts w:ascii="Arial" w:cs="Arial" w:eastAsia="Arial" w:hAnsi="Arial"/>
            <w:sz w:val="18"/>
            <w:szCs w:val="18"/>
            <w:u w:val="single" w:color="auto"/>
            <w:color w:val="auto"/>
          </w:rPr>
          <w:t>34</w:t>
        </w:r>
      </w:hyperlink>
    </w:p>
    <w:p>
      <w:pPr>
        <w:spacing w:after="0" w:line="306" w:lineRule="exact"/>
        <w:rPr>
          <w:sz w:val="20"/>
          <w:szCs w:val="20"/>
          <w:color w:val="auto"/>
        </w:rPr>
      </w:pPr>
    </w:p>
    <w:p>
      <w:pPr>
        <w:ind w:left="860"/>
        <w:spacing w:after="0"/>
        <w:rPr>
          <w:rFonts w:ascii="Arial" w:cs="Arial" w:eastAsia="Arial" w:hAnsi="Arial"/>
          <w:sz w:val="18"/>
          <w:szCs w:val="18"/>
          <w:u w:val="single" w:color="auto"/>
          <w:color w:val="auto"/>
        </w:rPr>
      </w:pPr>
      <w:hyperlink w:anchor="page36">
        <w:r>
          <w:rPr>
            <w:rFonts w:ascii="Arial" w:cs="Arial" w:eastAsia="Arial" w:hAnsi="Arial"/>
            <w:sz w:val="18"/>
            <w:szCs w:val="18"/>
            <w:u w:val="single" w:color="auto"/>
            <w:color w:val="auto"/>
          </w:rPr>
          <w:t>34</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37">
        <w:r>
          <w:rPr>
            <w:rFonts w:ascii="Arial" w:cs="Arial" w:eastAsia="Arial" w:hAnsi="Arial"/>
            <w:sz w:val="18"/>
            <w:szCs w:val="18"/>
            <w:u w:val="single" w:color="auto"/>
            <w:color w:val="auto"/>
          </w:rPr>
          <w:t>35</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3">
        <w:r>
          <w:rPr>
            <w:rFonts w:ascii="Arial" w:cs="Arial" w:eastAsia="Arial" w:hAnsi="Arial"/>
            <w:sz w:val="18"/>
            <w:szCs w:val="18"/>
            <w:u w:val="single" w:color="auto"/>
            <w:color w:val="auto"/>
          </w:rPr>
          <w:t>52</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4">
        <w:r>
          <w:rPr>
            <w:rFonts w:ascii="Arial" w:cs="Arial" w:eastAsia="Arial" w:hAnsi="Arial"/>
            <w:sz w:val="18"/>
            <w:szCs w:val="18"/>
            <w:u w:val="single" w:color="auto"/>
            <w:color w:val="auto"/>
          </w:rPr>
          <w:t>52</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4">
        <w:r>
          <w:rPr>
            <w:rFonts w:ascii="Arial" w:cs="Arial" w:eastAsia="Arial" w:hAnsi="Arial"/>
            <w:sz w:val="18"/>
            <w:szCs w:val="18"/>
            <w:u w:val="single" w:color="auto"/>
            <w:color w:val="auto"/>
          </w:rPr>
          <w:t>53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591820" cy="1543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1</w:t>
      </w:r>
    </w:p>
    <w:p>
      <w:pPr>
        <w:sectPr>
          <w:pgSz w:w="11900" w:h="16838" w:orient="portrait"/>
          <w:cols w:equalWidth="0" w:num="2">
            <w:col w:w="9440" w:space="720"/>
            <w:col w:w="1080"/>
          </w:cols>
          <w:pgMar w:left="320" w:top="91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Term</w:t>
            </w:r>
          </w:p>
        </w:tc>
        <w:tc>
          <w:tcPr>
            <w:tcW w:w="880" w:type="dxa"/>
            <w:vAlign w:val="bottom"/>
          </w:tcPr>
          <w:p>
            <w:pPr>
              <w:spacing w:after="0"/>
              <w:rPr>
                <w:sz w:val="19"/>
                <w:szCs w:val="19"/>
                <w:color w:val="auto"/>
              </w:rPr>
            </w:pPr>
          </w:p>
        </w:tc>
        <w:tc>
          <w:tcPr>
            <w:tcW w:w="3240" w:type="dxa"/>
            <w:vAlign w:val="bottom"/>
            <w:gridSpan w:val="2"/>
          </w:tcPr>
          <w:p>
            <w:pPr>
              <w:ind w:left="920"/>
              <w:spacing w:after="0"/>
              <w:rPr>
                <w:sz w:val="20"/>
                <w:szCs w:val="20"/>
                <w:color w:val="auto"/>
              </w:rPr>
            </w:pPr>
            <w:r>
              <w:rPr>
                <w:rFonts w:ascii="Arial" w:cs="Arial" w:eastAsia="Arial" w:hAnsi="Arial"/>
                <w:sz w:val="16"/>
                <w:szCs w:val="16"/>
                <w:b w:val="1"/>
                <w:bCs w:val="1"/>
                <w:color w:val="auto"/>
              </w:rPr>
              <w:t>Definition</w:t>
            </w:r>
          </w:p>
        </w:tc>
        <w:tc>
          <w:tcPr>
            <w:tcW w:w="1460" w:type="dxa"/>
            <w:vAlign w:val="bottom"/>
          </w:tcPr>
          <w:p>
            <w:pPr>
              <w:ind w:left="700"/>
              <w:spacing w:after="0"/>
              <w:rPr>
                <w:sz w:val="20"/>
                <w:szCs w:val="20"/>
                <w:color w:val="auto"/>
              </w:rPr>
            </w:pPr>
            <w:r>
              <w:rPr>
                <w:rFonts w:ascii="Arial" w:cs="Arial" w:eastAsia="Arial" w:hAnsi="Arial"/>
                <w:sz w:val="16"/>
                <w:szCs w:val="16"/>
                <w:b w:val="1"/>
                <w:bCs w:val="1"/>
                <w:color w:val="auto"/>
              </w:rPr>
              <w:t>Term</w:t>
            </w:r>
          </w:p>
        </w:tc>
        <w:tc>
          <w:tcPr>
            <w:tcW w:w="4020" w:type="dxa"/>
            <w:vAlign w:val="bottom"/>
          </w:tcPr>
          <w:p>
            <w:pPr>
              <w:ind w:left="1800"/>
              <w:spacing w:after="0"/>
              <w:rPr>
                <w:sz w:val="20"/>
                <w:szCs w:val="20"/>
                <w:color w:val="auto"/>
              </w:rPr>
            </w:pPr>
            <w:r>
              <w:rPr>
                <w:rFonts w:ascii="Arial" w:cs="Arial" w:eastAsia="Arial" w:hAnsi="Arial"/>
                <w:sz w:val="16"/>
                <w:szCs w:val="16"/>
                <w:b w:val="1"/>
                <w:bCs w:val="1"/>
                <w:color w:val="auto"/>
              </w:rPr>
              <w:t>Definition</w:t>
            </w:r>
          </w:p>
        </w:tc>
      </w:tr>
      <w:tr>
        <w:trPr>
          <w:trHeight w:val="40"/>
        </w:trPr>
        <w:tc>
          <w:tcPr>
            <w:tcW w:w="46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880" w:type="dxa"/>
            <w:vAlign w:val="bottom"/>
            <w:tcBorders>
              <w:top w:val="single" w:sz="8" w:color="0090DA"/>
            </w:tcBorders>
          </w:tcPr>
          <w:p>
            <w:pPr>
              <w:spacing w:after="0"/>
              <w:rPr>
                <w:sz w:val="3"/>
                <w:szCs w:val="3"/>
                <w:color w:val="auto"/>
              </w:rPr>
            </w:pPr>
          </w:p>
        </w:tc>
        <w:tc>
          <w:tcPr>
            <w:tcW w:w="314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top w:val="single" w:sz="8" w:color="0090DA"/>
            </w:tcBorders>
          </w:tcPr>
          <w:p>
            <w:pPr>
              <w:spacing w:after="0"/>
              <w:rPr>
                <w:sz w:val="3"/>
                <w:szCs w:val="3"/>
                <w:color w:val="auto"/>
              </w:rPr>
            </w:pPr>
          </w:p>
        </w:tc>
        <w:tc>
          <w:tcPr>
            <w:tcW w:w="4020" w:type="dxa"/>
            <w:vAlign w:val="bottom"/>
            <w:tcBorders>
              <w:top w:val="single" w:sz="8" w:color="0090DA"/>
            </w:tcBorders>
          </w:tcPr>
          <w:p>
            <w:pPr>
              <w:spacing w:after="0"/>
              <w:rPr>
                <w:sz w:val="3"/>
                <w:szCs w:val="3"/>
                <w:color w:val="auto"/>
              </w:rPr>
            </w:pP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510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Term Loan A   Senior Term Loan A due 2024</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40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IM Flash Technologies, LLC</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880" w:type="dxa"/>
            <w:vAlign w:val="bottom"/>
          </w:tcPr>
          <w:p>
            <w:pPr>
              <w:ind w:left="360"/>
              <w:spacing w:after="0"/>
              <w:rPr>
                <w:sz w:val="20"/>
                <w:szCs w:val="20"/>
                <w:color w:val="auto"/>
              </w:rPr>
            </w:pPr>
            <w:r>
              <w:rPr>
                <w:rFonts w:ascii="Arial" w:cs="Arial" w:eastAsia="Arial" w:hAnsi="Arial"/>
                <w:sz w:val="18"/>
                <w:szCs w:val="18"/>
                <w:color w:val="auto"/>
                <w:w w:val="97"/>
              </w:rPr>
              <w:t>5.25%</w:t>
            </w: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Senior Notes due 2024</w:t>
            </w:r>
          </w:p>
        </w:tc>
        <w:tc>
          <w:tcPr>
            <w:tcW w:w="1460" w:type="dxa"/>
            <w:vAlign w:val="bottom"/>
          </w:tcPr>
          <w:p>
            <w:pPr>
              <w:ind w:left="20"/>
              <w:spacing w:after="0"/>
              <w:rPr>
                <w:sz w:val="20"/>
                <w:szCs w:val="20"/>
                <w:color w:val="auto"/>
              </w:rPr>
            </w:pPr>
            <w:r>
              <w:rPr>
                <w:rFonts w:ascii="Arial" w:cs="Arial" w:eastAsia="Arial" w:hAnsi="Arial"/>
                <w:sz w:val="18"/>
                <w:szCs w:val="18"/>
                <w:color w:val="auto"/>
              </w:rPr>
              <w:t>Intel</w:t>
            </w:r>
          </w:p>
        </w:tc>
        <w:tc>
          <w:tcPr>
            <w:tcW w:w="4020" w:type="dxa"/>
            <w:vAlign w:val="bottom"/>
          </w:tcPr>
          <w:p>
            <w:pPr>
              <w:ind w:left="360"/>
              <w:spacing w:after="0"/>
              <w:rPr>
                <w:sz w:val="20"/>
                <w:szCs w:val="20"/>
                <w:color w:val="auto"/>
              </w:rPr>
            </w:pPr>
            <w:r>
              <w:rPr>
                <w:rFonts w:ascii="Arial" w:cs="Arial" w:eastAsia="Arial" w:hAnsi="Arial"/>
                <w:sz w:val="18"/>
                <w:szCs w:val="18"/>
                <w:color w:val="auto"/>
              </w:rPr>
              <w:t>Intel Corporation</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8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7"/>
              </w:rPr>
              <w:t>5.50%</w:t>
            </w:r>
          </w:p>
        </w:tc>
        <w:tc>
          <w:tcPr>
            <w:tcW w:w="32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2025</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MCP</w:t>
            </w:r>
          </w:p>
        </w:tc>
        <w:tc>
          <w:tcPr>
            <w:tcW w:w="40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Multi-Chip Package</w:t>
            </w:r>
          </w:p>
        </w:tc>
      </w:tr>
      <w:tr>
        <w:trPr>
          <w:trHeight w:val="256"/>
        </w:trPr>
        <w:tc>
          <w:tcPr>
            <w:tcW w:w="460" w:type="dxa"/>
            <w:vAlign w:val="bottom"/>
          </w:tcPr>
          <w:p>
            <w:pPr>
              <w:ind w:left="20"/>
              <w:spacing w:after="0"/>
              <w:rPr>
                <w:sz w:val="20"/>
                <w:szCs w:val="20"/>
                <w:color w:val="auto"/>
              </w:rPr>
            </w:pPr>
            <w:r>
              <w:rPr>
                <w:rFonts w:ascii="Arial" w:cs="Arial" w:eastAsia="Arial" w:hAnsi="Arial"/>
                <w:sz w:val="18"/>
                <w:szCs w:val="18"/>
                <w:color w:val="auto"/>
              </w:rPr>
              <w:t>2026</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880" w:type="dxa"/>
            <w:vAlign w:val="bottom"/>
          </w:tcPr>
          <w:p>
            <w:pPr>
              <w:ind w:left="360"/>
              <w:spacing w:after="0"/>
              <w:rPr>
                <w:sz w:val="20"/>
                <w:szCs w:val="20"/>
                <w:color w:val="auto"/>
              </w:rPr>
            </w:pPr>
            <w:r>
              <w:rPr>
                <w:rFonts w:ascii="Arial" w:cs="Arial" w:eastAsia="Arial" w:hAnsi="Arial"/>
                <w:sz w:val="18"/>
                <w:szCs w:val="18"/>
                <w:color w:val="auto"/>
                <w:w w:val="97"/>
              </w:rPr>
              <w:t>5.63%</w:t>
            </w: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Senior Notes due 2026</w:t>
            </w:r>
          </w:p>
        </w:tc>
        <w:tc>
          <w:tcPr>
            <w:tcW w:w="1460" w:type="dxa"/>
            <w:vAlign w:val="bottom"/>
          </w:tcPr>
          <w:p>
            <w:pPr>
              <w:ind w:left="20"/>
              <w:spacing w:after="0"/>
              <w:rPr>
                <w:sz w:val="20"/>
                <w:szCs w:val="20"/>
                <w:color w:val="auto"/>
              </w:rPr>
            </w:pPr>
            <w:r>
              <w:rPr>
                <w:rFonts w:ascii="Arial" w:cs="Arial" w:eastAsia="Arial" w:hAnsi="Arial"/>
                <w:sz w:val="18"/>
                <w:szCs w:val="18"/>
                <w:color w:val="auto"/>
              </w:rPr>
              <w:t>Micron</w:t>
            </w:r>
          </w:p>
        </w:tc>
        <w:tc>
          <w:tcPr>
            <w:tcW w:w="4020" w:type="dxa"/>
            <w:vAlign w:val="bottom"/>
          </w:tcPr>
          <w:p>
            <w:pPr>
              <w:ind w:left="360"/>
              <w:spacing w:after="0"/>
              <w:rPr>
                <w:sz w:val="20"/>
                <w:szCs w:val="20"/>
                <w:color w:val="auto"/>
              </w:rPr>
            </w:pPr>
            <w:r>
              <w:rPr>
                <w:rFonts w:ascii="Arial" w:cs="Arial" w:eastAsia="Arial" w:hAnsi="Arial"/>
                <w:sz w:val="18"/>
                <w:szCs w:val="18"/>
                <w:color w:val="auto"/>
              </w:rPr>
              <w:t>Micron Technology, Inc. (Parent Company)</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8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7"/>
              </w:rPr>
              <w:t>4.19%</w:t>
            </w:r>
          </w:p>
        </w:tc>
        <w:tc>
          <w:tcPr>
            <w:tcW w:w="32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2027</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MMJ</w:t>
            </w:r>
          </w:p>
        </w:tc>
        <w:tc>
          <w:tcPr>
            <w:tcW w:w="40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Micron Memory Japan, G.K.</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2029</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880" w:type="dxa"/>
            <w:vAlign w:val="bottom"/>
          </w:tcPr>
          <w:p>
            <w:pPr>
              <w:ind w:left="360"/>
              <w:spacing w:after="0"/>
              <w:rPr>
                <w:sz w:val="20"/>
                <w:szCs w:val="20"/>
                <w:color w:val="auto"/>
              </w:rPr>
            </w:pPr>
            <w:r>
              <w:rPr>
                <w:rFonts w:ascii="Arial" w:cs="Arial" w:eastAsia="Arial" w:hAnsi="Arial"/>
                <w:sz w:val="18"/>
                <w:szCs w:val="18"/>
                <w:color w:val="auto"/>
                <w:w w:val="97"/>
              </w:rPr>
              <w:t>5.33%</w:t>
            </w: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Senior Notes due 2029</w:t>
            </w:r>
          </w:p>
        </w:tc>
        <w:tc>
          <w:tcPr>
            <w:tcW w:w="1460" w:type="dxa"/>
            <w:vAlign w:val="bottom"/>
          </w:tcPr>
          <w:p>
            <w:pPr>
              <w:ind w:left="20"/>
              <w:spacing w:after="0"/>
              <w:rPr>
                <w:sz w:val="20"/>
                <w:szCs w:val="20"/>
                <w:color w:val="auto"/>
              </w:rPr>
            </w:pPr>
            <w:r>
              <w:rPr>
                <w:rFonts w:ascii="Arial" w:cs="Arial" w:eastAsia="Arial" w:hAnsi="Arial"/>
                <w:sz w:val="18"/>
                <w:szCs w:val="18"/>
                <w:color w:val="auto"/>
              </w:rPr>
              <w:t>MMT</w:t>
            </w:r>
          </w:p>
        </w:tc>
        <w:tc>
          <w:tcPr>
            <w:tcW w:w="4020" w:type="dxa"/>
            <w:vAlign w:val="bottom"/>
          </w:tcPr>
          <w:p>
            <w:pPr>
              <w:ind w:left="360"/>
              <w:spacing w:after="0"/>
              <w:rPr>
                <w:sz w:val="20"/>
                <w:szCs w:val="20"/>
                <w:color w:val="auto"/>
              </w:rPr>
            </w:pPr>
            <w:r>
              <w:rPr>
                <w:rFonts w:ascii="Arial" w:cs="Arial" w:eastAsia="Arial" w:hAnsi="Arial"/>
                <w:sz w:val="18"/>
                <w:szCs w:val="18"/>
                <w:color w:val="auto"/>
              </w:rPr>
              <w:t>Micron Memory Taiwan Co., Ltd.</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8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7"/>
              </w:rPr>
              <w:t>4.66%</w:t>
            </w:r>
          </w:p>
        </w:tc>
        <w:tc>
          <w:tcPr>
            <w:tcW w:w="32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2030</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MTTW</w:t>
            </w:r>
          </w:p>
        </w:tc>
        <w:tc>
          <w:tcPr>
            <w:tcW w:w="40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Micron Technology Taiwan, Inc.</w:t>
            </w:r>
          </w:p>
        </w:tc>
      </w:tr>
      <w:tr>
        <w:trPr>
          <w:trHeight w:val="25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2032D Notes</w:t>
            </w:r>
          </w:p>
        </w:tc>
        <w:tc>
          <w:tcPr>
            <w:tcW w:w="880" w:type="dxa"/>
            <w:vAlign w:val="bottom"/>
          </w:tcPr>
          <w:p>
            <w:pPr>
              <w:ind w:left="360"/>
              <w:spacing w:after="0"/>
              <w:rPr>
                <w:sz w:val="20"/>
                <w:szCs w:val="20"/>
                <w:color w:val="auto"/>
              </w:rPr>
            </w:pPr>
            <w:r>
              <w:rPr>
                <w:rFonts w:ascii="Arial" w:cs="Arial" w:eastAsia="Arial" w:hAnsi="Arial"/>
                <w:sz w:val="18"/>
                <w:szCs w:val="18"/>
                <w:color w:val="auto"/>
                <w:w w:val="97"/>
              </w:rPr>
              <w:t>3.13%</w:t>
            </w: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 due 2032</w:t>
            </w:r>
          </w:p>
        </w:tc>
        <w:tc>
          <w:tcPr>
            <w:tcW w:w="1460" w:type="dxa"/>
            <w:vAlign w:val="bottom"/>
          </w:tcPr>
          <w:p>
            <w:pPr>
              <w:ind w:left="20"/>
              <w:spacing w:after="0"/>
              <w:rPr>
                <w:sz w:val="20"/>
                <w:szCs w:val="20"/>
                <w:color w:val="auto"/>
              </w:rPr>
            </w:pPr>
            <w:r>
              <w:rPr>
                <w:rFonts w:ascii="Arial" w:cs="Arial" w:eastAsia="Arial" w:hAnsi="Arial"/>
                <w:sz w:val="18"/>
                <w:szCs w:val="18"/>
                <w:color w:val="auto"/>
              </w:rPr>
              <w:t>MTU</w:t>
            </w:r>
          </w:p>
        </w:tc>
        <w:tc>
          <w:tcPr>
            <w:tcW w:w="4020" w:type="dxa"/>
            <w:vAlign w:val="bottom"/>
          </w:tcPr>
          <w:p>
            <w:pPr>
              <w:ind w:left="360"/>
              <w:spacing w:after="0"/>
              <w:rPr>
                <w:sz w:val="20"/>
                <w:szCs w:val="20"/>
                <w:color w:val="auto"/>
              </w:rPr>
            </w:pPr>
            <w:r>
              <w:rPr>
                <w:rFonts w:ascii="Arial" w:cs="Arial" w:eastAsia="Arial" w:hAnsi="Arial"/>
                <w:sz w:val="18"/>
                <w:szCs w:val="18"/>
                <w:color w:val="auto"/>
              </w:rPr>
              <w:t>Micron Technology Utah, LLC</w:t>
            </w:r>
          </w:p>
        </w:tc>
      </w:tr>
      <w:tr>
        <w:trPr>
          <w:trHeight w:val="230"/>
        </w:trPr>
        <w:tc>
          <w:tcPr>
            <w:tcW w:w="14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2033F Notes</w:t>
            </w:r>
          </w:p>
        </w:tc>
        <w:tc>
          <w:tcPr>
            <w:tcW w:w="8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7"/>
              </w:rPr>
              <w:t>2.13%</w:t>
            </w:r>
          </w:p>
        </w:tc>
        <w:tc>
          <w:tcPr>
            <w:tcW w:w="32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Convertible Senior Notes due 2033</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Qimonda</w:t>
            </w:r>
          </w:p>
        </w:tc>
        <w:tc>
          <w:tcPr>
            <w:tcW w:w="40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Qimonda AG</w:t>
            </w:r>
          </w:p>
        </w:tc>
      </w:tr>
      <w:tr>
        <w:trPr>
          <w:trHeight w:val="257"/>
        </w:trPr>
        <w:tc>
          <w:tcPr>
            <w:tcW w:w="460" w:type="dxa"/>
            <w:vAlign w:val="bottom"/>
          </w:tcPr>
          <w:p>
            <w:pPr>
              <w:ind w:left="20"/>
              <w:spacing w:after="0"/>
              <w:rPr>
                <w:sz w:val="20"/>
                <w:szCs w:val="20"/>
                <w:color w:val="auto"/>
              </w:rPr>
            </w:pPr>
            <w:r>
              <w:rPr>
                <w:rFonts w:ascii="Arial" w:cs="Arial" w:eastAsia="Arial" w:hAnsi="Arial"/>
                <w:sz w:val="18"/>
                <w:szCs w:val="18"/>
                <w:color w:val="auto"/>
              </w:rPr>
              <w:t>DDR</w:t>
            </w:r>
          </w:p>
        </w:tc>
        <w:tc>
          <w:tcPr>
            <w:tcW w:w="980" w:type="dxa"/>
            <w:vAlign w:val="bottom"/>
          </w:tcPr>
          <w:p>
            <w:pPr>
              <w:spacing w:after="0"/>
              <w:rPr>
                <w:sz w:val="22"/>
                <w:szCs w:val="22"/>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Double Data Rate</w:t>
            </w:r>
          </w:p>
        </w:tc>
        <w:tc>
          <w:tcPr>
            <w:tcW w:w="1460" w:type="dxa"/>
            <w:vAlign w:val="bottom"/>
          </w:tcPr>
          <w:p>
            <w:pPr>
              <w:ind w:left="20"/>
              <w:spacing w:after="0"/>
              <w:rPr>
                <w:sz w:val="20"/>
                <w:szCs w:val="20"/>
                <w:color w:val="auto"/>
              </w:rPr>
            </w:pPr>
            <w:r>
              <w:rPr>
                <w:rFonts w:ascii="Arial" w:cs="Arial" w:eastAsia="Arial" w:hAnsi="Arial"/>
                <w:sz w:val="18"/>
                <w:szCs w:val="18"/>
                <w:color w:val="auto"/>
              </w:rPr>
              <w:t>SSD</w:t>
            </w:r>
          </w:p>
        </w:tc>
        <w:tc>
          <w:tcPr>
            <w:tcW w:w="4020" w:type="dxa"/>
            <w:vAlign w:val="bottom"/>
          </w:tcPr>
          <w:p>
            <w:pPr>
              <w:ind w:left="360"/>
              <w:spacing w:after="0"/>
              <w:rPr>
                <w:sz w:val="20"/>
                <w:szCs w:val="20"/>
                <w:color w:val="auto"/>
              </w:rPr>
            </w:pPr>
            <w:r>
              <w:rPr>
                <w:rFonts w:ascii="Arial" w:cs="Arial" w:eastAsia="Arial" w:hAnsi="Arial"/>
                <w:sz w:val="18"/>
                <w:szCs w:val="18"/>
                <w:color w:val="auto"/>
              </w:rPr>
              <w:t>Solid State Drive</w:t>
            </w:r>
          </w:p>
        </w:tc>
      </w:tr>
      <w:tr>
        <w:trPr>
          <w:trHeight w:val="229"/>
        </w:trPr>
        <w:tc>
          <w:tcPr>
            <w:tcW w:w="14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GDDR</w:t>
            </w:r>
          </w:p>
        </w:tc>
        <w:tc>
          <w:tcPr>
            <w:tcW w:w="4120" w:type="dxa"/>
            <w:vAlign w:val="bottom"/>
            <w:gridSpan w:val="3"/>
            <w:shd w:val="clear" w:color="auto" w:fill="D1D2D4"/>
          </w:tcPr>
          <w:p>
            <w:pPr>
              <w:ind w:left="360"/>
              <w:spacing w:after="0"/>
              <w:rPr>
                <w:sz w:val="20"/>
                <w:szCs w:val="20"/>
                <w:color w:val="auto"/>
              </w:rPr>
            </w:pPr>
            <w:r>
              <w:rPr>
                <w:rFonts w:ascii="Arial" w:cs="Arial" w:eastAsia="Arial" w:hAnsi="Arial"/>
                <w:sz w:val="18"/>
                <w:szCs w:val="18"/>
                <w:color w:val="auto"/>
              </w:rPr>
              <w:t>Graphics Double Data Rate</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VIE</w:t>
            </w:r>
          </w:p>
        </w:tc>
        <w:tc>
          <w:tcPr>
            <w:tcW w:w="40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Variable Interest Entity</w:t>
            </w:r>
          </w:p>
        </w:tc>
      </w:tr>
    </w:tbl>
    <w:p>
      <w:pPr>
        <w:spacing w:after="0" w:line="35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4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Micron and the Micron orbit logo are trademarks of Micron Technology, Inc. 3D XPoint is a trademark of Intel in the United States and/or other countries. All other trademarks are the property of their respective owners.</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Forward-looking statements include, but are not limited to, statements such as those made regarding underutilization of our Lehi, Utah manufacturing capacity (previously known as IMFT and now known as MTU); the sufficiency of our cash and investments, cash flows from operations, and available financing; and capital spending in 2020.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19" w:right="399"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auto"/>
        </w:rPr>
        <w:t>PART I. FINANCIAL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160" w:type="dxa"/>
            <w:vAlign w:val="bottom"/>
            <w:tcBorders>
              <w:bottom w:val="single" w:sz="8" w:color="0094FF"/>
            </w:tcBorders>
          </w:tcPr>
          <w:p>
            <w:pPr>
              <w:spacing w:after="0"/>
              <w:rPr>
                <w:sz w:val="21"/>
                <w:szCs w:val="21"/>
                <w:color w:val="auto"/>
              </w:rPr>
            </w:pPr>
          </w:p>
        </w:tc>
        <w:tc>
          <w:tcPr>
            <w:tcW w:w="2740" w:type="dxa"/>
            <w:vAlign w:val="bottom"/>
            <w:tcBorders>
              <w:bottom w:val="single" w:sz="8" w:color="0094FF"/>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140" w:type="dxa"/>
            <w:vAlign w:val="bottom"/>
            <w:tcBorders>
              <w:bottom w:val="single" w:sz="8" w:color="0094FF"/>
            </w:tcBorders>
          </w:tcPr>
          <w:p>
            <w:pPr>
              <w:spacing w:after="0"/>
              <w:rPr>
                <w:sz w:val="21"/>
                <w:szCs w:val="21"/>
                <w:color w:val="auto"/>
              </w:rPr>
            </w:pPr>
          </w:p>
        </w:tc>
        <w:tc>
          <w:tcPr>
            <w:tcW w:w="2740" w:type="dxa"/>
            <w:vAlign w:val="bottom"/>
            <w:tcBorders>
              <w:bottom w:val="single" w:sz="8" w:color="0094FF"/>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February 27,</w:t>
            </w:r>
          </w:p>
        </w:tc>
        <w:tc>
          <w:tcPr>
            <w:tcW w:w="20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4,797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9,941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13,748</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3,442</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7,220</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6,269</w:t>
            </w:r>
          </w:p>
        </w:tc>
      </w:tr>
      <w:tr>
        <w:trPr>
          <w:trHeight w:val="257"/>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2,721</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7,479</w:t>
            </w:r>
          </w:p>
        </w:tc>
      </w:tr>
      <w:tr>
        <w:trPr>
          <w:trHeight w:val="256"/>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418</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1,321</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1,212</w:t>
            </w: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Borders>
              <w:bottom w:val="single" w:sz="8" w:color="auto"/>
            </w:tcBorders>
            <w:shd w:val="clear" w:color="auto" w:fill="D1D2D4"/>
          </w:tcPr>
          <w:p>
            <w:pPr>
              <w:spacing w:after="0"/>
              <w:rPr>
                <w:sz w:val="22"/>
                <w:szCs w:val="22"/>
                <w:color w:val="auto"/>
              </w:rPr>
            </w:pPr>
          </w:p>
        </w:tc>
        <w:tc>
          <w:tcPr>
            <w:tcW w:w="1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D1D2D4"/>
          </w:tcPr>
          <w:p>
            <w:pPr>
              <w:spacing w:after="0"/>
              <w:rPr>
                <w:sz w:val="22"/>
                <w:szCs w:val="22"/>
                <w:color w:val="auto"/>
              </w:rPr>
            </w:pP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D1D2D4"/>
          </w:tcPr>
          <w:p>
            <w:pPr>
              <w:spacing w:after="0"/>
              <w:rPr>
                <w:sz w:val="22"/>
                <w:szCs w:val="22"/>
                <w:color w:val="auto"/>
              </w:rPr>
            </w:pPr>
          </w:p>
        </w:tc>
        <w:tc>
          <w:tcPr>
            <w:tcW w:w="140" w:type="dxa"/>
            <w:vAlign w:val="bottom"/>
            <w:tcBorders>
              <w:bottom w:val="single" w:sz="8" w:color="auto"/>
            </w:tcBorders>
            <w:shd w:val="clear" w:color="auto" w:fill="D1D2D4"/>
          </w:tcPr>
          <w:p>
            <w:pPr>
              <w:spacing w:after="0"/>
              <w:rPr>
                <w:sz w:val="22"/>
                <w:szCs w:val="22"/>
                <w:color w:val="auto"/>
              </w:rPr>
            </w:pP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shd w:val="clear" w:color="auto" w:fill="D1D2D4"/>
          </w:tcPr>
          <w:p>
            <w:pPr>
              <w:spacing w:after="0"/>
              <w:rPr>
                <w:sz w:val="22"/>
                <w:szCs w:val="22"/>
                <w:color w:val="auto"/>
              </w:rPr>
            </w:pP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133</w:t>
            </w:r>
          </w:p>
        </w:tc>
      </w:tr>
      <w:tr>
        <w:trPr>
          <w:trHeight w:val="250"/>
        </w:trPr>
        <w:tc>
          <w:tcPr>
            <w:tcW w:w="53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5,716</w:t>
            </w:r>
          </w:p>
        </w:tc>
      </w:tr>
      <w:tr>
        <w:trPr>
          <w:trHeight w:val="263"/>
        </w:trPr>
        <w:tc>
          <w:tcPr>
            <w:tcW w:w="53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96</w:t>
            </w:r>
          </w:p>
        </w:tc>
      </w:tr>
      <w:tr>
        <w:trPr>
          <w:trHeight w:val="263"/>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(60)</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56"/>
        </w:trPr>
        <w:tc>
          <w:tcPr>
            <w:tcW w:w="53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988</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5,677</w:t>
            </w:r>
          </w:p>
        </w:tc>
      </w:tr>
      <w:tr>
        <w:trPr>
          <w:trHeight w:val="257"/>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(757)</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56"/>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4,921</w:t>
            </w:r>
          </w:p>
        </w:tc>
      </w:tr>
      <w:tr>
        <w:trPr>
          <w:trHeight w:val="257"/>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D1D2D4"/>
          </w:tcPr>
          <w:p>
            <w:pPr>
              <w:spacing w:after="0"/>
              <w:rPr>
                <w:sz w:val="21"/>
                <w:szCs w:val="21"/>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r>
      <w:tr>
        <w:trPr>
          <w:trHeight w:val="256"/>
        </w:trPr>
        <w:tc>
          <w:tcPr>
            <w:tcW w:w="536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4,912</w:t>
            </w:r>
          </w:p>
        </w:tc>
      </w:tr>
      <w:tr>
        <w:trPr>
          <w:trHeight w:val="20"/>
        </w:trPr>
        <w:tc>
          <w:tcPr>
            <w:tcW w:w="536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4.37</w:t>
            </w:r>
          </w:p>
        </w:tc>
      </w:tr>
      <w:tr>
        <w:trPr>
          <w:trHeight w:val="250"/>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4.24</w:t>
            </w:r>
          </w:p>
        </w:tc>
      </w:tr>
      <w:tr>
        <w:trPr>
          <w:trHeight w:val="263"/>
        </w:trPr>
        <w:tc>
          <w:tcPr>
            <w:tcW w:w="53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spacing w:after="0"/>
              <w:rPr>
                <w:sz w:val="22"/>
                <w:szCs w:val="22"/>
                <w:color w:val="auto"/>
              </w:rPr>
            </w:pP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1,111</w:t>
            </w:r>
          </w:p>
        </w:tc>
        <w:tc>
          <w:tcPr>
            <w:tcW w:w="20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1,109</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1,123</w:t>
            </w: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09"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0160"/>
        <w:spacing w:after="0"/>
        <w:rPr>
          <w:sz w:val="20"/>
          <w:szCs w:val="20"/>
          <w:color w:val="auto"/>
        </w:rPr>
      </w:pPr>
      <w:r>
        <w:rPr>
          <w:sz w:val="1"/>
          <w:szCs w:val="1"/>
          <w:color w:val="auto"/>
        </w:rPr>
        <w:drawing>
          <wp:inline distT="0" distB="0" distL="0" distR="0">
            <wp:extent cx="591820" cy="1543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140" w:type="dxa"/>
            <w:vAlign w:val="bottom"/>
            <w:tcBorders>
              <w:bottom w:val="single" w:sz="8" w:color="0094FF"/>
            </w:tcBorders>
          </w:tcPr>
          <w:p>
            <w:pPr>
              <w:spacing w:after="0"/>
              <w:rPr>
                <w:sz w:val="21"/>
                <w:szCs w:val="21"/>
                <w:color w:val="auto"/>
              </w:rPr>
            </w:pPr>
          </w:p>
        </w:tc>
        <w:tc>
          <w:tcPr>
            <w:tcW w:w="2740" w:type="dxa"/>
            <w:vAlign w:val="bottom"/>
            <w:tcBorders>
              <w:bottom w:val="single" w:sz="8" w:color="0094FF"/>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1"/>
                <w:szCs w:val="21"/>
                <w:color w:val="auto"/>
              </w:rPr>
            </w:pPr>
          </w:p>
        </w:tc>
        <w:tc>
          <w:tcPr>
            <w:tcW w:w="140" w:type="dxa"/>
            <w:vAlign w:val="bottom"/>
            <w:tcBorders>
              <w:bottom w:val="single" w:sz="8" w:color="0094FF"/>
            </w:tcBorders>
          </w:tcPr>
          <w:p>
            <w:pPr>
              <w:spacing w:after="0"/>
              <w:rPr>
                <w:sz w:val="21"/>
                <w:szCs w:val="21"/>
                <w:color w:val="auto"/>
              </w:rPr>
            </w:pPr>
          </w:p>
        </w:tc>
        <w:tc>
          <w:tcPr>
            <w:tcW w:w="2740" w:type="dxa"/>
            <w:vAlign w:val="bottom"/>
            <w:tcBorders>
              <w:bottom w:val="single" w:sz="8" w:color="0094FF"/>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February 27,</w:t>
            </w:r>
          </w:p>
        </w:tc>
        <w:tc>
          <w:tcPr>
            <w:tcW w:w="2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5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4,921</w:t>
            </w:r>
          </w:p>
        </w:tc>
      </w:tr>
      <w:tr>
        <w:trPr>
          <w:trHeight w:val="257"/>
        </w:trPr>
        <w:tc>
          <w:tcPr>
            <w:tcW w:w="5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Gains (losses) on derivative instruments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Gains (losses) on investments</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w:t>
            </w: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Pension liability adjustments</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1400" w:type="dxa"/>
            <w:vAlign w:val="bottom"/>
            <w:gridSpan w:val="2"/>
            <w:shd w:val="clear" w:color="auto" w:fill="D1D2D4"/>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5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1D2D4"/>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4,917</w:t>
            </w:r>
          </w:p>
        </w:tc>
      </w:tr>
      <w:tr>
        <w:trPr>
          <w:trHeight w:val="256"/>
        </w:trPr>
        <w:tc>
          <w:tcPr>
            <w:tcW w:w="536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D1D2D4"/>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5"/>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390</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878</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4,908</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967"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967"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1"/>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5,208</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15,976</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29,647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764</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81"/>
        </w:trPr>
        <w:tc>
          <w:tcPr>
            <w:tcW w:w="860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49,648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6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5,822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5,188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383</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12,527</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03"/>
        </w:trPr>
        <w:tc>
          <w:tcPr>
            <w:tcW w:w="86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86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Micron shareholders’ equity</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600" w:type="dxa"/>
            <w:vAlign w:val="bottom"/>
            <w:shd w:val="clear" w:color="auto" w:fill="D1D2D4"/>
          </w:tcPr>
          <w:p>
            <w:pPr>
              <w:ind w:left="260"/>
              <w:spacing w:after="0" w:line="195" w:lineRule="exact"/>
              <w:rPr>
                <w:sz w:val="20"/>
                <w:szCs w:val="20"/>
                <w:color w:val="auto"/>
              </w:rPr>
            </w:pPr>
            <w:r>
              <w:rPr>
                <w:rFonts w:ascii="Arial" w:cs="Arial" w:eastAsia="Arial" w:hAnsi="Arial"/>
                <w:sz w:val="18"/>
                <w:szCs w:val="18"/>
                <w:color w:val="auto"/>
              </w:rPr>
              <w:t>Common stock, $0.10 par value, 3,000 shares authorized, 1,191 shares issued and 1,112 outstanding</w:t>
            </w:r>
          </w:p>
        </w:tc>
        <w:tc>
          <w:tcPr>
            <w:tcW w:w="120" w:type="dxa"/>
            <w:vAlign w:val="bottom"/>
            <w:shd w:val="clear" w:color="auto" w:fill="D1D2D4"/>
          </w:tcPr>
          <w:p>
            <w:pPr>
              <w:spacing w:after="0"/>
              <w:rPr>
                <w:sz w:val="16"/>
                <w:szCs w:val="16"/>
                <w:color w:val="auto"/>
              </w:rPr>
            </w:pPr>
          </w:p>
        </w:tc>
        <w:tc>
          <w:tcPr>
            <w:tcW w:w="1160" w:type="dxa"/>
            <w:vAlign w:val="bottom"/>
            <w:vMerge w:val="restart"/>
            <w:shd w:val="clear" w:color="auto" w:fill="D1D2D4"/>
          </w:tcPr>
          <w:p>
            <w:pPr>
              <w:jc w:val="right"/>
              <w:ind w:right="3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D1D2D4"/>
          </w:tcPr>
          <w:p>
            <w:pPr>
              <w:spacing w:after="0"/>
              <w:rPr>
                <w:sz w:val="16"/>
                <w:szCs w:val="16"/>
                <w:color w:val="auto"/>
              </w:rPr>
            </w:pPr>
          </w:p>
        </w:tc>
        <w:tc>
          <w:tcPr>
            <w:tcW w:w="116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86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(1,182 shares issued and 1,106 outstanding as of August 29, 2019)</w:t>
            </w:r>
          </w:p>
        </w:tc>
        <w:tc>
          <w:tcPr>
            <w:tcW w:w="1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8,725</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63"/>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31,602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56"/>
        </w:trPr>
        <w:tc>
          <w:tcPr>
            <w:tcW w:w="8600" w:type="dxa"/>
            <w:vAlign w:val="bottom"/>
          </w:tcPr>
          <w:p>
            <w:pPr>
              <w:ind w:left="220"/>
              <w:spacing w:after="0"/>
              <w:rPr>
                <w:sz w:val="20"/>
                <w:szCs w:val="20"/>
                <w:color w:val="auto"/>
              </w:rPr>
            </w:pPr>
            <w:r>
              <w:rPr>
                <w:rFonts w:ascii="Arial" w:cs="Arial" w:eastAsia="Arial" w:hAnsi="Arial"/>
                <w:sz w:val="18"/>
                <w:szCs w:val="18"/>
                <w:color w:val="auto"/>
              </w:rPr>
              <w:t>Treasury stock, 79 shares held (76 shares as of August 29, 2019)</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(3,414)</w:t>
            </w: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50"/>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8600" w:type="dxa"/>
            <w:vAlign w:val="bottom"/>
          </w:tcPr>
          <w:p>
            <w:pPr>
              <w:ind w:left="460"/>
              <w:spacing w:after="0"/>
              <w:rPr>
                <w:sz w:val="20"/>
                <w:szCs w:val="20"/>
                <w:color w:val="auto"/>
              </w:rPr>
            </w:pPr>
            <w:r>
              <w:rPr>
                <w:rFonts w:ascii="Arial" w:cs="Arial" w:eastAsia="Arial" w:hAnsi="Arial"/>
                <w:sz w:val="18"/>
                <w:szCs w:val="18"/>
                <w:color w:val="auto"/>
              </w:rPr>
              <w:t>Total Micron shareholders’ equity</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37,023</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35,881</w:t>
            </w:r>
          </w:p>
        </w:tc>
        <w:tc>
          <w:tcPr>
            <w:tcW w:w="0" w:type="dxa"/>
            <w:vAlign w:val="bottom"/>
          </w:tcPr>
          <w:p>
            <w:pPr>
              <w:spacing w:after="0"/>
              <w:rPr>
                <w:sz w:val="1"/>
                <w:szCs w:val="1"/>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37,023</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81"/>
        </w:trPr>
        <w:tc>
          <w:tcPr>
            <w:tcW w:w="860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49,648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6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0160"/>
        <w:spacing w:after="0"/>
        <w:rPr>
          <w:sz w:val="20"/>
          <w:szCs w:val="20"/>
          <w:color w:val="auto"/>
        </w:rPr>
      </w:pPr>
      <w:r>
        <w:rPr>
          <w:sz w:val="1"/>
          <w:szCs w:val="1"/>
          <w:color w:val="auto"/>
        </w:rPr>
        <w:drawing>
          <wp:inline distT="0" distB="0" distL="0" distR="0">
            <wp:extent cx="591820" cy="1543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68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54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720" w:type="dxa"/>
            <w:vAlign w:val="bottom"/>
            <w:tcBorders>
              <w:bottom w:val="single" w:sz="8" w:color="0090DA"/>
            </w:tcBorders>
          </w:tcPr>
          <w:p>
            <w:pPr>
              <w:spacing w:after="0"/>
              <w:rPr>
                <w:sz w:val="19"/>
                <w:szCs w:val="19"/>
                <w:color w:val="auto"/>
              </w:rPr>
            </w:pPr>
          </w:p>
        </w:tc>
        <w:tc>
          <w:tcPr>
            <w:tcW w:w="1840" w:type="dxa"/>
            <w:vAlign w:val="bottom"/>
            <w:tcBorders>
              <w:bottom w:val="single" w:sz="8" w:color="0090DA"/>
            </w:tcBorders>
            <w:gridSpan w:val="3"/>
          </w:tcPr>
          <w:p>
            <w:pPr>
              <w:ind w:left="140"/>
              <w:spacing w:after="0"/>
              <w:rPr>
                <w:sz w:val="20"/>
                <w:szCs w:val="20"/>
                <w:color w:val="auto"/>
              </w:rPr>
            </w:pPr>
            <w:r>
              <w:rPr>
                <w:rFonts w:ascii="Arial" w:cs="Arial" w:eastAsia="Arial" w:hAnsi="Arial"/>
                <w:sz w:val="16"/>
                <w:szCs w:val="16"/>
                <w:b w:val="1"/>
                <w:bCs w:val="1"/>
                <w:color w:val="auto"/>
              </w:rPr>
              <w:t>Micron Shareholders</w:t>
            </w:r>
          </w:p>
        </w:tc>
        <w:tc>
          <w:tcPr>
            <w:tcW w:w="112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420" w:type="dxa"/>
            <w:vAlign w:val="bottom"/>
            <w:tcBorders>
              <w:bottom w:val="single" w:sz="8" w:color="0090DA"/>
            </w:tcBorders>
            <w:gridSpan w:val="3"/>
          </w:tcPr>
          <w:p>
            <w:pPr>
              <w:jc w:val="right"/>
              <w:ind w:right="3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6"/>
                <w:szCs w:val="16"/>
                <w:b w:val="1"/>
                <w:bCs w:val="1"/>
                <w:color w:val="auto"/>
                <w:w w:val="96"/>
              </w:rPr>
              <w:t>Total Micron</w:t>
            </w: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Noncontrolling</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Additional</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Treasury</w:t>
            </w:r>
          </w:p>
        </w:tc>
        <w:tc>
          <w:tcPr>
            <w:tcW w:w="2480" w:type="dxa"/>
            <w:vAlign w:val="bottom"/>
            <w:gridSpan w:val="4"/>
          </w:tcPr>
          <w:p>
            <w:pPr>
              <w:ind w:left="60"/>
              <w:spacing w:after="0"/>
              <w:rPr>
                <w:sz w:val="20"/>
                <w:szCs w:val="20"/>
                <w:color w:val="auto"/>
              </w:rPr>
            </w:pPr>
            <w:r>
              <w:rPr>
                <w:rFonts w:ascii="Arial" w:cs="Arial" w:eastAsia="Arial" w:hAnsi="Arial"/>
                <w:sz w:val="16"/>
                <w:szCs w:val="16"/>
                <w:b w:val="1"/>
                <w:bCs w:val="1"/>
                <w:color w:val="auto"/>
              </w:rPr>
              <w:t>Comprehensive Shareholders’</w:t>
            </w:r>
          </w:p>
        </w:tc>
        <w:tc>
          <w:tcPr>
            <w:tcW w:w="160" w:type="dxa"/>
            <w:vAlign w:val="bottom"/>
          </w:tcPr>
          <w:p>
            <w:pPr>
              <w:spacing w:after="0"/>
              <w:rPr>
                <w:sz w:val="16"/>
                <w:szCs w:val="16"/>
                <w:color w:val="auto"/>
              </w:rPr>
            </w:pPr>
          </w:p>
        </w:tc>
        <w:tc>
          <w:tcPr>
            <w:tcW w:w="1040" w:type="dxa"/>
            <w:vAlign w:val="bottom"/>
          </w:tcPr>
          <w:p>
            <w:pPr>
              <w:jc w:val="right"/>
              <w:ind w:right="112"/>
              <w:spacing w:after="0"/>
              <w:rPr>
                <w:sz w:val="20"/>
                <w:szCs w:val="20"/>
                <w:color w:val="auto"/>
              </w:rPr>
            </w:pPr>
            <w:r>
              <w:rPr>
                <w:rFonts w:ascii="Arial" w:cs="Arial" w:eastAsia="Arial" w:hAnsi="Arial"/>
                <w:sz w:val="16"/>
                <w:szCs w:val="16"/>
                <w:b w:val="1"/>
                <w:bCs w:val="1"/>
                <w:color w:val="auto"/>
              </w:rPr>
              <w:t>Interest in</w:t>
            </w:r>
          </w:p>
        </w:tc>
        <w:tc>
          <w:tcPr>
            <w:tcW w:w="880" w:type="dxa"/>
            <w:vAlign w:val="bottom"/>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2700" w:type="dxa"/>
            <w:vAlign w:val="bottom"/>
            <w:tcBorders>
              <w:bottom w:val="single" w:sz="8" w:color="0090DA"/>
            </w:tcBorders>
          </w:tcPr>
          <w:p>
            <w:pPr>
              <w:spacing w:after="0"/>
              <w:rPr>
                <w:sz w:val="19"/>
                <w:szCs w:val="19"/>
                <w:color w:val="auto"/>
              </w:rPr>
            </w:pPr>
          </w:p>
        </w:tc>
        <w:tc>
          <w:tcPr>
            <w:tcW w:w="6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0090DA"/>
            </w:tcBorders>
          </w:tcPr>
          <w:p>
            <w:pPr>
              <w:spacing w:after="0"/>
              <w:rPr>
                <w:sz w:val="19"/>
                <w:szCs w:val="19"/>
                <w:color w:val="auto"/>
              </w:rPr>
            </w:pPr>
          </w:p>
        </w:tc>
        <w:tc>
          <w:tcPr>
            <w:tcW w:w="720" w:type="dxa"/>
            <w:vAlign w:val="bottom"/>
            <w:tcBorders>
              <w:bottom w:val="single" w:sz="8" w:color="0090DA"/>
            </w:tcBorders>
          </w:tcPr>
          <w:p>
            <w:pPr>
              <w:jc w:val="right"/>
              <w:ind w:right="71"/>
              <w:spacing w:after="0"/>
              <w:rPr>
                <w:sz w:val="20"/>
                <w:szCs w:val="20"/>
                <w:color w:val="auto"/>
              </w:rPr>
            </w:pPr>
            <w:r>
              <w:rPr>
                <w:rFonts w:ascii="Arial" w:cs="Arial" w:eastAsia="Arial" w:hAnsi="Arial"/>
                <w:sz w:val="16"/>
                <w:szCs w:val="16"/>
                <w:b w:val="1"/>
                <w:bCs w:val="1"/>
                <w:color w:val="auto"/>
              </w:rPr>
              <w:t>Capital</w:t>
            </w:r>
          </w:p>
        </w:tc>
        <w:tc>
          <w:tcPr>
            <w:tcW w:w="86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840" w:type="dxa"/>
            <w:vAlign w:val="bottom"/>
            <w:tcBorders>
              <w:bottom w:val="single" w:sz="8" w:color="0090DA"/>
            </w:tcBorders>
          </w:tcPr>
          <w:p>
            <w:pPr>
              <w:jc w:val="right"/>
              <w:ind w:right="92"/>
              <w:spacing w:after="0"/>
              <w:rPr>
                <w:sz w:val="20"/>
                <w:szCs w:val="20"/>
                <w:color w:val="auto"/>
              </w:rPr>
            </w:pPr>
            <w:r>
              <w:rPr>
                <w:rFonts w:ascii="Arial" w:cs="Arial" w:eastAsia="Arial" w:hAnsi="Arial"/>
                <w:sz w:val="16"/>
                <w:szCs w:val="16"/>
                <w:b w:val="1"/>
                <w:bCs w:val="1"/>
                <w:color w:val="auto"/>
              </w:rPr>
              <w:t>Stock</w:t>
            </w:r>
          </w:p>
        </w:tc>
        <w:tc>
          <w:tcPr>
            <w:tcW w:w="126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6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92"/>
              <w:spacing w:after="0"/>
              <w:rPr>
                <w:sz w:val="20"/>
                <w:szCs w:val="20"/>
                <w:color w:val="auto"/>
              </w:rPr>
            </w:pPr>
            <w:r>
              <w:rPr>
                <w:rFonts w:ascii="Arial" w:cs="Arial" w:eastAsia="Arial" w:hAnsi="Arial"/>
                <w:sz w:val="16"/>
                <w:szCs w:val="16"/>
                <w:b w:val="1"/>
                <w:bCs w:val="1"/>
                <w:color w:val="auto"/>
              </w:rPr>
              <w:t>Subsidiary</w:t>
            </w:r>
          </w:p>
        </w:tc>
        <w:tc>
          <w:tcPr>
            <w:tcW w:w="880" w:type="dxa"/>
            <w:vAlign w:val="bottom"/>
            <w:tcBorders>
              <w:bottom w:val="single" w:sz="8" w:color="0090DA"/>
            </w:tcBorders>
          </w:tcPr>
          <w:p>
            <w:pPr>
              <w:jc w:val="right"/>
              <w:ind w:right="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29, 2019</w:t>
            </w:r>
          </w:p>
        </w:tc>
        <w:tc>
          <w:tcPr>
            <w:tcW w:w="68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8,214</w:t>
            </w:r>
          </w:p>
        </w:tc>
        <w:tc>
          <w:tcPr>
            <w:tcW w:w="86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w w:val="99"/>
              </w:rPr>
              <w:t>$ 30,761</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(3,221)</w:t>
            </w:r>
          </w:p>
        </w:tc>
        <w:tc>
          <w:tcPr>
            <w:tcW w:w="140" w:type="dxa"/>
            <w:vAlign w:val="bottom"/>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ind w:right="33"/>
              <w:spacing w:after="0"/>
              <w:rPr>
                <w:sz w:val="20"/>
                <w:szCs w:val="20"/>
                <w:color w:val="auto"/>
              </w:rPr>
            </w:pPr>
            <w:r>
              <w:rPr>
                <w:rFonts w:ascii="Arial" w:cs="Arial" w:eastAsia="Arial" w:hAnsi="Arial"/>
                <w:sz w:val="18"/>
                <w:szCs w:val="18"/>
                <w:color w:val="auto"/>
              </w:rPr>
              <w:t>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35,881</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rPr>
              <w:t>889</w:t>
            </w:r>
          </w:p>
        </w:tc>
        <w:tc>
          <w:tcPr>
            <w:tcW w:w="8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$ 36,770</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491</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184"/>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54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860" w:type="dxa"/>
            <w:vAlign w:val="bottom"/>
            <w:shd w:val="clear" w:color="auto" w:fill="D1D2D4"/>
          </w:tcPr>
          <w:p>
            <w:pPr>
              <w:spacing w:after="0"/>
              <w:rPr>
                <w:sz w:val="16"/>
                <w:szCs w:val="16"/>
                <w:color w:val="auto"/>
              </w:rPr>
            </w:pPr>
          </w:p>
        </w:tc>
        <w:tc>
          <w:tcPr>
            <w:tcW w:w="84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1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88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1"/>
        </w:trPr>
        <w:tc>
          <w:tcPr>
            <w:tcW w:w="2700" w:type="dxa"/>
            <w:vAlign w:val="bottom"/>
            <w:shd w:val="clear" w:color="auto" w:fill="D1D2D4"/>
          </w:tcPr>
          <w:p>
            <w:pPr>
              <w:ind w:left="100"/>
              <w:spacing w:after="0"/>
              <w:rPr>
                <w:sz w:val="20"/>
                <w:szCs w:val="20"/>
                <w:color w:val="auto"/>
              </w:rPr>
            </w:pPr>
            <w:r>
              <w:rPr>
                <w:rFonts w:ascii="Arial" w:cs="Arial" w:eastAsia="Arial" w:hAnsi="Arial"/>
                <w:sz w:val="16"/>
                <w:szCs w:val="16"/>
                <w:color w:val="auto"/>
              </w:rPr>
              <w:t>net</w:t>
            </w:r>
          </w:p>
        </w:tc>
        <w:tc>
          <w:tcPr>
            <w:tcW w:w="6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4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84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2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88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6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72</w:t>
            </w:r>
          </w:p>
        </w:tc>
        <w:tc>
          <w:tcPr>
            <w:tcW w:w="860" w:type="dxa"/>
            <w:vAlign w:val="bottom"/>
            <w:shd w:val="clear" w:color="auto" w:fill="D1D2D4"/>
          </w:tcPr>
          <w:p>
            <w:pPr>
              <w:spacing w:after="0"/>
              <w:rPr>
                <w:sz w:val="22"/>
                <w:szCs w:val="22"/>
                <w:color w:val="auto"/>
              </w:rPr>
            </w:pPr>
          </w:p>
        </w:tc>
        <w:tc>
          <w:tcPr>
            <w:tcW w:w="8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72</w:t>
            </w:r>
          </w:p>
        </w:tc>
        <w:tc>
          <w:tcPr>
            <w:tcW w:w="16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 of noncontrolling interest</w:t>
            </w:r>
          </w:p>
        </w:tc>
        <w:tc>
          <w:tcPr>
            <w:tcW w:w="6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123</w:t>
            </w:r>
          </w:p>
        </w:tc>
        <w:tc>
          <w:tcPr>
            <w:tcW w:w="860" w:type="dxa"/>
            <w:vAlign w:val="bottom"/>
            <w:shd w:val="clear" w:color="auto" w:fill="D1D2D4"/>
          </w:tcPr>
          <w:p>
            <w:pPr>
              <w:spacing w:after="0"/>
              <w:rPr>
                <w:sz w:val="22"/>
                <w:szCs w:val="22"/>
                <w:color w:val="auto"/>
              </w:rPr>
            </w:pPr>
          </w:p>
        </w:tc>
        <w:tc>
          <w:tcPr>
            <w:tcW w:w="8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2"/>
              <w:spacing w:after="0"/>
              <w:rPr>
                <w:sz w:val="20"/>
                <w:szCs w:val="20"/>
                <w:color w:val="auto"/>
              </w:rPr>
            </w:pPr>
            <w:r>
              <w:rPr>
                <w:rFonts w:ascii="Arial" w:cs="Arial" w:eastAsia="Arial" w:hAnsi="Arial"/>
                <w:sz w:val="18"/>
                <w:szCs w:val="18"/>
                <w:color w:val="auto"/>
              </w:rPr>
              <w:t>(904)</w:t>
            </w:r>
          </w:p>
        </w:tc>
        <w:tc>
          <w:tcPr>
            <w:tcW w:w="88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Conversion and repurchase of</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8"/>
        </w:trPr>
        <w:tc>
          <w:tcPr>
            <w:tcW w:w="2700" w:type="dxa"/>
            <w:vAlign w:val="bottom"/>
            <w:tcBorders>
              <w:bottom w:val="single" w:sz="8" w:color="D1D2D4"/>
            </w:tcBorders>
          </w:tcPr>
          <w:p>
            <w:pPr>
              <w:ind w:left="180"/>
              <w:spacing w:after="0"/>
              <w:rPr>
                <w:sz w:val="20"/>
                <w:szCs w:val="20"/>
                <w:color w:val="auto"/>
              </w:rPr>
            </w:pPr>
            <w:r>
              <w:rPr>
                <w:rFonts w:ascii="Arial" w:cs="Arial" w:eastAsia="Arial" w:hAnsi="Arial"/>
                <w:sz w:val="16"/>
                <w:szCs w:val="16"/>
                <w:color w:val="auto"/>
              </w:rPr>
              <w:t>convertible notes</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November 28, 2019</w:t>
            </w:r>
          </w:p>
        </w:tc>
        <w:tc>
          <w:tcPr>
            <w:tcW w:w="68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8,428</w:t>
            </w:r>
          </w:p>
        </w:tc>
        <w:tc>
          <w:tcPr>
            <w:tcW w:w="86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w w:val="99"/>
              </w:rPr>
              <w:t>$ 31,218</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(3,271)</w:t>
            </w:r>
          </w:p>
        </w:tc>
        <w:tc>
          <w:tcPr>
            <w:tcW w:w="140" w:type="dxa"/>
            <w:vAlign w:val="bottom"/>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ind w:right="33"/>
              <w:spacing w:after="0"/>
              <w:rPr>
                <w:sz w:val="20"/>
                <w:szCs w:val="20"/>
                <w:color w:val="auto"/>
              </w:rPr>
            </w:pPr>
            <w:r>
              <w:rPr>
                <w:rFonts w:ascii="Arial" w:cs="Arial" w:eastAsia="Arial" w:hAnsi="Arial"/>
                <w:sz w:val="18"/>
                <w:szCs w:val="18"/>
                <w:color w:val="auto"/>
              </w:rPr>
              <w:t>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36,500</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$ 36,500</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405</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84"/>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54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860" w:type="dxa"/>
            <w:vAlign w:val="bottom"/>
            <w:shd w:val="clear" w:color="auto" w:fill="D1D2D4"/>
          </w:tcPr>
          <w:p>
            <w:pPr>
              <w:spacing w:after="0"/>
              <w:rPr>
                <w:sz w:val="16"/>
                <w:szCs w:val="16"/>
                <w:color w:val="auto"/>
              </w:rPr>
            </w:pPr>
          </w:p>
        </w:tc>
        <w:tc>
          <w:tcPr>
            <w:tcW w:w="84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1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88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1"/>
        </w:trPr>
        <w:tc>
          <w:tcPr>
            <w:tcW w:w="2700" w:type="dxa"/>
            <w:vAlign w:val="bottom"/>
            <w:shd w:val="clear" w:color="auto" w:fill="D1D2D4"/>
          </w:tcPr>
          <w:p>
            <w:pPr>
              <w:ind w:left="100"/>
              <w:spacing w:after="0"/>
              <w:rPr>
                <w:sz w:val="20"/>
                <w:szCs w:val="20"/>
                <w:color w:val="auto"/>
              </w:rPr>
            </w:pPr>
            <w:r>
              <w:rPr>
                <w:rFonts w:ascii="Arial" w:cs="Arial" w:eastAsia="Arial" w:hAnsi="Arial"/>
                <w:sz w:val="16"/>
                <w:szCs w:val="16"/>
                <w:color w:val="auto"/>
              </w:rPr>
              <w:t>net</w:t>
            </w:r>
          </w:p>
        </w:tc>
        <w:tc>
          <w:tcPr>
            <w:tcW w:w="6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4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84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2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88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121</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6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85</w:t>
            </w:r>
          </w:p>
        </w:tc>
        <w:tc>
          <w:tcPr>
            <w:tcW w:w="860" w:type="dxa"/>
            <w:vAlign w:val="bottom"/>
            <w:shd w:val="clear" w:color="auto" w:fill="D1D2D4"/>
          </w:tcPr>
          <w:p>
            <w:pPr>
              <w:spacing w:after="0"/>
              <w:rPr>
                <w:sz w:val="22"/>
                <w:szCs w:val="22"/>
                <w:color w:val="auto"/>
              </w:rPr>
            </w:pPr>
          </w:p>
        </w:tc>
        <w:tc>
          <w:tcPr>
            <w:tcW w:w="8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85</w:t>
            </w:r>
          </w:p>
        </w:tc>
        <w:tc>
          <w:tcPr>
            <w:tcW w:w="16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Settlement of capped calls</w:t>
            </w:r>
          </w:p>
        </w:tc>
        <w:tc>
          <w:tcPr>
            <w:tcW w:w="6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98</w:t>
            </w:r>
          </w:p>
        </w:tc>
        <w:tc>
          <w:tcPr>
            <w:tcW w:w="86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Conversion and repurchase of</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8"/>
        </w:trPr>
        <w:tc>
          <w:tcPr>
            <w:tcW w:w="2700" w:type="dxa"/>
            <w:vAlign w:val="bottom"/>
            <w:tcBorders>
              <w:bottom w:val="single" w:sz="8" w:color="D1D2D4"/>
            </w:tcBorders>
          </w:tcPr>
          <w:p>
            <w:pPr>
              <w:ind w:left="180"/>
              <w:spacing w:after="0"/>
              <w:rPr>
                <w:sz w:val="20"/>
                <w:szCs w:val="20"/>
                <w:color w:val="auto"/>
              </w:rPr>
            </w:pPr>
            <w:r>
              <w:rPr>
                <w:rFonts w:ascii="Arial" w:cs="Arial" w:eastAsia="Arial" w:hAnsi="Arial"/>
                <w:sz w:val="16"/>
                <w:szCs w:val="16"/>
                <w:color w:val="auto"/>
              </w:rPr>
              <w:t>convertible notes</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7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February 27, 2020</w:t>
            </w:r>
          </w:p>
        </w:tc>
        <w:tc>
          <w:tcPr>
            <w:tcW w:w="680" w:type="dxa"/>
            <w:vAlign w:val="bottom"/>
            <w:tcBorders>
              <w:bottom w:val="single" w:sz="8" w:color="auto"/>
            </w:tcBorders>
            <w:shd w:val="clear" w:color="auto" w:fill="D1D2D4"/>
          </w:tcPr>
          <w:p>
            <w:pPr>
              <w:jc w:val="right"/>
              <w:ind w:right="53"/>
              <w:spacing w:after="0"/>
              <w:rPr>
                <w:sz w:val="20"/>
                <w:szCs w:val="20"/>
                <w:color w:val="auto"/>
              </w:rPr>
            </w:pPr>
            <w:r>
              <w:rPr>
                <w:rFonts w:ascii="Arial" w:cs="Arial" w:eastAsia="Arial" w:hAnsi="Arial"/>
                <w:sz w:val="18"/>
                <w:szCs w:val="18"/>
                <w:color w:val="auto"/>
              </w:rPr>
              <w:t>1,191</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8,725</w:t>
            </w:r>
          </w:p>
        </w:tc>
        <w:tc>
          <w:tcPr>
            <w:tcW w:w="860" w:type="dxa"/>
            <w:vAlign w:val="bottom"/>
            <w:tcBorders>
              <w:bottom w:val="single" w:sz="8" w:color="auto"/>
            </w:tcBorders>
            <w:shd w:val="clear" w:color="auto" w:fill="D1D2D4"/>
          </w:tcPr>
          <w:p>
            <w:pPr>
              <w:jc w:val="right"/>
              <w:ind w:right="53"/>
              <w:spacing w:after="0"/>
              <w:rPr>
                <w:sz w:val="20"/>
                <w:szCs w:val="20"/>
                <w:color w:val="auto"/>
              </w:rPr>
            </w:pPr>
            <w:r>
              <w:rPr>
                <w:rFonts w:ascii="Arial" w:cs="Arial" w:eastAsia="Arial" w:hAnsi="Arial"/>
                <w:sz w:val="18"/>
                <w:szCs w:val="18"/>
                <w:color w:val="auto"/>
                <w:w w:val="99"/>
              </w:rPr>
              <w:t>$ 31,602</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 (3,414)</w:t>
            </w:r>
          </w:p>
        </w:tc>
        <w:tc>
          <w:tcPr>
            <w:tcW w:w="140" w:type="dxa"/>
            <w:vAlign w:val="bottom"/>
            <w:tcBorders>
              <w:bottom w:val="single" w:sz="8" w:color="auto"/>
            </w:tcBorders>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rPr>
              <w:t>37,023</w:t>
            </w:r>
          </w:p>
        </w:tc>
        <w:tc>
          <w:tcPr>
            <w:tcW w:w="16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$ 37,023</w:t>
            </w:r>
          </w:p>
        </w:tc>
        <w:tc>
          <w:tcPr>
            <w:tcW w:w="0" w:type="dxa"/>
            <w:vAlign w:val="bottom"/>
          </w:tcPr>
          <w:p>
            <w:pPr>
              <w:spacing w:after="0"/>
              <w:rPr>
                <w:sz w:val="1"/>
                <w:szCs w:val="1"/>
                <w:color w:val="auto"/>
              </w:rPr>
            </w:pP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5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8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9" w:right="339" w:bottom="1073"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073" w:gutter="0" w:footer="0" w:header="0"/>
          <w:type w:val="continuous"/>
        </w:sectPr>
      </w:pPr>
    </w:p>
    <w:bookmarkStart w:id="8" w:name="page9"/>
    <w:bookmarkEnd w:id="8"/>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68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54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720" w:type="dxa"/>
            <w:vAlign w:val="bottom"/>
            <w:tcBorders>
              <w:bottom w:val="single" w:sz="8" w:color="0090DA"/>
            </w:tcBorders>
          </w:tcPr>
          <w:p>
            <w:pPr>
              <w:spacing w:after="0"/>
              <w:rPr>
                <w:sz w:val="19"/>
                <w:szCs w:val="19"/>
                <w:color w:val="auto"/>
              </w:rPr>
            </w:pPr>
          </w:p>
        </w:tc>
        <w:tc>
          <w:tcPr>
            <w:tcW w:w="1840" w:type="dxa"/>
            <w:vAlign w:val="bottom"/>
            <w:tcBorders>
              <w:bottom w:val="single" w:sz="8" w:color="0090DA"/>
            </w:tcBorders>
            <w:gridSpan w:val="4"/>
          </w:tcPr>
          <w:p>
            <w:pPr>
              <w:jc w:val="center"/>
              <w:spacing w:after="0"/>
              <w:rPr>
                <w:sz w:val="20"/>
                <w:szCs w:val="20"/>
                <w:color w:val="auto"/>
              </w:rPr>
            </w:pPr>
            <w:r>
              <w:rPr>
                <w:rFonts w:ascii="Arial" w:cs="Arial" w:eastAsia="Arial" w:hAnsi="Arial"/>
                <w:sz w:val="16"/>
                <w:szCs w:val="16"/>
                <w:b w:val="1"/>
                <w:bCs w:val="1"/>
                <w:color w:val="auto"/>
              </w:rPr>
              <w:t>Micron Shareholders</w:t>
            </w:r>
          </w:p>
        </w:tc>
        <w:tc>
          <w:tcPr>
            <w:tcW w:w="116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420" w:type="dxa"/>
            <w:vAlign w:val="bottom"/>
            <w:tcBorders>
              <w:bottom w:val="single" w:sz="8" w:color="0090DA"/>
            </w:tcBorders>
            <w:gridSpan w:val="3"/>
          </w:tcPr>
          <w:p>
            <w:pPr>
              <w:jc w:val="right"/>
              <w:ind w:right="3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center"/>
              <w:ind w:right="33"/>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33"/>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6"/>
                <w:szCs w:val="16"/>
                <w:b w:val="1"/>
                <w:bCs w:val="1"/>
                <w:color w:val="auto"/>
                <w:w w:val="96"/>
              </w:rPr>
              <w:t>Total Micron</w:t>
            </w: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Noncontrolling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Additional</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Treasury</w:t>
            </w:r>
          </w:p>
        </w:tc>
        <w:tc>
          <w:tcPr>
            <w:tcW w:w="2480" w:type="dxa"/>
            <w:vAlign w:val="bottom"/>
            <w:gridSpan w:val="4"/>
          </w:tcPr>
          <w:p>
            <w:pPr>
              <w:ind w:left="60"/>
              <w:spacing w:after="0"/>
              <w:rPr>
                <w:sz w:val="20"/>
                <w:szCs w:val="20"/>
                <w:color w:val="auto"/>
              </w:rPr>
            </w:pPr>
            <w:r>
              <w:rPr>
                <w:rFonts w:ascii="Arial" w:cs="Arial" w:eastAsia="Arial" w:hAnsi="Arial"/>
                <w:sz w:val="16"/>
                <w:szCs w:val="16"/>
                <w:b w:val="1"/>
                <w:bCs w:val="1"/>
                <w:color w:val="auto"/>
              </w:rPr>
              <w:t>Comprehensive Shareholders’</w:t>
            </w:r>
          </w:p>
        </w:tc>
        <w:tc>
          <w:tcPr>
            <w:tcW w:w="160" w:type="dxa"/>
            <w:vAlign w:val="bottom"/>
          </w:tcPr>
          <w:p>
            <w:pPr>
              <w:spacing w:after="0"/>
              <w:rPr>
                <w:sz w:val="16"/>
                <w:szCs w:val="16"/>
                <w:color w:val="auto"/>
              </w:rPr>
            </w:pPr>
          </w:p>
        </w:tc>
        <w:tc>
          <w:tcPr>
            <w:tcW w:w="1060" w:type="dxa"/>
            <w:vAlign w:val="bottom"/>
          </w:tcPr>
          <w:p>
            <w:pPr>
              <w:jc w:val="right"/>
              <w:ind w:right="132"/>
              <w:spacing w:after="0"/>
              <w:rPr>
                <w:sz w:val="20"/>
                <w:szCs w:val="20"/>
                <w:color w:val="auto"/>
              </w:rPr>
            </w:pPr>
            <w:r>
              <w:rPr>
                <w:rFonts w:ascii="Arial" w:cs="Arial" w:eastAsia="Arial" w:hAnsi="Arial"/>
                <w:sz w:val="16"/>
                <w:szCs w:val="16"/>
                <w:b w:val="1"/>
                <w:bCs w:val="1"/>
                <w:color w:val="auto"/>
              </w:rPr>
              <w:t>Interest in</w:t>
            </w:r>
          </w:p>
        </w:tc>
        <w:tc>
          <w:tcPr>
            <w:tcW w:w="860" w:type="dxa"/>
            <w:vAlign w:val="bottom"/>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2700" w:type="dxa"/>
            <w:vAlign w:val="bottom"/>
            <w:tcBorders>
              <w:bottom w:val="single" w:sz="8" w:color="0090DA"/>
            </w:tcBorders>
          </w:tcPr>
          <w:p>
            <w:pPr>
              <w:spacing w:after="0"/>
              <w:rPr>
                <w:sz w:val="19"/>
                <w:szCs w:val="19"/>
                <w:color w:val="auto"/>
              </w:rPr>
            </w:pPr>
          </w:p>
        </w:tc>
        <w:tc>
          <w:tcPr>
            <w:tcW w:w="6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0090DA"/>
            </w:tcBorders>
          </w:tcPr>
          <w:p>
            <w:pPr>
              <w:spacing w:after="0"/>
              <w:rPr>
                <w:sz w:val="19"/>
                <w:szCs w:val="19"/>
                <w:color w:val="auto"/>
              </w:rPr>
            </w:pPr>
          </w:p>
        </w:tc>
        <w:tc>
          <w:tcPr>
            <w:tcW w:w="720" w:type="dxa"/>
            <w:vAlign w:val="bottom"/>
            <w:tcBorders>
              <w:bottom w:val="single" w:sz="8" w:color="0090DA"/>
            </w:tcBorders>
          </w:tcPr>
          <w:p>
            <w:pPr>
              <w:jc w:val="right"/>
              <w:ind w:right="71"/>
              <w:spacing w:after="0"/>
              <w:rPr>
                <w:sz w:val="20"/>
                <w:szCs w:val="20"/>
                <w:color w:val="auto"/>
              </w:rPr>
            </w:pPr>
            <w:r>
              <w:rPr>
                <w:rFonts w:ascii="Arial" w:cs="Arial" w:eastAsia="Arial" w:hAnsi="Arial"/>
                <w:sz w:val="16"/>
                <w:szCs w:val="16"/>
                <w:b w:val="1"/>
                <w:bCs w:val="1"/>
                <w:color w:val="auto"/>
              </w:rPr>
              <w:t>Capital</w:t>
            </w:r>
          </w:p>
        </w:tc>
        <w:tc>
          <w:tcPr>
            <w:tcW w:w="86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0090DA"/>
            </w:tcBorders>
          </w:tcPr>
          <w:p>
            <w:pPr>
              <w:spacing w:after="0"/>
              <w:rPr>
                <w:sz w:val="19"/>
                <w:szCs w:val="19"/>
                <w:color w:val="auto"/>
              </w:rPr>
            </w:pPr>
          </w:p>
        </w:tc>
        <w:tc>
          <w:tcPr>
            <w:tcW w:w="680" w:type="dxa"/>
            <w:vAlign w:val="bottom"/>
            <w:tcBorders>
              <w:bottom w:val="single" w:sz="8" w:color="0090DA"/>
            </w:tcBorders>
          </w:tcPr>
          <w:p>
            <w:pPr>
              <w:jc w:val="right"/>
              <w:ind w:right="92"/>
              <w:spacing w:after="0"/>
              <w:rPr>
                <w:sz w:val="20"/>
                <w:szCs w:val="20"/>
                <w:color w:val="auto"/>
              </w:rPr>
            </w:pPr>
            <w:r>
              <w:rPr>
                <w:rFonts w:ascii="Arial" w:cs="Arial" w:eastAsia="Arial" w:hAnsi="Arial"/>
                <w:sz w:val="16"/>
                <w:szCs w:val="16"/>
                <w:b w:val="1"/>
                <w:bCs w:val="1"/>
                <w:color w:val="auto"/>
              </w:rPr>
              <w:t>Stock</w:t>
            </w:r>
          </w:p>
        </w:tc>
        <w:tc>
          <w:tcPr>
            <w:tcW w:w="13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right"/>
              <w:ind w:right="112"/>
              <w:spacing w:after="0"/>
              <w:rPr>
                <w:sz w:val="20"/>
                <w:szCs w:val="20"/>
                <w:color w:val="auto"/>
              </w:rPr>
            </w:pPr>
            <w:r>
              <w:rPr>
                <w:rFonts w:ascii="Arial" w:cs="Arial" w:eastAsia="Arial" w:hAnsi="Arial"/>
                <w:sz w:val="16"/>
                <w:szCs w:val="16"/>
                <w:b w:val="1"/>
                <w:bCs w:val="1"/>
                <w:color w:val="auto"/>
              </w:rPr>
              <w:t>Subsidiary</w:t>
            </w:r>
          </w:p>
        </w:tc>
        <w:tc>
          <w:tcPr>
            <w:tcW w:w="860" w:type="dxa"/>
            <w:vAlign w:val="bottom"/>
            <w:tcBorders>
              <w:bottom w:val="single" w:sz="8" w:color="0090DA"/>
            </w:tcBorders>
          </w:tcPr>
          <w:p>
            <w:pPr>
              <w:jc w:val="right"/>
              <w:ind w:right="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30, 2018</w:t>
            </w:r>
          </w:p>
        </w:tc>
        <w:tc>
          <w:tcPr>
            <w:tcW w:w="68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8,201</w:t>
            </w:r>
          </w:p>
        </w:tc>
        <w:tc>
          <w:tcPr>
            <w:tcW w:w="86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w w:val="99"/>
              </w:rPr>
              <w:t>$ 24,395</w:t>
            </w:r>
          </w:p>
        </w:tc>
        <w:tc>
          <w:tcPr>
            <w:tcW w:w="1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32,294</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72"/>
              <w:spacing w:after="0"/>
              <w:rPr>
                <w:sz w:val="20"/>
                <w:szCs w:val="20"/>
                <w:color w:val="auto"/>
              </w:rPr>
            </w:pPr>
            <w:r>
              <w:rPr>
                <w:rFonts w:ascii="Arial" w:cs="Arial" w:eastAsia="Arial" w:hAnsi="Arial"/>
                <w:sz w:val="18"/>
                <w:szCs w:val="18"/>
                <w:color w:val="auto"/>
              </w:rPr>
              <w:t>870</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6"/>
              </w:rPr>
              <w:t>$ 33,164</w:t>
            </w: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Cumulative effect of adoption new</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8"/>
        </w:trPr>
        <w:tc>
          <w:tcPr>
            <w:tcW w:w="2700" w:type="dxa"/>
            <w:vAlign w:val="bottom"/>
          </w:tcPr>
          <w:p>
            <w:pPr>
              <w:ind w:left="180"/>
              <w:spacing w:after="0"/>
              <w:rPr>
                <w:sz w:val="20"/>
                <w:szCs w:val="20"/>
                <w:color w:val="auto"/>
              </w:rPr>
            </w:pPr>
            <w:r>
              <w:rPr>
                <w:rFonts w:ascii="Arial" w:cs="Arial" w:eastAsia="Arial" w:hAnsi="Arial"/>
                <w:sz w:val="16"/>
                <w:szCs w:val="16"/>
                <w:color w:val="auto"/>
              </w:rPr>
              <w:t>accounting standard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rPr>
              <w:t>3,293</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3,293</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8"/>
        </w:trPr>
        <w:tc>
          <w:tcPr>
            <w:tcW w:w="27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restart"/>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color w:val="auto"/>
              </w:rPr>
              <w:t>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rPr>
              <w:t>3</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15</w:t>
            </w:r>
          </w:p>
        </w:tc>
        <w:tc>
          <w:tcPr>
            <w:tcW w:w="8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shd w:val="clear" w:color="auto" w:fill="D1D2D4"/>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108</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(1,933)</w:t>
            </w:r>
          </w:p>
        </w:tc>
        <w:tc>
          <w:tcPr>
            <w:tcW w:w="1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Reclassification of redeemable</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8"/>
        </w:trPr>
        <w:tc>
          <w:tcPr>
            <w:tcW w:w="2700" w:type="dxa"/>
            <w:vAlign w:val="bottom"/>
          </w:tcPr>
          <w:p>
            <w:pPr>
              <w:ind w:left="180"/>
              <w:spacing w:after="0"/>
              <w:rPr>
                <w:sz w:val="20"/>
                <w:szCs w:val="20"/>
                <w:color w:val="auto"/>
              </w:rPr>
            </w:pPr>
            <w:r>
              <w:rPr>
                <w:rFonts w:ascii="Arial" w:cs="Arial" w:eastAsia="Arial" w:hAnsi="Arial"/>
                <w:sz w:val="16"/>
                <w:szCs w:val="16"/>
                <w:color w:val="auto"/>
              </w:rPr>
              <w:t>convertible notes, net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D1D2D4"/>
          </w:tcPr>
          <w:p>
            <w:pPr>
              <w:ind w:left="20"/>
              <w:spacing w:after="0" w:line="181" w:lineRule="exact"/>
              <w:rPr>
                <w:sz w:val="20"/>
                <w:szCs w:val="20"/>
                <w:color w:val="auto"/>
              </w:rPr>
            </w:pPr>
            <w:r>
              <w:rPr>
                <w:rFonts w:ascii="Arial" w:cs="Arial" w:eastAsia="Arial" w:hAnsi="Arial"/>
                <w:sz w:val="16"/>
                <w:szCs w:val="16"/>
                <w:color w:val="auto"/>
              </w:rPr>
              <w:t>Conversion and repurchase of</w:t>
            </w:r>
          </w:p>
        </w:tc>
        <w:tc>
          <w:tcPr>
            <w:tcW w:w="6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54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86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16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(36)</w:t>
            </w:r>
          </w:p>
        </w:tc>
        <w:tc>
          <w:tcPr>
            <w:tcW w:w="16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86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1"/>
        </w:trPr>
        <w:tc>
          <w:tcPr>
            <w:tcW w:w="2700" w:type="dxa"/>
            <w:vAlign w:val="bottom"/>
            <w:shd w:val="clear" w:color="auto" w:fill="D1D2D4"/>
          </w:tcPr>
          <w:p>
            <w:pPr>
              <w:ind w:left="180"/>
              <w:spacing w:after="0"/>
              <w:rPr>
                <w:sz w:val="20"/>
                <w:szCs w:val="20"/>
                <w:color w:val="auto"/>
              </w:rPr>
            </w:pPr>
            <w:r>
              <w:rPr>
                <w:rFonts w:ascii="Arial" w:cs="Arial" w:eastAsia="Arial" w:hAnsi="Arial"/>
                <w:sz w:val="16"/>
                <w:szCs w:val="16"/>
                <w:color w:val="auto"/>
              </w:rPr>
              <w:t>convertible notes</w:t>
            </w:r>
          </w:p>
        </w:tc>
        <w:tc>
          <w:tcPr>
            <w:tcW w:w="680" w:type="dxa"/>
            <w:vAlign w:val="bottom"/>
            <w:tcBorders>
              <w:bottom w:val="single" w:sz="8" w:color="auto"/>
            </w:tcBorders>
            <w:shd w:val="clear" w:color="auto" w:fill="D1D2D4"/>
          </w:tcPr>
          <w:p>
            <w:pPr>
              <w:spacing w:after="0"/>
              <w:rPr>
                <w:sz w:val="17"/>
                <w:szCs w:val="17"/>
                <w:color w:val="auto"/>
              </w:rPr>
            </w:pPr>
          </w:p>
        </w:tc>
        <w:tc>
          <w:tcPr>
            <w:tcW w:w="200" w:type="dxa"/>
            <w:vAlign w:val="bottom"/>
            <w:tcBorders>
              <w:bottom w:val="single" w:sz="8" w:color="auto"/>
            </w:tcBorders>
            <w:shd w:val="clear" w:color="auto" w:fill="D1D2D4"/>
          </w:tcPr>
          <w:p>
            <w:pPr>
              <w:spacing w:after="0"/>
              <w:rPr>
                <w:sz w:val="17"/>
                <w:szCs w:val="17"/>
                <w:color w:val="auto"/>
              </w:rPr>
            </w:pPr>
          </w:p>
        </w:tc>
        <w:tc>
          <w:tcPr>
            <w:tcW w:w="540" w:type="dxa"/>
            <w:vAlign w:val="bottom"/>
            <w:tcBorders>
              <w:bottom w:val="single" w:sz="8" w:color="auto"/>
            </w:tcBorders>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720" w:type="dxa"/>
            <w:vAlign w:val="bottom"/>
            <w:tcBorders>
              <w:bottom w:val="single" w:sz="8" w:color="auto"/>
            </w:tcBorders>
            <w:vMerge w:val="continue"/>
            <w:shd w:val="clear" w:color="auto" w:fill="D1D2D4"/>
          </w:tcPr>
          <w:p>
            <w:pPr>
              <w:spacing w:after="0"/>
              <w:rPr>
                <w:sz w:val="17"/>
                <w:szCs w:val="17"/>
                <w:color w:val="auto"/>
              </w:rPr>
            </w:pPr>
          </w:p>
        </w:tc>
        <w:tc>
          <w:tcPr>
            <w:tcW w:w="860" w:type="dxa"/>
            <w:vAlign w:val="bottom"/>
            <w:tcBorders>
              <w:bottom w:val="single" w:sz="8" w:color="auto"/>
            </w:tcBorders>
            <w:shd w:val="clear" w:color="auto" w:fill="D1D2D4"/>
          </w:tcPr>
          <w:p>
            <w:pPr>
              <w:spacing w:after="0"/>
              <w:rPr>
                <w:sz w:val="17"/>
                <w:szCs w:val="17"/>
                <w:color w:val="auto"/>
              </w:rPr>
            </w:pPr>
          </w:p>
        </w:tc>
        <w:tc>
          <w:tcPr>
            <w:tcW w:w="160" w:type="dxa"/>
            <w:vAlign w:val="bottom"/>
            <w:tcBorders>
              <w:bottom w:val="single" w:sz="8" w:color="auto"/>
            </w:tcBorders>
            <w:shd w:val="clear" w:color="auto" w:fill="D1D2D4"/>
          </w:tcPr>
          <w:p>
            <w:pPr>
              <w:spacing w:after="0"/>
              <w:rPr>
                <w:sz w:val="17"/>
                <w:szCs w:val="17"/>
                <w:color w:val="auto"/>
              </w:rPr>
            </w:pPr>
          </w:p>
        </w:tc>
        <w:tc>
          <w:tcPr>
            <w:tcW w:w="680" w:type="dxa"/>
            <w:vAlign w:val="bottom"/>
            <w:tcBorders>
              <w:bottom w:val="single" w:sz="8" w:color="auto"/>
            </w:tcBorders>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160" w:type="dxa"/>
            <w:vAlign w:val="bottom"/>
            <w:tcBorders>
              <w:bottom w:val="single" w:sz="8" w:color="auto"/>
            </w:tcBorders>
            <w:shd w:val="clear" w:color="auto" w:fill="D1D2D4"/>
          </w:tcPr>
          <w:p>
            <w:pPr>
              <w:spacing w:after="0"/>
              <w:rPr>
                <w:sz w:val="17"/>
                <w:szCs w:val="17"/>
                <w:color w:val="auto"/>
              </w:rPr>
            </w:pPr>
          </w:p>
        </w:tc>
        <w:tc>
          <w:tcPr>
            <w:tcW w:w="120" w:type="dxa"/>
            <w:vAlign w:val="bottom"/>
            <w:tcBorders>
              <w:bottom w:val="single" w:sz="8" w:color="auto"/>
            </w:tcBorders>
            <w:shd w:val="clear" w:color="auto" w:fill="D1D2D4"/>
          </w:tcPr>
          <w:p>
            <w:pPr>
              <w:spacing w:after="0"/>
              <w:rPr>
                <w:sz w:val="17"/>
                <w:szCs w:val="17"/>
                <w:color w:val="auto"/>
              </w:rPr>
            </w:pPr>
          </w:p>
        </w:tc>
        <w:tc>
          <w:tcPr>
            <w:tcW w:w="1060" w:type="dxa"/>
            <w:vAlign w:val="bottom"/>
            <w:tcBorders>
              <w:bottom w:val="single" w:sz="8" w:color="auto"/>
            </w:tcBorders>
            <w:vMerge w:val="continue"/>
            <w:shd w:val="clear" w:color="auto" w:fill="D1D2D4"/>
          </w:tcPr>
          <w:p>
            <w:pPr>
              <w:spacing w:after="0"/>
              <w:rPr>
                <w:sz w:val="17"/>
                <w:szCs w:val="17"/>
                <w:color w:val="auto"/>
              </w:rPr>
            </w:pPr>
          </w:p>
        </w:tc>
        <w:tc>
          <w:tcPr>
            <w:tcW w:w="160" w:type="dxa"/>
            <w:vAlign w:val="bottom"/>
            <w:tcBorders>
              <w:bottom w:val="single" w:sz="8" w:color="auto"/>
            </w:tcBorders>
            <w:shd w:val="clear" w:color="auto" w:fill="D1D2D4"/>
          </w:tcPr>
          <w:p>
            <w:pPr>
              <w:spacing w:after="0"/>
              <w:rPr>
                <w:sz w:val="17"/>
                <w:szCs w:val="17"/>
                <w:color w:val="auto"/>
              </w:rPr>
            </w:pPr>
          </w:p>
        </w:tc>
        <w:tc>
          <w:tcPr>
            <w:tcW w:w="1060" w:type="dxa"/>
            <w:vAlign w:val="bottom"/>
            <w:tcBorders>
              <w:bottom w:val="single" w:sz="8" w:color="auto"/>
            </w:tcBorders>
            <w:shd w:val="clear" w:color="auto" w:fill="D1D2D4"/>
          </w:tcPr>
          <w:p>
            <w:pPr>
              <w:spacing w:after="0"/>
              <w:rPr>
                <w:sz w:val="17"/>
                <w:szCs w:val="17"/>
                <w:color w:val="auto"/>
              </w:rPr>
            </w:pPr>
          </w:p>
        </w:tc>
        <w:tc>
          <w:tcPr>
            <w:tcW w:w="860" w:type="dxa"/>
            <w:vAlign w:val="bottom"/>
            <w:tcBorders>
              <w:bottom w:val="single" w:sz="8" w:color="auto"/>
            </w:tcBorders>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Balance at November 29, 2018</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1,172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8,350</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w w:val="99"/>
              </w:rPr>
              <w:t>$ 27,769</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(2,362)</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33,869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870</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w w:val="96"/>
              </w:rPr>
              <w:t>$ 34,739</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8"/>
        </w:trPr>
        <w:tc>
          <w:tcPr>
            <w:tcW w:w="27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color w:val="auto"/>
              </w:rPr>
              <w:t>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rPr>
              <w:t>7</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76</w:t>
            </w:r>
          </w:p>
        </w:tc>
        <w:tc>
          <w:tcPr>
            <w:tcW w:w="8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77</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57</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3"/>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shd w:val="clear" w:color="auto" w:fill="D1D2D4"/>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color w:val="auto"/>
              </w:rPr>
              <w:t>Acquisition of noncontrolling interest</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4"/>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Reclassification of redeemable</w:t>
            </w:r>
          </w:p>
        </w:tc>
        <w:tc>
          <w:tcPr>
            <w:tcW w:w="68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54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720" w:type="dxa"/>
            <w:vAlign w:val="bottom"/>
            <w:vMerge w:val="restart"/>
            <w:shd w:val="clear" w:color="auto" w:fill="D1D2D4"/>
          </w:tcPr>
          <w:p>
            <w:pPr>
              <w:jc w:val="right"/>
              <w:ind w:right="51"/>
              <w:spacing w:after="0"/>
              <w:rPr>
                <w:sz w:val="20"/>
                <w:szCs w:val="20"/>
                <w:color w:val="auto"/>
              </w:rPr>
            </w:pPr>
            <w:r>
              <w:rPr>
                <w:rFonts w:ascii="Arial" w:cs="Arial" w:eastAsia="Arial" w:hAnsi="Arial"/>
                <w:sz w:val="18"/>
                <w:szCs w:val="18"/>
                <w:color w:val="auto"/>
              </w:rPr>
              <w:t>1</w:t>
            </w:r>
          </w:p>
        </w:tc>
        <w:tc>
          <w:tcPr>
            <w:tcW w:w="86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8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16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6"/>
                <w:szCs w:val="16"/>
                <w:color w:val="auto"/>
              </w:rPr>
            </w:pPr>
          </w:p>
        </w:tc>
        <w:tc>
          <w:tcPr>
            <w:tcW w:w="1060" w:type="dxa"/>
            <w:vAlign w:val="bottom"/>
            <w:shd w:val="clear" w:color="auto" w:fill="D1D2D4"/>
          </w:tcPr>
          <w:p>
            <w:pPr>
              <w:spacing w:after="0"/>
              <w:rPr>
                <w:sz w:val="16"/>
                <w:szCs w:val="16"/>
                <w:color w:val="auto"/>
              </w:rPr>
            </w:pPr>
          </w:p>
        </w:tc>
        <w:tc>
          <w:tcPr>
            <w:tcW w:w="860" w:type="dxa"/>
            <w:vAlign w:val="bottom"/>
            <w:vMerge w:val="restart"/>
            <w:shd w:val="clear" w:color="auto" w:fill="D1D2D4"/>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1"/>
        </w:trPr>
        <w:tc>
          <w:tcPr>
            <w:tcW w:w="2700" w:type="dxa"/>
            <w:vAlign w:val="bottom"/>
            <w:shd w:val="clear" w:color="auto" w:fill="D1D2D4"/>
          </w:tcPr>
          <w:p>
            <w:pPr>
              <w:ind w:left="180"/>
              <w:spacing w:after="0"/>
              <w:rPr>
                <w:sz w:val="20"/>
                <w:szCs w:val="20"/>
                <w:color w:val="auto"/>
              </w:rPr>
            </w:pPr>
            <w:r>
              <w:rPr>
                <w:rFonts w:ascii="Arial" w:cs="Arial" w:eastAsia="Arial" w:hAnsi="Arial"/>
                <w:sz w:val="16"/>
                <w:szCs w:val="16"/>
                <w:color w:val="auto"/>
              </w:rPr>
              <w:t>convertible notes, net</w:t>
            </w:r>
          </w:p>
        </w:tc>
        <w:tc>
          <w:tcPr>
            <w:tcW w:w="6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4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20" w:type="dxa"/>
            <w:vAlign w:val="bottom"/>
            <w:vMerge w:val="continue"/>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shd w:val="clear" w:color="auto" w:fill="D1D2D4"/>
          </w:tcPr>
          <w:p>
            <w:pPr>
              <w:spacing w:after="0"/>
              <w:rPr>
                <w:sz w:val="17"/>
                <w:szCs w:val="17"/>
                <w:color w:val="auto"/>
              </w:rPr>
            </w:pPr>
          </w:p>
        </w:tc>
        <w:tc>
          <w:tcPr>
            <w:tcW w:w="8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Conversion and repurchase of</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98"/>
        </w:trPr>
        <w:tc>
          <w:tcPr>
            <w:tcW w:w="2700" w:type="dxa"/>
            <w:vAlign w:val="bottom"/>
            <w:tcBorders>
              <w:bottom w:val="single" w:sz="8" w:color="D1D2D4"/>
            </w:tcBorders>
          </w:tcPr>
          <w:p>
            <w:pPr>
              <w:ind w:left="180"/>
              <w:spacing w:after="0"/>
              <w:rPr>
                <w:sz w:val="20"/>
                <w:szCs w:val="20"/>
                <w:color w:val="auto"/>
              </w:rPr>
            </w:pPr>
            <w:r>
              <w:rPr>
                <w:rFonts w:ascii="Arial" w:cs="Arial" w:eastAsia="Arial" w:hAnsi="Arial"/>
                <w:sz w:val="16"/>
                <w:szCs w:val="16"/>
                <w:color w:val="auto"/>
              </w:rPr>
              <w:t>convertible notes</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7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February 28, 2019</w:t>
            </w:r>
          </w:p>
        </w:tc>
        <w:tc>
          <w:tcPr>
            <w:tcW w:w="680" w:type="dxa"/>
            <w:vAlign w:val="bottom"/>
            <w:tcBorders>
              <w:bottom w:val="single" w:sz="8" w:color="auto"/>
            </w:tcBorders>
            <w:shd w:val="clear" w:color="auto" w:fill="D1D2D4"/>
          </w:tcPr>
          <w:p>
            <w:pPr>
              <w:jc w:val="right"/>
              <w:ind w:right="53"/>
              <w:spacing w:after="0"/>
              <w:rPr>
                <w:sz w:val="20"/>
                <w:szCs w:val="20"/>
                <w:color w:val="auto"/>
              </w:rPr>
            </w:pPr>
            <w:r>
              <w:rPr>
                <w:rFonts w:ascii="Arial" w:cs="Arial" w:eastAsia="Arial" w:hAnsi="Arial"/>
                <w:sz w:val="18"/>
                <w:szCs w:val="18"/>
                <w:color w:val="auto"/>
              </w:rPr>
              <w:t>1,178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8,143</w:t>
            </w:r>
          </w:p>
        </w:tc>
        <w:tc>
          <w:tcPr>
            <w:tcW w:w="860" w:type="dxa"/>
            <w:vAlign w:val="bottom"/>
            <w:tcBorders>
              <w:bottom w:val="single" w:sz="8" w:color="auto"/>
            </w:tcBorders>
            <w:shd w:val="clear" w:color="auto" w:fill="D1D2D4"/>
          </w:tcPr>
          <w:p>
            <w:pPr>
              <w:jc w:val="right"/>
              <w:ind w:right="52"/>
              <w:spacing w:after="0"/>
              <w:rPr>
                <w:sz w:val="20"/>
                <w:szCs w:val="20"/>
                <w:color w:val="auto"/>
              </w:rPr>
            </w:pPr>
            <w:r>
              <w:rPr>
                <w:rFonts w:ascii="Arial" w:cs="Arial" w:eastAsia="Arial" w:hAnsi="Arial"/>
                <w:sz w:val="18"/>
                <w:szCs w:val="18"/>
                <w:color w:val="auto"/>
                <w:w w:val="99"/>
              </w:rPr>
              <w:t>$ 29,364</w:t>
            </w:r>
          </w:p>
        </w:tc>
        <w:tc>
          <w:tcPr>
            <w:tcW w:w="160" w:type="dxa"/>
            <w:vAlign w:val="bottom"/>
            <w:tcBorders>
              <w:bottom w:val="single" w:sz="8" w:color="auto"/>
            </w:tcBorders>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(3,064)</w:t>
            </w:r>
          </w:p>
        </w:tc>
        <w:tc>
          <w:tcPr>
            <w:tcW w:w="140" w:type="dxa"/>
            <w:vAlign w:val="bottom"/>
            <w:tcBorders>
              <w:bottom w:val="single" w:sz="8" w:color="auto"/>
            </w:tcBorders>
            <w:shd w:val="clear" w:color="auto" w:fill="D1D2D4"/>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ind w:right="7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rPr>
              <w:t>34,567</w:t>
            </w:r>
          </w:p>
        </w:tc>
        <w:tc>
          <w:tcPr>
            <w:tcW w:w="16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1D2D4"/>
          </w:tcPr>
          <w:p>
            <w:pPr>
              <w:jc w:val="right"/>
              <w:ind w:right="72"/>
              <w:spacing w:after="0"/>
              <w:rPr>
                <w:sz w:val="20"/>
                <w:szCs w:val="20"/>
                <w:color w:val="auto"/>
              </w:rPr>
            </w:pPr>
            <w:r>
              <w:rPr>
                <w:rFonts w:ascii="Arial" w:cs="Arial" w:eastAsia="Arial" w:hAnsi="Arial"/>
                <w:sz w:val="18"/>
                <w:szCs w:val="18"/>
                <w:color w:val="auto"/>
              </w:rPr>
              <w:t>863</w:t>
            </w:r>
          </w:p>
        </w:tc>
        <w:tc>
          <w:tcPr>
            <w:tcW w:w="86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6"/>
              </w:rPr>
              <w:t>$ 35,430</w:t>
            </w:r>
          </w:p>
        </w:tc>
        <w:tc>
          <w:tcPr>
            <w:tcW w:w="0" w:type="dxa"/>
            <w:vAlign w:val="bottom"/>
          </w:tcPr>
          <w:p>
            <w:pPr>
              <w:spacing w:after="0"/>
              <w:rPr>
                <w:sz w:val="1"/>
                <w:szCs w:val="1"/>
                <w:color w:val="auto"/>
              </w:rPr>
            </w:pP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5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0160"/>
        <w:spacing w:after="0"/>
        <w:rPr>
          <w:sz w:val="20"/>
          <w:szCs w:val="20"/>
          <w:color w:val="auto"/>
        </w:rPr>
      </w:pPr>
      <w:r>
        <w:rPr>
          <w:sz w:val="1"/>
          <w:szCs w:val="1"/>
          <w:color w:val="auto"/>
        </w:rPr>
        <w:drawing>
          <wp:inline distT="0" distB="0" distL="0" distR="0">
            <wp:extent cx="591820" cy="1543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3920" w:type="dxa"/>
            <w:vAlign w:val="bottom"/>
          </w:tcPr>
          <w:p>
            <w:pPr>
              <w:jc w:val="center"/>
              <w:ind w:left="2250"/>
              <w:spacing w:after="0"/>
              <w:rPr>
                <w:sz w:val="20"/>
                <w:szCs w:val="20"/>
                <w:color w:val="auto"/>
              </w:rPr>
            </w:pPr>
            <w:r>
              <w:rPr>
                <w:rFonts w:ascii="Arial" w:cs="Arial" w:eastAsia="Arial" w:hAnsi="Arial"/>
                <w:sz w:val="18"/>
                <w:szCs w:val="18"/>
                <w:b w:val="1"/>
                <w:bCs w:val="1"/>
                <w:color w:val="auto"/>
                <w:w w:val="98"/>
              </w:rPr>
              <w:t>February 27,</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7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Six months ended</w:t>
            </w:r>
          </w:p>
        </w:tc>
        <w:tc>
          <w:tcPr>
            <w:tcW w:w="392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0" w:type="dxa"/>
            <w:vAlign w:val="bottom"/>
            <w:tcBorders>
              <w:bottom w:val="single" w:sz="8" w:color="0090DA"/>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40"/>
        </w:trPr>
        <w:tc>
          <w:tcPr>
            <w:tcW w:w="57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7"/>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920" w:type="dxa"/>
            <w:vAlign w:val="bottom"/>
            <w:shd w:val="clear" w:color="auto" w:fill="D1D2D4"/>
          </w:tcPr>
          <w:p>
            <w:pPr>
              <w:spacing w:after="0"/>
              <w:rPr>
                <w:sz w:val="22"/>
                <w:szCs w:val="22"/>
                <w:color w:val="auto"/>
              </w:rPr>
            </w:pPr>
          </w:p>
        </w:tc>
        <w:tc>
          <w:tcPr>
            <w:tcW w:w="1600" w:type="dxa"/>
            <w:vAlign w:val="bottom"/>
            <w:shd w:val="clear" w:color="auto" w:fill="D1D2D4"/>
          </w:tcPr>
          <w:p>
            <w:pPr>
              <w:spacing w:after="0"/>
              <w:rPr>
                <w:sz w:val="22"/>
                <w:szCs w:val="22"/>
                <w:color w:val="auto"/>
              </w:rPr>
            </w:pPr>
          </w:p>
        </w:tc>
      </w:tr>
    </w:tbl>
    <w:p>
      <w:pPr>
        <w:spacing w:after="0" w:line="26" w:lineRule="exact"/>
        <w:rPr>
          <w:sz w:val="20"/>
          <w:szCs w:val="20"/>
          <w:color w:val="auto"/>
        </w:rPr>
      </w:pPr>
    </w:p>
    <w:p>
      <w:pPr>
        <w:sectPr>
          <w:pgSz w:w="11900" w:h="16838" w:orient="portrait"/>
          <w:cols w:equalWidth="0" w:num="1">
            <w:col w:w="11240"/>
          </w:cols>
          <w:pgMar w:left="320" w:top="919" w:right="339" w:bottom="1440" w:gutter="0" w:footer="0" w:header="0"/>
        </w:sect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20" w:right="1000" w:hanging="183"/>
        <w:spacing w:after="0" w:line="289" w:lineRule="auto"/>
        <w:rPr>
          <w:sz w:val="20"/>
          <w:szCs w:val="20"/>
          <w:color w:val="auto"/>
        </w:rPr>
      </w:pPr>
      <w:r>
        <w:rPr>
          <w:rFonts w:ascii="Arial" w:cs="Arial" w:eastAsia="Arial" w:hAnsi="Arial"/>
          <w:sz w:val="18"/>
          <w:szCs w:val="18"/>
          <w:color w:val="auto"/>
        </w:rPr>
        <w:t>Adjustments to reconcile net income to net cash provided by operating activities Depreciation expense and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Amortization of debt discount and other costs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20" w:right="2040" w:hanging="17"/>
        <w:spacing w:after="0" w:line="297" w:lineRule="auto"/>
        <w:rPr>
          <w:sz w:val="20"/>
          <w:szCs w:val="20"/>
          <w:color w:val="auto"/>
        </w:rPr>
      </w:pPr>
      <w:r>
        <w:rPr>
          <w:rFonts w:ascii="Arial" w:cs="Arial" w:eastAsia="Arial" w:hAnsi="Arial"/>
          <w:sz w:val="18"/>
          <w:szCs w:val="18"/>
          <w:color w:val="auto"/>
        </w:rPr>
        <w:t>(Gain) loss on debt prepayments, repurchases, and conversions 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Receivables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expenses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ind w:left="20" w:right="2900"/>
        <w:spacing w:after="0" w:line="305"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Expenditures for property, plant, and equipment Purchases of available-for-sale securities Proceeds from sales of available-for-sale securities Proceeds from maturities of available-for-sale securities Proceeds from government incentives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-515620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provided by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of noncontrolling interest in IMFT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to acquire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on equipment purchase contracts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changes in currency exchange rates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4" w:lineRule="exact"/>
        <w:rPr>
          <w:sz w:val="20"/>
          <w:szCs w:val="20"/>
          <w:color w:val="auto"/>
        </w:rPr>
      </w:pPr>
    </w:p>
    <w:p>
      <w:pPr>
        <w:ind w:left="20" w:right="2080"/>
        <w:spacing w:after="0" w:line="339" w:lineRule="auto"/>
        <w:rPr>
          <w:sz w:val="20"/>
          <w:szCs w:val="20"/>
          <w:color w:val="auto"/>
        </w:rPr>
      </w:pPr>
      <w:r>
        <w:rPr>
          <w:rFonts w:ascii="Arial" w:cs="Arial" w:eastAsia="Arial" w:hAnsi="Arial"/>
          <w:sz w:val="17"/>
          <w:szCs w:val="17"/>
          <w:color w:val="auto"/>
        </w:rPr>
        <w:t>Net decrease in cash, cash equivalents, and restricted cash 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4,921</w:t>
            </w:r>
          </w:p>
        </w:tc>
      </w:tr>
      <w:tr>
        <w:trPr>
          <w:trHeight w:val="513"/>
        </w:trPr>
        <w:tc>
          <w:tcPr>
            <w:tcW w:w="5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2,661</w:t>
            </w:r>
          </w:p>
        </w:tc>
        <w:tc>
          <w:tcPr>
            <w:tcW w:w="6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2,648</w:t>
            </w:r>
          </w:p>
        </w:tc>
      </w:tr>
      <w:tr>
        <w:trPr>
          <w:trHeight w:val="257"/>
        </w:trPr>
        <w:tc>
          <w:tcPr>
            <w:tcW w:w="5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29</w:t>
            </w:r>
          </w:p>
        </w:tc>
      </w:tr>
      <w:tr>
        <w:trPr>
          <w:trHeight w:val="257"/>
        </w:trPr>
        <w:tc>
          <w:tcPr>
            <w:tcW w:w="5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118</w:t>
            </w:r>
          </w:p>
        </w:tc>
      </w:tr>
      <w:tr>
        <w:trPr>
          <w:trHeight w:val="257"/>
        </w:trPr>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w:t>
            </w:r>
          </w:p>
        </w:tc>
      </w:tr>
      <w:tr>
        <w:trPr>
          <w:trHeight w:val="513"/>
        </w:trPr>
        <w:tc>
          <w:tcPr>
            <w:tcW w:w="5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1,202</w:t>
            </w:r>
          </w:p>
        </w:tc>
      </w:tr>
      <w:tr>
        <w:trPr>
          <w:trHeight w:val="257"/>
        </w:trPr>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57"/>
        </w:trPr>
        <w:tc>
          <w:tcPr>
            <w:tcW w:w="5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6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57"/>
        </w:trPr>
        <w:tc>
          <w:tcPr>
            <w:tcW w:w="5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320</w:t>
            </w:r>
          </w:p>
        </w:tc>
      </w:tr>
      <w:tr>
        <w:trPr>
          <w:trHeight w:val="263"/>
        </w:trPr>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r>
      <w:tr>
        <w:trPr>
          <w:trHeight w:val="250"/>
        </w:trPr>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4,012</w:t>
            </w: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8,245</w:t>
            </w:r>
          </w:p>
        </w:tc>
      </w:tr>
    </w:tbl>
    <w:p>
      <w:pPr>
        <w:spacing w:after="0" w:line="200" w:lineRule="exact"/>
        <w:rPr>
          <w:sz w:val="20"/>
          <w:szCs w:val="20"/>
          <w:color w:val="auto"/>
        </w:rPr>
      </w:pPr>
    </w:p>
    <w:p>
      <w:pPr>
        <w:spacing w:after="0" w:line="326" w:lineRule="exact"/>
        <w:rPr>
          <w:sz w:val="20"/>
          <w:szCs w:val="20"/>
          <w:color w:val="auto"/>
        </w:rPr>
      </w:pPr>
    </w:p>
    <w:p>
      <w:pPr>
        <w:ind w:left="900"/>
        <w:spacing w:after="0"/>
        <w:tabs>
          <w:tab w:leader="none" w:pos="2480" w:val="left"/>
        </w:tabs>
        <w:rPr>
          <w:sz w:val="20"/>
          <w:szCs w:val="20"/>
          <w:color w:val="auto"/>
        </w:rPr>
      </w:pPr>
      <w:r>
        <w:rPr>
          <w:rFonts w:ascii="Arial" w:cs="Arial" w:eastAsia="Arial" w:hAnsi="Arial"/>
          <w:sz w:val="18"/>
          <w:szCs w:val="18"/>
          <w:color w:val="auto"/>
        </w:rPr>
        <w:t>(3,999)</w:t>
      </w:r>
      <w:r>
        <w:rPr>
          <w:sz w:val="20"/>
          <w:szCs w:val="20"/>
          <w:color w:val="auto"/>
        </w:rPr>
        <w:tab/>
      </w:r>
      <w:r>
        <w:rPr>
          <w:rFonts w:ascii="Arial" w:cs="Arial" w:eastAsia="Arial" w:hAnsi="Arial"/>
          <w:sz w:val="18"/>
          <w:szCs w:val="18"/>
          <w:color w:val="auto"/>
        </w:rPr>
        <w:t>(5,349)</w:t>
      </w:r>
    </w:p>
    <w:p>
      <w:pPr>
        <w:spacing w:after="0" w:line="50" w:lineRule="exact"/>
        <w:rPr>
          <w:sz w:val="20"/>
          <w:szCs w:val="20"/>
          <w:color w:val="auto"/>
        </w:rPr>
      </w:pPr>
    </w:p>
    <w:p>
      <w:pPr>
        <w:ind w:left="2500" w:hanging="1441"/>
        <w:spacing w:after="0"/>
        <w:tabs>
          <w:tab w:leader="none" w:pos="2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(2,566)</w:t>
      </w:r>
    </w:p>
    <w:p>
      <w:pPr>
        <w:spacing w:after="0" w:line="50"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1100" w:type="dxa"/>
            <w:vAlign w:val="bottom"/>
          </w:tcPr>
          <w:p>
            <w:pPr>
              <w:jc w:val="right"/>
              <w:ind w:right="570"/>
              <w:spacing w:after="0"/>
              <w:rPr>
                <w:sz w:val="20"/>
                <w:szCs w:val="20"/>
                <w:color w:val="auto"/>
              </w:rPr>
            </w:pPr>
            <w:r>
              <w:rPr>
                <w:rFonts w:ascii="Arial" w:cs="Arial" w:eastAsia="Arial" w:hAnsi="Arial"/>
                <w:sz w:val="18"/>
                <w:szCs w:val="18"/>
                <w:color w:val="auto"/>
                <w:w w:val="93"/>
              </w:rPr>
              <w:t>1,059</w:t>
            </w: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56"/>
        </w:trPr>
        <w:tc>
          <w:tcPr>
            <w:tcW w:w="1100" w:type="dxa"/>
            <w:vAlign w:val="bottom"/>
          </w:tcPr>
          <w:p>
            <w:pPr>
              <w:jc w:val="right"/>
              <w:ind w:right="570"/>
              <w:spacing w:after="0"/>
              <w:rPr>
                <w:sz w:val="20"/>
                <w:szCs w:val="20"/>
                <w:color w:val="auto"/>
              </w:rPr>
            </w:pPr>
            <w:r>
              <w:rPr>
                <w:rFonts w:ascii="Arial" w:cs="Arial" w:eastAsia="Arial" w:hAnsi="Arial"/>
                <w:sz w:val="18"/>
                <w:szCs w:val="18"/>
                <w:color w:val="auto"/>
              </w:rPr>
              <w:t>523</w:t>
            </w: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r>
    </w:tbl>
    <w:p>
      <w:pPr>
        <w:spacing w:after="0" w:line="40" w:lineRule="exact"/>
        <w:rPr>
          <w:sz w:val="20"/>
          <w:szCs w:val="20"/>
          <w:color w:val="auto"/>
        </w:rPr>
      </w:pPr>
    </w:p>
    <w:p>
      <w:pPr>
        <w:ind w:left="2720" w:hanging="1591"/>
        <w:spacing w:after="0"/>
        <w:tabs>
          <w:tab w:leader="none" w:pos="2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455</w:t>
      </w:r>
    </w:p>
    <w:p>
      <w:pPr>
        <w:spacing w:after="0" w:line="49" w:lineRule="exact"/>
        <w:rPr>
          <w:rFonts w:ascii="Arial" w:cs="Arial" w:eastAsia="Arial" w:hAnsi="Arial"/>
          <w:sz w:val="18"/>
          <w:szCs w:val="18"/>
          <w:color w:val="auto"/>
        </w:rPr>
      </w:pPr>
    </w:p>
    <w:p>
      <w:pPr>
        <w:ind w:left="2760" w:hanging="1601"/>
        <w:spacing w:after="0"/>
        <w:tabs>
          <w:tab w:leader="none" w:pos="2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(2,899)(6,919)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0231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(1,676)</w:t>
            </w:r>
          </w:p>
        </w:tc>
        <w:tc>
          <w:tcPr>
            <w:tcW w:w="5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56"/>
        </w:trPr>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w:t>
            </w:r>
          </w:p>
        </w:tc>
        <w:tc>
          <w:tcPr>
            <w:tcW w:w="56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(2,568)</w:t>
            </w:r>
          </w:p>
        </w:tc>
      </w:tr>
      <w:tr>
        <w:trPr>
          <w:trHeight w:val="256"/>
        </w:trPr>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57"/>
        </w:trPr>
        <w:tc>
          <w:tcPr>
            <w:tcW w:w="5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56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1,800</w:t>
            </w:r>
          </w:p>
        </w:tc>
      </w:tr>
      <w:tr>
        <w:trPr>
          <w:trHeight w:val="263"/>
        </w:trPr>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r>
      <w:tr>
        <w:trPr>
          <w:trHeight w:val="250"/>
        </w:trPr>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(1,483)</w:t>
            </w:r>
          </w:p>
        </w:tc>
      </w:tr>
      <w:tr>
        <w:trPr>
          <w:trHeight w:val="486"/>
        </w:trPr>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513"/>
        </w:trPr>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64"/>
        </w:trPr>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7,279</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6,587</w:t>
            </w:r>
          </w:p>
        </w:tc>
      </w:tr>
      <w:tr>
        <w:trPr>
          <w:trHeight w:val="250"/>
        </w:trPr>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7,171</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6,429</w:t>
            </w:r>
          </w:p>
        </w:tc>
      </w:tr>
      <w:tr>
        <w:trPr>
          <w:trHeight w:val="27"/>
        </w:trPr>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60" w:space="700"/>
            <w:col w:w="3180"/>
          </w:cols>
          <w:pgMar w:left="320" w:top="919" w:right="339" w:bottom="1440" w:gutter="0" w:footer="0" w:header="0"/>
          <w:type w:val="continuous"/>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Basis of Presentation</w:t>
      </w:r>
    </w:p>
    <w:p>
      <w:pPr>
        <w:spacing w:after="0" w:line="2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August 29, 2019, except for changes related to recently adopted accounting standards. See “Recently Adopted Accounting Standards” note. Prior year information is presented in accordance with the accounting guidance in effect during that period and has not been recast for recently adopted accounting standards.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fiscal year is the 52 or 53-week period ending on the Thursday closest to August 31. Fiscal year 2020 contains 53 weeks and the fourth quarter of 2020 will contain 14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29, 2019.</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8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For a discussion of our significant accounting policies, see “Part I – Item 8. Financial Statements and Supplementary Data – Notes to Consolidated Financial Statements – Significant Accounting Policies” of our Annual Report on Form 10-K for the year ended August 29, 2019. Except for the significant accounting policy associated with leases as discussed below, there have been no material changes to our significant accounting policies since our Annual Report on Form 10-K for the year ended August 29,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Leases</w:t>
      </w:r>
    </w:p>
    <w:p>
      <w:pPr>
        <w:spacing w:after="0" w:line="24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In the first quarter of 2020, we elected new accounting policies in connection with the adoption of ASC 842 – </w:t>
      </w:r>
      <w:r>
        <w:rPr>
          <w:rFonts w:ascii="Arial" w:cs="Arial" w:eastAsia="Arial" w:hAnsi="Arial"/>
          <w:sz w:val="18"/>
          <w:szCs w:val="18"/>
          <w:i w:val="1"/>
          <w:iCs w:val="1"/>
          <w:color w:val="auto"/>
        </w:rPr>
        <w:t>Leases</w:t>
      </w:r>
      <w:r>
        <w:rPr>
          <w:rFonts w:ascii="Arial" w:cs="Arial" w:eastAsia="Arial" w:hAnsi="Arial"/>
          <w:sz w:val="18"/>
          <w:szCs w:val="18"/>
          <w:color w:val="auto"/>
        </w:rPr>
        <w:t>. We do not recognize a right-of-use asset or lease liability for leases with a term of 12 months or less. For real estate and gas plant leases entered into after adoption, we do not separate lease and non-lease components. Sublease income is presented within lease expense.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0090DA"/>
        </w:rPr>
        <w:t>Unconsolidated VIE</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PTI Xi’an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Powertech Technology Inc. Xi’an (“PTI Xi’an”) is a wholly-owned subsidiary of Powertech Technology Inc. (“PTI”) and was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assembly services to us at our manufacturing site in Xi’an, China. We do not have an equity interest in PTI Xi’an. PTI Xi’an is a VIE because of the terms of its service agreement with us and its dependency on PTI to finance its operations. We do not have the power to direct the activities of PTI Xi’an that most significantly impact its economic performance, primarily because we do not have governance rights. Therefore, we do not consolidate PTI Xi’an. In connection with our assembly services with PTI, as of February 27, 2020 and August 29, 2019, we had net property, plant, and equipment of $44 million and $50 million, respectively, and finance lease obligations of $41 million and $47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VIE</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date we acquired Intel’s noncontrolling interest in IMFT, IMFT was a VIE because all of its costs were passed to us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member, Intel, through product purchase agreements and because IMFT was dependent upon us or Intel for additional cash requirements. The primary activities of IMFT were driven by the constant introduction of product and process technology. Because we performed a significant majority of the technology development we had the power to direct its key activities. We consolidated IMFT due to this power and our obligation to absorb losses and the right to receive benefits from IMFT that could have been potentially significant to it. On October 31, 2019, we acquired Intel’s interest in IMFT at which time IMFT, now known as MTU, became a wholly-owned subsidiary. (See “Equity – Noncontrolling Interest in Subsidiary” note.)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We adopted ASC 842 in the first quarter of 2020 under the modified retrospective method and elected to not recast prior periods. We elected the practical expedients available under the transition guidance, including but not limited to, not reassessing past lease accounting or using hindsight to evaluate lease term. In addition, we elected to not separate lease and non-lease components for real estate or gas plant leases. As a result of adopting ASC 842, we recognized $567 million for operating lease liabilities and right-of-use assets and reclassified an additional $66 million of other balances to right-of-use assets to conform to the new presentation requirements of ASC 842.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November 2018, the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will be effective for us in the first quarter of 2021 with early adoption permitted. This ASU requires retrospective adoption to the date we adopted ASC 606, which was August 31, 2018, by recognizing a cumulative-effect adjustment to the opening balance of retained earnings of the earliest annual period presented. We do not anticipate the adoption of this ASU will have a material impact on our financial statements.</w:t>
      </w:r>
    </w:p>
    <w:p>
      <w:pPr>
        <w:spacing w:after="0" w:line="2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early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ind w:right="20"/>
        <w:spacing w:after="0" w:line="256" w:lineRule="auto"/>
        <w:rPr>
          <w:sz w:val="20"/>
          <w:szCs w:val="20"/>
          <w:color w:val="auto"/>
        </w:rPr>
      </w:pPr>
      <w:r>
        <w:rPr>
          <w:rFonts w:ascii="Arial" w:cs="Arial" w:eastAsia="Arial" w:hAnsi="Arial"/>
          <w:sz w:val="18"/>
          <w:szCs w:val="18"/>
          <w:color w:val="auto"/>
        </w:rPr>
        <w:t>adoption permitted.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4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40" w:type="dxa"/>
            <w:vAlign w:val="bottom"/>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2440" w:type="dxa"/>
            <w:vAlign w:val="bottom"/>
            <w:tcBorders>
              <w:bottom w:val="single" w:sz="8" w:color="0090DA"/>
            </w:tcBorders>
            <w:gridSpan w:val="3"/>
          </w:tcPr>
          <w:p>
            <w:pPr>
              <w:jc w:val="right"/>
              <w:ind w:right="590"/>
              <w:spacing w:after="0"/>
              <w:rPr>
                <w:sz w:val="20"/>
                <w:szCs w:val="20"/>
                <w:color w:val="auto"/>
              </w:rPr>
            </w:pPr>
            <w:r>
              <w:rPr>
                <w:rFonts w:ascii="Arial" w:cs="Arial" w:eastAsia="Arial" w:hAnsi="Arial"/>
                <w:sz w:val="18"/>
                <w:szCs w:val="18"/>
                <w:b w:val="1"/>
                <w:bCs w:val="1"/>
                <w:color w:val="auto"/>
              </w:rPr>
              <w:t>February 27, 2020</w:t>
            </w:r>
          </w:p>
        </w:tc>
        <w:tc>
          <w:tcPr>
            <w:tcW w:w="14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280" w:type="dxa"/>
            <w:vAlign w:val="bottom"/>
            <w:tcBorders>
              <w:bottom w:val="single" w:sz="8" w:color="0090DA"/>
            </w:tcBorders>
            <w:gridSpan w:val="3"/>
          </w:tcPr>
          <w:p>
            <w:pPr>
              <w:jc w:val="right"/>
              <w:ind w:right="650"/>
              <w:spacing w:after="0"/>
              <w:rPr>
                <w:sz w:val="20"/>
                <w:szCs w:val="20"/>
                <w:color w:val="auto"/>
              </w:rPr>
            </w:pPr>
            <w:r>
              <w:rPr>
                <w:rFonts w:ascii="Arial" w:cs="Arial" w:eastAsia="Arial" w:hAnsi="Arial"/>
                <w:sz w:val="18"/>
                <w:szCs w:val="18"/>
                <w:b w:val="1"/>
                <w:bCs w:val="1"/>
                <w:color w:val="auto"/>
              </w:rPr>
              <w:t>August 29, 2019</w:t>
            </w:r>
          </w:p>
        </w:tc>
        <w:tc>
          <w:tcPr>
            <w:tcW w:w="120" w:type="dxa"/>
            <w:vAlign w:val="bottom"/>
            <w:tcBorders>
              <w:bottom w:val="single" w:sz="8" w:color="0090DA"/>
            </w:tcBorders>
          </w:tcPr>
          <w:p>
            <w:pPr>
              <w:spacing w:after="0"/>
              <w:rPr>
                <w:sz w:val="21"/>
                <w:szCs w:val="21"/>
                <w:color w:val="auto"/>
              </w:rPr>
            </w:pPr>
          </w:p>
        </w:tc>
        <w:tc>
          <w:tcPr>
            <w:tcW w:w="740" w:type="dxa"/>
            <w:vAlign w:val="bottom"/>
            <w:tcBorders>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Long-term</w:t>
            </w:r>
          </w:p>
        </w:tc>
        <w:tc>
          <w:tcPr>
            <w:tcW w:w="140" w:type="dxa"/>
            <w:vAlign w:val="bottom"/>
          </w:tcPr>
          <w:p>
            <w:pPr>
              <w:spacing w:after="0"/>
              <w:rPr>
                <w:sz w:val="17"/>
                <w:szCs w:val="17"/>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Total</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Long-term</w:t>
            </w:r>
          </w:p>
        </w:tc>
        <w:tc>
          <w:tcPr>
            <w:tcW w:w="120" w:type="dxa"/>
            <w:vAlign w:val="bottom"/>
          </w:tcPr>
          <w:p>
            <w:pPr>
              <w:spacing w:after="0"/>
              <w:rPr>
                <w:sz w:val="17"/>
                <w:szCs w:val="17"/>
                <w:color w:val="auto"/>
              </w:rPr>
            </w:pPr>
          </w:p>
        </w:tc>
        <w:tc>
          <w:tcPr>
            <w:tcW w:w="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50"/>
        </w:trPr>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Cash and</w:t>
            </w:r>
          </w:p>
        </w:tc>
        <w:tc>
          <w:tcPr>
            <w:tcW w:w="120" w:type="dxa"/>
            <w:vAlign w:val="bottom"/>
          </w:tcPr>
          <w:p>
            <w:pPr>
              <w:spacing w:after="0"/>
              <w:rPr>
                <w:sz w:val="4"/>
                <w:szCs w:val="4"/>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Short-term</w:t>
            </w:r>
          </w:p>
        </w:tc>
        <w:tc>
          <w:tcPr>
            <w:tcW w:w="2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4"/>
                <w:szCs w:val="4"/>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Cash and</w:t>
            </w:r>
          </w:p>
        </w:tc>
        <w:tc>
          <w:tcPr>
            <w:tcW w:w="116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Short-term</w:t>
            </w:r>
          </w:p>
        </w:tc>
        <w:tc>
          <w:tcPr>
            <w:tcW w:w="2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1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rPr>
              <w:t>Marketable</w:t>
            </w: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rPr>
              <w:t>Marketable</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40" w:type="dxa"/>
            <w:vAlign w:val="bottom"/>
            <w:vMerge w:val="continue"/>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ind w:left="100"/>
              <w:spacing w:after="0" w:line="230" w:lineRule="exact"/>
              <w:rPr>
                <w:sz w:val="20"/>
                <w:szCs w:val="20"/>
                <w:color w:val="auto"/>
              </w:rPr>
            </w:pPr>
            <w:r>
              <w:rPr>
                <w:rFonts w:ascii="Arial" w:cs="Arial" w:eastAsia="Arial" w:hAnsi="Arial"/>
                <w:sz w:val="18"/>
                <w:szCs w:val="18"/>
                <w:b w:val="1"/>
                <w:bCs w:val="1"/>
                <w:color w:val="auto"/>
                <w:w w:val="97"/>
              </w:rPr>
              <w:t xml:space="preserve">Investments </w:t>
            </w:r>
            <w:r>
              <w:rPr>
                <w:rFonts w:ascii="Arial" w:cs="Arial" w:eastAsia="Arial" w:hAnsi="Arial"/>
                <w:sz w:val="23"/>
                <w:szCs w:val="23"/>
                <w:color w:val="auto"/>
                <w:w w:val="97"/>
                <w:vertAlign w:val="superscript"/>
              </w:rPr>
              <w:t>(1)</w:t>
            </w:r>
          </w:p>
        </w:tc>
        <w:tc>
          <w:tcPr>
            <w:tcW w:w="140" w:type="dxa"/>
            <w:vAlign w:val="bottom"/>
          </w:tcPr>
          <w:p>
            <w:pPr>
              <w:spacing w:after="0"/>
              <w:rPr>
                <w:sz w:val="19"/>
                <w:szCs w:val="19"/>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Value</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ind w:left="100"/>
              <w:spacing w:after="0" w:line="230" w:lineRule="exact"/>
              <w:rPr>
                <w:sz w:val="20"/>
                <w:szCs w:val="20"/>
                <w:color w:val="auto"/>
              </w:rPr>
            </w:pPr>
            <w:r>
              <w:rPr>
                <w:rFonts w:ascii="Arial" w:cs="Arial" w:eastAsia="Arial" w:hAnsi="Arial"/>
                <w:sz w:val="18"/>
                <w:szCs w:val="18"/>
                <w:b w:val="1"/>
                <w:bCs w:val="1"/>
                <w:color w:val="auto"/>
                <w:w w:val="97"/>
              </w:rPr>
              <w:t xml:space="preserve">Investments </w:t>
            </w:r>
            <w:r>
              <w:rPr>
                <w:rFonts w:ascii="Arial" w:cs="Arial" w:eastAsia="Arial" w:hAnsi="Arial"/>
                <w:sz w:val="23"/>
                <w:szCs w:val="23"/>
                <w:color w:val="auto"/>
                <w:w w:val="97"/>
                <w:vertAlign w:val="superscript"/>
              </w:rPr>
              <w:t>(1)</w:t>
            </w:r>
          </w:p>
        </w:tc>
        <w:tc>
          <w:tcPr>
            <w:tcW w:w="12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34"/>
        </w:trPr>
        <w:tc>
          <w:tcPr>
            <w:tcW w:w="194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6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06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9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4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D1D2D4"/>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D1D2D4"/>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ind w:lef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2,388</w:t>
            </w:r>
          </w:p>
        </w:tc>
        <w:tc>
          <w:tcPr>
            <w:tcW w:w="2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ind w:lef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Level 1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3,418</w:t>
            </w:r>
          </w:p>
        </w:tc>
        <w:tc>
          <w:tcPr>
            <w:tcW w:w="2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Level 2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D1D2D4"/>
          </w:tcPr>
          <w:p>
            <w:pPr>
              <w:ind w:left="100"/>
              <w:spacing w:after="0" w:line="189" w:lineRule="exact"/>
              <w:rPr>
                <w:sz w:val="20"/>
                <w:szCs w:val="20"/>
                <w:color w:val="auto"/>
              </w:rPr>
            </w:pPr>
            <w:r>
              <w:rPr>
                <w:rFonts w:ascii="Arial" w:cs="Arial" w:eastAsia="Arial" w:hAnsi="Arial"/>
                <w:sz w:val="18"/>
                <w:szCs w:val="18"/>
                <w:color w:val="auto"/>
              </w:rPr>
              <w:t>Certificates of</w:t>
            </w:r>
          </w:p>
        </w:tc>
        <w:tc>
          <w:tcPr>
            <w:tcW w:w="12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D1D2D4"/>
          </w:tcPr>
          <w:p>
            <w:pPr>
              <w:spacing w:after="0"/>
              <w:rPr>
                <w:sz w:val="16"/>
                <w:szCs w:val="16"/>
                <w:color w:val="auto"/>
              </w:rPr>
            </w:pPr>
          </w:p>
        </w:tc>
        <w:tc>
          <w:tcPr>
            <w:tcW w:w="116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shd w:val="clear" w:color="auto" w:fill="D1D2D4"/>
          </w:tcPr>
          <w:p>
            <w:pPr>
              <w:spacing w:after="0"/>
              <w:rPr>
                <w:sz w:val="16"/>
                <w:szCs w:val="16"/>
                <w:color w:val="auto"/>
              </w:rPr>
            </w:pPr>
          </w:p>
        </w:tc>
        <w:tc>
          <w:tcPr>
            <w:tcW w:w="72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1,292</w:t>
            </w:r>
          </w:p>
        </w:tc>
        <w:tc>
          <w:tcPr>
            <w:tcW w:w="260" w:type="dxa"/>
            <w:vAlign w:val="bottom"/>
            <w:shd w:val="clear" w:color="auto" w:fill="D1D2D4"/>
          </w:tcPr>
          <w:p>
            <w:pPr>
              <w:spacing w:after="0"/>
              <w:rPr>
                <w:sz w:val="16"/>
                <w:szCs w:val="16"/>
                <w:color w:val="auto"/>
              </w:rPr>
            </w:pPr>
          </w:p>
        </w:tc>
        <w:tc>
          <w:tcPr>
            <w:tcW w:w="90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1D2D4"/>
          </w:tcPr>
          <w:p>
            <w:pPr>
              <w:spacing w:after="0"/>
              <w:rPr>
                <w:sz w:val="16"/>
                <w:szCs w:val="16"/>
                <w:color w:val="auto"/>
              </w:rPr>
            </w:pPr>
          </w:p>
        </w:tc>
        <w:tc>
          <w:tcPr>
            <w:tcW w:w="116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6"/>
                <w:szCs w:val="16"/>
                <w:color w:val="auto"/>
              </w:rPr>
            </w:pPr>
          </w:p>
        </w:tc>
        <w:tc>
          <w:tcPr>
            <w:tcW w:w="7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7"/>
        </w:trPr>
        <w:tc>
          <w:tcPr>
            <w:tcW w:w="19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20" w:type="dxa"/>
            <w:vAlign w:val="bottom"/>
            <w:vMerge w:val="continue"/>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900" w:type="dxa"/>
            <w:vAlign w:val="bottom"/>
            <w:vMerge w:val="continue"/>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4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2"/>
                <w:szCs w:val="22"/>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57"/>
        </w:trPr>
        <w:tc>
          <w:tcPr>
            <w:tcW w:w="19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Government securities</w:t>
            </w: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88"/>
        </w:trPr>
        <w:tc>
          <w:tcPr>
            <w:tcW w:w="1940" w:type="dxa"/>
            <w:vAlign w:val="bottom"/>
          </w:tcPr>
          <w:p>
            <w:pPr>
              <w:ind w:left="100"/>
              <w:spacing w:after="0" w:line="189" w:lineRule="exact"/>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6"/>
                <w:szCs w:val="16"/>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6"/>
                <w:szCs w:val="16"/>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6"/>
                <w:szCs w:val="16"/>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6"/>
                <w:szCs w:val="16"/>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7"/>
        </w:trPr>
        <w:tc>
          <w:tcPr>
            <w:tcW w:w="19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1D2D4"/>
          </w:tcPr>
          <w:p>
            <w:pPr>
              <w:spacing w:after="0"/>
              <w:rPr>
                <w:sz w:val="22"/>
                <w:szCs w:val="22"/>
                <w:color w:val="auto"/>
              </w:rPr>
            </w:pPr>
          </w:p>
        </w:tc>
        <w:tc>
          <w:tcPr>
            <w:tcW w:w="14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shd w:val="clear" w:color="auto" w:fill="D1D2D4"/>
          </w:tcPr>
          <w:p>
            <w:pPr>
              <w:spacing w:after="0"/>
              <w:rPr>
                <w:sz w:val="22"/>
                <w:szCs w:val="22"/>
                <w:color w:val="auto"/>
              </w:rPr>
            </w:pPr>
          </w:p>
        </w:tc>
        <w:tc>
          <w:tcPr>
            <w:tcW w:w="9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22"/>
                <w:szCs w:val="22"/>
                <w:color w:val="auto"/>
              </w:rPr>
            </w:pPr>
          </w:p>
        </w:tc>
        <w:tc>
          <w:tcPr>
            <w:tcW w:w="7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7,118</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7,152</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0"/>
        </w:trPr>
        <w:tc>
          <w:tcPr>
            <w:tcW w:w="194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06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6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40" w:type="dxa"/>
            <w:vAlign w:val="bottom"/>
            <w:shd w:val="clear" w:color="auto" w:fill="D1D2D4"/>
          </w:tcPr>
          <w:p>
            <w:pPr>
              <w:ind w:left="180"/>
              <w:spacing w:after="0" w:line="223"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40" w:type="dxa"/>
            <w:vAlign w:val="bottom"/>
          </w:tcPr>
          <w:p>
            <w:pPr>
              <w:ind w:left="20"/>
              <w:spacing w:after="0" w:line="168" w:lineRule="exact"/>
              <w:rPr>
                <w:sz w:val="20"/>
                <w:szCs w:val="20"/>
                <w:color w:val="auto"/>
              </w:rPr>
            </w:pPr>
            <w:r>
              <w:rPr>
                <w:rFonts w:ascii="Arial" w:cs="Arial" w:eastAsia="Arial" w:hAnsi="Arial"/>
                <w:sz w:val="18"/>
                <w:szCs w:val="18"/>
                <w:color w:val="auto"/>
              </w:rPr>
              <w:t>Cash, cash</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180"/>
              <w:spacing w:after="0" w:line="176" w:lineRule="exact"/>
              <w:rPr>
                <w:sz w:val="20"/>
                <w:szCs w:val="20"/>
                <w:color w:val="auto"/>
              </w:rPr>
            </w:pPr>
            <w:r>
              <w:rPr>
                <w:rFonts w:ascii="Arial" w:cs="Arial" w:eastAsia="Arial" w:hAnsi="Arial"/>
                <w:sz w:val="18"/>
                <w:szCs w:val="18"/>
                <w:color w:val="auto"/>
              </w:rPr>
              <w:t>equivalents, and</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7,171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7,279</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940" w:type="dxa"/>
            <w:vAlign w:val="bottom"/>
          </w:tcPr>
          <w:p>
            <w:pPr>
              <w:ind w:left="180"/>
              <w:spacing w:after="0" w:line="190" w:lineRule="exact"/>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range from one year to four years.</w:t>
      </w:r>
    </w:p>
    <w:p>
      <w:pPr>
        <w:ind w:left="240" w:hanging="232"/>
        <w:spacing w:after="0" w:line="196" w:lineRule="auto"/>
        <w:tabs>
          <w:tab w:leader="none" w:pos="2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00" w:hanging="252"/>
        <w:spacing w:after="0" w:line="237" w:lineRule="auto"/>
        <w:tabs>
          <w:tab w:leader="none" w:pos="254"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analyses to validate information obtained from these pricing services. No adjustments were made to the fair values indicated by such pricing information as of February 27, 2020 or August 29, 2019.</w:t>
      </w:r>
    </w:p>
    <w:p>
      <w:pPr>
        <w:spacing w:after="0" w:line="1" w:lineRule="exact"/>
        <w:rPr>
          <w:rFonts w:ascii="Arial" w:cs="Arial" w:eastAsia="Arial" w:hAnsi="Arial"/>
          <w:sz w:val="23"/>
          <w:szCs w:val="23"/>
          <w:i w:val="1"/>
          <w:iCs w:val="1"/>
          <w:color w:val="auto"/>
          <w:vertAlign w:val="superscript"/>
        </w:rPr>
      </w:pPr>
    </w:p>
    <w:p>
      <w:pPr>
        <w:jc w:val="both"/>
        <w:ind w:left="260" w:right="580" w:hanging="252"/>
        <w:spacing w:after="0" w:line="229" w:lineRule="auto"/>
        <w:tabs>
          <w:tab w:leader="none" w:pos="254"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certain government incentives received prior to being earned. The restrictions lapse upon achieving certain performance conditions. Restricted cash as of August 29, 2019 also included amounts related to the corporate reorganization proceedings of MMJ.</w:t>
      </w:r>
    </w:p>
    <w:p>
      <w:pPr>
        <w:spacing w:after="0" w:line="2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 As of February 27, 2020, there were no available-for-sale securities that had been in a loss position for longer than 12 months.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2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0"/>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2,695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2,778</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242</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175</w:t>
            </w:r>
          </w:p>
        </w:tc>
      </w:tr>
      <w:tr>
        <w:trPr>
          <w:trHeight w:val="250"/>
        </w:trPr>
        <w:tc>
          <w:tcPr>
            <w:tcW w:w="86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3,195</w:t>
            </w:r>
          </w:p>
        </w:tc>
      </w:tr>
      <w:tr>
        <w:trPr>
          <w:trHeight w:val="27"/>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40"/>
          <w:szCs w:val="40"/>
          <w:b w:val="1"/>
          <w:bCs w:val="1"/>
          <w:color w:val="auto"/>
        </w:rPr>
        <w:t>Inventories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2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757</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3,756</w:t>
            </w:r>
          </w:p>
        </w:tc>
        <w:tc>
          <w:tcPr>
            <w:tcW w:w="2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3,825</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650</w:t>
            </w:r>
          </w:p>
        </w:tc>
        <w:tc>
          <w:tcPr>
            <w:tcW w:w="2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536</w:t>
            </w:r>
          </w:p>
        </w:tc>
      </w:tr>
      <w:tr>
        <w:trPr>
          <w:trHeight w:val="250"/>
        </w:trPr>
        <w:tc>
          <w:tcPr>
            <w:tcW w:w="86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5,118</w:t>
            </w:r>
          </w:p>
        </w:tc>
      </w:tr>
      <w:tr>
        <w:trPr>
          <w:trHeight w:val="27"/>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352</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11,682</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10,931</w:t>
            </w:r>
          </w:p>
        </w:tc>
      </w:tr>
      <w:tr>
        <w:trPr>
          <w:trHeight w:val="263"/>
        </w:trPr>
        <w:tc>
          <w:tcPr>
            <w:tcW w:w="8600" w:type="dxa"/>
            <w:vAlign w:val="bottom"/>
            <w:shd w:val="clear" w:color="auto" w:fill="D1D2D4"/>
          </w:tcPr>
          <w:p>
            <w:pPr>
              <w:ind w:left="20"/>
              <w:spacing w:after="0" w:line="263"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(1)</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46,577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44,051</w:t>
            </w:r>
          </w:p>
        </w:tc>
      </w:tr>
      <w:tr>
        <w:trPr>
          <w:trHeight w:val="257"/>
        </w:trPr>
        <w:tc>
          <w:tcPr>
            <w:tcW w:w="860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3"/>
                <w:szCs w:val="23"/>
                <w:color w:val="auto"/>
                <w:vertAlign w:val="superscript"/>
              </w:rPr>
              <w:t>(2)</w:t>
            </w: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1,700</w:t>
            </w:r>
          </w:p>
        </w:tc>
      </w:tr>
      <w:tr>
        <w:trPr>
          <w:trHeight w:val="250"/>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811</w:t>
            </w:r>
          </w:p>
        </w:tc>
        <w:tc>
          <w:tcPr>
            <w:tcW w:w="20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790</w:t>
            </w:r>
          </w:p>
        </w:tc>
      </w:tr>
      <w:tr>
        <w:trPr>
          <w:trHeight w:val="250"/>
        </w:trPr>
        <w:tc>
          <w:tcPr>
            <w:tcW w:w="8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61,541</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57,824</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(31,894)</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(29,584)</w:t>
            </w:r>
          </w:p>
        </w:tc>
      </w:tr>
      <w:tr>
        <w:trPr>
          <w:trHeight w:val="250"/>
        </w:trPr>
        <w:tc>
          <w:tcPr>
            <w:tcW w:w="86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28,240</w:t>
            </w:r>
          </w:p>
        </w:tc>
      </w:tr>
      <w:tr>
        <w:trPr>
          <w:trHeight w:val="27"/>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260" w:right="440" w:hanging="252"/>
        <w:spacing w:after="0" w:line="229" w:lineRule="auto"/>
        <w:tabs>
          <w:tab w:leader="none" w:pos="254"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costs related to equipment not placed into service of $1.38 billion as of February 27, 2020 and $2.33 billion as of August 29, 2019.</w:t>
      </w:r>
    </w:p>
    <w:p>
      <w:pPr>
        <w:ind w:left="240" w:hanging="232"/>
        <w:spacing w:after="0" w:line="196" w:lineRule="auto"/>
        <w:tabs>
          <w:tab w:leader="none" w:pos="2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placed into service.</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(“R&amp;D”) facilities from five years to seven years as of the beginning of the first quarter of 2020. As a result, we estimate the reduction in non-cash depreciation expense for these assets benefited operating income and net income by approximately $125 million and diluted earnings per share by approximately $0.11 for the second quarter of 2020, and benefited operating income and net income by approximately $200 million and diluted earnings per share by approximately $0.17 for the first six months of 2020.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ind w:left="460"/>
              <w:spacing w:after="0"/>
              <w:rPr>
                <w:sz w:val="20"/>
                <w:szCs w:val="20"/>
                <w:color w:val="auto"/>
              </w:rPr>
            </w:pPr>
            <w:r>
              <w:rPr>
                <w:rFonts w:ascii="Arial" w:cs="Arial" w:eastAsia="Arial" w:hAnsi="Arial"/>
                <w:sz w:val="18"/>
                <w:szCs w:val="18"/>
                <w:b w:val="1"/>
                <w:bCs w:val="1"/>
                <w:color w:val="auto"/>
              </w:rPr>
              <w:t>February 27, 2020</w:t>
            </w:r>
          </w:p>
        </w:tc>
        <w:tc>
          <w:tcPr>
            <w:tcW w:w="260" w:type="dxa"/>
            <w:vAlign w:val="bottom"/>
          </w:tcPr>
          <w:p>
            <w:pPr>
              <w:spacing w:after="0"/>
              <w:rPr>
                <w:sz w:val="21"/>
                <w:szCs w:val="21"/>
                <w:color w:val="auto"/>
              </w:rPr>
            </w:pPr>
          </w:p>
        </w:tc>
        <w:tc>
          <w:tcPr>
            <w:tcW w:w="27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August 29, 2019</w:t>
            </w: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right"/>
              <w:ind w:right="310"/>
              <w:spacing w:after="0" w:line="176" w:lineRule="exact"/>
              <w:rPr>
                <w:sz w:val="20"/>
                <w:szCs w:val="20"/>
                <w:color w:val="auto"/>
              </w:rPr>
            </w:pPr>
            <w:r>
              <w:rPr>
                <w:rFonts w:ascii="Arial" w:cs="Arial" w:eastAsia="Arial" w:hAnsi="Arial"/>
                <w:sz w:val="18"/>
                <w:szCs w:val="18"/>
                <w:b w:val="1"/>
                <w:bCs w:val="1"/>
                <w:color w:val="auto"/>
              </w:rPr>
              <w:t>Gross</w:t>
            </w:r>
          </w:p>
        </w:tc>
        <w:tc>
          <w:tcPr>
            <w:tcW w:w="220" w:type="dxa"/>
            <w:vAlign w:val="bottom"/>
            <w:tcBorders>
              <w:top w:val="single" w:sz="8" w:color="0090DA"/>
            </w:tcBorders>
          </w:tcPr>
          <w:p>
            <w:pPr>
              <w:spacing w:after="0"/>
              <w:rPr>
                <w:sz w:val="15"/>
                <w:szCs w:val="15"/>
                <w:color w:val="auto"/>
              </w:rPr>
            </w:pPr>
          </w:p>
        </w:tc>
        <w:tc>
          <w:tcPr>
            <w:tcW w:w="1380" w:type="dxa"/>
            <w:vAlign w:val="bottom"/>
            <w:tcBorders>
              <w:top w:val="single" w:sz="8" w:color="0090DA"/>
            </w:tcBorders>
          </w:tcPr>
          <w:p>
            <w:pPr>
              <w:ind w:left="40"/>
              <w:spacing w:after="0" w:line="176"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5"/>
                <w:szCs w:val="15"/>
                <w:color w:val="auto"/>
              </w:rPr>
            </w:pPr>
          </w:p>
        </w:tc>
        <w:tc>
          <w:tcPr>
            <w:tcW w:w="26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right"/>
              <w:ind w:right="310"/>
              <w:spacing w:after="0" w:line="176" w:lineRule="exact"/>
              <w:rPr>
                <w:sz w:val="20"/>
                <w:szCs w:val="20"/>
                <w:color w:val="auto"/>
              </w:rPr>
            </w:pPr>
            <w:r>
              <w:rPr>
                <w:rFonts w:ascii="Arial" w:cs="Arial" w:eastAsia="Arial" w:hAnsi="Arial"/>
                <w:sz w:val="18"/>
                <w:szCs w:val="18"/>
                <w:b w:val="1"/>
                <w:bCs w:val="1"/>
                <w:color w:val="auto"/>
              </w:rPr>
              <w:t>Gross</w:t>
            </w:r>
          </w:p>
        </w:tc>
        <w:tc>
          <w:tcPr>
            <w:tcW w:w="220" w:type="dxa"/>
            <w:vAlign w:val="bottom"/>
            <w:tcBorders>
              <w:top w:val="single" w:sz="8" w:color="0090DA"/>
            </w:tcBorders>
          </w:tcPr>
          <w:p>
            <w:pPr>
              <w:spacing w:after="0"/>
              <w:rPr>
                <w:sz w:val="15"/>
                <w:szCs w:val="15"/>
                <w:color w:val="auto"/>
              </w:rPr>
            </w:pPr>
          </w:p>
        </w:tc>
        <w:tc>
          <w:tcPr>
            <w:tcW w:w="1360" w:type="dxa"/>
            <w:vAlign w:val="bottom"/>
            <w:tcBorders>
              <w:top w:val="single" w:sz="8" w:color="0090DA"/>
            </w:tcBorders>
          </w:tcPr>
          <w:p>
            <w:pPr>
              <w:ind w:left="40"/>
              <w:spacing w:after="0" w:line="176"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0"/>
        </w:trPr>
        <w:tc>
          <w:tcPr>
            <w:tcW w:w="4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360" w:type="dxa"/>
            <w:vAlign w:val="bottom"/>
          </w:tcPr>
          <w:p>
            <w:pPr>
              <w:ind w:left="6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492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38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36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583</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21"/>
                <w:szCs w:val="21"/>
                <w:color w:val="auto"/>
              </w:rPr>
            </w:pP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first six months of 2020 and 2019, we capitalized $30 million and $64 million, respectively, for product and process technology with weighted-average useful lives of 11 years and 8 years, respectively. Expected amortization expense is $39 million for the remainder of 2020, $65 million for 2021, $53 million for 2022, $47 million for 2023, and $41 million for 2024.</w:t>
      </w:r>
    </w:p>
    <w:p>
      <w:pPr>
        <w:sectPr>
          <w:pgSz w:w="11900" w:h="16838" w:orient="portrait"/>
          <w:cols w:equalWidth="0" w:num="1">
            <w:col w:w="11240"/>
          </w:cols>
          <w:pgMar w:left="320" w:top="1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40"/>
          <w:szCs w:val="40"/>
          <w:b w:val="1"/>
          <w:bCs w:val="1"/>
          <w:color w:val="auto"/>
        </w:rPr>
        <w:t>Leases</w:t>
      </w:r>
    </w:p>
    <w:p>
      <w:pPr>
        <w:spacing w:after="0" w:line="28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have finance and operating leases through which we acquire or utilize equipment and facilities in our manufacturing operations and R&amp;D activities as well as office space and other facilities used in our selling, general, and administrative (“SG&amp;A”) functions.</w:t>
      </w:r>
    </w:p>
    <w:p>
      <w:pPr>
        <w:spacing w:after="0" w:line="225"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Our finance leases consist primarily of equipment used in our manufacturing operations and gas or other supply agreements that are deemed to be embedded leases in which we effectively control the underlying gas plants or other assets used to fulfill the supply agreements.</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operating leases consist primarily of offices, other facilities, and land used in SG&amp;A, R&amp;D, and certain of our manufacturing operations. Certain of our operating leases include one or more options to extend the lease term for periods from one year to 10 years for real estate and one year to 30 years for land.</w:t>
      </w:r>
    </w:p>
    <w:p>
      <w:pPr>
        <w:spacing w:after="0" w:line="22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supply or service agreements require us to exercise significant judgment to determine whether the agreement contains a lease of a right-of-use asset. Our assessment includes determining whether we or the supplier control the assets used to fulfill the supply or service agreement by identifying whether we or the supplier have the right to change the type, quantity, timing, or location of the output of the assets. In determining the lease term, we assess whether we are reasonably certain to exercise options to renew or terminate a lease, and when or whether we would exercise an option to purchase the right-of-use asset. Measuring the present value of the initial lease liability requires exercising judgment to determine the discount rate, which we base on interest rates for similar borrowings issued by entities with credit ratings similar to ours at the time of issuance.</w:t>
      </w:r>
    </w:p>
    <w:p>
      <w:pPr>
        <w:spacing w:after="0" w:line="23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Short-term and variable lease expenses were not significant and are presented within operating lease costs in the table below. Sublease income was not significant in any period presented. The components of lease expenses are presented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Six months</w:t>
            </w:r>
          </w:p>
        </w:tc>
        <w:tc>
          <w:tcPr>
            <w:tcW w:w="0" w:type="dxa"/>
            <w:vAlign w:val="bottom"/>
          </w:tcPr>
          <w:p>
            <w:pPr>
              <w:spacing w:after="0"/>
              <w:rPr>
                <w:sz w:val="1"/>
                <w:szCs w:val="1"/>
                <w:color w:val="auto"/>
              </w:rPr>
            </w:pPr>
          </w:p>
        </w:tc>
      </w:tr>
      <w:tr>
        <w:trPr>
          <w:trHeight w:val="246"/>
        </w:trPr>
        <w:tc>
          <w:tcPr>
            <w:tcW w:w="8600" w:type="dxa"/>
            <w:vAlign w:val="bottom"/>
          </w:tcPr>
          <w:p>
            <w:pPr>
              <w:spacing w:after="0"/>
              <w:rPr>
                <w:sz w:val="21"/>
                <w:szCs w:val="21"/>
                <w:color w:val="auto"/>
              </w:rPr>
            </w:pPr>
          </w:p>
        </w:tc>
        <w:tc>
          <w:tcPr>
            <w:tcW w:w="13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8"/>
              </w:rPr>
              <w:t>ended</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rPr>
              <w:t>February 27,</w:t>
            </w:r>
          </w:p>
        </w:tc>
        <w:tc>
          <w:tcPr>
            <w:tcW w:w="140" w:type="dxa"/>
            <w:vAlign w:val="bottom"/>
          </w:tcPr>
          <w:p>
            <w:pPr>
              <w:spacing w:after="0"/>
              <w:rPr>
                <w:sz w:val="17"/>
                <w:szCs w:val="17"/>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rPr>
              <w:t>February 27,</w:t>
            </w:r>
          </w:p>
        </w:tc>
        <w:tc>
          <w:tcPr>
            <w:tcW w:w="0" w:type="dxa"/>
            <w:vAlign w:val="bottom"/>
          </w:tcPr>
          <w:p>
            <w:pPr>
              <w:spacing w:after="0"/>
              <w:rPr>
                <w:sz w:val="1"/>
                <w:szCs w:val="1"/>
                <w:color w:val="auto"/>
              </w:rPr>
            </w:pPr>
          </w:p>
        </w:tc>
      </w:tr>
      <w:tr>
        <w:trPr>
          <w:trHeight w:val="246"/>
        </w:trPr>
        <w:tc>
          <w:tcPr>
            <w:tcW w:w="860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41"/>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60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12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Amortization of right-of-use asset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3"/>
        </w:trPr>
        <w:tc>
          <w:tcPr>
            <w:tcW w:w="8600" w:type="dxa"/>
            <w:vAlign w:val="bottom"/>
            <w:shd w:val="clear" w:color="auto" w:fill="DDDDDD"/>
          </w:tcPr>
          <w:p>
            <w:pPr>
              <w:ind w:left="120"/>
              <w:spacing w:after="0"/>
              <w:rPr>
                <w:sz w:val="20"/>
                <w:szCs w:val="20"/>
                <w:color w:val="auto"/>
              </w:rPr>
            </w:pPr>
            <w:r>
              <w:rPr>
                <w:rFonts w:ascii="Arial" w:cs="Arial" w:eastAsia="Arial" w:hAnsi="Arial"/>
                <w:sz w:val="18"/>
                <w:szCs w:val="18"/>
                <w:color w:val="auto"/>
              </w:rPr>
              <w:t>Interest on lease liability</w:t>
            </w:r>
          </w:p>
        </w:tc>
        <w:tc>
          <w:tcPr>
            <w:tcW w:w="120" w:type="dxa"/>
            <w:vAlign w:val="bottom"/>
            <w:shd w:val="clear" w:color="auto" w:fill="DDDDDD"/>
          </w:tcPr>
          <w:p>
            <w:pPr>
              <w:spacing w:after="0"/>
              <w:rPr>
                <w:sz w:val="22"/>
                <w:szCs w:val="22"/>
                <w:color w:val="auto"/>
              </w:rPr>
            </w:pPr>
          </w:p>
        </w:tc>
        <w:tc>
          <w:tcPr>
            <w:tcW w:w="118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5"/>
        </w:trPr>
        <w:tc>
          <w:tcPr>
            <w:tcW w:w="8600" w:type="dxa"/>
            <w:vAlign w:val="bottom"/>
            <w:tcBorders>
              <w:bottom w:val="single" w:sz="8" w:color="DDDDDD"/>
            </w:tcBorders>
            <w:shd w:val="clear" w:color="auto" w:fill="DDDDDD"/>
          </w:tcPr>
          <w:p>
            <w:pPr>
              <w:spacing w:after="0"/>
              <w:rPr>
                <w:sz w:val="23"/>
                <w:szCs w:val="23"/>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DDDDD"/>
          </w:tcPr>
          <w:p>
            <w:pPr>
              <w:jc w:val="right"/>
              <w:ind w:right="5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DDDDD"/>
          </w:tcPr>
          <w:p>
            <w:pPr>
              <w:jc w:val="right"/>
              <w:ind w:right="7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8600" w:type="dxa"/>
            <w:vAlign w:val="bottom"/>
            <w:tcBorders>
              <w:top w:val="single" w:sz="8" w:color="DDDDDD"/>
              <w:bottom w:val="single" w:sz="8" w:color="DDDDDD"/>
            </w:tcBorders>
            <w:vMerge w:val="restart"/>
          </w:tcPr>
          <w:p>
            <w:pPr>
              <w:spacing w:after="0"/>
              <w:rPr>
                <w:sz w:val="20"/>
                <w:szCs w:val="20"/>
                <w:color w:val="auto"/>
              </w:rPr>
            </w:pPr>
            <w:r>
              <w:rPr>
                <w:rFonts w:ascii="Arial" w:cs="Arial" w:eastAsia="Arial" w:hAnsi="Arial"/>
                <w:sz w:val="18"/>
                <w:szCs w:val="18"/>
                <w:color w:val="auto"/>
              </w:rPr>
              <w:t>Other information related to our leases were as follows:</w:t>
            </w: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rPr>
              <w:t>February 27,</w:t>
            </w:r>
          </w:p>
        </w:tc>
        <w:tc>
          <w:tcPr>
            <w:tcW w:w="0" w:type="dxa"/>
            <w:vAlign w:val="bottom"/>
          </w:tcPr>
          <w:p>
            <w:pPr>
              <w:spacing w:after="0"/>
              <w:rPr>
                <w:sz w:val="1"/>
                <w:szCs w:val="1"/>
                <w:color w:val="auto"/>
              </w:rPr>
            </w:pP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40"/>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6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12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8600" w:type="dxa"/>
            <w:vAlign w:val="bottom"/>
            <w:shd w:val="clear" w:color="auto" w:fill="DDDDDD"/>
          </w:tcPr>
          <w:p>
            <w:pPr>
              <w:ind w:left="140"/>
              <w:spacing w:after="0" w:line="25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12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600" w:type="dxa"/>
            <w:vAlign w:val="bottom"/>
            <w:shd w:val="clear" w:color="auto" w:fill="DDDDDD"/>
          </w:tcPr>
          <w:p>
            <w:pPr>
              <w:ind w:left="12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Noncash acquisitions of right of use assets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6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$48 million of reimbursements received for tenant improvements.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6000" w:type="dxa"/>
            <w:vAlign w:val="bottom"/>
          </w:tcPr>
          <w:p>
            <w:pPr>
              <w:jc w:val="center"/>
              <w:ind w:left="4510"/>
              <w:spacing w:after="0"/>
              <w:rPr>
                <w:sz w:val="20"/>
                <w:szCs w:val="20"/>
                <w:color w:val="auto"/>
              </w:rPr>
            </w:pPr>
            <w:r>
              <w:rPr>
                <w:rFonts w:ascii="Arial" w:cs="Arial" w:eastAsia="Arial" w:hAnsi="Arial"/>
                <w:sz w:val="18"/>
                <w:szCs w:val="18"/>
                <w:b w:val="1"/>
                <w:bCs w:val="1"/>
                <w:color w:val="auto"/>
              </w:rPr>
              <w:t>February 27,</w:t>
            </w:r>
          </w:p>
        </w:tc>
      </w:tr>
      <w:tr>
        <w:trPr>
          <w:trHeight w:val="246"/>
        </w:trPr>
        <w:tc>
          <w:tcPr>
            <w:tcW w:w="52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60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lease term (in years)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Finance leases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Maturities of lease liabilities existing as of February 27, 2020 were as follows:</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year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4.1</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7.2</w:t>
      </w:r>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4.95 %</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2.67 %</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Operating</w:t>
      </w:r>
      <w:r>
        <w:rPr>
          <w:sz w:val="20"/>
          <w:szCs w:val="20"/>
          <w:color w:val="auto"/>
        </w:rPr>
        <w:tab/>
      </w:r>
      <w:r>
        <w:rPr>
          <w:rFonts w:ascii="Arial" w:cs="Arial" w:eastAsia="Arial" w:hAnsi="Arial"/>
          <w:sz w:val="18"/>
          <w:szCs w:val="18"/>
          <w:b w:val="1"/>
          <w:bCs w:val="1"/>
          <w:color w:val="auto"/>
        </w:rPr>
        <w:t>Finance</w:t>
      </w:r>
    </w:p>
    <w:p>
      <w:pPr>
        <w:spacing w:after="0" w:line="18"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Leases</w:t>
      </w:r>
      <w:r>
        <w:rPr>
          <w:sz w:val="20"/>
          <w:szCs w:val="20"/>
          <w:color w:val="auto"/>
        </w:rPr>
        <w:tab/>
      </w:r>
      <w:r>
        <w:rPr>
          <w:rFonts w:ascii="Arial" w:cs="Arial" w:eastAsia="Arial" w:hAnsi="Arial"/>
          <w:sz w:val="18"/>
          <w:szCs w:val="18"/>
          <w:b w:val="1"/>
          <w:bCs w:val="1"/>
          <w:color w:val="auto"/>
        </w:rPr>
        <w:t>Leases</w:t>
      </w:r>
    </w:p>
    <w:p>
      <w:pPr>
        <w:spacing w:after="0" w:line="77" w:lineRule="exact"/>
        <w:rPr>
          <w:sz w:val="20"/>
          <w:szCs w:val="20"/>
          <w:color w:val="auto"/>
        </w:rPr>
      </w:pPr>
    </w:p>
    <w:p>
      <w:pPr>
        <w:sectPr>
          <w:pgSz w:w="11900" w:h="16838" w:orient="portrait"/>
          <w:cols w:equalWidth="0" w:num="2">
            <w:col w:w="8120" w:space="720"/>
            <w:col w:w="2400"/>
          </w:cols>
          <w:pgMar w:left="320" w:top="976"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2020</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33</w:t>
            </w:r>
          </w:p>
        </w:tc>
        <w:tc>
          <w:tcPr>
            <w:tcW w:w="52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100</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109</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D1D2D4"/>
          </w:tcPr>
          <w:p>
            <w:pPr>
              <w:spacing w:after="0"/>
              <w:rPr>
                <w:sz w:val="22"/>
                <w:szCs w:val="22"/>
                <w:color w:val="auto"/>
              </w:rPr>
            </w:pP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66</w:t>
            </w:r>
          </w:p>
        </w:tc>
        <w:tc>
          <w:tcPr>
            <w:tcW w:w="52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76</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D1D2D4"/>
          </w:tcPr>
          <w:p>
            <w:pPr>
              <w:spacing w:after="0"/>
              <w:rPr>
                <w:sz w:val="22"/>
                <w:szCs w:val="22"/>
                <w:color w:val="auto"/>
              </w:rPr>
            </w:pP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53</w:t>
            </w:r>
          </w:p>
        </w:tc>
        <w:tc>
          <w:tcPr>
            <w:tcW w:w="52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40</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5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213</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shd w:val="clear" w:color="auto" w:fill="D1D2D4"/>
          </w:tcPr>
          <w:p>
            <w:pPr>
              <w:spacing w:after="0"/>
              <w:rPr>
                <w:sz w:val="22"/>
                <w:szCs w:val="22"/>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520" w:type="dxa"/>
            <w:vAlign w:val="bottom"/>
            <w:tcBorders>
              <w:bottom w:val="single" w:sz="8" w:color="auto"/>
            </w:tcBorders>
            <w:shd w:val="clear" w:color="auto" w:fill="D1D2D4"/>
          </w:tcPr>
          <w:p>
            <w:pPr>
              <w:spacing w:after="0"/>
              <w:rPr>
                <w:sz w:val="22"/>
                <w:szCs w:val="22"/>
                <w:color w:val="auto"/>
              </w:rPr>
            </w:pPr>
          </w:p>
        </w:tc>
        <w:tc>
          <w:tcPr>
            <w:tcW w:w="8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(92)</w:t>
            </w:r>
          </w:p>
        </w:tc>
      </w:tr>
      <w:tr>
        <w:trPr>
          <w:trHeight w:val="250"/>
        </w:trPr>
        <w:tc>
          <w:tcPr>
            <w:tcW w:w="86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496</w:t>
            </w:r>
          </w:p>
        </w:tc>
      </w:tr>
      <w:tr>
        <w:trPr>
          <w:trHeight w:val="27"/>
        </w:trPr>
        <w:tc>
          <w:tcPr>
            <w:tcW w:w="8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table above excludes lease liabilities for those leases that have been signed but have not yet commenced. As of February 27, 2020, we had such lease liabilities relating to 1) operating lease payment obligations of $157 million for the initial 10-year lease term for a building, which may, at our election, be terminated after 3 years or extended for an additional 10 years, and 2) finance lease obligations of $907 million over a weighted-average period of 15 years for gas supply arrangements deemed to be embedded leases. We will recognize right-of-use assets and associated lease liabilities at the time such assets become available for our use.</w:t>
      </w:r>
    </w:p>
    <w:p>
      <w:pPr>
        <w:spacing w:after="0" w:line="2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August 29, 2019, prior to adopting ASC 842, future minimum operating lease commitments with an initial term in excess of one year were $54 million for 2020, $64 million for 2021, $63 million for 2022, $59 million for 2023, and $53 million for 2024 and $459 million in 2025 and thereafter.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2,054</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1,677</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2,057</w:t>
            </w:r>
          </w:p>
        </w:tc>
        <w:tc>
          <w:tcPr>
            <w:tcW w:w="2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1,782</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566</w:t>
            </w:r>
          </w:p>
        </w:tc>
        <w:tc>
          <w:tcPr>
            <w:tcW w:w="2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695</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309</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163</w:t>
            </w:r>
          </w:p>
        </w:tc>
      </w:tr>
      <w:tr>
        <w:trPr>
          <w:trHeight w:val="250"/>
        </w:trPr>
        <w:tc>
          <w:tcPr>
            <w:tcW w:w="86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4,626</w:t>
            </w:r>
          </w:p>
        </w:tc>
      </w:tr>
      <w:tr>
        <w:trPr>
          <w:trHeight w:val="27"/>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40"/>
          <w:szCs w:val="40"/>
          <w:b w:val="1"/>
          <w:bCs w:val="1"/>
          <w:color w:val="auto"/>
        </w:rPr>
        <w:t>Debt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80" w:type="dxa"/>
            <w:vAlign w:val="bottom"/>
          </w:tcPr>
          <w:p>
            <w:pPr>
              <w:spacing w:after="0"/>
              <w:rPr>
                <w:sz w:val="21"/>
                <w:szCs w:val="21"/>
                <w:color w:val="auto"/>
              </w:rPr>
            </w:pPr>
          </w:p>
        </w:tc>
        <w:tc>
          <w:tcPr>
            <w:tcW w:w="1200" w:type="dxa"/>
            <w:vAlign w:val="bottom"/>
            <w:tcBorders>
              <w:bottom w:val="single" w:sz="8" w:color="0090DA"/>
            </w:tcBorders>
          </w:tcPr>
          <w:p>
            <w:pPr>
              <w:spacing w:after="0"/>
              <w:rPr>
                <w:sz w:val="21"/>
                <w:szCs w:val="21"/>
                <w:color w:val="auto"/>
              </w:rPr>
            </w:pPr>
          </w:p>
        </w:tc>
        <w:tc>
          <w:tcPr>
            <w:tcW w:w="2420" w:type="dxa"/>
            <w:vAlign w:val="bottom"/>
            <w:tcBorders>
              <w:bottom w:val="single" w:sz="8" w:color="0090DA"/>
            </w:tcBorders>
            <w:gridSpan w:val="4"/>
          </w:tcPr>
          <w:p>
            <w:pPr>
              <w:jc w:val="right"/>
              <w:spacing w:after="0"/>
              <w:rPr>
                <w:sz w:val="20"/>
                <w:szCs w:val="20"/>
                <w:color w:val="auto"/>
              </w:rPr>
            </w:pPr>
            <w:r>
              <w:rPr>
                <w:rFonts w:ascii="Arial" w:cs="Arial" w:eastAsia="Arial" w:hAnsi="Arial"/>
                <w:sz w:val="18"/>
                <w:szCs w:val="18"/>
                <w:b w:val="1"/>
                <w:bCs w:val="1"/>
                <w:color w:val="auto"/>
              </w:rPr>
              <w:t>February 27, 2020</w:t>
            </w:r>
          </w:p>
        </w:tc>
        <w:tc>
          <w:tcPr>
            <w:tcW w:w="82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900" w:type="dxa"/>
            <w:vAlign w:val="bottom"/>
            <w:tcBorders>
              <w:bottom w:val="single" w:sz="8" w:color="0090DA"/>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800" w:type="dxa"/>
            <w:vAlign w:val="bottom"/>
            <w:tcBorders>
              <w:bottom w:val="single" w:sz="8" w:color="0090DA"/>
            </w:tcBorders>
          </w:tcPr>
          <w:p>
            <w:pPr>
              <w:spacing w:after="0"/>
              <w:rPr>
                <w:sz w:val="21"/>
                <w:szCs w:val="21"/>
                <w:color w:val="auto"/>
              </w:rPr>
            </w:pPr>
          </w:p>
        </w:tc>
        <w:tc>
          <w:tcPr>
            <w:tcW w:w="1460" w:type="dxa"/>
            <w:vAlign w:val="bottom"/>
            <w:tcBorders>
              <w:bottom w:val="single" w:sz="8" w:color="0090DA"/>
            </w:tcBorders>
            <w:gridSpan w:val="3"/>
          </w:tcPr>
          <w:p>
            <w:pPr>
              <w:jc w:val="right"/>
              <w:spacing w:after="0"/>
              <w:rPr>
                <w:sz w:val="20"/>
                <w:szCs w:val="20"/>
                <w:color w:val="auto"/>
              </w:rPr>
            </w:pPr>
            <w:r>
              <w:rPr>
                <w:rFonts w:ascii="Arial" w:cs="Arial" w:eastAsia="Arial" w:hAnsi="Arial"/>
                <w:sz w:val="18"/>
                <w:szCs w:val="18"/>
                <w:b w:val="1"/>
                <w:bCs w:val="1"/>
                <w:color w:val="auto"/>
                <w:w w:val="99"/>
              </w:rPr>
              <w:t>August 29, 2019</w:t>
            </w:r>
          </w:p>
        </w:tc>
        <w:tc>
          <w:tcPr>
            <w:tcW w:w="880" w:type="dxa"/>
            <w:vAlign w:val="bottom"/>
            <w:tcBorders>
              <w:bottom w:val="single" w:sz="8" w:color="0090DA"/>
            </w:tcBorders>
          </w:tcPr>
          <w:p>
            <w:pPr>
              <w:spacing w:after="0"/>
              <w:rPr>
                <w:sz w:val="21"/>
                <w:szCs w:val="21"/>
                <w:color w:val="auto"/>
              </w:rPr>
            </w:pPr>
          </w:p>
        </w:tc>
      </w:tr>
      <w:tr>
        <w:trPr>
          <w:trHeight w:val="250"/>
        </w:trPr>
        <w:tc>
          <w:tcPr>
            <w:tcW w:w="2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3140" w:type="dxa"/>
            <w:vAlign w:val="bottom"/>
            <w:tcBorders>
              <w:bottom w:val="single" w:sz="8" w:color="0090DA"/>
            </w:tcBorders>
            <w:gridSpan w:val="5"/>
          </w:tcPr>
          <w:p>
            <w:pPr>
              <w:jc w:val="center"/>
              <w:ind w:right="190"/>
              <w:spacing w:after="0"/>
              <w:rPr>
                <w:sz w:val="20"/>
                <w:szCs w:val="20"/>
                <w:color w:val="auto"/>
              </w:rPr>
            </w:pPr>
            <w:r>
              <w:rPr>
                <w:rFonts w:ascii="Arial" w:cs="Arial" w:eastAsia="Arial" w:hAnsi="Arial"/>
                <w:sz w:val="18"/>
                <w:szCs w:val="18"/>
                <w:b w:val="1"/>
                <w:bCs w:val="1"/>
                <w:color w:val="auto"/>
              </w:rPr>
              <w:t>Net Carrying Amount</w:t>
            </w:r>
          </w:p>
        </w:tc>
        <w:tc>
          <w:tcPr>
            <w:tcW w:w="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3140" w:type="dxa"/>
            <w:vAlign w:val="bottom"/>
            <w:tcBorders>
              <w:bottom w:val="single" w:sz="8" w:color="0090DA"/>
            </w:tcBorders>
            <w:gridSpan w:val="5"/>
          </w:tcPr>
          <w:p>
            <w:pPr>
              <w:jc w:val="right"/>
              <w:ind w:right="710"/>
              <w:spacing w:after="0"/>
              <w:rPr>
                <w:sz w:val="20"/>
                <w:szCs w:val="20"/>
                <w:color w:val="auto"/>
              </w:rPr>
            </w:pPr>
            <w:r>
              <w:rPr>
                <w:rFonts w:ascii="Arial" w:cs="Arial" w:eastAsia="Arial" w:hAnsi="Arial"/>
                <w:sz w:val="18"/>
                <w:szCs w:val="18"/>
                <w:b w:val="1"/>
                <w:bCs w:val="1"/>
                <w:color w:val="auto"/>
              </w:rPr>
              <w:t>Net Carrying Amount</w:t>
            </w:r>
          </w:p>
        </w:tc>
      </w:tr>
      <w:tr>
        <w:trPr>
          <w:trHeight w:val="207"/>
        </w:trPr>
        <w:tc>
          <w:tcPr>
            <w:tcW w:w="2180" w:type="dxa"/>
            <w:vAlign w:val="bottom"/>
          </w:tcPr>
          <w:p>
            <w:pPr>
              <w:spacing w:after="0"/>
              <w:rPr>
                <w:sz w:val="17"/>
                <w:szCs w:val="17"/>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Stated</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Effective</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Long-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Long-</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6"/>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Rate</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Rate</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Current</w:t>
            </w:r>
          </w:p>
        </w:tc>
        <w:tc>
          <w:tcPr>
            <w:tcW w:w="280" w:type="dxa"/>
            <w:vAlign w:val="bottom"/>
          </w:tcPr>
          <w:p>
            <w:pPr>
              <w:spacing w:after="0"/>
              <w:rPr>
                <w:sz w:val="21"/>
                <w:szCs w:val="21"/>
                <w:color w:val="auto"/>
              </w:rPr>
            </w:pPr>
          </w:p>
        </w:tc>
        <w:tc>
          <w:tcPr>
            <w:tcW w:w="8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Current</w:t>
            </w:r>
          </w:p>
        </w:tc>
        <w:tc>
          <w:tcPr>
            <w:tcW w:w="34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Term</w:t>
            </w:r>
          </w:p>
        </w:tc>
        <w:tc>
          <w:tcPr>
            <w:tcW w:w="28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40"/>
        </w:trPr>
        <w:tc>
          <w:tcPr>
            <w:tcW w:w="2180" w:type="dxa"/>
            <w:vAlign w:val="bottom"/>
            <w:tcBorders>
              <w:top w:val="single" w:sz="8" w:color="0090DA"/>
            </w:tcBorders>
          </w:tcPr>
          <w:p>
            <w:pPr>
              <w:spacing w:after="0"/>
              <w:rPr>
                <w:sz w:val="3"/>
                <w:szCs w:val="3"/>
                <w:color w:val="auto"/>
              </w:rPr>
            </w:pPr>
          </w:p>
        </w:tc>
        <w:tc>
          <w:tcPr>
            <w:tcW w:w="1200" w:type="dxa"/>
            <w:vAlign w:val="bottom"/>
            <w:tcBorders>
              <w:top w:val="single" w:sz="8" w:color="0090DA"/>
            </w:tcBorders>
          </w:tcPr>
          <w:p>
            <w:pPr>
              <w:spacing w:after="0"/>
              <w:rPr>
                <w:sz w:val="3"/>
                <w:szCs w:val="3"/>
                <w:color w:val="auto"/>
              </w:rPr>
            </w:pPr>
          </w:p>
        </w:tc>
        <w:tc>
          <w:tcPr>
            <w:tcW w:w="1120" w:type="dxa"/>
            <w:vAlign w:val="bottom"/>
            <w:tcBorders>
              <w:top w:val="single" w:sz="8" w:color="0090DA"/>
            </w:tcBorders>
          </w:tcPr>
          <w:p>
            <w:pPr>
              <w:spacing w:after="0"/>
              <w:rPr>
                <w:sz w:val="3"/>
                <w:szCs w:val="3"/>
                <w:color w:val="auto"/>
              </w:rPr>
            </w:pPr>
          </w:p>
        </w:tc>
        <w:tc>
          <w:tcPr>
            <w:tcW w:w="140" w:type="dxa"/>
            <w:vAlign w:val="bottom"/>
            <w:tcBorders>
              <w:top w:val="single" w:sz="8" w:color="0090DA"/>
            </w:tcBorders>
          </w:tcPr>
          <w:p>
            <w:pPr>
              <w:spacing w:after="0"/>
              <w:rPr>
                <w:sz w:val="3"/>
                <w:szCs w:val="3"/>
                <w:color w:val="auto"/>
              </w:rPr>
            </w:pPr>
          </w:p>
        </w:tc>
        <w:tc>
          <w:tcPr>
            <w:tcW w:w="880" w:type="dxa"/>
            <w:vAlign w:val="bottom"/>
            <w:tcBorders>
              <w:top w:val="single" w:sz="8" w:color="0090DA"/>
            </w:tcBorders>
          </w:tcPr>
          <w:p>
            <w:pPr>
              <w:spacing w:after="0"/>
              <w:rPr>
                <w:sz w:val="3"/>
                <w:szCs w:val="3"/>
                <w:color w:val="auto"/>
              </w:rPr>
            </w:pPr>
          </w:p>
        </w:tc>
        <w:tc>
          <w:tcPr>
            <w:tcW w:w="280" w:type="dxa"/>
            <w:vAlign w:val="bottom"/>
            <w:tcBorders>
              <w:top w:val="single" w:sz="8" w:color="0090DA"/>
            </w:tcBorders>
          </w:tcPr>
          <w:p>
            <w:pPr>
              <w:spacing w:after="0"/>
              <w:rPr>
                <w:sz w:val="3"/>
                <w:szCs w:val="3"/>
                <w:color w:val="auto"/>
              </w:rPr>
            </w:pPr>
          </w:p>
        </w:tc>
        <w:tc>
          <w:tcPr>
            <w:tcW w:w="820" w:type="dxa"/>
            <w:vAlign w:val="bottom"/>
            <w:tcBorders>
              <w:top w:val="single" w:sz="8" w:color="0090DA"/>
            </w:tcBorders>
          </w:tcPr>
          <w:p>
            <w:pPr>
              <w:spacing w:after="0"/>
              <w:rPr>
                <w:sz w:val="3"/>
                <w:szCs w:val="3"/>
                <w:color w:val="auto"/>
              </w:rPr>
            </w:pPr>
          </w:p>
        </w:tc>
        <w:tc>
          <w:tcPr>
            <w:tcW w:w="260" w:type="dxa"/>
            <w:vAlign w:val="bottom"/>
            <w:tcBorders>
              <w:top w:val="single" w:sz="8" w:color="0090DA"/>
            </w:tcBorders>
          </w:tcPr>
          <w:p>
            <w:pPr>
              <w:spacing w:after="0"/>
              <w:rPr>
                <w:sz w:val="3"/>
                <w:szCs w:val="3"/>
                <w:color w:val="auto"/>
              </w:rPr>
            </w:pPr>
          </w:p>
        </w:tc>
        <w:tc>
          <w:tcPr>
            <w:tcW w:w="90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0090DA"/>
            </w:tcBorders>
          </w:tcPr>
          <w:p>
            <w:pPr>
              <w:spacing w:after="0"/>
              <w:rPr>
                <w:sz w:val="3"/>
                <w:szCs w:val="3"/>
                <w:color w:val="auto"/>
              </w:rPr>
            </w:pPr>
          </w:p>
        </w:tc>
        <w:tc>
          <w:tcPr>
            <w:tcW w:w="800" w:type="dxa"/>
            <w:vAlign w:val="bottom"/>
            <w:tcBorders>
              <w:top w:val="single" w:sz="8" w:color="0090DA"/>
            </w:tcBorders>
          </w:tcPr>
          <w:p>
            <w:pPr>
              <w:spacing w:after="0"/>
              <w:rPr>
                <w:sz w:val="3"/>
                <w:szCs w:val="3"/>
                <w:color w:val="auto"/>
              </w:rPr>
            </w:pPr>
          </w:p>
        </w:tc>
        <w:tc>
          <w:tcPr>
            <w:tcW w:w="340" w:type="dxa"/>
            <w:vAlign w:val="bottom"/>
            <w:tcBorders>
              <w:top w:val="single" w:sz="8" w:color="0090DA"/>
            </w:tcBorders>
          </w:tcPr>
          <w:p>
            <w:pPr>
              <w:spacing w:after="0"/>
              <w:rPr>
                <w:sz w:val="3"/>
                <w:szCs w:val="3"/>
                <w:color w:val="auto"/>
              </w:rPr>
            </w:pPr>
          </w:p>
        </w:tc>
        <w:tc>
          <w:tcPr>
            <w:tcW w:w="840" w:type="dxa"/>
            <w:vAlign w:val="bottom"/>
            <w:tcBorders>
              <w:top w:val="single" w:sz="8" w:color="0090DA"/>
            </w:tcBorders>
          </w:tcPr>
          <w:p>
            <w:pPr>
              <w:spacing w:after="0"/>
              <w:rPr>
                <w:sz w:val="3"/>
                <w:szCs w:val="3"/>
                <w:color w:val="auto"/>
              </w:rPr>
            </w:pPr>
          </w:p>
        </w:tc>
        <w:tc>
          <w:tcPr>
            <w:tcW w:w="280" w:type="dxa"/>
            <w:vAlign w:val="bottom"/>
            <w:tcBorders>
              <w:top w:val="single" w:sz="8" w:color="0090DA"/>
            </w:tcBorders>
          </w:tcPr>
          <w:p>
            <w:pPr>
              <w:spacing w:after="0"/>
              <w:rPr>
                <w:sz w:val="3"/>
                <w:szCs w:val="3"/>
                <w:color w:val="auto"/>
              </w:rPr>
            </w:pPr>
          </w:p>
        </w:tc>
        <w:tc>
          <w:tcPr>
            <w:tcW w:w="880" w:type="dxa"/>
            <w:vAlign w:val="bottom"/>
            <w:tcBorders>
              <w:top w:val="single" w:sz="8" w:color="0090DA"/>
            </w:tcBorders>
          </w:tcPr>
          <w:p>
            <w:pPr>
              <w:spacing w:after="0"/>
              <w:rPr>
                <w:sz w:val="3"/>
                <w:szCs w:val="3"/>
                <w:color w:val="auto"/>
              </w:rPr>
            </w:pPr>
          </w:p>
        </w:tc>
      </w:tr>
      <w:tr>
        <w:trPr>
          <w:trHeight w:val="257"/>
        </w:trPr>
        <w:tc>
          <w:tcPr>
            <w:tcW w:w="2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2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4.95 % $</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591</w:t>
            </w:r>
          </w:p>
        </w:tc>
      </w:tr>
      <w:tr>
        <w:trPr>
          <w:trHeight w:val="257"/>
        </w:trPr>
        <w:tc>
          <w:tcPr>
            <w:tcW w:w="2180" w:type="dxa"/>
            <w:vAlign w:val="bottom"/>
          </w:tcPr>
          <w:p>
            <w:pPr>
              <w:ind w:left="20"/>
              <w:spacing w:after="0"/>
              <w:rPr>
                <w:sz w:val="20"/>
                <w:szCs w:val="20"/>
                <w:color w:val="auto"/>
              </w:rPr>
            </w:pPr>
            <w:r>
              <w:rPr>
                <w:rFonts w:ascii="Arial" w:cs="Arial" w:eastAsia="Arial" w:hAnsi="Arial"/>
                <w:sz w:val="18"/>
                <w:szCs w:val="18"/>
                <w:color w:val="auto"/>
              </w:rPr>
              <w:t>2024 Notes</w:t>
            </w:r>
          </w:p>
        </w:tc>
        <w:tc>
          <w:tcPr>
            <w:tcW w:w="1200" w:type="dxa"/>
            <w:vAlign w:val="bottom"/>
          </w:tcPr>
          <w:p>
            <w:pPr>
              <w:jc w:val="right"/>
              <w:spacing w:after="0"/>
              <w:rPr>
                <w:sz w:val="20"/>
                <w:szCs w:val="20"/>
                <w:color w:val="auto"/>
              </w:rPr>
            </w:pPr>
            <w:r>
              <w:rPr>
                <w:rFonts w:ascii="Arial" w:cs="Arial" w:eastAsia="Arial" w:hAnsi="Arial"/>
                <w:sz w:val="18"/>
                <w:szCs w:val="18"/>
                <w:color w:val="auto"/>
              </w:rPr>
              <w:t>4.64 %</w:t>
            </w:r>
          </w:p>
        </w:tc>
        <w:tc>
          <w:tcPr>
            <w:tcW w:w="1120" w:type="dxa"/>
            <w:vAlign w:val="bottom"/>
          </w:tcPr>
          <w:p>
            <w:pPr>
              <w:jc w:val="right"/>
              <w:spacing w:after="0"/>
              <w:rPr>
                <w:sz w:val="20"/>
                <w:szCs w:val="20"/>
                <w:color w:val="auto"/>
              </w:rPr>
            </w:pPr>
            <w:r>
              <w:rPr>
                <w:rFonts w:ascii="Arial" w:cs="Arial" w:eastAsia="Arial" w:hAnsi="Arial"/>
                <w:sz w:val="18"/>
                <w:szCs w:val="18"/>
                <w:color w:val="auto"/>
              </w:rPr>
              <w:t>4.76 %</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597</w:t>
            </w:r>
          </w:p>
        </w:tc>
      </w:tr>
      <w:tr>
        <w:trPr>
          <w:trHeight w:val="257"/>
        </w:trPr>
        <w:tc>
          <w:tcPr>
            <w:tcW w:w="2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2.90 %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2.95 %</w:t>
            </w:r>
          </w:p>
        </w:tc>
        <w:tc>
          <w:tcPr>
            <w:tcW w:w="140" w:type="dxa"/>
            <w:vAlign w:val="bottom"/>
            <w:shd w:val="clear" w:color="auto" w:fill="D1D2D4"/>
          </w:tcPr>
          <w:p>
            <w:pPr>
              <w:spacing w:after="0"/>
              <w:rPr>
                <w:sz w:val="22"/>
                <w:szCs w:val="22"/>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218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1200" w:type="dxa"/>
            <w:vAlign w:val="bottom"/>
          </w:tcPr>
          <w:p>
            <w:pPr>
              <w:jc w:val="right"/>
              <w:spacing w:after="0"/>
              <w:rPr>
                <w:sz w:val="20"/>
                <w:szCs w:val="20"/>
                <w:color w:val="auto"/>
              </w:rPr>
            </w:pPr>
            <w:r>
              <w:rPr>
                <w:rFonts w:ascii="Arial" w:cs="Arial" w:eastAsia="Arial" w:hAnsi="Arial"/>
                <w:sz w:val="18"/>
                <w:szCs w:val="18"/>
                <w:color w:val="auto"/>
              </w:rPr>
              <w:t>4.98 %</w:t>
            </w:r>
          </w:p>
        </w:tc>
        <w:tc>
          <w:tcPr>
            <w:tcW w:w="1120" w:type="dxa"/>
            <w:vAlign w:val="bottom"/>
          </w:tcPr>
          <w:p>
            <w:pPr>
              <w:jc w:val="right"/>
              <w:spacing w:after="0"/>
              <w:rPr>
                <w:sz w:val="20"/>
                <w:szCs w:val="20"/>
                <w:color w:val="auto"/>
              </w:rPr>
            </w:pPr>
            <w:r>
              <w:rPr>
                <w:rFonts w:ascii="Arial" w:cs="Arial" w:eastAsia="Arial" w:hAnsi="Arial"/>
                <w:sz w:val="18"/>
                <w:szCs w:val="18"/>
                <w:color w:val="auto"/>
              </w:rPr>
              <w:t>5.07 %</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497</w:t>
            </w:r>
          </w:p>
        </w:tc>
      </w:tr>
      <w:tr>
        <w:trPr>
          <w:trHeight w:val="257"/>
        </w:trPr>
        <w:tc>
          <w:tcPr>
            <w:tcW w:w="2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 Notes</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4.19 %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4.27 %</w:t>
            </w:r>
          </w:p>
        </w:tc>
        <w:tc>
          <w:tcPr>
            <w:tcW w:w="140" w:type="dxa"/>
            <w:vAlign w:val="bottom"/>
            <w:shd w:val="clear" w:color="auto" w:fill="D1D2D4"/>
          </w:tcPr>
          <w:p>
            <w:pPr>
              <w:spacing w:after="0"/>
              <w:rPr>
                <w:sz w:val="22"/>
                <w:szCs w:val="22"/>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895</w:t>
            </w:r>
          </w:p>
        </w:tc>
        <w:tc>
          <w:tcPr>
            <w:tcW w:w="28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895</w:t>
            </w:r>
          </w:p>
        </w:tc>
      </w:tr>
      <w:tr>
        <w:trPr>
          <w:trHeight w:val="257"/>
        </w:trPr>
        <w:tc>
          <w:tcPr>
            <w:tcW w:w="2180" w:type="dxa"/>
            <w:vAlign w:val="bottom"/>
          </w:tcPr>
          <w:p>
            <w:pPr>
              <w:ind w:left="20"/>
              <w:spacing w:after="0"/>
              <w:rPr>
                <w:sz w:val="20"/>
                <w:szCs w:val="20"/>
                <w:color w:val="auto"/>
              </w:rPr>
            </w:pPr>
            <w:r>
              <w:rPr>
                <w:rFonts w:ascii="Arial" w:cs="Arial" w:eastAsia="Arial" w:hAnsi="Arial"/>
                <w:sz w:val="18"/>
                <w:szCs w:val="18"/>
                <w:color w:val="auto"/>
              </w:rPr>
              <w:t>2029 Notes</w:t>
            </w:r>
          </w:p>
        </w:tc>
        <w:tc>
          <w:tcPr>
            <w:tcW w:w="1200" w:type="dxa"/>
            <w:vAlign w:val="bottom"/>
          </w:tcPr>
          <w:p>
            <w:pPr>
              <w:jc w:val="right"/>
              <w:spacing w:after="0"/>
              <w:rPr>
                <w:sz w:val="20"/>
                <w:szCs w:val="20"/>
                <w:color w:val="auto"/>
              </w:rPr>
            </w:pPr>
            <w:r>
              <w:rPr>
                <w:rFonts w:ascii="Arial" w:cs="Arial" w:eastAsia="Arial" w:hAnsi="Arial"/>
                <w:sz w:val="18"/>
                <w:szCs w:val="18"/>
                <w:color w:val="auto"/>
              </w:rPr>
              <w:t>5.33 %</w:t>
            </w:r>
          </w:p>
        </w:tc>
        <w:tc>
          <w:tcPr>
            <w:tcW w:w="1120" w:type="dxa"/>
            <w:vAlign w:val="bottom"/>
          </w:tcPr>
          <w:p>
            <w:pPr>
              <w:jc w:val="right"/>
              <w:spacing w:after="0"/>
              <w:rPr>
                <w:sz w:val="20"/>
                <w:szCs w:val="20"/>
                <w:color w:val="auto"/>
              </w:rPr>
            </w:pPr>
            <w:r>
              <w:rPr>
                <w:rFonts w:ascii="Arial" w:cs="Arial" w:eastAsia="Arial" w:hAnsi="Arial"/>
                <w:sz w:val="18"/>
                <w:szCs w:val="18"/>
                <w:color w:val="auto"/>
              </w:rPr>
              <w:t>5.40 %</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696</w:t>
            </w:r>
          </w:p>
        </w:tc>
      </w:tr>
      <w:tr>
        <w:trPr>
          <w:trHeight w:val="257"/>
        </w:trPr>
        <w:tc>
          <w:tcPr>
            <w:tcW w:w="2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140" w:type="dxa"/>
            <w:vAlign w:val="bottom"/>
            <w:shd w:val="clear" w:color="auto" w:fill="D1D2D4"/>
          </w:tcPr>
          <w:p>
            <w:pPr>
              <w:spacing w:after="0"/>
              <w:rPr>
                <w:sz w:val="22"/>
                <w:szCs w:val="22"/>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845</w:t>
            </w:r>
          </w:p>
        </w:tc>
      </w:tr>
      <w:tr>
        <w:trPr>
          <w:trHeight w:val="257"/>
        </w:trPr>
        <w:tc>
          <w:tcPr>
            <w:tcW w:w="218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2032D Notes </w:t>
            </w:r>
            <w:r>
              <w:rPr>
                <w:rFonts w:ascii="Arial" w:cs="Arial" w:eastAsia="Arial" w:hAnsi="Arial"/>
                <w:sz w:val="23"/>
                <w:szCs w:val="23"/>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3.13 %</w:t>
            </w:r>
          </w:p>
        </w:tc>
        <w:tc>
          <w:tcPr>
            <w:tcW w:w="1120" w:type="dxa"/>
            <w:vAlign w:val="bottom"/>
          </w:tcPr>
          <w:p>
            <w:pPr>
              <w:jc w:val="right"/>
              <w:spacing w:after="0"/>
              <w:rPr>
                <w:sz w:val="20"/>
                <w:szCs w:val="20"/>
                <w:color w:val="auto"/>
              </w:rPr>
            </w:pPr>
            <w:r>
              <w:rPr>
                <w:rFonts w:ascii="Arial" w:cs="Arial" w:eastAsia="Arial" w:hAnsi="Arial"/>
                <w:sz w:val="18"/>
                <w:szCs w:val="18"/>
                <w:color w:val="auto"/>
              </w:rPr>
              <w:t>6.33 %</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56"/>
        </w:trPr>
        <w:tc>
          <w:tcPr>
            <w:tcW w:w="218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 xml:space="preserve">2033F Notes </w:t>
            </w:r>
            <w:r>
              <w:rPr>
                <w:rFonts w:ascii="Arial" w:cs="Arial" w:eastAsia="Arial" w:hAnsi="Arial"/>
                <w:sz w:val="23"/>
                <w:szCs w:val="23"/>
                <w:color w:val="auto"/>
                <w:vertAlign w:val="superscript"/>
              </w:rPr>
              <w:t>(1)</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2.13 %</w:t>
            </w:r>
          </w:p>
        </w:tc>
        <w:tc>
          <w:tcPr>
            <w:tcW w:w="140" w:type="dxa"/>
            <w:vAlign w:val="bottom"/>
            <w:shd w:val="clear" w:color="auto" w:fill="D1D2D4"/>
          </w:tcPr>
          <w:p>
            <w:pPr>
              <w:spacing w:after="0"/>
              <w:rPr>
                <w:sz w:val="22"/>
                <w:szCs w:val="22"/>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196</w:t>
            </w:r>
          </w:p>
        </w:tc>
      </w:tr>
      <w:tr>
        <w:trPr>
          <w:trHeight w:val="250"/>
        </w:trPr>
        <w:tc>
          <w:tcPr>
            <w:tcW w:w="2180" w:type="dxa"/>
            <w:vAlign w:val="bottom"/>
          </w:tcPr>
          <w:p>
            <w:pPr>
              <w:ind w:left="20"/>
              <w:spacing w:after="0"/>
              <w:rPr>
                <w:sz w:val="20"/>
                <w:szCs w:val="20"/>
                <w:color w:val="auto"/>
              </w:rPr>
            </w:pPr>
            <w:r>
              <w:rPr>
                <w:rFonts w:ascii="Arial" w:cs="Arial" w:eastAsia="Arial" w:hAnsi="Arial"/>
                <w:sz w:val="18"/>
                <w:szCs w:val="18"/>
                <w:color w:val="auto"/>
              </w:rPr>
              <w:t>MMJ Creditor Payments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198</w:t>
            </w:r>
          </w:p>
        </w:tc>
      </w:tr>
      <w:tr>
        <w:trPr>
          <w:trHeight w:val="263"/>
        </w:trPr>
        <w:tc>
          <w:tcPr>
            <w:tcW w:w="2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 Member Debt</w:t>
            </w:r>
          </w:p>
        </w:tc>
        <w:tc>
          <w:tcPr>
            <w:tcW w:w="12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D1D2D4"/>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1020" w:type="dxa"/>
            <w:vAlign w:val="bottom"/>
            <w:gridSpan w:val="2"/>
            <w:shd w:val="clear" w:color="auto" w:fill="D1D2D4"/>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693</w:t>
            </w:r>
          </w:p>
        </w:tc>
      </w:tr>
      <w:tr>
        <w:trPr>
          <w:trHeight w:val="257"/>
        </w:trPr>
        <w:tc>
          <w:tcPr>
            <w:tcW w:w="21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2025 Notes</w:t>
            </w:r>
          </w:p>
        </w:tc>
        <w:tc>
          <w:tcPr>
            <w:tcW w:w="12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5.50 %</w:t>
            </w:r>
          </w:p>
        </w:tc>
        <w:tc>
          <w:tcPr>
            <w:tcW w:w="11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5.56 %</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1D2D4"/>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516</w:t>
            </w:r>
          </w:p>
        </w:tc>
      </w:tr>
      <w:tr>
        <w:trPr>
          <w:trHeight w:val="263"/>
        </w:trPr>
        <w:tc>
          <w:tcPr>
            <w:tcW w:w="218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2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5,188</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5,425</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1,310</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4,541</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5,851</w:t>
            </w:r>
          </w:p>
        </w:tc>
      </w:tr>
      <w:tr>
        <w:trPr>
          <w:trHeight w:val="20"/>
        </w:trPr>
        <w:tc>
          <w:tcPr>
            <w:tcW w:w="2180" w:type="dxa"/>
            <w:vAlign w:val="bottom"/>
            <w:tcBorders>
              <w:top w:val="single" w:sz="8" w:color="D1D2D4"/>
            </w:tcBorders>
          </w:tcPr>
          <w:p>
            <w:pPr>
              <w:spacing w:after="0" w:line="20" w:lineRule="exact"/>
              <w:rPr>
                <w:sz w:val="1"/>
                <w:szCs w:val="1"/>
                <w:color w:val="auto"/>
              </w:rPr>
            </w:pPr>
          </w:p>
        </w:tc>
        <w:tc>
          <w:tcPr>
            <w:tcW w:w="1200" w:type="dxa"/>
            <w:vAlign w:val="bottom"/>
            <w:tcBorders>
              <w:top w:val="single" w:sz="8" w:color="D1D2D4"/>
            </w:tcBorders>
          </w:tcPr>
          <w:p>
            <w:pPr>
              <w:spacing w:after="0" w:line="20" w:lineRule="exact"/>
              <w:rPr>
                <w:sz w:val="1"/>
                <w:szCs w:val="1"/>
                <w:color w:val="auto"/>
              </w:rPr>
            </w:pPr>
          </w:p>
        </w:tc>
        <w:tc>
          <w:tcPr>
            <w:tcW w:w="11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right="260" w:hanging="252"/>
        <w:spacing w:after="0" w:line="239" w:lineRule="auto"/>
        <w:tabs>
          <w:tab w:leader="none" w:pos="254"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Since the closing price of our common stock exceeded 130% of the conversion price per share for at least 20 trading days in the 30 trading day period ended on December 31, 2019, these notes are convertible by the holders through the calendar quarter ended March 31, 2020. Additionally, the closing price of our common stock also exceeded the thresholds for the calendar quarter ended March 31, 2020; therefore, these notes are convertible by the holders at any time through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IMFT Member Debt</w:t>
      </w:r>
    </w:p>
    <w:p>
      <w:pPr>
        <w:spacing w:after="0" w:line="2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our purchase of Intel’s noncontrolling interest in IMFT on October 31, 2019, we extinguished the remaining IMFT Member Debt as a component of the cash consideration paid to Intel for their interest in IMFT and recognized a non-operating gain of $72 million for the difference between the $505 million of cash consideration allocated to the extinguishment of IMFT Member Debt and its $577 million carrying value. (See “Equity – Noncontrolling Interest in Subsidiary” note for the cash consideration allocated to the repurchase of noncontrolling interest.) Prior to our acquisition of Intel’s interests in IMFT, IMFT repaid Intel $116 million of IMFT Member Debt in the first quarter of fiscal 2020.</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Convertible Senior Notes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February 27, 2020, the $50.58 trading price of our common stock was higher than the conversion prices of our convertible notes and, as a result, the aggregate conversion value of $752 million exceeded the aggregate principal amount of $150 million by $602 million.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Credit Facility</w:t>
      </w:r>
    </w:p>
    <w:p>
      <w:pPr>
        <w:spacing w:after="0" w:line="265"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Our credit facility provides for our 2024 Term Loan A and a committed revolving credit facility. The 2024 Term Loan A and revolving credit facility generally bear interest at rates equal to LIBOR plus 1.25% to 2.00%, depending on our corporate credit rating and leverage ratio. Under the terms of the credit facility, we must maintain ratios, calculated as of the last day of each fiscal quarter, of total indebtedness to adjusted EBITDA and adjusted EBITDA to net interest expense.</w:t>
      </w:r>
    </w:p>
    <w:p>
      <w:pPr>
        <w:spacing w:after="0" w:line="209"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b w:val="1"/>
          <w:bCs w:val="1"/>
          <w:i w:val="1"/>
          <w:iCs w:val="1"/>
          <w:color w:val="auto"/>
        </w:rPr>
        <w:t>2024 Term Loan 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30, 2019, we drew the $ 1.25 billion available under our 2024 Term Loan A credit facility. Principal payments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due annually in an amount equal to 5.0% of the initial principal amount with the balance due at maturity in October 2024. The 2024 Term Loan A facility bears interest at a rate equal to LIBOR plus 1.25% based on our current corporate credit rating and leverage ratio.</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7" w:name="page18"/>
    <w:bookmarkEnd w:id="17"/>
    <w:p>
      <w:pPr>
        <w:ind w:right="340"/>
        <w:spacing w:after="0" w:line="247" w:lineRule="auto"/>
        <w:rPr>
          <w:sz w:val="20"/>
          <w:szCs w:val="20"/>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 to the second quarter of 2020, on March 13, 2020, we drew the $2.50 billion available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Borrowings under the revolving credit facility are scheduled to mature on July 3, 2023 and we may repay amounts borrowed any time without penalty. The revolving credit facility bears interest at a rate equal to LIBOR plus 1.25% based on our current corporate credit rating and leverage ratio.</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table below presents the effects of issuances, prepayments, and conversions of debt in the first six months of 2020.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80" w:type="dxa"/>
            <w:vAlign w:val="bottom"/>
          </w:tcPr>
          <w:p>
            <w:pPr>
              <w:spacing w:after="0"/>
              <w:rPr>
                <w:sz w:val="17"/>
                <w:szCs w:val="17"/>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rPr>
              <w:t>Increase</w:t>
            </w:r>
          </w:p>
        </w:tc>
        <w:tc>
          <w:tcPr>
            <w:tcW w:w="240" w:type="dxa"/>
            <w:vAlign w:val="bottom"/>
          </w:tcPr>
          <w:p>
            <w:pPr>
              <w:spacing w:after="0"/>
              <w:rPr>
                <w:sz w:val="17"/>
                <w:szCs w:val="17"/>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rPr>
              <w:t>Increase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(Decrease) in</w:t>
            </w: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1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6"/>
        </w:trPr>
        <w:tc>
          <w:tcPr>
            <w:tcW w:w="45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Six months ended February 27, 2020</w:t>
            </w:r>
          </w:p>
        </w:tc>
        <w:tc>
          <w:tcPr>
            <w:tcW w:w="20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Principal</w:t>
            </w:r>
          </w:p>
        </w:tc>
        <w:tc>
          <w:tcPr>
            <w:tcW w:w="142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Cash</w:t>
            </w:r>
          </w:p>
        </w:tc>
        <w:tc>
          <w:tcPr>
            <w:tcW w:w="1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ind w:left="24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Gain (Loss)</w:t>
            </w:r>
          </w:p>
        </w:tc>
      </w:tr>
      <w:tr>
        <w:trPr>
          <w:trHeight w:val="41"/>
        </w:trPr>
        <w:tc>
          <w:tcPr>
            <w:tcW w:w="4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8"/>
                <w:szCs w:val="18"/>
                <w:color w:val="auto"/>
              </w:rPr>
              <w:t>2025 Notes</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2"/>
                <w:szCs w:val="22"/>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57"/>
        </w:trPr>
        <w:tc>
          <w:tcPr>
            <w:tcW w:w="45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IMFT Member Debt</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72</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Settled conversions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45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2033F Notes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D1D2D4"/>
          </w:tcPr>
          <w:p>
            <w:pPr>
              <w:spacing w:after="0"/>
              <w:rPr>
                <w:sz w:val="22"/>
                <w:szCs w:val="22"/>
                <w:color w:val="auto"/>
              </w:rPr>
            </w:pPr>
          </w:p>
        </w:tc>
        <w:tc>
          <w:tcPr>
            <w:tcW w:w="1140" w:type="dxa"/>
            <w:vAlign w:val="bottom"/>
            <w:shd w:val="clear" w:color="auto" w:fill="D1D2D4"/>
          </w:tcPr>
          <w:p>
            <w:pPr>
              <w:ind w:left="8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Conversions not settled</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7"/>
        </w:trPr>
        <w:tc>
          <w:tcPr>
            <w:tcW w:w="45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2033F Notes</w:t>
            </w:r>
          </w:p>
        </w:tc>
        <w:tc>
          <w:tcPr>
            <w:tcW w:w="200" w:type="dxa"/>
            <w:vAlign w:val="bottom"/>
            <w:tcBorders>
              <w:bottom w:val="single" w:sz="8" w:color="auto"/>
            </w:tcBorders>
            <w:shd w:val="clear" w:color="auto" w:fill="D1D2D4"/>
          </w:tcPr>
          <w:p>
            <w:pPr>
              <w:spacing w:after="0"/>
              <w:rPr>
                <w:sz w:val="22"/>
                <w:szCs w:val="22"/>
                <w:color w:val="auto"/>
              </w:rPr>
            </w:pPr>
          </w:p>
        </w:tc>
        <w:tc>
          <w:tcPr>
            <w:tcW w:w="10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1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D1D2D4"/>
          </w:tcPr>
          <w:p>
            <w:pPr>
              <w:spacing w:after="0"/>
              <w:rPr>
                <w:sz w:val="22"/>
                <w:szCs w:val="22"/>
                <w:color w:val="auto"/>
              </w:rPr>
            </w:pPr>
          </w:p>
        </w:tc>
        <w:tc>
          <w:tcPr>
            <w:tcW w:w="10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ind w:left="84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454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w:t>
            </w:r>
          </w:p>
        </w:tc>
      </w:tr>
      <w:tr>
        <w:trPr>
          <w:trHeight w:val="27"/>
        </w:trPr>
        <w:tc>
          <w:tcPr>
            <w:tcW w:w="4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United States District Court for the Northern District of California. The complaint alleges that Micron infringes a single U.S. patent and seeks damages, attorneys’ fees, and costs.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8" w:name="page19"/>
    <w:bookmarkEnd w:id="18"/>
    <w:p>
      <w:pPr>
        <w:ind w:right="40"/>
        <w:spacing w:after="0" w:line="252" w:lineRule="auto"/>
        <w:rPr>
          <w:sz w:val="20"/>
          <w:szCs w:val="20"/>
          <w:color w:val="auto"/>
        </w:rPr>
      </w:pPr>
      <w:r>
        <w:rPr>
          <w:rFonts w:ascii="Arial" w:cs="Arial" w:eastAsia="Arial" w:hAnsi="Arial"/>
          <w:sz w:val="18"/>
          <w:szCs w:val="18"/>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August 31, 2018, Micron was served with a complaint filed by IMS in Shenzhen Intermediate People’s Court in Guangdong Province, China. On November 12, 2019, IMS filed an amended complaint in the same court. The amended complaint alleges that certain of our NAND flash products infringe a Chinese patent. The complaint seeks an order requiring Micron to stop manufacturing, using, selling, and offering for sale the accused products in China, and to pay damages and costs of 21 million Chinese yuan.</w:t>
      </w:r>
    </w:p>
    <w:p>
      <w:pPr>
        <w:spacing w:after="0" w:line="2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2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Ballistic-branded DRAM modules and solid-state drives in China. The affected products make up slightly more than 1% of our annualized revenue. We are complying with the ruling and have requested the Fuzhou Court to reconsider or stay its decision.</w:t>
      </w:r>
    </w:p>
    <w:p>
      <w:pPr>
        <w:spacing w:after="0" w:line="23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6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9" w:name="page20"/>
    <w:bookmarkEnd w:id="19"/>
    <w:p>
      <w:pPr>
        <w:ind w:right="160"/>
        <w:spacing w:after="0" w:line="265"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firstLine="8"/>
        <w:spacing w:after="0" w:line="251"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two independent experts to perform an evaluation of Dr. Jaffé’s claims that the amount Micron paid for Qimonda was less than fair market value. On January 25, 2018, the court-appointed experts issued their report concluding that the amount paid by Micron was within an acceptable fair-value range. The Appeals Court held a subsequent hearing on April 30, 2019, and on May 28, 2019, the Appeals Court remanded the case to the experts for supplemental expert opinion.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 purports to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3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complaint. The consolidated complaint purports to be on behalf of a nationwide class of direct purchasers of DRAM products. The complaints assert claims based on alleged price-fixing of DRAM products under federal and state law during the period from June 1, 2016 through at least February 1, 2018, and seek treble monetary damages, costs, interest, attorneys’ fees, and other injunctive and equitable relief.</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0090DA"/>
        </w:rPr>
        <w:t>Securities Matters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alleges that defendants committed securities fraud through misrepresentations and omissions about purported anticompetitive behavior in the DRAM industry and seeks compensatory and punitive damages, fees, interest, costs, and other appropriate relief. On October 2, 2019, the parties submitted a joint stipulation to dismiss the complaint. The Court approved the stipulation and dismissed the complaint on October 3, 2019. On March 5, 2019, a derivative complaint was filed by a shareholder in the U.S. District Court for the District of Delaware, based on similar allegations to the securities fraud cases, allegedly on behalf of and for the benefit of Micron, against certain current and former officers and directors of Micron for alleged breaches of their fiduciary duties and other violations of law. The complaint seeks damages, fees, interest, costs, and other appropriate relief. Similar shareholder derivative complaints were subsequently filed in the U.S. District Court for the District of Delaware and the U.S. District Court for the District of Idaho. On November 20, 2019, the plaintiff in the second action filed in the U.S. District Court for the District of Delaware voluntarily dismissed his complaint. On November 21, 2019, the plaintiff voluntarily dismissed his complaint that was filed in the U.S. District Court for the District of Idaho.</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fiscal year 2018 whose performance rating was calculated based upon a mandatory percentage distribution range of performance ratings. On behalf of himself and the putative class, Manning asserts claims for violation of the Idaho Wage Claim Act, breach of contract, breach of the covenant of good faith and fair dealing, and fraud.</w:t>
      </w:r>
    </w:p>
    <w:p>
      <w:pPr>
        <w:spacing w:after="0" w:line="23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1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unable to predict the outcome of the patent matters, the Qimonda matter, antitrust matters, securities matters, and other matters noted above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Arial" w:cs="Arial" w:eastAsia="Arial" w:hAnsi="Arial"/>
          <w:sz w:val="40"/>
          <w:szCs w:val="40"/>
          <w:b w:val="1"/>
          <w:bCs w:val="1"/>
          <w:color w:val="auto"/>
        </w:rPr>
        <w:t>Equity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does not obligate us to acquire any common stock and is subject to market conditions and our ongoing determination of the best use of available cash. In the second quarter and first six months of 2020, we repurchased 0.8 million shares of our common stock for $44 million, and 1.9 million shares of our common stock for $ 94 million, respectively. In the second quarter and first six months of 2019, we repurchased 20.2 million shares of our common stock for $702 million, and 62.6 million shares of our common stock for $2.51 billion, respectively. Through February 27, 2020, we had repurchased an aggregate of $2.76 billion under the authorization. The shares were recorded as treasury stock.</w:t>
      </w:r>
    </w:p>
    <w:p>
      <w:pPr>
        <w:spacing w:after="0" w:line="21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Capped calls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second quarter of 2020, we share-settled certain capped calls upon their expiration and received an aggregate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million shares of our common stock, equal to a value of $98 million.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Noncontrolling Interest in Subsidiary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2760" w:type="dxa"/>
            <w:vAlign w:val="bottom"/>
            <w:tcBorders>
              <w:bottom w:val="single" w:sz="8" w:color="0090DA"/>
            </w:tcBorders>
            <w:gridSpan w:val="2"/>
          </w:tcPr>
          <w:p>
            <w:pPr>
              <w:ind w:left="840"/>
              <w:spacing w:after="0"/>
              <w:rPr>
                <w:sz w:val="20"/>
                <w:szCs w:val="20"/>
                <w:color w:val="auto"/>
              </w:rPr>
            </w:pPr>
            <w:r>
              <w:rPr>
                <w:rFonts w:ascii="Arial" w:cs="Arial" w:eastAsia="Arial" w:hAnsi="Arial"/>
                <w:sz w:val="18"/>
                <w:szCs w:val="18"/>
                <w:b w:val="1"/>
                <w:bCs w:val="1"/>
                <w:color w:val="auto"/>
              </w:rPr>
              <w:t>February 27, 2020</w:t>
            </w:r>
          </w:p>
        </w:tc>
        <w:tc>
          <w:tcPr>
            <w:tcW w:w="440" w:type="dxa"/>
            <w:vAlign w:val="bottom"/>
            <w:tcBorders>
              <w:bottom w:val="single" w:sz="8" w:color="0090DA"/>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2940" w:type="dxa"/>
            <w:vAlign w:val="bottom"/>
            <w:tcBorders>
              <w:bottom w:val="single" w:sz="8" w:color="0090DA"/>
            </w:tcBorders>
            <w:gridSpan w:val="2"/>
          </w:tcPr>
          <w:p>
            <w:pPr>
              <w:jc w:val="right"/>
              <w:ind w:right="810"/>
              <w:spacing w:after="0"/>
              <w:rPr>
                <w:sz w:val="20"/>
                <w:szCs w:val="20"/>
                <w:color w:val="auto"/>
              </w:rPr>
            </w:pPr>
            <w:r>
              <w:rPr>
                <w:rFonts w:ascii="Arial" w:cs="Arial" w:eastAsia="Arial" w:hAnsi="Arial"/>
                <w:sz w:val="18"/>
                <w:szCs w:val="18"/>
                <w:b w:val="1"/>
                <w:bCs w:val="1"/>
                <w:color w:val="auto"/>
              </w:rPr>
              <w:t>August 29, 2019</w:t>
            </w:r>
          </w:p>
        </w:tc>
      </w:tr>
      <w:tr>
        <w:trPr>
          <w:trHeight w:val="250"/>
        </w:trPr>
        <w:tc>
          <w:tcPr>
            <w:tcW w:w="44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1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Balance</w:t>
            </w:r>
          </w:p>
        </w:tc>
        <w:tc>
          <w:tcPr>
            <w:tcW w:w="1620" w:type="dxa"/>
            <w:vAlign w:val="bottom"/>
            <w:tcBorders>
              <w:bottom w:val="single" w:sz="8" w:color="0090DA"/>
            </w:tcBorders>
          </w:tcPr>
          <w:p>
            <w:pPr>
              <w:ind w:left="640"/>
              <w:spacing w:after="0"/>
              <w:rPr>
                <w:sz w:val="20"/>
                <w:szCs w:val="20"/>
                <w:color w:val="auto"/>
              </w:rPr>
            </w:pPr>
            <w:r>
              <w:rPr>
                <w:rFonts w:ascii="Arial" w:cs="Arial" w:eastAsia="Arial" w:hAnsi="Arial"/>
                <w:sz w:val="18"/>
                <w:szCs w:val="18"/>
                <w:b w:val="1"/>
                <w:bCs w:val="1"/>
                <w:color w:val="auto"/>
                <w:w w:val="98"/>
              </w:rPr>
              <w:t>Percentage</w:t>
            </w:r>
          </w:p>
        </w:tc>
        <w:tc>
          <w:tcPr>
            <w:tcW w:w="440" w:type="dxa"/>
            <w:vAlign w:val="bottom"/>
            <w:tcBorders>
              <w:bottom w:val="single" w:sz="8" w:color="0090DA"/>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3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160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Percentage</w:t>
            </w:r>
          </w:p>
        </w:tc>
      </w:tr>
      <w:tr>
        <w:trPr>
          <w:trHeight w:val="41"/>
        </w:trPr>
        <w:tc>
          <w:tcPr>
            <w:tcW w:w="4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7"/>
        </w:trPr>
        <w:tc>
          <w:tcPr>
            <w:tcW w:w="4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1140" w:type="dxa"/>
            <w:vAlign w:val="bottom"/>
            <w:shd w:val="clear" w:color="auto" w:fill="D1D2D4"/>
          </w:tcPr>
          <w:p>
            <w:pPr>
              <w:jc w:val="right"/>
              <w:ind w:right="9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 %  $</w:t>
            </w:r>
          </w:p>
        </w:tc>
        <w:tc>
          <w:tcPr>
            <w:tcW w:w="13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889</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49 %</w:t>
            </w:r>
          </w:p>
        </w:tc>
      </w:tr>
    </w:tbl>
    <w:p>
      <w:pPr>
        <w:spacing w:after="0" w:line="3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October 31, 2019, we purchased Intel’s noncontrolling interest in IMFT, now known as MTU, and IMFT Member Debt for $1.25 billion. In connection therewith, we recognized a $160 million adjustment to equity for the difference between the $744 million of cash consideration allocated to Intel’s noncontrolling interest and its $904 million carrying value. (See “Debt” note for the cash consideration allocated to, and extinguishment of, IMFT Member Debt.)</w:t>
      </w:r>
    </w:p>
    <w:p>
      <w:pPr>
        <w:spacing w:after="0" w:line="23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Pursuant to the terms of the IMFT wafer supply agreement, Intel received supply from MTU from November 2019 through March 6, 2020, at a volume equal to approximately 50% of their volume from IMFT in the six-month period prior to closing. On March 9, 2020, we agreed with Intel to terminate such agreement and entered into a new 3D XPoint wafer supply agreement. IMFT sales to Intel in the first quarter of 2020 through the date of our acquisition of Intel’s noncontrolling interest in IMFT were $158 million. IMFT sales to Intel in the second quarter and first six months of 2019 were $172 million and $347 million, respectively.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85"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The estimated fair values and carrying values of our outstanding debt instruments (excluding the carrying value of equity components of our convertible notes),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4"/>
          </w:tcPr>
          <w:p>
            <w:pPr>
              <w:ind w:left="280"/>
              <w:spacing w:after="0"/>
              <w:rPr>
                <w:sz w:val="20"/>
                <w:szCs w:val="20"/>
                <w:color w:val="auto"/>
              </w:rPr>
            </w:pPr>
            <w:r>
              <w:rPr>
                <w:rFonts w:ascii="Arial" w:cs="Arial" w:eastAsia="Arial" w:hAnsi="Arial"/>
                <w:sz w:val="18"/>
                <w:szCs w:val="18"/>
                <w:b w:val="1"/>
                <w:bCs w:val="1"/>
                <w:color w:val="auto"/>
              </w:rPr>
              <w:t>February 27, 2020</w:t>
            </w:r>
          </w:p>
        </w:tc>
        <w:tc>
          <w:tcPr>
            <w:tcW w:w="260" w:type="dxa"/>
            <w:vAlign w:val="bottom"/>
          </w:tcPr>
          <w:p>
            <w:pPr>
              <w:spacing w:after="0"/>
              <w:rPr>
                <w:sz w:val="21"/>
                <w:szCs w:val="21"/>
                <w:color w:val="auto"/>
              </w:rPr>
            </w:pPr>
          </w:p>
        </w:tc>
        <w:tc>
          <w:tcPr>
            <w:tcW w:w="23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August 29, 2019</w:t>
            </w:r>
          </w:p>
        </w:tc>
        <w:tc>
          <w:tcPr>
            <w:tcW w:w="0" w:type="dxa"/>
            <w:vAlign w:val="bottom"/>
          </w:tcPr>
          <w:p>
            <w:pPr>
              <w:spacing w:after="0"/>
              <w:rPr>
                <w:sz w:val="1"/>
                <w:szCs w:val="1"/>
                <w:color w:val="auto"/>
              </w:rPr>
            </w:pPr>
          </w:p>
        </w:tc>
      </w:tr>
      <w:tr>
        <w:trPr>
          <w:trHeight w:val="175"/>
        </w:trPr>
        <w:tc>
          <w:tcPr>
            <w:tcW w:w="5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90DA"/>
            </w:tcBorders>
          </w:tcPr>
          <w:p>
            <w:pPr>
              <w:spacing w:after="0"/>
              <w:rPr>
                <w:sz w:val="15"/>
                <w:szCs w:val="15"/>
                <w:color w:val="auto"/>
              </w:rPr>
            </w:pPr>
          </w:p>
        </w:tc>
        <w:tc>
          <w:tcPr>
            <w:tcW w:w="980" w:type="dxa"/>
            <w:vAlign w:val="bottom"/>
            <w:tcBorders>
              <w:top w:val="single" w:sz="8" w:color="0090DA"/>
            </w:tcBorders>
          </w:tcPr>
          <w:p>
            <w:pPr>
              <w:jc w:val="right"/>
              <w:ind w:right="350"/>
              <w:spacing w:after="0" w:line="176" w:lineRule="exact"/>
              <w:rPr>
                <w:sz w:val="20"/>
                <w:szCs w:val="20"/>
                <w:color w:val="auto"/>
              </w:rPr>
            </w:pPr>
            <w:r>
              <w:rPr>
                <w:rFonts w:ascii="Arial" w:cs="Arial" w:eastAsia="Arial" w:hAnsi="Arial"/>
                <w:sz w:val="18"/>
                <w:szCs w:val="18"/>
                <w:b w:val="1"/>
                <w:bCs w:val="1"/>
                <w:color w:val="auto"/>
              </w:rPr>
              <w:t>Fair</w:t>
            </w:r>
          </w:p>
        </w:tc>
        <w:tc>
          <w:tcPr>
            <w:tcW w:w="26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5"/>
                <w:szCs w:val="15"/>
                <w:color w:val="auto"/>
              </w:rPr>
            </w:pPr>
          </w:p>
        </w:tc>
        <w:tc>
          <w:tcPr>
            <w:tcW w:w="260" w:type="dxa"/>
            <w:vAlign w:val="bottom"/>
            <w:tcBorders>
              <w:top w:val="single" w:sz="8" w:color="0090DA"/>
            </w:tcBorders>
          </w:tcPr>
          <w:p>
            <w:pPr>
              <w:spacing w:after="0"/>
              <w:rPr>
                <w:sz w:val="15"/>
                <w:szCs w:val="15"/>
                <w:color w:val="auto"/>
              </w:rPr>
            </w:pPr>
          </w:p>
        </w:tc>
        <w:tc>
          <w:tcPr>
            <w:tcW w:w="980" w:type="dxa"/>
            <w:vAlign w:val="bottom"/>
            <w:tcBorders>
              <w:top w:val="single" w:sz="8" w:color="0090DA"/>
            </w:tcBorders>
          </w:tcPr>
          <w:p>
            <w:pPr>
              <w:jc w:val="right"/>
              <w:ind w:right="330"/>
              <w:spacing w:after="0" w:line="176" w:lineRule="exact"/>
              <w:rPr>
                <w:sz w:val="20"/>
                <w:szCs w:val="20"/>
                <w:color w:val="auto"/>
              </w:rPr>
            </w:pPr>
            <w:r>
              <w:rPr>
                <w:rFonts w:ascii="Arial" w:cs="Arial" w:eastAsia="Arial" w:hAnsi="Arial"/>
                <w:sz w:val="18"/>
                <w:szCs w:val="18"/>
                <w:b w:val="1"/>
                <w:bCs w:val="1"/>
                <w:color w:val="auto"/>
              </w:rPr>
              <w:t>Fair</w:t>
            </w:r>
          </w:p>
        </w:tc>
        <w:tc>
          <w:tcPr>
            <w:tcW w:w="280" w:type="dxa"/>
            <w:vAlign w:val="bottom"/>
            <w:tcBorders>
              <w:top w:val="single" w:sz="8" w:color="0090DA"/>
            </w:tcBorders>
          </w:tcPr>
          <w:p>
            <w:pPr>
              <w:spacing w:after="0"/>
              <w:rPr>
                <w:sz w:val="15"/>
                <w:szCs w:val="15"/>
                <w:color w:val="auto"/>
              </w:rPr>
            </w:pPr>
          </w:p>
        </w:tc>
        <w:tc>
          <w:tcPr>
            <w:tcW w:w="1120" w:type="dxa"/>
            <w:vAlign w:val="bottom"/>
            <w:tcBorders>
              <w:top w:val="single" w:sz="8" w:color="0090DA"/>
            </w:tcBorders>
          </w:tcPr>
          <w:p>
            <w:pPr>
              <w:jc w:val="right"/>
              <w:ind w:right="210"/>
              <w:spacing w:after="0" w:line="176"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30"/>
        </w:trPr>
        <w:tc>
          <w:tcPr>
            <w:tcW w:w="5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Value</w:t>
            </w:r>
          </w:p>
        </w:tc>
        <w:tc>
          <w:tcPr>
            <w:tcW w:w="2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584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 and MMJ Creditor Payments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5,190</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4,781</w:t>
            </w:r>
          </w:p>
        </w:tc>
        <w:tc>
          <w:tcPr>
            <w:tcW w:w="120" w:type="dxa"/>
            <w:vAlign w:val="bottom"/>
            <w:shd w:val="clear" w:color="auto" w:fill="D1D2D4"/>
          </w:tcPr>
          <w:p>
            <w:pPr>
              <w:spacing w:after="0"/>
              <w:rPr>
                <w:sz w:val="22"/>
                <w:szCs w:val="22"/>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5,194</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fair values of our convertible notes in the table above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40"/>
          <w:szCs w:val="40"/>
          <w:b w:val="1"/>
          <w:bCs w:val="1"/>
          <w:color w:val="auto"/>
        </w:rPr>
        <w:t>Derivative Instruments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8"/>
                <w:szCs w:val="18"/>
                <w:color w:val="auto"/>
              </w:rPr>
            </w:pPr>
          </w:p>
        </w:tc>
        <w:tc>
          <w:tcPr>
            <w:tcW w:w="24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36"/>
        </w:trPr>
        <w:tc>
          <w:tcPr>
            <w:tcW w:w="6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Notional</w:t>
            </w:r>
          </w:p>
        </w:tc>
        <w:tc>
          <w:tcPr>
            <w:tcW w:w="180" w:type="dxa"/>
            <w:vAlign w:val="bottom"/>
            <w:tcBorders>
              <w:bottom w:val="single" w:sz="8" w:color="0090DA"/>
            </w:tcBorders>
          </w:tcPr>
          <w:p>
            <w:pPr>
              <w:spacing w:after="0"/>
              <w:rPr>
                <w:sz w:val="3"/>
                <w:szCs w:val="3"/>
                <w:color w:val="auto"/>
              </w:rPr>
            </w:pPr>
          </w:p>
        </w:tc>
        <w:tc>
          <w:tcPr>
            <w:tcW w:w="1060" w:type="dxa"/>
            <w:vAlign w:val="bottom"/>
            <w:tcBorders>
              <w:bottom w:val="single" w:sz="8" w:color="0090DA"/>
            </w:tcBorders>
          </w:tcPr>
          <w:p>
            <w:pPr>
              <w:spacing w:after="0"/>
              <w:rPr>
                <w:sz w:val="3"/>
                <w:szCs w:val="3"/>
                <w:color w:val="auto"/>
              </w:rPr>
            </w:pPr>
          </w:p>
        </w:tc>
        <w:tc>
          <w:tcPr>
            <w:tcW w:w="220" w:type="dxa"/>
            <w:vAlign w:val="bottom"/>
            <w:tcBorders>
              <w:bottom w:val="single" w:sz="8" w:color="0090DA"/>
            </w:tcBorders>
          </w:tcPr>
          <w:p>
            <w:pPr>
              <w:spacing w:after="0"/>
              <w:rPr>
                <w:sz w:val="3"/>
                <w:szCs w:val="3"/>
                <w:color w:val="auto"/>
              </w:rPr>
            </w:pPr>
          </w:p>
        </w:tc>
        <w:tc>
          <w:tcPr>
            <w:tcW w:w="1180" w:type="dxa"/>
            <w:vAlign w:val="bottom"/>
            <w:tcBorders>
              <w:bottom w:val="single" w:sz="8" w:color="0090DA"/>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14"/>
                <w:szCs w:val="14"/>
                <w:color w:val="auto"/>
              </w:rPr>
            </w:pPr>
          </w:p>
        </w:tc>
        <w:tc>
          <w:tcPr>
            <w:tcW w:w="11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Current</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right"/>
              <w:ind w:right="110"/>
              <w:spacing w:after="0" w:line="230" w:lineRule="exact"/>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23"/>
                <w:szCs w:val="23"/>
                <w:b w:val="1"/>
                <w:bCs w:val="1"/>
                <w:color w:val="auto"/>
                <w:vertAlign w:val="superscript"/>
              </w:rPr>
              <w:t>(1)</w:t>
            </w: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70"/>
              <w:spacing w:after="0" w:line="230" w:lineRule="exact"/>
              <w:rPr>
                <w:sz w:val="20"/>
                <w:szCs w:val="20"/>
                <w:color w:val="auto"/>
              </w:rPr>
            </w:pPr>
            <w:r>
              <w:rPr>
                <w:rFonts w:ascii="Arial" w:cs="Arial" w:eastAsia="Arial" w:hAnsi="Arial"/>
                <w:sz w:val="18"/>
                <w:szCs w:val="18"/>
                <w:b w:val="1"/>
                <w:bCs w:val="1"/>
                <w:color w:val="auto"/>
                <w:w w:val="93"/>
              </w:rPr>
              <w:t xml:space="preserve">Liabilities </w:t>
            </w:r>
            <w:r>
              <w:rPr>
                <w:rFonts w:ascii="Arial" w:cs="Arial" w:eastAsia="Arial" w:hAnsi="Arial"/>
                <w:sz w:val="23"/>
                <w:szCs w:val="23"/>
                <w:b w:val="1"/>
                <w:bCs w:val="1"/>
                <w:color w:val="auto"/>
                <w:w w:val="93"/>
                <w:vertAlign w:val="superscript"/>
              </w:rPr>
              <w:t>(2)</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February 27, 2020</w:t>
            </w:r>
          </w:p>
        </w:tc>
        <w:tc>
          <w:tcPr>
            <w:tcW w:w="13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38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38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08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 xml:space="preserve">Convertible notes settlement obligation </w:t>
            </w:r>
            <w:r>
              <w:rPr>
                <w:rFonts w:ascii="Arial" w:cs="Arial" w:eastAsia="Arial" w:hAnsi="Arial"/>
                <w:sz w:val="23"/>
                <w:szCs w:val="23"/>
                <w:color w:val="auto"/>
                <w:vertAlign w:val="superscript"/>
              </w:rPr>
              <w:t>(3)</w:t>
            </w:r>
          </w:p>
        </w:tc>
        <w:tc>
          <w:tcPr>
            <w:tcW w:w="13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18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80" w:type="dxa"/>
            <w:vAlign w:val="bottom"/>
            <w:tcBorders>
              <w:bottom w:val="single" w:sz="8" w:color="D1D2D4"/>
            </w:tcBorders>
          </w:tcPr>
          <w:p>
            <w:pPr>
              <w:spacing w:after="0"/>
              <w:rPr>
                <w:sz w:val="21"/>
                <w:szCs w:val="21"/>
                <w:color w:val="auto"/>
              </w:rPr>
            </w:pPr>
          </w:p>
        </w:tc>
        <w:tc>
          <w:tcPr>
            <w:tcW w:w="1380" w:type="dxa"/>
            <w:vAlign w:val="bottom"/>
            <w:tcBorders>
              <w:bottom w:val="single" w:sz="8" w:color="D1D2D4"/>
            </w:tcBorders>
          </w:tcPr>
          <w:p>
            <w:pPr>
              <w:spacing w:after="0"/>
              <w:rPr>
                <w:sz w:val="21"/>
                <w:szCs w:val="21"/>
                <w:color w:val="auto"/>
              </w:rPr>
            </w:pPr>
          </w:p>
        </w:tc>
        <w:tc>
          <w:tcPr>
            <w:tcW w:w="1140" w:type="dxa"/>
            <w:vAlign w:val="bottom"/>
            <w:tcBorders>
              <w:bottom w:val="single" w:sz="8" w:color="D1D2D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080" w:type="dxa"/>
            <w:vAlign w:val="bottom"/>
            <w:shd w:val="clear" w:color="auto" w:fill="D1D2D4"/>
          </w:tcPr>
          <w:p>
            <w:pPr>
              <w:spacing w:after="0"/>
              <w:rPr>
                <w:sz w:val="21"/>
                <w:szCs w:val="21"/>
                <w:color w:val="auto"/>
              </w:rPr>
            </w:pPr>
          </w:p>
        </w:tc>
        <w:tc>
          <w:tcPr>
            <w:tcW w:w="1380" w:type="dxa"/>
            <w:vAlign w:val="bottom"/>
            <w:shd w:val="clear" w:color="auto" w:fill="D1D2D4"/>
          </w:tcPr>
          <w:p>
            <w:pPr>
              <w:spacing w:after="0"/>
              <w:rPr>
                <w:sz w:val="21"/>
                <w:szCs w:val="21"/>
                <w:color w:val="auto"/>
              </w:rPr>
            </w:pPr>
          </w:p>
        </w:tc>
        <w:tc>
          <w:tcPr>
            <w:tcW w:w="1140" w:type="dxa"/>
            <w:vAlign w:val="bottom"/>
            <w:shd w:val="clear" w:color="auto" w:fill="D1D2D4"/>
          </w:tcPr>
          <w:p>
            <w:pPr>
              <w:spacing w:after="0"/>
              <w:rPr>
                <w:sz w:val="21"/>
                <w:szCs w:val="21"/>
                <w:color w:val="auto"/>
              </w:rPr>
            </w:pPr>
          </w:p>
        </w:tc>
        <w:tc>
          <w:tcPr>
            <w:tcW w:w="18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6080" w:type="dxa"/>
            <w:vAlign w:val="bottom"/>
            <w:tcBorders>
              <w:bottom w:val="single" w:sz="8" w:color="D1D2D4"/>
            </w:tcBorders>
          </w:tcPr>
          <w:p>
            <w:pPr>
              <w:spacing w:after="0" w:line="20" w:lineRule="exact"/>
              <w:rPr>
                <w:sz w:val="1"/>
                <w:szCs w:val="1"/>
                <w:color w:val="auto"/>
              </w:rPr>
            </w:pPr>
          </w:p>
        </w:tc>
        <w:tc>
          <w:tcPr>
            <w:tcW w:w="1380" w:type="dxa"/>
            <w:vAlign w:val="bottom"/>
            <w:tcBorders>
              <w:bottom w:val="single" w:sz="8" w:color="D1D2D4"/>
            </w:tcBorders>
          </w:tcPr>
          <w:p>
            <w:pPr>
              <w:spacing w:after="0" w:line="20" w:lineRule="exact"/>
              <w:rPr>
                <w:sz w:val="1"/>
                <w:szCs w:val="1"/>
                <w:color w:val="auto"/>
              </w:rPr>
            </w:pPr>
          </w:p>
        </w:tc>
        <w:tc>
          <w:tcPr>
            <w:tcW w:w="1140" w:type="dxa"/>
            <w:vAlign w:val="bottom"/>
            <w:tcBorders>
              <w:bottom w:val="single" w:sz="8" w:color="D1D2D4"/>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D1D2D4"/>
          </w:tcPr>
          <w:p>
            <w:pPr>
              <w:spacing w:after="0"/>
              <w:rPr>
                <w:sz w:val="19"/>
                <w:szCs w:val="19"/>
                <w:color w:val="auto"/>
              </w:rPr>
            </w:pPr>
          </w:p>
        </w:tc>
        <w:tc>
          <w:tcPr>
            <w:tcW w:w="138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As of August 29, 2019</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380" w:type="dxa"/>
            <w:vAlign w:val="bottom"/>
            <w:shd w:val="clear" w:color="auto" w:fill="D1D2D4"/>
          </w:tcPr>
          <w:p>
            <w:pPr>
              <w:spacing w:after="0"/>
              <w:rPr>
                <w:sz w:val="20"/>
                <w:szCs w:val="20"/>
                <w:color w:val="auto"/>
              </w:rPr>
            </w:pPr>
          </w:p>
        </w:tc>
        <w:tc>
          <w:tcPr>
            <w:tcW w:w="114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0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180"/>
              <w:spacing w:after="0"/>
              <w:rPr>
                <w:sz w:val="20"/>
                <w:szCs w:val="20"/>
                <w:color w:val="auto"/>
              </w:rPr>
            </w:pPr>
            <w:r>
              <w:rPr>
                <w:rFonts w:ascii="Arial" w:cs="Arial" w:eastAsia="Arial" w:hAnsi="Arial"/>
                <w:sz w:val="18"/>
                <w:szCs w:val="18"/>
                <w:color w:val="auto"/>
              </w:rPr>
              <w:t>Cash flow currency hedges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80" w:type="dxa"/>
            <w:vAlign w:val="bottom"/>
            <w:shd w:val="clear" w:color="auto" w:fill="D1D2D4"/>
          </w:tcPr>
          <w:p>
            <w:pPr>
              <w:spacing w:after="0"/>
              <w:rPr>
                <w:sz w:val="22"/>
                <w:szCs w:val="22"/>
                <w:color w:val="auto"/>
              </w:rPr>
            </w:pPr>
          </w:p>
        </w:tc>
        <w:tc>
          <w:tcPr>
            <w:tcW w:w="138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38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1,871</w:t>
            </w:r>
          </w:p>
        </w:tc>
        <w:tc>
          <w:tcPr>
            <w:tcW w:w="18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D1D2D4"/>
            </w:tcBorders>
          </w:tcPr>
          <w:p>
            <w:pPr>
              <w:ind w:left="20"/>
              <w:spacing w:after="0" w:line="256" w:lineRule="exact"/>
              <w:rPr>
                <w:sz w:val="20"/>
                <w:szCs w:val="20"/>
                <w:color w:val="auto"/>
              </w:rPr>
            </w:pPr>
            <w:r>
              <w:rPr>
                <w:rFonts w:ascii="Arial" w:cs="Arial" w:eastAsia="Arial" w:hAnsi="Arial"/>
                <w:sz w:val="18"/>
                <w:szCs w:val="18"/>
                <w:color w:val="auto"/>
              </w:rPr>
              <w:t xml:space="preserve">Convertible notes settlement obligation </w:t>
            </w:r>
            <w:r>
              <w:rPr>
                <w:rFonts w:ascii="Arial" w:cs="Arial" w:eastAsia="Arial" w:hAnsi="Arial"/>
                <w:sz w:val="23"/>
                <w:szCs w:val="23"/>
                <w:color w:val="auto"/>
                <w:vertAlign w:val="superscript"/>
              </w:rPr>
              <w:t>(3)</w:t>
            </w:r>
          </w:p>
        </w:tc>
        <w:tc>
          <w:tcPr>
            <w:tcW w:w="1380" w:type="dxa"/>
            <w:vAlign w:val="bottom"/>
            <w:tcBorders>
              <w:bottom w:val="single" w:sz="8" w:color="D1D2D4"/>
            </w:tcBorders>
          </w:tcPr>
          <w:p>
            <w:pPr>
              <w:spacing w:after="0"/>
              <w:rPr>
                <w:sz w:val="22"/>
                <w:szCs w:val="22"/>
                <w:color w:val="auto"/>
              </w:rPr>
            </w:pPr>
          </w:p>
        </w:tc>
        <w:tc>
          <w:tcPr>
            <w:tcW w:w="1140" w:type="dxa"/>
            <w:vAlign w:val="bottom"/>
            <w:tcBorders>
              <w:bottom w:val="single" w:sz="8" w:color="D1D2D4"/>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6080" w:type="dxa"/>
            <w:vAlign w:val="bottom"/>
            <w:shd w:val="clear" w:color="auto" w:fill="D1D2D4"/>
          </w:tcPr>
          <w:p>
            <w:pPr>
              <w:spacing w:after="0"/>
              <w:rPr>
                <w:sz w:val="21"/>
                <w:szCs w:val="21"/>
                <w:color w:val="auto"/>
              </w:rPr>
            </w:pPr>
          </w:p>
        </w:tc>
        <w:tc>
          <w:tcPr>
            <w:tcW w:w="1380" w:type="dxa"/>
            <w:vAlign w:val="bottom"/>
            <w:shd w:val="clear" w:color="auto" w:fill="D1D2D4"/>
          </w:tcPr>
          <w:p>
            <w:pPr>
              <w:spacing w:after="0"/>
              <w:rPr>
                <w:sz w:val="21"/>
                <w:szCs w:val="21"/>
                <w:color w:val="auto"/>
              </w:rPr>
            </w:pPr>
          </w:p>
        </w:tc>
        <w:tc>
          <w:tcPr>
            <w:tcW w:w="1140" w:type="dxa"/>
            <w:vAlign w:val="bottom"/>
            <w:shd w:val="clear" w:color="auto" w:fill="D1D2D4"/>
          </w:tcPr>
          <w:p>
            <w:pPr>
              <w:spacing w:after="0"/>
              <w:rPr>
                <w:sz w:val="21"/>
                <w:szCs w:val="21"/>
                <w:color w:val="auto"/>
              </w:rPr>
            </w:pPr>
          </w:p>
        </w:tc>
        <w:tc>
          <w:tcPr>
            <w:tcW w:w="18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080" w:type="dxa"/>
            <w:vAlign w:val="bottom"/>
            <w:tcBorders>
              <w:bottom w:val="single" w:sz="8" w:color="D1D2D4"/>
            </w:tcBorders>
          </w:tcPr>
          <w:p>
            <w:pPr>
              <w:spacing w:after="0"/>
              <w:rPr>
                <w:sz w:val="21"/>
                <w:szCs w:val="21"/>
                <w:color w:val="auto"/>
              </w:rPr>
            </w:pPr>
          </w:p>
        </w:tc>
        <w:tc>
          <w:tcPr>
            <w:tcW w:w="1380" w:type="dxa"/>
            <w:vAlign w:val="bottom"/>
            <w:tcBorders>
              <w:bottom w:val="single" w:sz="8" w:color="D1D2D4"/>
            </w:tcBorders>
          </w:tcPr>
          <w:p>
            <w:pPr>
              <w:spacing w:after="0"/>
              <w:rPr>
                <w:sz w:val="21"/>
                <w:szCs w:val="21"/>
                <w:color w:val="auto"/>
              </w:rPr>
            </w:pPr>
          </w:p>
        </w:tc>
        <w:tc>
          <w:tcPr>
            <w:tcW w:w="1140" w:type="dxa"/>
            <w:vAlign w:val="bottom"/>
            <w:tcBorders>
              <w:bottom w:val="single" w:sz="8" w:color="D1D2D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80" w:type="dxa"/>
            <w:vAlign w:val="bottom"/>
            <w:tcBorders>
              <w:bottom w:val="single" w:sz="8" w:color="D1D2D4"/>
            </w:tcBorders>
            <w:shd w:val="clear" w:color="auto" w:fill="D1D2D4"/>
          </w:tcPr>
          <w:p>
            <w:pPr>
              <w:spacing w:after="0"/>
              <w:rPr>
                <w:sz w:val="22"/>
                <w:szCs w:val="22"/>
                <w:color w:val="auto"/>
              </w:rPr>
            </w:pPr>
          </w:p>
        </w:tc>
        <w:tc>
          <w:tcPr>
            <w:tcW w:w="1380" w:type="dxa"/>
            <w:vAlign w:val="bottom"/>
            <w:tcBorders>
              <w:bottom w:val="single" w:sz="8" w:color="D1D2D4"/>
            </w:tcBorders>
            <w:shd w:val="clear" w:color="auto" w:fill="D1D2D4"/>
          </w:tcPr>
          <w:p>
            <w:pPr>
              <w:spacing w:after="0"/>
              <w:rPr>
                <w:sz w:val="22"/>
                <w:szCs w:val="22"/>
                <w:color w:val="auto"/>
              </w:rPr>
            </w:pPr>
          </w:p>
        </w:tc>
        <w:tc>
          <w:tcPr>
            <w:tcW w:w="1140" w:type="dxa"/>
            <w:vAlign w:val="bottom"/>
            <w:tcBorders>
              <w:bottom w:val="single" w:sz="8" w:color="D1D2D4"/>
            </w:tcBorders>
            <w:shd w:val="clear" w:color="auto" w:fill="D1D2D4"/>
          </w:tcPr>
          <w:p>
            <w:pPr>
              <w:spacing w:after="0"/>
              <w:rPr>
                <w:sz w:val="22"/>
                <w:szCs w:val="22"/>
                <w:color w:val="auto"/>
              </w:rPr>
            </w:pP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080" w:type="dxa"/>
            <w:vAlign w:val="bottom"/>
            <w:tcBorders>
              <w:top w:val="single" w:sz="8" w:color="D1D2D4"/>
            </w:tcBorders>
          </w:tcPr>
          <w:p>
            <w:pPr>
              <w:spacing w:after="0" w:line="20" w:lineRule="exact"/>
              <w:rPr>
                <w:sz w:val="1"/>
                <w:szCs w:val="1"/>
                <w:color w:val="auto"/>
              </w:rPr>
            </w:pPr>
          </w:p>
        </w:tc>
        <w:tc>
          <w:tcPr>
            <w:tcW w:w="1380" w:type="dxa"/>
            <w:vAlign w:val="bottom"/>
            <w:tcBorders>
              <w:top w:val="single" w:sz="8" w:color="D1D2D4"/>
            </w:tcBorders>
          </w:tcPr>
          <w:p>
            <w:pPr>
              <w:spacing w:after="0" w:line="20" w:lineRule="exact"/>
              <w:rPr>
                <w:sz w:val="1"/>
                <w:szCs w:val="1"/>
                <w:color w:val="auto"/>
              </w:rPr>
            </w:pPr>
          </w:p>
        </w:tc>
        <w:tc>
          <w:tcPr>
            <w:tcW w:w="114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 other.</w:t>
      </w:r>
    </w:p>
    <w:p>
      <w:pPr>
        <w:ind w:left="340" w:right="340" w:hanging="332"/>
        <w:spacing w:after="0" w:line="219" w:lineRule="auto"/>
        <w:tabs>
          <w:tab w:leader="none" w:pos="334" w:val="left"/>
        </w:tabs>
        <w:numPr>
          <w:ilvl w:val="0"/>
          <w:numId w:val="1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 other for forward contracts and in current debt for convertible notes settlement obligations.</w:t>
      </w:r>
    </w:p>
    <w:p>
      <w:pPr>
        <w:spacing w:after="0" w:line="1" w:lineRule="exact"/>
        <w:rPr>
          <w:rFonts w:ascii="Arial" w:cs="Arial" w:eastAsia="Arial" w:hAnsi="Arial"/>
          <w:sz w:val="23"/>
          <w:szCs w:val="23"/>
          <w:i w:val="1"/>
          <w:iCs w:val="1"/>
          <w:color w:val="auto"/>
          <w:vertAlign w:val="superscript"/>
        </w:rPr>
      </w:pPr>
    </w:p>
    <w:p>
      <w:pPr>
        <w:ind w:left="340" w:right="280" w:hanging="332"/>
        <w:spacing w:after="0" w:line="220" w:lineRule="auto"/>
        <w:tabs>
          <w:tab w:leader="none" w:pos="334" w:val="left"/>
        </w:tabs>
        <w:numPr>
          <w:ilvl w:val="0"/>
          <w:numId w:val="1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Notional amounts of convertible notes settlement obligations were not significant as of February 27, 2020 and were 4 million shares of our common stock as of August 29, 2019.</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utilize currency forward contracts that generally mature within 13 months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manufacturing costs. We recognized losses of $17 million and $14 million in the second quarter and first six months of 2020, respectively, and gains of $7 million and losses of $6 million in the second quarter and first six months of 2019, respectively, in accumulated other comprehensive income from the effective portion of cash flow hedges. Neither the amount excluded from hedge effectiveness nor the reclassifications from accumulated other comprehensive income to earnings were significant in the second quarters or first six months of 2020 or 2019. The amounts from cash flow hedges included in accumulated other comprehensive income that are expected to be reclassified into earnings in the next 12 months were also not significant.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For derivative instruments without hedge accounting designation, we recognized losses of $1 million and gains of $4 million in the second quarter and first six months of 2020, respectively, and gains of $11 million in the second quarter of 2019 and losses of $11 million in the first quarter of 2019.</w:t>
      </w:r>
    </w:p>
    <w:p>
      <w:pPr>
        <w:spacing w:after="0" w:line="20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note.) We recognized losses of $12 million in the first six months of 2020, and losses of $82 million and $66 million in the second quarter and first six months of 2019, respectively, in other non-operating income (expense), net for the changes in fair value of the derivative settlement obligations. The gains recognized in the second quarter of 2020 were not significant.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27, 2020, 92 million shares of our common stock were available for future awards under our equity plans.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Restricted Stock Award activity is summarized as follows: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7"/>
        </w:trPr>
        <w:tc>
          <w:tcPr>
            <w:tcW w:w="5360" w:type="dxa"/>
            <w:vAlign w:val="bottom"/>
          </w:tcPr>
          <w:p>
            <w:pPr>
              <w:spacing w:after="0"/>
              <w:rPr>
                <w:sz w:val="24"/>
                <w:szCs w:val="24"/>
                <w:color w:val="auto"/>
              </w:rPr>
            </w:pPr>
          </w:p>
        </w:tc>
        <w:tc>
          <w:tcPr>
            <w:tcW w:w="160" w:type="dxa"/>
            <w:vAlign w:val="bottom"/>
            <w:tcBorders>
              <w:bottom w:val="single" w:sz="8" w:color="0090DA"/>
            </w:tcBorders>
          </w:tcPr>
          <w:p>
            <w:pPr>
              <w:spacing w:after="0"/>
              <w:rPr>
                <w:sz w:val="24"/>
                <w:szCs w:val="24"/>
                <w:color w:val="auto"/>
              </w:rPr>
            </w:pPr>
          </w:p>
        </w:tc>
        <w:tc>
          <w:tcPr>
            <w:tcW w:w="2740" w:type="dxa"/>
            <w:vAlign w:val="bottom"/>
            <w:tcBorders>
              <w:bottom w:val="single" w:sz="8" w:color="0090DA"/>
            </w:tcBorders>
            <w:gridSpan w:val="3"/>
          </w:tcPr>
          <w:p>
            <w:pPr>
              <w:ind w:left="68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4"/>
                <w:szCs w:val="24"/>
                <w:color w:val="auto"/>
              </w:rPr>
            </w:pPr>
          </w:p>
        </w:tc>
        <w:tc>
          <w:tcPr>
            <w:tcW w:w="140" w:type="dxa"/>
            <w:vAlign w:val="bottom"/>
            <w:tcBorders>
              <w:bottom w:val="single" w:sz="8" w:color="0090DA"/>
            </w:tcBorders>
          </w:tcPr>
          <w:p>
            <w:pPr>
              <w:spacing w:after="0"/>
              <w:rPr>
                <w:sz w:val="24"/>
                <w:szCs w:val="24"/>
                <w:color w:val="auto"/>
              </w:rPr>
            </w:pPr>
          </w:p>
        </w:tc>
        <w:tc>
          <w:tcPr>
            <w:tcW w:w="274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February 27,</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February 28,</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February 27,</w:t>
            </w:r>
          </w:p>
        </w:tc>
        <w:tc>
          <w:tcPr>
            <w:tcW w:w="280" w:type="dxa"/>
            <w:vAlign w:val="bottom"/>
          </w:tcPr>
          <w:p>
            <w:pPr>
              <w:spacing w:after="0"/>
              <w:rPr>
                <w:sz w:val="17"/>
                <w:szCs w:val="17"/>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6"/>
        </w:trPr>
        <w:tc>
          <w:tcPr>
            <w:tcW w:w="5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Restricted stock award shares granted</w:t>
            </w:r>
          </w:p>
        </w:tc>
        <w:tc>
          <w:tcPr>
            <w:tcW w:w="160" w:type="dxa"/>
            <w:vAlign w:val="bottom"/>
            <w:shd w:val="clear" w:color="auto" w:fill="DDDDDD"/>
          </w:tcPr>
          <w:p>
            <w:pPr>
              <w:spacing w:after="0"/>
              <w:rPr>
                <w:sz w:val="22"/>
                <w:szCs w:val="22"/>
                <w:color w:val="auto"/>
              </w:rPr>
            </w:pPr>
          </w:p>
        </w:tc>
        <w:tc>
          <w:tcPr>
            <w:tcW w:w="1300" w:type="dxa"/>
            <w:vAlign w:val="bottom"/>
            <w:shd w:val="clear" w:color="auto" w:fill="DDDDDD"/>
          </w:tcPr>
          <w:p>
            <w:pPr>
              <w:ind w:left="1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DDDDD"/>
          </w:tcPr>
          <w:p>
            <w:pPr>
              <w:spacing w:after="0"/>
              <w:rPr>
                <w:sz w:val="22"/>
                <w:szCs w:val="22"/>
                <w:color w:val="auto"/>
              </w:rPr>
            </w:pPr>
          </w:p>
        </w:tc>
        <w:tc>
          <w:tcPr>
            <w:tcW w:w="1400" w:type="dxa"/>
            <w:vAlign w:val="bottom"/>
            <w:gridSpan w:val="2"/>
            <w:shd w:val="clear" w:color="auto" w:fill="DDDDDD"/>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22"/>
                <w:szCs w:val="22"/>
                <w:color w:val="auto"/>
              </w:rPr>
            </w:pPr>
          </w:p>
        </w:tc>
        <w:tc>
          <w:tcPr>
            <w:tcW w:w="116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8</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680"/>
              <w:spacing w:after="0"/>
              <w:rPr>
                <w:sz w:val="20"/>
                <w:szCs w:val="20"/>
                <w:color w:val="auto"/>
              </w:rPr>
            </w:pPr>
            <w:r>
              <w:rPr>
                <w:rFonts w:ascii="Arial" w:cs="Arial" w:eastAsia="Arial" w:hAnsi="Arial"/>
                <w:sz w:val="18"/>
                <w:szCs w:val="18"/>
                <w:color w:val="auto"/>
              </w:rPr>
              <w:t>54.71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39.83</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six-month ESPP period ended January 2020 and January 2019, we issued 2 million and 1 million shares, respectively, at a per share price of $38.16 and $32.50, respectively. Assumptions used in the Black-Scholes option valuation model for ESPP grants for the periods below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February 27,</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February 28,</w:t>
            </w:r>
          </w:p>
        </w:tc>
        <w:tc>
          <w:tcPr>
            <w:tcW w:w="200" w:type="dxa"/>
            <w:vAlign w:val="bottom"/>
          </w:tcPr>
          <w:p>
            <w:pPr>
              <w:spacing w:after="0"/>
              <w:rPr>
                <w:sz w:val="18"/>
                <w:szCs w:val="18"/>
                <w:color w:val="auto"/>
              </w:rPr>
            </w:pPr>
          </w:p>
        </w:tc>
      </w:tr>
      <w:tr>
        <w:trPr>
          <w:trHeight w:val="246"/>
        </w:trPr>
        <w:tc>
          <w:tcPr>
            <w:tcW w:w="62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Quarter ended</w:t>
            </w:r>
          </w:p>
        </w:tc>
        <w:tc>
          <w:tcPr>
            <w:tcW w:w="332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1"/>
                <w:szCs w:val="21"/>
                <w:color w:val="auto"/>
              </w:rPr>
            </w:pPr>
          </w:p>
        </w:tc>
      </w:tr>
      <w:tr>
        <w:trPr>
          <w:trHeight w:val="40"/>
        </w:trPr>
        <w:tc>
          <w:tcPr>
            <w:tcW w:w="620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7"/>
        </w:trPr>
        <w:tc>
          <w:tcPr>
            <w:tcW w:w="6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3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14.43</w:t>
            </w:r>
          </w:p>
        </w:tc>
        <w:tc>
          <w:tcPr>
            <w:tcW w:w="30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10.92</w:t>
            </w:r>
          </w:p>
        </w:tc>
        <w:tc>
          <w:tcPr>
            <w:tcW w:w="200" w:type="dxa"/>
            <w:vAlign w:val="bottom"/>
            <w:shd w:val="clear" w:color="auto" w:fill="D1D2D4"/>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3620" w:type="dxa"/>
            <w:vAlign w:val="bottom"/>
            <w:gridSpan w:val="2"/>
          </w:tcPr>
          <w:p>
            <w:pPr>
              <w:jc w:val="right"/>
              <w:ind w:right="110"/>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63"/>
        </w:trPr>
        <w:tc>
          <w:tcPr>
            <w:tcW w:w="6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w:t>
            </w:r>
          </w:p>
        </w:tc>
        <w:tc>
          <w:tcPr>
            <w:tcW w:w="3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33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6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3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49</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37</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r>
      <w:tr>
        <w:trPr>
          <w:trHeight w:val="275"/>
        </w:trPr>
        <w:tc>
          <w:tcPr>
            <w:tcW w:w="5360" w:type="dxa"/>
            <w:vAlign w:val="bottom"/>
            <w:tcBorders>
              <w:bottom w:val="single" w:sz="8" w:color="D1D2D4"/>
            </w:tcBorders>
            <w:shd w:val="clear" w:color="auto" w:fill="D1D2D4"/>
          </w:tcPr>
          <w:p>
            <w:pPr>
              <w:spacing w:after="0"/>
              <w:rPr>
                <w:sz w:val="23"/>
                <w:szCs w:val="23"/>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83</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ESPP</w:t>
            </w: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r>
      <w:tr>
        <w:trPr>
          <w:trHeight w:val="275"/>
        </w:trPr>
        <w:tc>
          <w:tcPr>
            <w:tcW w:w="5360" w:type="dxa"/>
            <w:vAlign w:val="bottom"/>
            <w:tcBorders>
              <w:bottom w:val="single" w:sz="8" w:color="D1D2D4"/>
            </w:tcBorders>
            <w:shd w:val="clear" w:color="auto" w:fill="D1D2D4"/>
          </w:tcPr>
          <w:p>
            <w:pPr>
              <w:spacing w:after="0"/>
              <w:rPr>
                <w:sz w:val="23"/>
                <w:szCs w:val="23"/>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income tax benefits related to share-based compensation were $53 million and $ 79 million for the second quarter and first six months of 2020, respectively, and $30 million and $53 million for the second quarter and first six months of 2019, respectively. As of February 27, 2020, $656 million of total unrecognized compensation costs for unvested awards, before the effect of any future forfeitures, was expected to be recognized through the second quarter of 2024, resulting in a weighted-average period of 1.4 years.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Contract Liabilities</w:t>
      </w:r>
    </w:p>
    <w:p>
      <w:pPr>
        <w:spacing w:after="0" w:line="2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Revenue by technology is presented in the table below. (See “Segment and Other Information” note for disclosure of disaggregated revenue by market segments.)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60" w:type="dxa"/>
            <w:vAlign w:val="bottom"/>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2520" w:type="dxa"/>
            <w:vAlign w:val="bottom"/>
            <w:tcBorders>
              <w:bottom w:val="single" w:sz="8" w:color="0090DA"/>
            </w:tcBorders>
            <w:gridSpan w:val="3"/>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2520" w:type="dxa"/>
            <w:vAlign w:val="bottom"/>
            <w:tcBorders>
              <w:bottom w:val="single" w:sz="8" w:color="0090DA"/>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1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18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28,</w:t>
            </w:r>
          </w:p>
        </w:tc>
      </w:tr>
      <w:tr>
        <w:trPr>
          <w:trHeight w:val="246"/>
        </w:trPr>
        <w:tc>
          <w:tcPr>
            <w:tcW w:w="586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0"/>
        </w:trPr>
        <w:tc>
          <w:tcPr>
            <w:tcW w:w="5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7"/>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3,083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D1D2D4"/>
          </w:tcPr>
          <w:p>
            <w:pPr>
              <w:spacing w:after="0"/>
              <w:rPr>
                <w:sz w:val="22"/>
                <w:szCs w:val="22"/>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6,552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10,044</w:t>
            </w: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NAND</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2,936</w:t>
            </w:r>
          </w:p>
        </w:tc>
        <w:tc>
          <w:tcPr>
            <w:tcW w:w="1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3,047</w:t>
            </w:r>
          </w:p>
        </w:tc>
      </w:tr>
      <w:tr>
        <w:trPr>
          <w:trHeight w:val="257"/>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D1D2D4"/>
          </w:tcPr>
          <w:p>
            <w:pPr>
              <w:spacing w:after="0"/>
              <w:rPr>
                <w:sz w:val="22"/>
                <w:szCs w:val="22"/>
                <w:color w:val="auto"/>
              </w:rPr>
            </w:pP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657</w:t>
            </w:r>
          </w:p>
        </w:tc>
      </w:tr>
      <w:tr>
        <w:trPr>
          <w:trHeight w:val="250"/>
        </w:trPr>
        <w:tc>
          <w:tcPr>
            <w:tcW w:w="58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13,748</w:t>
            </w:r>
          </w:p>
        </w:tc>
      </w:tr>
      <w:tr>
        <w:trPr>
          <w:trHeight w:val="27"/>
        </w:trPr>
        <w:tc>
          <w:tcPr>
            <w:tcW w:w="5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Beginning in 2020, revenues for MCPs and SSDs, which contain both DRAM and NAND, are disaggregated into DRAM and NAND based on the relative values of each component. The three and six months ended February 28, 2019 in the table above have been conformed to current period presentation.</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Revenue and interest expense associated with contract liabilities for the time value of advance payments was not significant in any period presented. As of February 27, 2020, our future performance obligations beyond one year were not significant. Contract liabilities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2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61</w:t>
            </w: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w:t>
            </w:r>
          </w:p>
        </w:tc>
      </w:tr>
      <w:tr>
        <w:trPr>
          <w:trHeight w:val="275"/>
        </w:trPr>
        <w:tc>
          <w:tcPr>
            <w:tcW w:w="8600" w:type="dxa"/>
            <w:vAlign w:val="bottom"/>
            <w:tcBorders>
              <w:bottom w:val="single" w:sz="8" w:color="D1D2D4"/>
            </w:tcBorders>
            <w:shd w:val="clear" w:color="auto" w:fill="D1D2D4"/>
          </w:tcPr>
          <w:p>
            <w:pPr>
              <w:spacing w:after="0"/>
              <w:rPr>
                <w:sz w:val="23"/>
                <w:szCs w:val="23"/>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130</w:t>
            </w:r>
          </w:p>
        </w:tc>
      </w:tr>
      <w:tr>
        <w:trPr>
          <w:trHeight w:val="20"/>
        </w:trPr>
        <w:tc>
          <w:tcPr>
            <w:tcW w:w="86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5" w:name="page26"/>
    <w:bookmarkEnd w:id="25"/>
    <w:p>
      <w:pPr>
        <w:ind w:right="80"/>
        <w:spacing w:after="0" w:line="256" w:lineRule="auto"/>
        <w:rPr>
          <w:sz w:val="20"/>
          <w:szCs w:val="20"/>
          <w:color w:val="auto"/>
        </w:rPr>
      </w:pPr>
      <w:r>
        <w:rPr>
          <w:rFonts w:ascii="Arial" w:cs="Arial" w:eastAsia="Arial" w:hAnsi="Arial"/>
          <w:sz w:val="18"/>
          <w:szCs w:val="18"/>
          <w:color w:val="auto"/>
        </w:rPr>
        <w:t>Revenue recognized during the first six months of 2020 from the beginning balance as of August 29, 2019 included $70 million from meeting performance obligations of other contract liabilities and shipments against customer advances. Contract liabilities from customer advances also decreased $22 million due to the return of unutilized customer advances upon expiration of the contract.</w:t>
      </w:r>
    </w:p>
    <w:p>
      <w:pPr>
        <w:spacing w:after="0" w:line="22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As of February 27, 2020, other current liabilities included $436 million for estimates of consideration payable to customers, including estimates for pricing adjustments and returns.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0"/>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84</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w:t>
            </w:r>
          </w:p>
        </w:tc>
      </w:tr>
      <w:tr>
        <w:trPr>
          <w:trHeight w:val="275"/>
        </w:trPr>
        <w:tc>
          <w:tcPr>
            <w:tcW w:w="5360" w:type="dxa"/>
            <w:vAlign w:val="bottom"/>
            <w:tcBorders>
              <w:bottom w:val="single" w:sz="8" w:color="D1D2D4"/>
            </w:tcBorders>
            <w:shd w:val="clear" w:color="auto" w:fill="D1D2D4"/>
          </w:tcPr>
          <w:p>
            <w:pPr>
              <w:spacing w:after="0"/>
              <w:rPr>
                <w:sz w:val="23"/>
                <w:szCs w:val="23"/>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133</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February 27,</w:t>
            </w:r>
          </w:p>
        </w:tc>
        <w:tc>
          <w:tcPr>
            <w:tcW w:w="20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6"/>
        </w:trPr>
        <w:tc>
          <w:tcPr>
            <w:tcW w:w="5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Gain (loss) on debt prepayments, repurchases, and conversions   $</w:t>
            </w: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(69)</w:t>
            </w:r>
          </w:p>
        </w:tc>
      </w:tr>
      <w:tr>
        <w:trPr>
          <w:trHeight w:val="25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Loss from changes in currency exchange rates</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22"/>
                <w:szCs w:val="22"/>
                <w:color w:val="auto"/>
              </w:rPr>
            </w:pPr>
          </w:p>
        </w:tc>
        <w:tc>
          <w:tcPr>
            <w:tcW w:w="1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D1D2D4"/>
          </w:tcPr>
          <w:p>
            <w:pPr>
              <w:spacing w:after="0"/>
              <w:rPr>
                <w:sz w:val="22"/>
                <w:szCs w:val="22"/>
                <w:color w:val="auto"/>
              </w:rPr>
            </w:pP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D1D2D4"/>
          </w:tcPr>
          <w:p>
            <w:pPr>
              <w:spacing w:after="0"/>
              <w:rPr>
                <w:sz w:val="22"/>
                <w:szCs w:val="22"/>
                <w:color w:val="auto"/>
              </w:rPr>
            </w:pPr>
          </w:p>
        </w:tc>
        <w:tc>
          <w:tcPr>
            <w:tcW w:w="140" w:type="dxa"/>
            <w:vAlign w:val="bottom"/>
            <w:tcBorders>
              <w:bottom w:val="single" w:sz="8" w:color="auto"/>
            </w:tcBorders>
            <w:shd w:val="clear" w:color="auto" w:fill="D1D2D4"/>
          </w:tcPr>
          <w:p>
            <w:pPr>
              <w:spacing w:after="0"/>
              <w:rPr>
                <w:sz w:val="22"/>
                <w:szCs w:val="22"/>
                <w:color w:val="auto"/>
              </w:rPr>
            </w:pP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D1D2D4"/>
          </w:tcPr>
          <w:p>
            <w:pPr>
              <w:spacing w:after="0"/>
              <w:rPr>
                <w:sz w:val="22"/>
                <w:szCs w:val="22"/>
                <w:color w:val="auto"/>
              </w:rPr>
            </w:pP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r>
      <w:tr>
        <w:trPr>
          <w:trHeight w:val="250"/>
        </w:trPr>
        <w:tc>
          <w:tcPr>
            <w:tcW w:w="5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3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360" w:type="dxa"/>
            <w:vAlign w:val="bottom"/>
          </w:tcPr>
          <w:p>
            <w:pPr>
              <w:spacing w:after="0"/>
              <w:rPr>
                <w:sz w:val="24"/>
                <w:szCs w:val="24"/>
                <w:color w:val="auto"/>
              </w:rPr>
            </w:pPr>
          </w:p>
        </w:tc>
        <w:tc>
          <w:tcPr>
            <w:tcW w:w="160" w:type="dxa"/>
            <w:vAlign w:val="bottom"/>
            <w:tcBorders>
              <w:bottom w:val="single" w:sz="8" w:color="0090DA"/>
            </w:tcBorders>
          </w:tcPr>
          <w:p>
            <w:pPr>
              <w:spacing w:after="0"/>
              <w:rPr>
                <w:sz w:val="24"/>
                <w:szCs w:val="24"/>
                <w:color w:val="auto"/>
              </w:rPr>
            </w:pPr>
          </w:p>
        </w:tc>
        <w:tc>
          <w:tcPr>
            <w:tcW w:w="274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4"/>
                <w:szCs w:val="24"/>
                <w:color w:val="auto"/>
              </w:rPr>
            </w:pPr>
          </w:p>
        </w:tc>
        <w:tc>
          <w:tcPr>
            <w:tcW w:w="140" w:type="dxa"/>
            <w:vAlign w:val="bottom"/>
            <w:tcBorders>
              <w:bottom w:val="single" w:sz="8" w:color="0090DA"/>
            </w:tcBorders>
          </w:tcPr>
          <w:p>
            <w:pPr>
              <w:spacing w:after="0"/>
              <w:rPr>
                <w:sz w:val="24"/>
                <w:szCs w:val="24"/>
                <w:color w:val="auto"/>
              </w:rPr>
            </w:pPr>
          </w:p>
        </w:tc>
        <w:tc>
          <w:tcPr>
            <w:tcW w:w="274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February 27,</w:t>
            </w:r>
          </w:p>
        </w:tc>
        <w:tc>
          <w:tcPr>
            <w:tcW w:w="20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February 27,</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46"/>
        </w:trPr>
        <w:tc>
          <w:tcPr>
            <w:tcW w:w="53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 excluding items below</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center"/>
              <w:ind w:left="690"/>
              <w:spacing w:after="0"/>
              <w:rPr>
                <w:sz w:val="20"/>
                <w:szCs w:val="20"/>
                <w:color w:val="auto"/>
              </w:rPr>
            </w:pPr>
            <w:r>
              <w:rPr>
                <w:rFonts w:ascii="Arial" w:cs="Arial" w:eastAsia="Arial" w:hAnsi="Arial"/>
                <w:sz w:val="18"/>
                <w:szCs w:val="18"/>
                <w:color w:val="auto"/>
                <w:w w:val="99"/>
              </w:rPr>
              <w:t>(30)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88"/>
        </w:trPr>
        <w:tc>
          <w:tcPr>
            <w:tcW w:w="5360" w:type="dxa"/>
            <w:vAlign w:val="bottom"/>
          </w:tcPr>
          <w:p>
            <w:pPr>
              <w:ind w:left="20"/>
              <w:spacing w:after="0" w:line="189" w:lineRule="exact"/>
              <w:rPr>
                <w:sz w:val="20"/>
                <w:szCs w:val="20"/>
                <w:color w:val="auto"/>
              </w:rPr>
            </w:pPr>
            <w:r>
              <w:rPr>
                <w:rFonts w:ascii="Arial" w:cs="Arial" w:eastAsia="Arial" w:hAnsi="Arial"/>
                <w:sz w:val="18"/>
                <w:szCs w:val="18"/>
                <w:color w:val="auto"/>
              </w:rPr>
              <w:t>Utilization of and other changes in net deferred tax assets of MMJ,</w:t>
            </w:r>
          </w:p>
        </w:tc>
        <w:tc>
          <w:tcPr>
            <w:tcW w:w="1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6"/>
                <w:szCs w:val="16"/>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restart"/>
          </w:tcPr>
          <w:p>
            <w:pPr>
              <w:jc w:val="center"/>
              <w:ind w:left="690"/>
              <w:spacing w:after="0"/>
              <w:rPr>
                <w:sz w:val="20"/>
                <w:szCs w:val="20"/>
                <w:color w:val="auto"/>
              </w:rPr>
            </w:pPr>
            <w:r>
              <w:rPr>
                <w:rFonts w:ascii="Arial" w:cs="Arial" w:eastAsia="Arial" w:hAnsi="Arial"/>
                <w:sz w:val="18"/>
                <w:szCs w:val="18"/>
                <w:color w:val="auto"/>
                <w:w w:val="99"/>
              </w:rPr>
              <w:t>(46)</w:t>
            </w:r>
          </w:p>
        </w:tc>
        <w:tc>
          <w:tcPr>
            <w:tcW w:w="180" w:type="dxa"/>
            <w:vAlign w:val="bottom"/>
          </w:tcPr>
          <w:p>
            <w:pPr>
              <w:spacing w:after="0"/>
              <w:rPr>
                <w:sz w:val="16"/>
                <w:szCs w:val="16"/>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MMT, and MTTW</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Repatriation tax, net of adjustments related to uncertain tax</w:t>
            </w:r>
          </w:p>
        </w:tc>
        <w:tc>
          <w:tcPr>
            <w:tcW w:w="160" w:type="dxa"/>
            <w:vAlign w:val="bottom"/>
            <w:shd w:val="clear" w:color="auto" w:fill="D1D2D4"/>
          </w:tcPr>
          <w:p>
            <w:pPr>
              <w:spacing w:after="0"/>
              <w:rPr>
                <w:sz w:val="16"/>
                <w:szCs w:val="16"/>
                <w:color w:val="auto"/>
              </w:rPr>
            </w:pPr>
          </w:p>
        </w:tc>
        <w:tc>
          <w:tcPr>
            <w:tcW w:w="124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6"/>
                <w:szCs w:val="16"/>
                <w:color w:val="auto"/>
              </w:rPr>
            </w:pPr>
          </w:p>
        </w:tc>
        <w:tc>
          <w:tcPr>
            <w:tcW w:w="130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260" w:type="dxa"/>
            <w:vAlign w:val="bottom"/>
            <w:vMerge w:val="restart"/>
            <w:shd w:val="clear" w:color="auto" w:fill="D1D2D4"/>
          </w:tcPr>
          <w:p>
            <w:pPr>
              <w:jc w:val="center"/>
              <w:ind w:left="7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D1D2D4"/>
          </w:tcPr>
          <w:p>
            <w:pPr>
              <w:spacing w:after="0"/>
              <w:rPr>
                <w:sz w:val="16"/>
                <w:szCs w:val="16"/>
                <w:color w:val="auto"/>
              </w:rPr>
            </w:pPr>
          </w:p>
        </w:tc>
        <w:tc>
          <w:tcPr>
            <w:tcW w:w="130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5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positions</w:t>
            </w:r>
          </w:p>
        </w:tc>
        <w:tc>
          <w:tcPr>
            <w:tcW w:w="160" w:type="dxa"/>
            <w:vAlign w:val="bottom"/>
            <w:tcBorders>
              <w:bottom w:val="single" w:sz="8" w:color="auto"/>
            </w:tcBorders>
            <w:shd w:val="clear" w:color="auto" w:fill="D1D2D4"/>
          </w:tcPr>
          <w:p>
            <w:pPr>
              <w:spacing w:after="0"/>
              <w:rPr>
                <w:sz w:val="18"/>
                <w:szCs w:val="18"/>
                <w:color w:val="auto"/>
              </w:rPr>
            </w:pPr>
          </w:p>
        </w:tc>
        <w:tc>
          <w:tcPr>
            <w:tcW w:w="1240" w:type="dxa"/>
            <w:vAlign w:val="bottom"/>
            <w:tcBorders>
              <w:bottom w:val="single" w:sz="8" w:color="auto"/>
            </w:tcBorders>
            <w:vMerge w:val="continue"/>
            <w:shd w:val="clear" w:color="auto" w:fill="D1D2D4"/>
          </w:tcPr>
          <w:p>
            <w:pPr>
              <w:spacing w:after="0"/>
              <w:rPr>
                <w:sz w:val="18"/>
                <w:szCs w:val="18"/>
                <w:color w:val="auto"/>
              </w:rPr>
            </w:pPr>
          </w:p>
        </w:tc>
        <w:tc>
          <w:tcPr>
            <w:tcW w:w="200" w:type="dxa"/>
            <w:vAlign w:val="bottom"/>
            <w:tcBorders>
              <w:bottom w:val="single" w:sz="8" w:color="auto"/>
            </w:tcBorders>
            <w:shd w:val="clear" w:color="auto" w:fill="D1D2D4"/>
          </w:tcPr>
          <w:p>
            <w:pPr>
              <w:spacing w:after="0"/>
              <w:rPr>
                <w:sz w:val="18"/>
                <w:szCs w:val="18"/>
                <w:color w:val="auto"/>
              </w:rPr>
            </w:pPr>
          </w:p>
        </w:tc>
        <w:tc>
          <w:tcPr>
            <w:tcW w:w="1300" w:type="dxa"/>
            <w:vAlign w:val="bottom"/>
            <w:tcBorders>
              <w:bottom w:val="single" w:sz="8" w:color="auto"/>
            </w:tcBorders>
            <w:vMerge w:val="continue"/>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vMerge w:val="continue"/>
            <w:shd w:val="clear" w:color="auto" w:fill="D1D2D4"/>
          </w:tcPr>
          <w:p>
            <w:pPr>
              <w:spacing w:after="0"/>
              <w:rPr>
                <w:sz w:val="18"/>
                <w:szCs w:val="18"/>
                <w:color w:val="auto"/>
              </w:rPr>
            </w:pPr>
          </w:p>
        </w:tc>
        <w:tc>
          <w:tcPr>
            <w:tcW w:w="180" w:type="dxa"/>
            <w:vAlign w:val="bottom"/>
            <w:tcBorders>
              <w:bottom w:val="single" w:sz="8" w:color="auto"/>
            </w:tcBorders>
            <w:shd w:val="clear" w:color="auto" w:fill="D1D2D4"/>
          </w:tcPr>
          <w:p>
            <w:pPr>
              <w:spacing w:after="0"/>
              <w:rPr>
                <w:sz w:val="18"/>
                <w:szCs w:val="18"/>
                <w:color w:val="auto"/>
              </w:rPr>
            </w:pPr>
          </w:p>
        </w:tc>
        <w:tc>
          <w:tcPr>
            <w:tcW w:w="1300" w:type="dxa"/>
            <w:vAlign w:val="bottom"/>
            <w:tcBorders>
              <w:bottom w:val="single" w:sz="8" w:color="auto"/>
            </w:tcBorders>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9"/>
              </w:rPr>
              <w:t>(76)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decrease in our income tax provision in the second quarter and first six months of 2020 as compared to the corresponding periods of 2019 was due primarily to reductions in profit before tax and the foreign minimum tax.</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February 27, 2020, gross unrecognized tax benefits were $383 million, substantially all of which would affect our effective tax rate in the future, if recognized. The amount accrued for interest and penalties related to uncertain tax positions was not significant for any period presented.</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26" w:name="page27"/>
    <w:bookmarkEnd w:id="26"/>
    <w:p>
      <w:pPr>
        <w:ind w:right="28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which expire in whole or in part at various dates through 2034, that are conditional, in part, upon meeting certain business operations and employment thresholds. The effect of tax incentive arrangements were not significant to our tax provision for the second quarter or first six months of 2020. These arrangements reduced our tax provision by $244 million (benefiting our diluted earnings per share by $0.21) and $671 million ($0.58 per diluted share) for the second quarter and first six months of 2019,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4,912</w:t>
            </w:r>
          </w:p>
        </w:tc>
      </w:tr>
      <w:tr>
        <w:trPr>
          <w:trHeight w:val="25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Assumed conversion of debt</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81"/>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D1D2D4"/>
            </w:tcBorders>
            <w:shd w:val="clear" w:color="auto" w:fill="D1D2D4"/>
          </w:tcPr>
          <w:p>
            <w:pPr>
              <w:spacing w:after="0"/>
              <w:rPr>
                <w:sz w:val="24"/>
                <w:szCs w:val="24"/>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892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4,910</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1,109</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1,123</w:t>
            </w:r>
          </w:p>
        </w:tc>
      </w:tr>
      <w:tr>
        <w:trPr>
          <w:trHeight w:val="257"/>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D1D2D4"/>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r>
      <w:tr>
        <w:trPr>
          <w:trHeight w:val="275"/>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D1D2D4"/>
          </w:tcPr>
          <w:p>
            <w:pPr>
              <w:spacing w:after="0"/>
              <w:rPr>
                <w:sz w:val="23"/>
                <w:szCs w:val="23"/>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Borders>
              <w:bottom w:val="single" w:sz="8" w:color="auto"/>
            </w:tcBorders>
            <w:shd w:val="clear" w:color="auto" w:fill="D1D2D4"/>
          </w:tcPr>
          <w:p>
            <w:pPr>
              <w:spacing w:after="0"/>
              <w:rPr>
                <w:sz w:val="23"/>
                <w:szCs w:val="23"/>
                <w:color w:val="auto"/>
              </w:rPr>
            </w:pP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spacing w:after="0"/>
              <w:rPr>
                <w:sz w:val="23"/>
                <w:szCs w:val="23"/>
                <w:color w:val="auto"/>
              </w:rPr>
            </w:pP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1,131</w:t>
            </w:r>
          </w:p>
        </w:tc>
        <w:tc>
          <w:tcPr>
            <w:tcW w:w="180" w:type="dxa"/>
            <w:vAlign w:val="bottom"/>
            <w:tcBorders>
              <w:bottom w:val="single" w:sz="8" w:color="auto"/>
            </w:tcBorders>
            <w:shd w:val="clear" w:color="auto" w:fill="D1D2D4"/>
          </w:tcPr>
          <w:p>
            <w:pPr>
              <w:spacing w:after="0"/>
              <w:rPr>
                <w:sz w:val="23"/>
                <w:szCs w:val="23"/>
                <w:color w:val="auto"/>
              </w:rPr>
            </w:pP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1,157</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3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4.37</w:t>
            </w:r>
          </w:p>
        </w:tc>
      </w:tr>
      <w:tr>
        <w:trPr>
          <w:trHeight w:val="263"/>
        </w:trPr>
        <w:tc>
          <w:tcPr>
            <w:tcW w:w="5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4.24</w:t>
            </w:r>
          </w:p>
        </w:tc>
      </w:tr>
    </w:tbl>
    <w:p>
      <w:pPr>
        <w:spacing w:after="0" w:line="3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1 million and 4 million for the second quarter and first six months of 2020, respectively, and 11 million and 9 million for the second quarter and first six months of 2019,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3" w:lineRule="exact"/>
        <w:rPr>
          <w:sz w:val="20"/>
          <w:szCs w:val="20"/>
          <w:color w:val="auto"/>
        </w:rPr>
      </w:pPr>
    </w:p>
    <w:p>
      <w:pPr>
        <w:ind w:left="180" w:right="380" w:hanging="161"/>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 and sales of certain 3D XPoint products.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other discrete storage products sold in component and wafer form to the removable storage market, and sales of certain 3D XPoint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6"/>
        </w:trPr>
        <w:tc>
          <w:tcPr>
            <w:tcW w:w="536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74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February 27,</w:t>
            </w:r>
          </w:p>
        </w:tc>
        <w:tc>
          <w:tcPr>
            <w:tcW w:w="2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536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41"/>
        </w:trPr>
        <w:tc>
          <w:tcPr>
            <w:tcW w:w="5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5,986</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2,715</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3,823</w:t>
            </w: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1,838</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2,165</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1,430</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1,732</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w:t>
            </w:r>
          </w:p>
        </w:tc>
      </w:tr>
      <w:tr>
        <w:trPr>
          <w:trHeight w:val="275"/>
        </w:trPr>
        <w:tc>
          <w:tcPr>
            <w:tcW w:w="536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4,797</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9,941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13,748</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3,371</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1,910</w:t>
            </w: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60</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649</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r>
      <w:tr>
        <w:trPr>
          <w:trHeight w:val="250"/>
        </w:trPr>
        <w:tc>
          <w:tcPr>
            <w:tcW w:w="5360" w:type="dxa"/>
            <w:vAlign w:val="bottom"/>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542</w:t>
            </w:r>
          </w:p>
        </w:tc>
        <w:tc>
          <w:tcPr>
            <w:tcW w:w="20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1,136</w:t>
            </w:r>
          </w:p>
        </w:tc>
        <w:tc>
          <w:tcPr>
            <w:tcW w:w="18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5,997</w:t>
            </w:r>
          </w:p>
        </w:tc>
      </w:tr>
      <w:tr>
        <w:trPr>
          <w:trHeight w:val="243"/>
        </w:trPr>
        <w:tc>
          <w:tcPr>
            <w:tcW w:w="5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(81)</w:t>
            </w:r>
          </w:p>
        </w:tc>
      </w:tr>
      <w:tr>
        <w:trPr>
          <w:trHeight w:val="250"/>
        </w:trPr>
        <w:tc>
          <w:tcPr>
            <w:tcW w:w="536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5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3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(23)</w:t>
            </w:r>
          </w:p>
        </w:tc>
      </w:tr>
      <w:tr>
        <w:trPr>
          <w:trHeight w:val="250"/>
        </w:trPr>
        <w:tc>
          <w:tcPr>
            <w:tcW w:w="5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5360" w:type="dxa"/>
            <w:vAlign w:val="bottom"/>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536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D1D2D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75"/>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D1D2D4"/>
            </w:tcBorders>
            <w:shd w:val="clear" w:color="auto" w:fill="D1D2D4"/>
          </w:tcPr>
          <w:p>
            <w:pPr>
              <w:spacing w:after="0"/>
              <w:rPr>
                <w:sz w:val="23"/>
                <w:szCs w:val="23"/>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958</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5,716</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5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August 29, 2019. All period references are to our fiscal periods unless otherwise indicated. Our fiscal year is the 52 or 53-week period ending on the Thursday closest to August 31. Fiscal year 2020 contains 53 weeks and the fourth quarter of 2020 will contain 14 weeks. All tabular dollar amounts are in millions, except per share amounts.</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8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manufacture our products at our wholly-owned facilities and also utilize subcontractors to perform certain manufacturing processes. In recent years, we have increased our manufacturing scale and product diversity</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8" w:name="page29"/>
    <w:bookmarkEnd w:id="28"/>
    <w:p>
      <w:pPr>
        <w:ind w:right="240"/>
        <w:spacing w:after="0" w:line="261" w:lineRule="auto"/>
        <w:rPr>
          <w:sz w:val="20"/>
          <w:szCs w:val="20"/>
          <w:color w:val="auto"/>
        </w:rPr>
      </w:pPr>
      <w:r>
        <w:rPr>
          <w:rFonts w:ascii="Arial" w:cs="Arial" w:eastAsia="Arial" w:hAnsi="Arial"/>
          <w:sz w:val="18"/>
          <w:szCs w:val="18"/>
          <w:color w:val="auto"/>
        </w:rPr>
        <w:t>through strategic acquisitions, expansion, and various partnering arrangements. On October 31, 2019, we purchased Intel’s noncontrolling interest in IMFT and IMFT Member Debt for $1.25 billion, at which time IMFT, now known as MTU, became a wholly-owned subsidiary.</w:t>
      </w:r>
    </w:p>
    <w:p>
      <w:pPr>
        <w:spacing w:after="0" w:line="22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to meet industry standards, lower power consumption, improved read/write reliability, and increased memory density. Our managed NAND and SSD storage products, which incorporate NAND, a controller, and firmware, constitute a significant portion of our revenue. We have developed proprietary firmware and controllers, which are included in certain of our SSDs. Development of advanced technologies enables us to diversify our product portfolio toward a richer mix of differentiated, high-value solutions and to target high-growth markets.</w:t>
      </w: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market our products through our internal sales force, independent sales representatives, and distributors primarily to original equipment manufacturers and retailers located around the world. We face intense competition in the semiconductor memory and storage markets and, to remain competitive, we must continuously develop and implement new products and technologies and decrease manufacturing costs.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to our Business</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impacts of the global emergence of coronavirus disease 2019 (“COVID-19”) on our business are currently unknown. In an effort to protect the health and safety of our employees, we took proactive, aggressive action from the earliest signs of the outbreak in China to adopt social distancing policies at our locations around the world, including working from home, limiting the number of employees attending meetings, reducing the number of people in our sites at any one time, and suspending employee travel. In an effort to contain COVID-19 or slow its spread, governments around the world have also enacted various measures, including orders to close all businesses not deemed “essential,” isolate residents to their homes or places of residence, and practice social distancing when engaging in essential activities.</w:t>
      </w:r>
    </w:p>
    <w:p>
      <w:pPr>
        <w:spacing w:after="0" w:line="2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anticipate that these actions and the global health crisis caused by COVID-19 will negatively impact business activity across the globe. While we have observed demand increases for server DRAM and NAND, as well as our products used in networking infrastructure, gaming, and similar applications, we anticipate declining demand in other categories such as smartphones, automobiles, and PCs as business and consumer activity decelerates across the globe. When COVID-19 is demonstrably contained, we anticipate a rebound in economic activity, depending on the rate, pace, and effectiveness of the containment efforts deployed by various national, state, and local governments.</w:t>
      </w:r>
    </w:p>
    <w:p>
      <w:pPr>
        <w:spacing w:after="0" w:line="232"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and prospects, or on our financial results for the remainder of fiscal 2020.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Products</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product portfolio of memory and storage solutions, advanced solutions, and storage platforms are based on our high-performance semiconductor memory and storage technologies, including DRAM, NAND, 3D XPoint memory, NOR, and other technologies. We sell our products into various markets through our business units in various forms, including wafers, components, modules, SSDs, managed NAND, and MCP products. MCP products combine DRAM, NAND, and/or NOR and in some cases also include a controller and firmware.</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p>
      <w:pPr>
        <w:ind w:right="280"/>
        <w:spacing w:after="0" w:line="256" w:lineRule="auto"/>
        <w:rPr>
          <w:sz w:val="20"/>
          <w:szCs w:val="20"/>
          <w:color w:val="auto"/>
        </w:rPr>
      </w:pPr>
      <w:r>
        <w:rPr>
          <w:rFonts w:ascii="Arial" w:cs="Arial" w:eastAsia="Arial" w:hAnsi="Arial"/>
          <w:sz w:val="18"/>
          <w:szCs w:val="18"/>
          <w:color w:val="auto"/>
        </w:rPr>
        <w:t>turned off (“volatile”) and are most commonly used in client, cloud server, enterprise, networking, industrial, and automotive markets. Low-power DRAM products, which are engineered to meet standards for performance and power consumption, are sold into smartphone and other mobile-device markets, as well as into the automotive, industrial, and consumer markets.</w:t>
      </w:r>
    </w:p>
    <w:p>
      <w:pPr>
        <w:spacing w:after="0" w:line="207"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mobile-devices, consumer, automotive, and embedded markets. Low-density NAND is ideal for applications like automotive, surveillance, machine-to-machine, automation, printers, and home networking.</w:t>
      </w:r>
    </w:p>
    <w:p>
      <w:pPr>
        <w:spacing w:after="0" w:line="1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3D XPoint Technology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3D XPoint is a new class of non-volatile technology between DRAM and NAND in the memory and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hierarchy, offering higher capacity and non-volatility over DRAM along with lower latency and higher endurance as compared to NAND. 3D XPoint technology is ideal for data center and other markets requiring high-bandwidth storage and low-latency performance.</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(i.e., boot, application, operating system, and execute-in-place code in an embedded system) and for frequently-changing small data storage and is ideal for automotive, industrial, and consumer applications.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8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First</w:t>
            </w:r>
          </w:p>
        </w:tc>
        <w:tc>
          <w:tcPr>
            <w:tcW w:w="500" w:type="dxa"/>
            <w:vAlign w:val="bottom"/>
          </w:tcPr>
          <w:p>
            <w:pPr>
              <w:spacing w:after="0"/>
              <w:rPr>
                <w:sz w:val="17"/>
                <w:szCs w:val="17"/>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8"/>
              </w:rPr>
              <w:t>Second</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Quarter</w:t>
            </w:r>
          </w:p>
        </w:tc>
        <w:tc>
          <w:tcPr>
            <w:tcW w:w="132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8"/>
              </w:rPr>
              <w:t>Quarter</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640" w:type="dxa"/>
            <w:vAlign w:val="bottom"/>
          </w:tcPr>
          <w:p>
            <w:pPr>
              <w:spacing w:after="0"/>
              <w:rPr>
                <w:sz w:val="21"/>
                <w:szCs w:val="21"/>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Six Months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gridSpan w:val="2"/>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0090DA"/>
            </w:tcBorders>
          </w:tcPr>
          <w:p>
            <w:pPr>
              <w:spacing w:after="0"/>
              <w:rPr>
                <w:sz w:val="21"/>
                <w:szCs w:val="21"/>
                <w:color w:val="auto"/>
              </w:rPr>
            </w:pPr>
          </w:p>
        </w:tc>
        <w:tc>
          <w:tcPr>
            <w:tcW w:w="820" w:type="dxa"/>
            <w:vAlign w:val="bottom"/>
            <w:tcBorders>
              <w:bottom w:val="single" w:sz="8" w:color="0090DA"/>
            </w:tcBorders>
            <w:gridSpan w:val="2"/>
          </w:tcPr>
          <w:p>
            <w:pPr>
              <w:jc w:val="center"/>
              <w:ind w:left="250"/>
              <w:spacing w:after="0"/>
              <w:rPr>
                <w:sz w:val="20"/>
                <w:szCs w:val="20"/>
                <w:color w:val="auto"/>
              </w:rPr>
            </w:pPr>
            <w:r>
              <w:rPr>
                <w:rFonts w:ascii="Arial" w:cs="Arial" w:eastAsia="Arial" w:hAnsi="Arial"/>
                <w:sz w:val="18"/>
                <w:szCs w:val="18"/>
                <w:b w:val="1"/>
                <w:bCs w:val="1"/>
                <w:color w:val="auto"/>
                <w:w w:val="99"/>
              </w:rPr>
              <w:t>2020</w:t>
            </w:r>
          </w:p>
        </w:tc>
        <w:tc>
          <w:tcPr>
            <w:tcW w:w="500" w:type="dxa"/>
            <w:vAlign w:val="bottom"/>
            <w:tcBorders>
              <w:bottom w:val="single" w:sz="8" w:color="0090DA"/>
            </w:tcBorders>
          </w:tcPr>
          <w:p>
            <w:pPr>
              <w:spacing w:after="0"/>
              <w:rPr>
                <w:sz w:val="21"/>
                <w:szCs w:val="21"/>
                <w:color w:val="auto"/>
              </w:rPr>
            </w:pPr>
          </w:p>
        </w:tc>
        <w:tc>
          <w:tcPr>
            <w:tcW w:w="14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Borders>
              <w:top w:val="single" w:sz="8" w:color="0090DA"/>
              <w:bottom w:val="single" w:sz="8" w:color="0090DA"/>
            </w:tcBorders>
          </w:tcPr>
          <w:p>
            <w:pPr>
              <w:spacing w:after="0"/>
              <w:rPr>
                <w:sz w:val="21"/>
                <w:szCs w:val="21"/>
                <w:color w:val="auto"/>
              </w:rPr>
            </w:pPr>
          </w:p>
        </w:tc>
        <w:tc>
          <w:tcPr>
            <w:tcW w:w="1300" w:type="dxa"/>
            <w:vAlign w:val="bottom"/>
            <w:tcBorders>
              <w:top w:val="single" w:sz="8" w:color="0090DA"/>
              <w:bottom w:val="single" w:sz="8" w:color="0090DA"/>
            </w:tcBorders>
            <w:gridSpan w:val="2"/>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0090DA"/>
              <w:bottom w:val="single" w:sz="8" w:color="0090DA"/>
            </w:tcBorders>
          </w:tcPr>
          <w:p>
            <w:pPr>
              <w:spacing w:after="0"/>
              <w:rPr>
                <w:sz w:val="21"/>
                <w:szCs w:val="21"/>
                <w:color w:val="auto"/>
              </w:rPr>
            </w:pPr>
          </w:p>
        </w:tc>
        <w:tc>
          <w:tcPr>
            <w:tcW w:w="860" w:type="dxa"/>
            <w:vAlign w:val="bottom"/>
            <w:tcBorders>
              <w:top w:val="single" w:sz="8" w:color="0090DA"/>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0090DA"/>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4,797</w:t>
            </w:r>
          </w:p>
        </w:tc>
        <w:tc>
          <w:tcPr>
            <w:tcW w:w="8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100 %$</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5,144</w:t>
            </w:r>
          </w:p>
        </w:tc>
        <w:tc>
          <w:tcPr>
            <w:tcW w:w="1460" w:type="dxa"/>
            <w:vAlign w:val="bottom"/>
            <w:gridSpan w:val="3"/>
            <w:shd w:val="clear" w:color="auto" w:fill="D1D2D4"/>
          </w:tcPr>
          <w:p>
            <w:pPr>
              <w:jc w:val="right"/>
              <w:ind w:right="70"/>
              <w:spacing w:after="0"/>
              <w:rPr>
                <w:sz w:val="20"/>
                <w:szCs w:val="20"/>
                <w:color w:val="auto"/>
              </w:rPr>
            </w:pPr>
            <w:r>
              <w:rPr>
                <w:rFonts w:ascii="Arial" w:cs="Arial" w:eastAsia="Arial" w:hAnsi="Arial"/>
                <w:sz w:val="18"/>
                <w:szCs w:val="18"/>
                <w:color w:val="auto"/>
              </w:rPr>
              <w:t>100 % $ 5,835</w:t>
            </w:r>
          </w:p>
        </w:tc>
        <w:tc>
          <w:tcPr>
            <w:tcW w:w="82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100 %$</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9,941</w:t>
            </w:r>
          </w:p>
        </w:tc>
        <w:tc>
          <w:tcPr>
            <w:tcW w:w="8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100 %$</w:t>
            </w: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13,748</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3,442</w:t>
            </w: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72 %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3,778</w:t>
            </w:r>
          </w:p>
        </w:tc>
        <w:tc>
          <w:tcPr>
            <w:tcW w:w="180" w:type="dxa"/>
            <w:vAlign w:val="bottom"/>
            <w:tcBorders>
              <w:bottom w:val="single" w:sz="8" w:color="D1D2D4"/>
            </w:tcBorders>
          </w:tcPr>
          <w:p>
            <w:pPr>
              <w:spacing w:after="0"/>
              <w:rPr>
                <w:sz w:val="21"/>
                <w:szCs w:val="21"/>
                <w:color w:val="auto"/>
              </w:rPr>
            </w:pPr>
          </w:p>
        </w:tc>
        <w:tc>
          <w:tcPr>
            <w:tcW w:w="5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73 %</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2,971</w:t>
            </w:r>
          </w:p>
        </w:tc>
        <w:tc>
          <w:tcPr>
            <w:tcW w:w="6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51 %</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7,220</w:t>
            </w:r>
          </w:p>
        </w:tc>
        <w:tc>
          <w:tcPr>
            <w:tcW w:w="6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73 %</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6,269</w:t>
            </w:r>
          </w:p>
        </w:tc>
        <w:tc>
          <w:tcPr>
            <w:tcW w:w="120" w:type="dxa"/>
            <w:vAlign w:val="bottom"/>
            <w:tcBorders>
              <w:bottom w:val="single" w:sz="8" w:color="D1D2D4"/>
            </w:tcBorders>
          </w:tcPr>
          <w:p>
            <w:pPr>
              <w:spacing w:after="0"/>
              <w:rPr>
                <w:sz w:val="21"/>
                <w:szCs w:val="21"/>
                <w:color w:val="auto"/>
              </w:rPr>
            </w:pPr>
          </w:p>
        </w:tc>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57"/>
        </w:trPr>
        <w:tc>
          <w:tcPr>
            <w:tcW w:w="38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1,355</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c>
          <w:tcPr>
            <w:tcW w:w="7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2,864</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49 %</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2,721</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7,479</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223</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5 %</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7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209</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434</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0"/>
        </w:trPr>
        <w:tc>
          <w:tcPr>
            <w:tcW w:w="3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681</w:t>
            </w:r>
          </w:p>
        </w:tc>
        <w:tc>
          <w:tcPr>
            <w:tcW w:w="680" w:type="dxa"/>
            <w:vAlign w:val="bottom"/>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601</w:t>
            </w: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1,321</w:t>
            </w: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63"/>
        </w:trPr>
        <w:tc>
          <w:tcPr>
            <w:tcW w:w="3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97</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440</w:t>
            </w:r>
          </w:p>
        </w:tc>
        <w:tc>
          <w:tcPr>
            <w:tcW w:w="680" w:type="dxa"/>
            <w:vAlign w:val="bottom"/>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10 %</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1,957</w:t>
            </w:r>
          </w:p>
        </w:tc>
        <w:tc>
          <w:tcPr>
            <w:tcW w:w="660" w:type="dxa"/>
            <w:vAlign w:val="bottom"/>
          </w:tcPr>
          <w:p>
            <w:pPr>
              <w:jc w:val="right"/>
              <w:spacing w:after="0"/>
              <w:rPr>
                <w:sz w:val="20"/>
                <w:szCs w:val="20"/>
                <w:color w:val="auto"/>
              </w:rPr>
            </w:pPr>
            <w:r>
              <w:rPr>
                <w:rFonts w:ascii="Arial" w:cs="Arial" w:eastAsia="Arial" w:hAnsi="Arial"/>
                <w:sz w:val="18"/>
                <w:szCs w:val="18"/>
                <w:color w:val="auto"/>
              </w:rPr>
              <w:t>34 %</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958</w:t>
            </w: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57"/>
        </w:trPr>
        <w:tc>
          <w:tcPr>
            <w:tcW w:w="38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spacing w:after="0"/>
              <w:rPr>
                <w:sz w:val="22"/>
                <w:szCs w:val="22"/>
                <w:color w:val="auto"/>
              </w:rPr>
            </w:pPr>
          </w:p>
        </w:tc>
        <w:tc>
          <w:tcPr>
            <w:tcW w:w="780" w:type="dxa"/>
            <w:vAlign w:val="bottom"/>
            <w:shd w:val="clear" w:color="auto" w:fill="D1D2D4"/>
          </w:tcPr>
          <w:p>
            <w:pPr>
              <w:spacing w:after="0"/>
              <w:rPr>
                <w:sz w:val="22"/>
                <w:szCs w:val="22"/>
                <w:color w:val="auto"/>
              </w:rPr>
            </w:pPr>
          </w:p>
        </w:tc>
        <w:tc>
          <w:tcPr>
            <w:tcW w:w="6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6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7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(84)</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45</w:t>
            </w:r>
          </w:p>
        </w:tc>
        <w:tc>
          <w:tcPr>
            <w:tcW w:w="80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D1D2D4"/>
          </w:tcPr>
          <w:p>
            <w:pPr>
              <w:spacing w:after="0"/>
              <w:rPr>
                <w:sz w:val="22"/>
                <w:szCs w:val="22"/>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8"/>
        </w:trPr>
        <w:tc>
          <w:tcPr>
            <w:tcW w:w="3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Equity in net income (loss) of equity method</w:t>
            </w:r>
          </w:p>
        </w:tc>
        <w:tc>
          <w:tcPr>
            <w:tcW w:w="140" w:type="dxa"/>
            <w:vAlign w:val="bottom"/>
            <w:shd w:val="clear" w:color="auto" w:fill="D1D2D4"/>
          </w:tcPr>
          <w:p>
            <w:pPr>
              <w:spacing w:after="0"/>
              <w:rPr>
                <w:sz w:val="16"/>
                <w:szCs w:val="16"/>
                <w:color w:val="auto"/>
              </w:rPr>
            </w:pPr>
          </w:p>
        </w:tc>
        <w:tc>
          <w:tcPr>
            <w:tcW w:w="6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820" w:type="dxa"/>
            <w:vAlign w:val="bottom"/>
            <w:gridSpan w:val="2"/>
            <w:vMerge w:val="restart"/>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6"/>
                <w:szCs w:val="16"/>
                <w:color w:val="auto"/>
              </w:rPr>
            </w:pPr>
          </w:p>
        </w:tc>
        <w:tc>
          <w:tcPr>
            <w:tcW w:w="5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8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820" w:type="dxa"/>
            <w:vAlign w:val="bottom"/>
            <w:gridSpan w:val="2"/>
            <w:vMerge w:val="restart"/>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3</w:t>
            </w:r>
          </w:p>
        </w:tc>
        <w:tc>
          <w:tcPr>
            <w:tcW w:w="800" w:type="dxa"/>
            <w:vAlign w:val="bottom"/>
            <w:gridSpan w:val="2"/>
            <w:vMerge w:val="restart"/>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6"/>
                <w:szCs w:val="16"/>
                <w:color w:val="auto"/>
              </w:rPr>
            </w:pPr>
          </w:p>
        </w:tc>
        <w:tc>
          <w:tcPr>
            <w:tcW w:w="5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3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investees</w:t>
            </w:r>
          </w:p>
        </w:tc>
        <w:tc>
          <w:tcPr>
            <w:tcW w:w="140" w:type="dxa"/>
            <w:vAlign w:val="bottom"/>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820" w:type="dxa"/>
            <w:vAlign w:val="bottom"/>
            <w:gridSpan w:val="2"/>
            <w:vMerge w:val="continue"/>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500" w:type="dxa"/>
            <w:vAlign w:val="bottom"/>
            <w:vMerge w:val="continue"/>
            <w:shd w:val="clear" w:color="auto" w:fill="D1D2D4"/>
          </w:tcPr>
          <w:p>
            <w:pPr>
              <w:spacing w:after="0"/>
              <w:rPr>
                <w:sz w:val="18"/>
                <w:szCs w:val="18"/>
                <w:color w:val="auto"/>
              </w:rPr>
            </w:pPr>
          </w:p>
        </w:tc>
        <w:tc>
          <w:tcPr>
            <w:tcW w:w="780" w:type="dxa"/>
            <w:vAlign w:val="bottom"/>
            <w:vMerge w:val="continue"/>
            <w:shd w:val="clear" w:color="auto" w:fill="D1D2D4"/>
          </w:tcPr>
          <w:p>
            <w:pPr>
              <w:spacing w:after="0"/>
              <w:rPr>
                <w:sz w:val="18"/>
                <w:szCs w:val="18"/>
                <w:color w:val="auto"/>
              </w:rPr>
            </w:pPr>
          </w:p>
        </w:tc>
        <w:tc>
          <w:tcPr>
            <w:tcW w:w="820" w:type="dxa"/>
            <w:vAlign w:val="bottom"/>
            <w:gridSpan w:val="2"/>
            <w:vMerge w:val="continue"/>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800" w:type="dxa"/>
            <w:vAlign w:val="bottom"/>
            <w:gridSpan w:val="2"/>
            <w:vMerge w:val="continue"/>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5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20"/>
              <w:spacing w:after="0" w:line="189" w:lineRule="exact"/>
              <w:rPr>
                <w:sz w:val="20"/>
                <w:szCs w:val="20"/>
                <w:color w:val="auto"/>
              </w:rPr>
            </w:pPr>
            <w:r>
              <w:rPr>
                <w:rFonts w:ascii="Arial" w:cs="Arial" w:eastAsia="Arial" w:hAnsi="Arial"/>
                <w:sz w:val="18"/>
                <w:szCs w:val="18"/>
                <w:color w:val="auto"/>
              </w:rPr>
              <w:t>Net income attributable to noncontrolling</w:t>
            </w:r>
          </w:p>
        </w:tc>
        <w:tc>
          <w:tcPr>
            <w:tcW w:w="140" w:type="dxa"/>
            <w:vAlign w:val="bottom"/>
          </w:tcPr>
          <w:p>
            <w:pPr>
              <w:spacing w:after="0"/>
              <w:rPr>
                <w:sz w:val="16"/>
                <w:szCs w:val="16"/>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(2)</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spacing w:after="0"/>
              <w:rPr>
                <w:sz w:val="16"/>
                <w:szCs w:val="16"/>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spacing w:after="0"/>
              <w:rPr>
                <w:sz w:val="16"/>
                <w:szCs w:val="16"/>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(19)</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38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D1D2D4"/>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D1D2D4"/>
            </w:tcBorders>
          </w:tcPr>
          <w:p>
            <w:pPr>
              <w:spacing w:after="0"/>
              <w:rPr>
                <w:sz w:val="18"/>
                <w:szCs w:val="18"/>
                <w:color w:val="auto"/>
              </w:rPr>
            </w:pPr>
          </w:p>
        </w:tc>
        <w:tc>
          <w:tcPr>
            <w:tcW w:w="500" w:type="dxa"/>
            <w:vAlign w:val="bottom"/>
            <w:tcBorders>
              <w:bottom w:val="single" w:sz="8" w:color="D1D2D4"/>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D1D2D4"/>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D1D2D4"/>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1D2D4"/>
            </w:tcBorders>
          </w:tcPr>
          <w:p>
            <w:pPr>
              <w:spacing w:after="0"/>
              <w:rPr>
                <w:sz w:val="18"/>
                <w:szCs w:val="18"/>
                <w:color w:val="auto"/>
              </w:rPr>
            </w:pPr>
          </w:p>
        </w:tc>
        <w:tc>
          <w:tcPr>
            <w:tcW w:w="560" w:type="dxa"/>
            <w:vAlign w:val="bottom"/>
            <w:tcBorders>
              <w:bottom w:val="single" w:sz="8" w:color="D1D2D4"/>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405</w:t>
            </w:r>
          </w:p>
        </w:tc>
        <w:tc>
          <w:tcPr>
            <w:tcW w:w="8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8 % $</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D1D2D4"/>
          </w:tcPr>
          <w:p>
            <w:pPr>
              <w:spacing w:after="0"/>
              <w:rPr>
                <w:sz w:val="23"/>
                <w:szCs w:val="23"/>
                <w:color w:val="auto"/>
              </w:rPr>
            </w:pPr>
          </w:p>
        </w:tc>
        <w:tc>
          <w:tcPr>
            <w:tcW w:w="128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10 % $ 1,619</w:t>
            </w:r>
          </w:p>
        </w:tc>
        <w:tc>
          <w:tcPr>
            <w:tcW w:w="82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28 %$</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896</w:t>
            </w:r>
          </w:p>
        </w:tc>
        <w:tc>
          <w:tcPr>
            <w:tcW w:w="8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9 % $</w:t>
            </w:r>
          </w:p>
        </w:tc>
        <w:tc>
          <w:tcPr>
            <w:tcW w:w="7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4,912</w:t>
            </w:r>
          </w:p>
        </w:tc>
        <w:tc>
          <w:tcPr>
            <w:tcW w:w="120" w:type="dxa"/>
            <w:vAlign w:val="bottom"/>
            <w:shd w:val="clear" w:color="auto" w:fill="D1D2D4"/>
          </w:tcPr>
          <w:p>
            <w:pPr>
              <w:spacing w:after="0"/>
              <w:rPr>
                <w:sz w:val="23"/>
                <w:szCs w:val="2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
        </w:trPr>
        <w:tc>
          <w:tcPr>
            <w:tcW w:w="38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1D2D4"/>
            </w:tcBorders>
          </w:tcPr>
          <w:p>
            <w:pPr>
              <w:spacing w:after="0" w:line="20" w:lineRule="exact"/>
              <w:rPr>
                <w:sz w:val="1"/>
                <w:szCs w:val="1"/>
                <w:color w:val="auto"/>
              </w:rPr>
            </w:pPr>
          </w:p>
        </w:tc>
        <w:tc>
          <w:tcPr>
            <w:tcW w:w="500" w:type="dxa"/>
            <w:vAlign w:val="bottom"/>
            <w:tcBorders>
              <w:top w:val="single" w:sz="8" w:color="D1D2D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56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second quarter of 2020 decreased 7% as compared to the first quarter of 2020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decreases in sales of DRAM products partially offset by higher sales of NAND products. Sales of DRAM products for the second quarter of 2020 decreased 11% from the first quarter of 2020 primarily due to declines in bit shipment volumes from lower seasonal demand. Sales of NAND products for the second quarter of 2020 increased 6% from the first quarter of 2020 primarily due to increases in average selling prices as a result of improved market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p>
      <w:pPr>
        <w:spacing w:after="0" w:line="251" w:lineRule="auto"/>
        <w:rPr>
          <w:sz w:val="20"/>
          <w:szCs w:val="20"/>
          <w:color w:val="auto"/>
        </w:rPr>
      </w:pPr>
      <w:r>
        <w:rPr>
          <w:rFonts w:ascii="Arial" w:cs="Arial" w:eastAsia="Arial" w:hAnsi="Arial"/>
          <w:sz w:val="18"/>
          <w:szCs w:val="18"/>
          <w:color w:val="auto"/>
        </w:rPr>
        <w:t>Total revenue for the second quarter and first six months of 2020 decreased 18% and 28%, respectively, as compared to the corresponding periods of 2019 primarily due to price declines resulting from imbalances between supply and market demand over the last several quarters. Sales of DRAM products for the second quarter and first six months of 2020 decreased 26% and 35%, respectively, as compared to the corresponding periods of 2019 primarily due to declines in average selling prices in the 40 to 50-percent range, partially offset by growth in bit shipments in the mid-20-percent range. Sales of NAND products for the second quarter of 2020 increased 9% as compared to the second quarter of 2019 primarily due to increases in bit shipments in the low-20-percent range partially offset by declines in average selling prices of approximately 10%. Sales of NAND products for the first six months of 2020 decreased 4% as compared to the first six months of 2019 primarily due to declines in average selling prices in the mid-20-percent range, partially offset by increases in bit shipments in the high-20-percent range.</w:t>
      </w:r>
    </w:p>
    <w:p>
      <w:pPr>
        <w:spacing w:after="0" w:line="2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increased to 28% for the second quarter of 2020 from 27% for the first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2020 primarily due to increases in NAND margins as a result of higher average selling prices. Our gross margins included the impact of underutilization costs at MTU of approximately $142 million for the second quarter of 2020 and approximately $125 million for the first quarter of 2020. We expect that underutilization charges associated with MTU will average approximately $150 million per quarter in the second half of 2020.</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overall gross margin percentage decreased to 28% for the second quarter of 2020 from 49% for the second quarter of 2019 and decreased to 27% for the first six months of 2020 from 54% for the first six months of 2019, primarily due to declines in average selling prices, partially offset by the effect of decreases in non-cash depreciation expense from the revision in estimated useful lives of equipment in our NAND wafer fabrication facilities described below, cost reductions resulting from strong execution in delivering products featuring advanced technologies, and continuous improvement initiatives to reduce production costs.</w:t>
      </w:r>
    </w:p>
    <w:p>
      <w:pPr>
        <w:spacing w:after="0" w:line="23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re-use rates, we revised the estimated useful lives of equipment in our NAND wafer fabrication facilities from five years to seven years as of the beginning of the first quarter of 2020. This change reduced our NAND manufacturing non-cash depreciation expense by approximately $140 million for the second quarter of 2020 and by approximately $150 million for the first quarter of 2020. After adjusting for impact on items remaining in inventory, the lower depreciation reduced cost of goods sold by approximately $95 million for the second quarter of 2020 and approximately $40 million for the first quarter of 2020.</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460" w:type="dxa"/>
            <w:vAlign w:val="bottom"/>
            <w:gridSpan w:val="3"/>
          </w:tcPr>
          <w:p>
            <w:pPr>
              <w:ind w:left="420"/>
              <w:spacing w:after="0"/>
              <w:rPr>
                <w:sz w:val="20"/>
                <w:szCs w:val="20"/>
                <w:color w:val="auto"/>
              </w:rPr>
            </w:pPr>
            <w:r>
              <w:rPr>
                <w:rFonts w:ascii="Arial" w:cs="Arial" w:eastAsia="Arial" w:hAnsi="Arial"/>
                <w:sz w:val="18"/>
                <w:szCs w:val="18"/>
                <w:b w:val="1"/>
                <w:bCs w:val="1"/>
                <w:color w:val="auto"/>
              </w:rPr>
              <w:t>Second</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rPr>
              <w:t>First</w:t>
            </w:r>
          </w:p>
        </w:tc>
        <w:tc>
          <w:tcPr>
            <w:tcW w:w="480" w:type="dxa"/>
            <w:vAlign w:val="bottom"/>
          </w:tcPr>
          <w:p>
            <w:pPr>
              <w:spacing w:after="0"/>
              <w:rPr>
                <w:sz w:val="18"/>
                <w:szCs w:val="18"/>
                <w:color w:val="auto"/>
              </w:rPr>
            </w:pPr>
          </w:p>
        </w:tc>
        <w:tc>
          <w:tcPr>
            <w:tcW w:w="9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8"/>
              </w:rPr>
              <w:t>Second</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6"/>
        </w:trPr>
        <w:tc>
          <w:tcPr>
            <w:tcW w:w="3860" w:type="dxa"/>
            <w:vAlign w:val="bottom"/>
          </w:tcPr>
          <w:p>
            <w:pPr>
              <w:spacing w:after="0"/>
              <w:rPr>
                <w:sz w:val="21"/>
                <w:szCs w:val="21"/>
                <w:color w:val="auto"/>
              </w:rPr>
            </w:pPr>
          </w:p>
        </w:tc>
        <w:tc>
          <w:tcPr>
            <w:tcW w:w="1460" w:type="dxa"/>
            <w:vAlign w:val="bottom"/>
            <w:gridSpan w:val="3"/>
          </w:tcPr>
          <w:p>
            <w:pPr>
              <w:ind w:left="420"/>
              <w:spacing w:after="0"/>
              <w:rPr>
                <w:sz w:val="20"/>
                <w:szCs w:val="20"/>
                <w:color w:val="auto"/>
              </w:rPr>
            </w:pPr>
            <w:r>
              <w:rPr>
                <w:rFonts w:ascii="Arial" w:cs="Arial" w:eastAsia="Arial" w:hAnsi="Arial"/>
                <w:sz w:val="18"/>
                <w:szCs w:val="18"/>
                <w:b w:val="1"/>
                <w:bCs w:val="1"/>
                <w:color w:val="auto"/>
              </w:rPr>
              <w:t>Quarter</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8"/>
              </w:rPr>
              <w:t>Quarter</w:t>
            </w:r>
          </w:p>
        </w:tc>
        <w:tc>
          <w:tcPr>
            <w:tcW w:w="480" w:type="dxa"/>
            <w:vAlign w:val="bottom"/>
          </w:tcPr>
          <w:p>
            <w:pPr>
              <w:spacing w:after="0"/>
              <w:rPr>
                <w:sz w:val="21"/>
                <w:szCs w:val="21"/>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8"/>
              </w:rPr>
              <w:t>Quarter</w:t>
            </w:r>
          </w:p>
        </w:tc>
        <w:tc>
          <w:tcPr>
            <w:tcW w:w="480" w:type="dxa"/>
            <w:vAlign w:val="bottom"/>
          </w:tcPr>
          <w:p>
            <w:pPr>
              <w:spacing w:after="0"/>
              <w:rPr>
                <w:sz w:val="21"/>
                <w:szCs w:val="21"/>
                <w:color w:val="auto"/>
              </w:rPr>
            </w:pPr>
          </w:p>
        </w:tc>
        <w:tc>
          <w:tcPr>
            <w:tcW w:w="780" w:type="dxa"/>
            <w:vAlign w:val="bottom"/>
            <w:tcBorders>
              <w:bottom w:val="single" w:sz="8" w:color="0090DA"/>
            </w:tcBorders>
          </w:tcPr>
          <w:p>
            <w:pPr>
              <w:spacing w:after="0"/>
              <w:rPr>
                <w:sz w:val="21"/>
                <w:szCs w:val="21"/>
                <w:color w:val="auto"/>
              </w:rPr>
            </w:pPr>
          </w:p>
        </w:tc>
        <w:tc>
          <w:tcPr>
            <w:tcW w:w="80" w:type="dxa"/>
            <w:vAlign w:val="bottom"/>
            <w:tcBorders>
              <w:bottom w:val="single" w:sz="8" w:color="0090DA"/>
            </w:tcBorders>
          </w:tcPr>
          <w:p>
            <w:pPr>
              <w:spacing w:after="0"/>
              <w:rPr>
                <w:sz w:val="21"/>
                <w:szCs w:val="21"/>
                <w:color w:val="auto"/>
              </w:rPr>
            </w:pPr>
          </w:p>
        </w:tc>
        <w:tc>
          <w:tcPr>
            <w:tcW w:w="1460" w:type="dxa"/>
            <w:vAlign w:val="bottom"/>
            <w:tcBorders>
              <w:bottom w:val="single" w:sz="8" w:color="0090DA"/>
            </w:tcBorders>
            <w:gridSpan w:val="3"/>
          </w:tcPr>
          <w:p>
            <w:pPr>
              <w:jc w:val="right"/>
              <w:ind w:right="370"/>
              <w:spacing w:after="0"/>
              <w:rPr>
                <w:sz w:val="20"/>
                <w:szCs w:val="20"/>
                <w:color w:val="auto"/>
              </w:rPr>
            </w:pPr>
            <w:r>
              <w:rPr>
                <w:rFonts w:ascii="Arial" w:cs="Arial" w:eastAsia="Arial" w:hAnsi="Arial"/>
                <w:sz w:val="18"/>
                <w:szCs w:val="18"/>
                <w:b w:val="1"/>
                <w:bCs w:val="1"/>
                <w:color w:val="auto"/>
              </w:rPr>
              <w:t>Six Months</w:t>
            </w:r>
          </w:p>
        </w:tc>
        <w:tc>
          <w:tcPr>
            <w:tcW w:w="680" w:type="dxa"/>
            <w:vAlign w:val="bottom"/>
            <w:tcBorders>
              <w:bottom w:val="single" w:sz="8" w:color="0090DA"/>
            </w:tcBorders>
          </w:tcPr>
          <w:p>
            <w:pPr>
              <w:spacing w:after="0"/>
              <w:rPr>
                <w:sz w:val="21"/>
                <w:szCs w:val="21"/>
                <w:color w:val="auto"/>
              </w:rPr>
            </w:pPr>
          </w:p>
        </w:tc>
      </w:tr>
      <w:tr>
        <w:trPr>
          <w:trHeight w:val="250"/>
        </w:trPr>
        <w:tc>
          <w:tcPr>
            <w:tcW w:w="386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gridSpan w:val="2"/>
          </w:tcPr>
          <w:p>
            <w:pPr>
              <w:ind w:left="42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gridSpan w:val="2"/>
          </w:tcPr>
          <w:p>
            <w:pPr>
              <w:jc w:val="center"/>
              <w:ind w:left="170"/>
              <w:spacing w:after="0"/>
              <w:rPr>
                <w:sz w:val="20"/>
                <w:szCs w:val="20"/>
                <w:color w:val="auto"/>
              </w:rPr>
            </w:pPr>
            <w:r>
              <w:rPr>
                <w:rFonts w:ascii="Arial" w:cs="Arial" w:eastAsia="Arial" w:hAnsi="Arial"/>
                <w:sz w:val="18"/>
                <w:szCs w:val="18"/>
                <w:b w:val="1"/>
                <w:bCs w:val="1"/>
                <w:color w:val="auto"/>
                <w:w w:val="99"/>
              </w:rPr>
              <w:t>2020</w:t>
            </w:r>
          </w:p>
        </w:tc>
        <w:tc>
          <w:tcPr>
            <w:tcW w:w="48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gridSpan w:val="2"/>
          </w:tcPr>
          <w:p>
            <w:pPr>
              <w:jc w:val="center"/>
              <w:ind w:left="170"/>
              <w:spacing w:after="0"/>
              <w:rPr>
                <w:sz w:val="20"/>
                <w:szCs w:val="20"/>
                <w:color w:val="auto"/>
              </w:rPr>
            </w:pPr>
            <w:r>
              <w:rPr>
                <w:rFonts w:ascii="Arial" w:cs="Arial" w:eastAsia="Arial" w:hAnsi="Arial"/>
                <w:sz w:val="18"/>
                <w:szCs w:val="18"/>
                <w:b w:val="1"/>
                <w:bCs w:val="1"/>
                <w:color w:val="auto"/>
                <w:w w:val="99"/>
              </w:rPr>
              <w:t>2019</w:t>
            </w:r>
          </w:p>
        </w:tc>
        <w:tc>
          <w:tcPr>
            <w:tcW w:w="480" w:type="dxa"/>
            <w:vAlign w:val="bottom"/>
            <w:tcBorders>
              <w:bottom w:val="single" w:sz="8" w:color="0090DA"/>
            </w:tcBorders>
          </w:tcPr>
          <w:p>
            <w:pPr>
              <w:spacing w:after="0"/>
              <w:rPr>
                <w:sz w:val="21"/>
                <w:szCs w:val="21"/>
                <w:color w:val="auto"/>
              </w:rPr>
            </w:pPr>
          </w:p>
        </w:tc>
        <w:tc>
          <w:tcPr>
            <w:tcW w:w="86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0090DA"/>
            </w:tcBorders>
          </w:tcPr>
          <w:p>
            <w:pPr>
              <w:spacing w:after="0"/>
              <w:rPr>
                <w:sz w:val="21"/>
                <w:szCs w:val="21"/>
                <w:color w:val="auto"/>
              </w:rPr>
            </w:pPr>
          </w:p>
        </w:tc>
      </w:tr>
      <w:tr>
        <w:trPr>
          <w:trHeight w:val="40"/>
        </w:trPr>
        <w:tc>
          <w:tcPr>
            <w:tcW w:w="3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7"/>
        </w:trPr>
        <w:tc>
          <w:tcPr>
            <w:tcW w:w="3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$ 1,967</w:t>
            </w:r>
          </w:p>
        </w:tc>
        <w:tc>
          <w:tcPr>
            <w:tcW w:w="120" w:type="dxa"/>
            <w:vAlign w:val="bottom"/>
            <w:shd w:val="clear" w:color="auto" w:fill="D1D2D4"/>
          </w:tcPr>
          <w:p>
            <w:pPr>
              <w:spacing w:after="0"/>
              <w:rPr>
                <w:sz w:val="22"/>
                <w:szCs w:val="22"/>
                <w:color w:val="auto"/>
              </w:rPr>
            </w:pPr>
          </w:p>
        </w:tc>
        <w:tc>
          <w:tcPr>
            <w:tcW w:w="132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41 % $ 1,979</w:t>
            </w:r>
          </w:p>
        </w:tc>
        <w:tc>
          <w:tcPr>
            <w:tcW w:w="200" w:type="dxa"/>
            <w:vAlign w:val="bottom"/>
            <w:shd w:val="clear" w:color="auto" w:fill="D1D2D4"/>
          </w:tcPr>
          <w:p>
            <w:pPr>
              <w:spacing w:after="0"/>
              <w:rPr>
                <w:sz w:val="22"/>
                <w:szCs w:val="22"/>
                <w:color w:val="auto"/>
              </w:rPr>
            </w:pPr>
          </w:p>
        </w:tc>
        <w:tc>
          <w:tcPr>
            <w:tcW w:w="126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38 % $ 2,382</w:t>
            </w:r>
          </w:p>
        </w:tc>
        <w:tc>
          <w:tcPr>
            <w:tcW w:w="200" w:type="dxa"/>
            <w:vAlign w:val="bottom"/>
            <w:shd w:val="clear" w:color="auto" w:fill="D1D2D4"/>
          </w:tcPr>
          <w:p>
            <w:pPr>
              <w:spacing w:after="0"/>
              <w:rPr>
                <w:sz w:val="22"/>
                <w:szCs w:val="22"/>
                <w:color w:val="auto"/>
              </w:rPr>
            </w:pPr>
          </w:p>
        </w:tc>
        <w:tc>
          <w:tcPr>
            <w:tcW w:w="126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41 % $ 3,946</w:t>
            </w:r>
          </w:p>
        </w:tc>
        <w:tc>
          <w:tcPr>
            <w:tcW w:w="80" w:type="dxa"/>
            <w:vAlign w:val="bottom"/>
            <w:shd w:val="clear" w:color="auto" w:fill="D1D2D4"/>
          </w:tcPr>
          <w:p>
            <w:pPr>
              <w:spacing w:after="0"/>
              <w:rPr>
                <w:sz w:val="22"/>
                <w:szCs w:val="22"/>
                <w:color w:val="auto"/>
              </w:rPr>
            </w:pPr>
          </w:p>
        </w:tc>
        <w:tc>
          <w:tcPr>
            <w:tcW w:w="7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40 %$</w:t>
            </w: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5,986</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44 %</w:t>
            </w:r>
          </w:p>
        </w:tc>
      </w:tr>
      <w:tr>
        <w:trPr>
          <w:trHeight w:val="250"/>
        </w:trPr>
        <w:tc>
          <w:tcPr>
            <w:tcW w:w="3860" w:type="dxa"/>
            <w:vAlign w:val="bottom"/>
          </w:tcPr>
          <w:p>
            <w:pPr>
              <w:ind w:left="20"/>
              <w:spacing w:after="0"/>
              <w:rPr>
                <w:sz w:val="20"/>
                <w:szCs w:val="20"/>
                <w:color w:val="auto"/>
              </w:rPr>
            </w:pPr>
            <w:r>
              <w:rPr>
                <w:rFonts w:ascii="Arial" w:cs="Arial" w:eastAsia="Arial" w:hAnsi="Arial"/>
                <w:sz w:val="18"/>
                <w:szCs w:val="18"/>
                <w:color w:val="auto"/>
              </w:rPr>
              <w:t>MBU</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1,457</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1,611</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2,715</w:t>
            </w: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3,823</w:t>
            </w:r>
          </w:p>
        </w:tc>
        <w:tc>
          <w:tcPr>
            <w:tcW w:w="6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63"/>
        </w:trPr>
        <w:tc>
          <w:tcPr>
            <w:tcW w:w="3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7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7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7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D1D2D4"/>
          </w:tcPr>
          <w:p>
            <w:pPr>
              <w:spacing w:after="0"/>
              <w:rPr>
                <w:sz w:val="22"/>
                <w:szCs w:val="2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2,165</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r>
      <w:tr>
        <w:trPr>
          <w:trHeight w:val="250"/>
        </w:trPr>
        <w:tc>
          <w:tcPr>
            <w:tcW w:w="3860" w:type="dxa"/>
            <w:vAlign w:val="bottom"/>
          </w:tcPr>
          <w:p>
            <w:pPr>
              <w:ind w:left="20"/>
              <w:spacing w:after="0"/>
              <w:rPr>
                <w:sz w:val="20"/>
                <w:szCs w:val="20"/>
                <w:color w:val="auto"/>
              </w:rPr>
            </w:pPr>
            <w:r>
              <w:rPr>
                <w:rFonts w:ascii="Arial" w:cs="Arial" w:eastAsia="Arial" w:hAnsi="Arial"/>
                <w:sz w:val="18"/>
                <w:szCs w:val="18"/>
                <w:color w:val="auto"/>
              </w:rPr>
              <w:t>EBU</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1,732</w:t>
            </w:r>
          </w:p>
        </w:tc>
        <w:tc>
          <w:tcPr>
            <w:tcW w:w="6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3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8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12</w:t>
            </w:r>
          </w:p>
        </w:tc>
        <w:tc>
          <w:tcPr>
            <w:tcW w:w="80" w:type="dxa"/>
            <w:vAlign w:val="bottom"/>
            <w:shd w:val="clear" w:color="auto" w:fill="D1D2D4"/>
          </w:tcPr>
          <w:p>
            <w:pPr>
              <w:spacing w:after="0"/>
              <w:rPr>
                <w:sz w:val="22"/>
                <w:szCs w:val="2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8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$ 4,797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$ 5,144</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$ 5,835</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$ 9,941</w:t>
            </w:r>
          </w:p>
        </w:tc>
        <w:tc>
          <w:tcPr>
            <w:tcW w:w="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13,748</w:t>
            </w:r>
          </w:p>
        </w:tc>
        <w:tc>
          <w:tcPr>
            <w:tcW w:w="68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second quarter of 2020 as compared to the first quarter of 2020 were as follows:</w:t>
      </w:r>
    </w:p>
    <w:p>
      <w:pPr>
        <w:spacing w:after="0" w:line="252" w:lineRule="exact"/>
        <w:rPr>
          <w:sz w:val="20"/>
          <w:szCs w:val="20"/>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revenue decreased 1% due to sales volume declines from lower seasonal bit demand in certain DRAM markets partially offset by higher revenue from 3D XPoint activities. Consistent with our view that our technology and product roadmap are more closely aligned with our CNBU business unit, beginning in the second quarter of 2020, we have included all activities for 3D XPoint within CNBU.</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revenue decreased 14% primarily due to lower seasonal demand in certain markets and low-power DRAM price declines partially offset by increased sales of high-value MCP products.</w:t>
      </w:r>
    </w:p>
    <w:p>
      <w:pPr>
        <w:ind w:left="660" w:right="2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SBU revenue decreased 10% primarily due to including 3D XPoint activities for the second quarter of 2020 within CNBU, mitigated by a high-single-digit increase in NAND sales due to significant growth in SSD shipment volumes and improved pricing.</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0060"/>
        <w:spacing w:after="0"/>
        <w:rPr>
          <w:sz w:val="20"/>
          <w:szCs w:val="20"/>
          <w:color w:val="auto"/>
        </w:rPr>
      </w:pPr>
      <w:r>
        <w:rPr>
          <w:sz w:val="1"/>
          <w:szCs w:val="1"/>
          <w:color w:val="auto"/>
        </w:rPr>
        <w:drawing>
          <wp:inline distT="0" distB="0" distL="0" distR="0">
            <wp:extent cx="591820" cy="1543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3"/>
          <w:szCs w:val="13"/>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31" w:name="page32"/>
    <w:bookmarkEnd w:id="31"/>
    <w:p>
      <w:pPr>
        <w:ind w:left="660" w:right="4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revenue decreased 5% primarily due to lower shipment volumes to consumer markets as a result of seasonal demand and declines in selling prices.</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Changes in revenue for each business unit for the second quarter and first six months of 2020 as compared to the corresponding periods of 2019 were as follows:</w:t>
      </w:r>
    </w:p>
    <w:p>
      <w:pPr>
        <w:spacing w:after="0" w:line="225" w:lineRule="exact"/>
        <w:rPr>
          <w:sz w:val="20"/>
          <w:szCs w:val="20"/>
          <w:color w:val="auto"/>
        </w:rPr>
      </w:pPr>
    </w:p>
    <w:p>
      <w:pPr>
        <w:ind w:left="660" w:right="2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revenue decreased 17% and 34%, respectively, primarily due to price declines driven by imbalances in supply and demand, partially offset by bit sales growth across key markets.</w:t>
      </w: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revenue decreased 22% and 29%, respectively, primarily due to price declines, partially offset by bit sales growth for high-value mobile MCP products.</w:t>
      </w:r>
    </w:p>
    <w:p>
      <w:pPr>
        <w:ind w:left="660" w:right="4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revenue decreased 15% for both periods primarily due to price declines and lower 3D XPoint revenue, partially offset by bit sales growth for SSDs.</w:t>
      </w:r>
    </w:p>
    <w:p>
      <w:pPr>
        <w:ind w:left="660" w:right="28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revenue decreased 13% and 17%, respectively, primarily due to price declines partially offset by bit sales growth in industrial multimarkets and automotive markets.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rPr>
              <w:t>Second</w:t>
            </w:r>
          </w:p>
        </w:tc>
        <w:tc>
          <w:tcPr>
            <w:tcW w:w="7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7"/>
              </w:rPr>
              <w:t>First</w:t>
            </w:r>
          </w:p>
        </w:tc>
        <w:tc>
          <w:tcPr>
            <w:tcW w:w="520" w:type="dxa"/>
            <w:vAlign w:val="bottom"/>
          </w:tcPr>
          <w:p>
            <w:pPr>
              <w:spacing w:after="0"/>
              <w:rPr>
                <w:sz w:val="17"/>
                <w:szCs w:val="17"/>
                <w:color w:val="auto"/>
              </w:rPr>
            </w:pPr>
          </w:p>
        </w:tc>
        <w:tc>
          <w:tcPr>
            <w:tcW w:w="9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Second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6"/>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rPr>
              <w:t>Quarter</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Quarter</w:t>
            </w:r>
          </w:p>
        </w:tc>
        <w:tc>
          <w:tcPr>
            <w:tcW w:w="520" w:type="dxa"/>
            <w:vAlign w:val="bottom"/>
          </w:tcPr>
          <w:p>
            <w:pPr>
              <w:spacing w:after="0"/>
              <w:rPr>
                <w:sz w:val="21"/>
                <w:szCs w:val="21"/>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8"/>
              </w:rPr>
              <w:t>Quarter</w:t>
            </w:r>
          </w:p>
        </w:tc>
        <w:tc>
          <w:tcPr>
            <w:tcW w:w="48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640" w:type="dxa"/>
            <w:vAlign w:val="bottom"/>
            <w:tcBorders>
              <w:bottom w:val="single" w:sz="8" w:color="0090DA"/>
            </w:tcBorders>
          </w:tcPr>
          <w:p>
            <w:pPr>
              <w:spacing w:after="0"/>
              <w:rPr>
                <w:sz w:val="21"/>
                <w:szCs w:val="21"/>
                <w:color w:val="auto"/>
              </w:rPr>
            </w:pPr>
          </w:p>
        </w:tc>
        <w:tc>
          <w:tcPr>
            <w:tcW w:w="60" w:type="dxa"/>
            <w:vAlign w:val="bottom"/>
            <w:tcBorders>
              <w:bottom w:val="single" w:sz="8" w:color="0090DA"/>
            </w:tcBorders>
          </w:tcPr>
          <w:p>
            <w:pPr>
              <w:spacing w:after="0"/>
              <w:rPr>
                <w:sz w:val="21"/>
                <w:szCs w:val="21"/>
                <w:color w:val="auto"/>
              </w:rPr>
            </w:pPr>
          </w:p>
        </w:tc>
        <w:tc>
          <w:tcPr>
            <w:tcW w:w="1540" w:type="dxa"/>
            <w:vAlign w:val="bottom"/>
            <w:tcBorders>
              <w:bottom w:val="single" w:sz="8" w:color="0090DA"/>
            </w:tcBorders>
            <w:gridSpan w:val="3"/>
          </w:tcPr>
          <w:p>
            <w:pPr>
              <w:jc w:val="right"/>
              <w:ind w:right="560"/>
              <w:spacing w:after="0"/>
              <w:rPr>
                <w:sz w:val="20"/>
                <w:szCs w:val="20"/>
                <w:color w:val="auto"/>
              </w:rPr>
            </w:pPr>
            <w:r>
              <w:rPr>
                <w:rFonts w:ascii="Arial" w:cs="Arial" w:eastAsia="Arial" w:hAnsi="Arial"/>
                <w:sz w:val="18"/>
                <w:szCs w:val="18"/>
                <w:b w:val="1"/>
                <w:bCs w:val="1"/>
                <w:color w:val="auto"/>
                <w:w w:val="99"/>
              </w:rPr>
              <w:t>Six Months</w:t>
            </w:r>
          </w:p>
        </w:tc>
        <w:tc>
          <w:tcPr>
            <w:tcW w:w="540" w:type="dxa"/>
            <w:vAlign w:val="bottom"/>
            <w:tcBorders>
              <w:bottom w:val="single" w:sz="8" w:color="0090DA"/>
            </w:tcBorders>
          </w:tcPr>
          <w:p>
            <w:pPr>
              <w:spacing w:after="0"/>
              <w:rPr>
                <w:sz w:val="21"/>
                <w:szCs w:val="21"/>
                <w:color w:val="auto"/>
              </w:rPr>
            </w:pPr>
          </w:p>
        </w:tc>
      </w:tr>
      <w:tr>
        <w:trPr>
          <w:trHeight w:val="250"/>
        </w:trPr>
        <w:tc>
          <w:tcPr>
            <w:tcW w:w="394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7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2020</w:t>
            </w:r>
          </w:p>
        </w:tc>
        <w:tc>
          <w:tcPr>
            <w:tcW w:w="52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76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2020</w:t>
            </w:r>
          </w:p>
        </w:tc>
        <w:tc>
          <w:tcPr>
            <w:tcW w:w="52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gridSpan w:val="2"/>
          </w:tcPr>
          <w:p>
            <w:pPr>
              <w:jc w:val="center"/>
              <w:ind w:left="130"/>
              <w:spacing w:after="0"/>
              <w:rPr>
                <w:sz w:val="20"/>
                <w:szCs w:val="20"/>
                <w:color w:val="auto"/>
              </w:rPr>
            </w:pPr>
            <w:r>
              <w:rPr>
                <w:rFonts w:ascii="Arial" w:cs="Arial" w:eastAsia="Arial" w:hAnsi="Arial"/>
                <w:sz w:val="18"/>
                <w:szCs w:val="18"/>
                <w:b w:val="1"/>
                <w:bCs w:val="1"/>
                <w:color w:val="auto"/>
                <w:w w:val="99"/>
              </w:rPr>
              <w:t>2019</w:t>
            </w:r>
          </w:p>
        </w:tc>
        <w:tc>
          <w:tcPr>
            <w:tcW w:w="48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0090DA"/>
            </w:tcBorders>
          </w:tcPr>
          <w:p>
            <w:pPr>
              <w:spacing w:after="0"/>
              <w:rPr>
                <w:sz w:val="21"/>
                <w:szCs w:val="21"/>
                <w:color w:val="auto"/>
              </w:rPr>
            </w:pPr>
          </w:p>
        </w:tc>
      </w:tr>
      <w:tr>
        <w:trPr>
          <w:trHeight w:val="41"/>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56"/>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D1D2D4"/>
          </w:tcPr>
          <w:p>
            <w:pPr>
              <w:spacing w:after="0"/>
              <w:rPr>
                <w:sz w:val="22"/>
                <w:szCs w:val="22"/>
                <w:color w:val="auto"/>
              </w:rPr>
            </w:pPr>
          </w:p>
        </w:tc>
        <w:tc>
          <w:tcPr>
            <w:tcW w:w="70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14 %$</w:t>
            </w:r>
          </w:p>
        </w:tc>
        <w:tc>
          <w:tcPr>
            <w:tcW w:w="5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D1D2D4"/>
          </w:tcPr>
          <w:p>
            <w:pPr>
              <w:spacing w:after="0"/>
              <w:rPr>
                <w:sz w:val="22"/>
                <w:szCs w:val="22"/>
                <w:color w:val="auto"/>
              </w:rPr>
            </w:pPr>
          </w:p>
        </w:tc>
        <w:tc>
          <w:tcPr>
            <w:tcW w:w="130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20 % $ 1,160</w:t>
            </w:r>
          </w:p>
        </w:tc>
        <w:tc>
          <w:tcPr>
            <w:tcW w:w="200" w:type="dxa"/>
            <w:vAlign w:val="bottom"/>
            <w:shd w:val="clear" w:color="auto" w:fill="D1D2D4"/>
          </w:tcPr>
          <w:p>
            <w:pPr>
              <w:spacing w:after="0"/>
              <w:rPr>
                <w:sz w:val="22"/>
                <w:szCs w:val="22"/>
                <w:color w:val="auto"/>
              </w:rPr>
            </w:pPr>
          </w:p>
        </w:tc>
        <w:tc>
          <w:tcPr>
            <w:tcW w:w="62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49 %$</w:t>
            </w:r>
          </w:p>
        </w:tc>
        <w:tc>
          <w:tcPr>
            <w:tcW w:w="6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684</w:t>
            </w:r>
          </w:p>
        </w:tc>
        <w:tc>
          <w:tcPr>
            <w:tcW w:w="60" w:type="dxa"/>
            <w:vAlign w:val="bottom"/>
            <w:shd w:val="clear" w:color="auto" w:fill="D1D2D4"/>
          </w:tcPr>
          <w:p>
            <w:pPr>
              <w:spacing w:after="0"/>
              <w:rPr>
                <w:sz w:val="22"/>
                <w:szCs w:val="22"/>
                <w:color w:val="auto"/>
              </w:rPr>
            </w:pPr>
          </w:p>
        </w:tc>
        <w:tc>
          <w:tcPr>
            <w:tcW w:w="140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17 % $ 3,371</w:t>
            </w:r>
          </w:p>
        </w:tc>
        <w:tc>
          <w:tcPr>
            <w:tcW w:w="14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56 %</w:t>
            </w: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1,910</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63"/>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00" w:type="dxa"/>
            <w:vAlign w:val="bottom"/>
            <w:shd w:val="clear" w:color="auto" w:fill="D1D2D4"/>
          </w:tcPr>
          <w:p>
            <w:pPr>
              <w:spacing w:after="0"/>
              <w:rPr>
                <w:sz w:val="22"/>
                <w:szCs w:val="22"/>
                <w:color w:val="auto"/>
              </w:rPr>
            </w:pPr>
          </w:p>
        </w:tc>
        <w:tc>
          <w:tcPr>
            <w:tcW w:w="5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22"/>
                <w:szCs w:val="22"/>
                <w:color w:val="auto"/>
              </w:rPr>
            </w:pPr>
          </w:p>
        </w:tc>
        <w:tc>
          <w:tcPr>
            <w:tcW w:w="70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5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(22)%</w:t>
            </w:r>
          </w:p>
        </w:tc>
        <w:tc>
          <w:tcPr>
            <w:tcW w:w="7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22"/>
                <w:szCs w:val="22"/>
                <w:color w:val="auto"/>
              </w:rPr>
            </w:pPr>
          </w:p>
        </w:tc>
        <w:tc>
          <w:tcPr>
            <w:tcW w:w="6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(219)</w:t>
            </w:r>
          </w:p>
        </w:tc>
        <w:tc>
          <w:tcPr>
            <w:tcW w:w="60" w:type="dxa"/>
            <w:vAlign w:val="bottom"/>
            <w:shd w:val="clear" w:color="auto" w:fill="D1D2D4"/>
          </w:tcPr>
          <w:p>
            <w:pPr>
              <w:spacing w:after="0"/>
              <w:rPr>
                <w:sz w:val="22"/>
                <w:szCs w:val="22"/>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13 %</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57"/>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D1D2D4"/>
          </w:tcPr>
          <w:p>
            <w:pPr>
              <w:spacing w:after="0"/>
              <w:rPr>
                <w:sz w:val="22"/>
                <w:szCs w:val="22"/>
                <w:color w:val="auto"/>
              </w:rPr>
            </w:pPr>
          </w:p>
        </w:tc>
        <w:tc>
          <w:tcPr>
            <w:tcW w:w="5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(17)%</w:t>
            </w:r>
          </w:p>
        </w:tc>
        <w:tc>
          <w:tcPr>
            <w:tcW w:w="180" w:type="dxa"/>
            <w:vAlign w:val="bottom"/>
            <w:tcBorders>
              <w:bottom w:val="single" w:sz="8" w:color="auto"/>
            </w:tcBorders>
            <w:shd w:val="clear" w:color="auto" w:fill="D1D2D4"/>
          </w:tcPr>
          <w:p>
            <w:pPr>
              <w:spacing w:after="0"/>
              <w:rPr>
                <w:sz w:val="22"/>
                <w:szCs w:val="22"/>
                <w:color w:val="auto"/>
              </w:rPr>
            </w:pPr>
          </w:p>
        </w:tc>
        <w:tc>
          <w:tcPr>
            <w:tcW w:w="5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22"/>
                <w:szCs w:val="22"/>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33 %</w:t>
            </w:r>
          </w:p>
        </w:tc>
        <w:tc>
          <w:tcPr>
            <w:tcW w:w="7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2"/>
                <w:szCs w:val="22"/>
                <w:color w:val="auto"/>
              </w:rPr>
            </w:pP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auto"/>
            </w:tcBorders>
            <w:shd w:val="clear" w:color="auto" w:fill="D1D2D4"/>
          </w:tcPr>
          <w:p>
            <w:pPr>
              <w:spacing w:after="0"/>
              <w:rPr>
                <w:sz w:val="22"/>
                <w:szCs w:val="22"/>
                <w:color w:val="auto"/>
              </w:rPr>
            </w:pPr>
          </w:p>
        </w:tc>
        <w:tc>
          <w:tcPr>
            <w:tcW w:w="6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w:t>
            </w:r>
          </w:p>
        </w:tc>
        <w:tc>
          <w:tcPr>
            <w:tcW w:w="60" w:type="dxa"/>
            <w:vAlign w:val="bottom"/>
            <w:shd w:val="clear" w:color="auto" w:fill="D1D2D4"/>
          </w:tcPr>
          <w:p>
            <w:pPr>
              <w:spacing w:after="0"/>
              <w:rPr>
                <w:sz w:val="22"/>
                <w:szCs w:val="22"/>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8 %</w:t>
            </w:r>
          </w:p>
        </w:tc>
        <w:tc>
          <w:tcPr>
            <w:tcW w:w="7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w:t>
            </w:r>
          </w:p>
        </w:tc>
        <w:tc>
          <w:tcPr>
            <w:tcW w:w="14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r>
      <w:tr>
        <w:trPr>
          <w:trHeight w:val="250"/>
        </w:trPr>
        <w:tc>
          <w:tcPr>
            <w:tcW w:w="39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$ 2,110</w:t>
            </w:r>
          </w:p>
        </w:tc>
        <w:tc>
          <w:tcPr>
            <w:tcW w:w="2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1,136</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$ 5,997</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Changes in operating income or loss for each business unit for the second quarter of 2020 as compared to the first quarter of 2020 were as follows:</w:t>
      </w:r>
    </w:p>
    <w:p>
      <w:pPr>
        <w:spacing w:after="0" w:line="225" w:lineRule="exact"/>
        <w:rPr>
          <w:sz w:val="20"/>
          <w:szCs w:val="20"/>
          <w:color w:val="auto"/>
        </w:rPr>
      </w:pPr>
    </w:p>
    <w:p>
      <w:pPr>
        <w:ind w:left="660" w:right="2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CNBU operating income decreased primarily due to increased underutilization costs for 3D XPoint activities and declines in DRAM sales volumes. Consistent with our view that our technology and product roadmaps are more closely aligned with our CNBU business unit, beginning in the second quarter of 2020, we have included all activities for 3D XPoint within CNBU.</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low-power DRAM pricing and sales volumes.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SBU operating loss improved primarily due to increases in NAND pricing and lower underutilization costs as 3D XPoint activities were included in CNBU for the second quarter of 2020.</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EBU operating income decreased primarily as a result DRAM price declines and higher costs due to technology transfers.</w:t>
      </w:r>
    </w:p>
    <w:p>
      <w:pPr>
        <w:spacing w:after="0" w:line="25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Changes in operating income or loss for each business unit for the second quarter and first six months of 2020 as compared to the corresponding periods of 2020 were as follows: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DRAM pricing, partially offset by cost reductions.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low-power DRAM and NAND pricing, partially offset by increases in sales of high-value MCP products and manufacturing cost reductions.</w:t>
      </w:r>
    </w:p>
    <w:p>
      <w:pPr>
        <w:ind w:left="660" w:right="3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SBU operating margin declined primarily due to decreases in NAND pricing, partially offset by manufacturing cost reductions and increases in sales volumes.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EBU operating income decreased as a result of declines in pricing, partially offset by increases in sales volumes.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expenses for the second quarter of 2020 increased 6% as compared to the first quarter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primarily due to increases in employee compensation. SG&amp;A expenses for the second quarter and first six months of 2020 increased 7% and 4%, respectively, as compared to the corresponding periods of 2019 as a result of increases in employee compensation.</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reimbursed under R&amp;D cost-sharing agreements,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R&amp;D expenses for the second quarter of 2020 were 6% higher than the first quarter of 2020 primarily due to increases in volumes of development and pre-qualification wafers and employee compensation. R&amp;D expenses for the second quarter and first six months of 2020 were 13% and 9% higher, respectively, as compared to the corresponding periods of 2019, primarily due to increases in volumes of development and pre-qualification wafers, a reduction of R&amp;D reimbursements from our partners, and increases in employee compensation, partially offset by lower depreciation expense from the revision of the estimated useful lives of equipment. R&amp;D expenses were reduced by $29 million and $ 62 million in the second quarter and first six months of 2020, respectively, due to the revision of the estimated useful lives of equipment. R&amp;D expenses were reduced by $23 million and $53 million in the second quarter and first six months of 2019, respectively, due to reimbursements, primarily from our joint development activities with Intel for 3D NAND and 3D XPoint technologies, which were substantially completed in the third quarter of 2019 and first quarter of 2020,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7"/>
                <w:szCs w:val="17"/>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Second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center"/>
              <w:ind w:right="31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1"/>
                <w:szCs w:val="21"/>
                <w:color w:val="auto"/>
              </w:rPr>
            </w:pPr>
          </w:p>
        </w:tc>
        <w:tc>
          <w:tcPr>
            <w:tcW w:w="112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Borders>
              <w:bottom w:val="single" w:sz="8" w:color="0090DA"/>
            </w:tcBorders>
          </w:tcPr>
          <w:p>
            <w:pPr>
              <w:spacing w:after="0"/>
              <w:rPr>
                <w:sz w:val="21"/>
                <w:szCs w:val="21"/>
                <w:color w:val="auto"/>
              </w:rPr>
            </w:pPr>
          </w:p>
        </w:tc>
        <w:tc>
          <w:tcPr>
            <w:tcW w:w="2320" w:type="dxa"/>
            <w:vAlign w:val="bottom"/>
            <w:tcBorders>
              <w:bottom w:val="single" w:sz="8" w:color="0090DA"/>
            </w:tcBorders>
            <w:gridSpan w:val="3"/>
          </w:tcPr>
          <w:p>
            <w:pPr>
              <w:jc w:val="right"/>
              <w:ind w:right="81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center"/>
              <w:ind w:right="29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center"/>
              <w:ind w:right="3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 excluding items below</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88"/>
        </w:trPr>
        <w:tc>
          <w:tcPr>
            <w:tcW w:w="4860" w:type="dxa"/>
            <w:vAlign w:val="bottom"/>
          </w:tcPr>
          <w:p>
            <w:pPr>
              <w:ind w:left="20"/>
              <w:spacing w:after="0" w:line="189" w:lineRule="exact"/>
              <w:rPr>
                <w:sz w:val="20"/>
                <w:szCs w:val="20"/>
                <w:color w:val="auto"/>
              </w:rPr>
            </w:pPr>
            <w:r>
              <w:rPr>
                <w:rFonts w:ascii="Arial" w:cs="Arial" w:eastAsia="Arial" w:hAnsi="Arial"/>
                <w:sz w:val="18"/>
                <w:szCs w:val="18"/>
                <w:color w:val="auto"/>
              </w:rPr>
              <w:t>Utilization of and other changes in net deferred tax assets of</w:t>
            </w:r>
          </w:p>
        </w:tc>
        <w:tc>
          <w:tcPr>
            <w:tcW w:w="160" w:type="dxa"/>
            <w:vAlign w:val="bottom"/>
          </w:tcPr>
          <w:p>
            <w:pPr>
              <w:spacing w:after="0"/>
              <w:rPr>
                <w:sz w:val="16"/>
                <w:szCs w:val="16"/>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6"/>
                <w:szCs w:val="16"/>
                <w:color w:val="auto"/>
              </w:rPr>
            </w:pP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6"/>
                <w:szCs w:val="16"/>
                <w:color w:val="auto"/>
              </w:rPr>
            </w:pP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6"/>
                <w:szCs w:val="16"/>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4860" w:type="dxa"/>
            <w:vAlign w:val="bottom"/>
          </w:tcPr>
          <w:p>
            <w:pPr>
              <w:ind w:left="180"/>
              <w:spacing w:after="0"/>
              <w:rPr>
                <w:sz w:val="20"/>
                <w:szCs w:val="20"/>
                <w:color w:val="auto"/>
              </w:rPr>
            </w:pPr>
            <w:r>
              <w:rPr>
                <w:rFonts w:ascii="Arial" w:cs="Arial" w:eastAsia="Arial" w:hAnsi="Arial"/>
                <w:sz w:val="18"/>
                <w:szCs w:val="18"/>
                <w:color w:val="auto"/>
              </w:rPr>
              <w:t>MMJ, MMT, and MTTW</w:t>
            </w: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Repatriation tax, net of adjustments related to uncertain tax</w:t>
            </w:r>
          </w:p>
        </w:tc>
        <w:tc>
          <w:tcPr>
            <w:tcW w:w="160" w:type="dxa"/>
            <w:vAlign w:val="bottom"/>
            <w:shd w:val="clear" w:color="auto" w:fill="D1D2D4"/>
          </w:tcPr>
          <w:p>
            <w:pPr>
              <w:spacing w:after="0"/>
              <w:rPr>
                <w:sz w:val="16"/>
                <w:szCs w:val="16"/>
                <w:color w:val="auto"/>
              </w:rPr>
            </w:pPr>
          </w:p>
        </w:tc>
        <w:tc>
          <w:tcPr>
            <w:tcW w:w="9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14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6"/>
                <w:szCs w:val="16"/>
                <w:color w:val="auto"/>
              </w:rPr>
            </w:pPr>
          </w:p>
        </w:tc>
        <w:tc>
          <w:tcPr>
            <w:tcW w:w="112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6"/>
                <w:szCs w:val="16"/>
                <w:color w:val="auto"/>
              </w:rPr>
            </w:pPr>
          </w:p>
        </w:tc>
        <w:tc>
          <w:tcPr>
            <w:tcW w:w="1060" w:type="dxa"/>
            <w:vAlign w:val="bottom"/>
            <w:vMerge w:val="restart"/>
            <w:shd w:val="clear" w:color="auto" w:fill="D1D2D4"/>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4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positions</w:t>
            </w:r>
          </w:p>
        </w:tc>
        <w:tc>
          <w:tcPr>
            <w:tcW w:w="1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vMerge w:val="continue"/>
            <w:shd w:val="clear" w:color="auto" w:fill="D1D2D4"/>
          </w:tcPr>
          <w:p>
            <w:pPr>
              <w:spacing w:after="0"/>
              <w:rPr>
                <w:sz w:val="18"/>
                <w:szCs w:val="18"/>
                <w:color w:val="auto"/>
              </w:rPr>
            </w:pPr>
          </w:p>
        </w:tc>
        <w:tc>
          <w:tcPr>
            <w:tcW w:w="220" w:type="dxa"/>
            <w:vAlign w:val="bottom"/>
            <w:tcBorders>
              <w:bottom w:val="single" w:sz="8" w:color="auto"/>
            </w:tcBorders>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1140" w:type="dxa"/>
            <w:vAlign w:val="bottom"/>
            <w:tcBorders>
              <w:bottom w:val="single" w:sz="8" w:color="auto"/>
            </w:tcBorders>
            <w:vMerge w:val="continue"/>
            <w:shd w:val="clear" w:color="auto" w:fill="D1D2D4"/>
          </w:tcPr>
          <w:p>
            <w:pPr>
              <w:spacing w:after="0"/>
              <w:rPr>
                <w:sz w:val="18"/>
                <w:szCs w:val="18"/>
                <w:color w:val="auto"/>
              </w:rPr>
            </w:pPr>
          </w:p>
        </w:tc>
        <w:tc>
          <w:tcPr>
            <w:tcW w:w="160" w:type="dxa"/>
            <w:vAlign w:val="bottom"/>
            <w:tcBorders>
              <w:bottom w:val="single" w:sz="8" w:color="auto"/>
            </w:tcBorders>
            <w:shd w:val="clear" w:color="auto" w:fill="D1D2D4"/>
          </w:tcPr>
          <w:p>
            <w:pPr>
              <w:spacing w:after="0"/>
              <w:rPr>
                <w:sz w:val="18"/>
                <w:szCs w:val="18"/>
                <w:color w:val="auto"/>
              </w:rPr>
            </w:pPr>
          </w:p>
        </w:tc>
        <w:tc>
          <w:tcPr>
            <w:tcW w:w="1120" w:type="dxa"/>
            <w:vAlign w:val="bottom"/>
            <w:tcBorders>
              <w:bottom w:val="single" w:sz="8" w:color="auto"/>
            </w:tcBorders>
            <w:vMerge w:val="continue"/>
            <w:shd w:val="clear" w:color="auto" w:fill="D1D2D4"/>
          </w:tcPr>
          <w:p>
            <w:pPr>
              <w:spacing w:after="0"/>
              <w:rPr>
                <w:sz w:val="18"/>
                <w:szCs w:val="18"/>
                <w:color w:val="auto"/>
              </w:rPr>
            </w:pPr>
          </w:p>
        </w:tc>
        <w:tc>
          <w:tcPr>
            <w:tcW w:w="2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vMerge w:val="continue"/>
            <w:shd w:val="clear" w:color="auto" w:fill="D1D2D4"/>
          </w:tcPr>
          <w:p>
            <w:pPr>
              <w:spacing w:after="0"/>
              <w:rPr>
                <w:sz w:val="18"/>
                <w:szCs w:val="18"/>
                <w:color w:val="auto"/>
              </w:rPr>
            </w:pPr>
          </w:p>
        </w:tc>
        <w:tc>
          <w:tcPr>
            <w:tcW w:w="2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
        </w:trPr>
        <w:tc>
          <w:tcPr>
            <w:tcW w:w="486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9.8 %</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14.7 %</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7.7 %</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decrease in our income tax provision in the second quarter of 2020 as compared to the first quarter of 2020 and second quarter of 2019 was due primarily to reductions in our profit before tax. Our provision for income tax and the effective tax rate decreased in the second quarter and first six months of 2020 as compared to the second quarter and first six months of 2019 primarily as a result of reductions in our profit before tax and the foreign minimum tax. Our income taxes include the effect of operations outside the United States, including Singapore, where we have tax incentive arrangements that further decrease our effective tax rates.</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which expire in whole or in part at various dates through 2034, that are conditional, in part, upon meeting certain business operations and employment thresholds. The effect of tax incentive arrangements were not significant for the second quarter, first quarter, or first six months of 2020 and reduced our tax provision by $244 million (benefiting our diluted earnings per share by $0.21) and $671 million ($0.58 per diluted share) for the second quarter and first six months of 2019,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ind w:right="240"/>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the second quarter of 2020 was relatively unchanged as compared to the first quarter of 2020.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second quarter of 2020 decreased 23% as compared to the first quarter of 2020 primarily due to decreases in our cash and investment balances and interest rates.</w:t>
      </w:r>
    </w:p>
    <w:p>
      <w:pPr>
        <w:spacing w:after="0" w:line="22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Interest expense for the second quarter and first six months of 2020 increased 66% and 54% as compared to the corresponding periods of 2019 primarily due to increases in debt obligations and a reduction of capitalized interest from lower levels of capital projects in process. Interest income for the second quarter and first six months of 2020 decreased 39% and 17% as compared to the corresponding periods of 2019 as a result of decreases in interest rates and, for the second quarter of 2020 as compared to the second quarter of 2019, lower cash and investment balances.</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 discussion of other operating and non-operating income and expenses can be found in the notes contained in “Item 1. Financial Statements – Notes to Consolidated Financial Statements – Equity Plans, Other Operating Income (Expense), Net, and Other Non-Operating Income (Expense), Net” notes.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Liquidity and Capital Resources</w:t>
      </w:r>
    </w:p>
    <w:p>
      <w:pPr>
        <w:spacing w:after="0" w:line="26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February 27, 2020, we had an undrawn revolving credit facility that provides for borrowings of up to $2.50 billion. Subsequent to the second quarter of 2020, on March 13, 2020, we drew the $2.50 billion available under our revolving credit facility. Borrowings under the revolving credit facility are scheduled to mature on July 3, 2023, and we may repay amounts borrowed any time without penalty. The revolving credit facility bears interest at a rate equal to LIBOR plus 1.25% based on our current corporate credit rating and leverage ratio. We expect that our cash and investments, cash flows from operations, and available financing will be sufficient to meet our requirements at least through the next 12 months.</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that capital expenditures in 2020 for property, plant, and equipment, net of partner contributions, to be $7 billion to $8 billion, focused on technology transitions and product enablement. Actual amounts for 2020 will vary depending on market conditions. As of February 27, 2020, we had commitments of approximately $3.21 billion for the acquisition of property, plant, and equipment, of which approximately $2.65 billion is expected to be paid within one year.</w:t>
      </w:r>
    </w:p>
    <w:p>
      <w:pPr>
        <w:spacing w:after="0" w:line="2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does not obligate us to acquire any common stock and is subject to market conditions and our ongoing determination of the best use of available cash. Through February 27, 2020, we had repurchased an aggregate of $2.76 billion of the authorized amount. See “Item 8. Financial Statements and Supplementary Data – Notes to Consolidated Financial Statements – Equity.”</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Cash and marketable investments totaled $8.07 billion as of February 27, 2020 and $9.12 billion as of August 29, 2019. Our investments consist primarily of bank deposits, money market funds, and liquid investment 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 As of February 27, 2020, $3.26 billion of our cash and marketable investments was held by our foreign subsidiaries.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4" w:name="page35"/>
    <w:bookmarkEnd w:id="34"/>
    <w:p>
      <w:pPr>
        <w:ind w:right="80"/>
        <w:spacing w:after="0" w:line="256" w:lineRule="auto"/>
        <w:rPr>
          <w:sz w:val="20"/>
          <w:szCs w:val="20"/>
          <w:color w:val="auto"/>
        </w:rPr>
      </w:pPr>
      <w:r>
        <w:rPr>
          <w:rFonts w:ascii="Arial" w:cs="Arial" w:eastAsia="Arial" w:hAnsi="Arial"/>
          <w:sz w:val="18"/>
          <w:szCs w:val="18"/>
          <w:b w:val="1"/>
          <w:bCs w:val="1"/>
          <w:i w:val="1"/>
          <w:iCs w:val="1"/>
          <w:color w:val="auto"/>
        </w:rPr>
        <w:t>Limitations on the Use of Cash and Investments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as of February 27, 2020 included $330 million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MMJ. As a result of the corporate reorganization proceedings of MMJ initiated in March 2012, and for so long as such proceedings are continuing, MMJ is prohibited from paying dividends to us. In addition, pursuant to an order of the Tokyo District Court, MMJ cannot make loans or advances, other than certain ordinary course advances, to us without the consent of the Tokyo District Court and may, under certain circumstances, be subject to the approval of the legal trustee. As a result, the assets of MMJ are not available for use by us in our other operations. Furthermore, certain uses of the assets of MMJ, including investments in certain capital expenditures, may require consent of MMJ’s trustees and/or the Tokyo District Court.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7"/>
        </w:trPr>
        <w:tc>
          <w:tcPr>
            <w:tcW w:w="8360" w:type="dxa"/>
            <w:vAlign w:val="bottom"/>
          </w:tcPr>
          <w:p>
            <w:pPr>
              <w:spacing w:after="0"/>
              <w:rPr>
                <w:sz w:val="24"/>
                <w:szCs w:val="24"/>
                <w:color w:val="auto"/>
              </w:rPr>
            </w:pPr>
          </w:p>
        </w:tc>
        <w:tc>
          <w:tcPr>
            <w:tcW w:w="320" w:type="dxa"/>
            <w:vAlign w:val="bottom"/>
            <w:tcBorders>
              <w:bottom w:val="single" w:sz="8" w:color="0090DA"/>
            </w:tcBorders>
          </w:tcPr>
          <w:p>
            <w:pPr>
              <w:spacing w:after="0"/>
              <w:rPr>
                <w:sz w:val="24"/>
                <w:szCs w:val="24"/>
                <w:color w:val="auto"/>
              </w:rPr>
            </w:pPr>
          </w:p>
        </w:tc>
        <w:tc>
          <w:tcPr>
            <w:tcW w:w="16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Six Months</w:t>
            </w:r>
          </w:p>
        </w:tc>
        <w:tc>
          <w:tcPr>
            <w:tcW w:w="940" w:type="dxa"/>
            <w:vAlign w:val="bottom"/>
            <w:tcBorders>
              <w:bottom w:val="single" w:sz="8" w:color="0090DA"/>
            </w:tcBorders>
          </w:tcPr>
          <w:p>
            <w:pPr>
              <w:spacing w:after="0"/>
              <w:rPr>
                <w:sz w:val="24"/>
                <w:szCs w:val="24"/>
                <w:color w:val="auto"/>
              </w:rPr>
            </w:pPr>
          </w:p>
        </w:tc>
      </w:tr>
      <w:tr>
        <w:trPr>
          <w:trHeight w:val="250"/>
        </w:trPr>
        <w:tc>
          <w:tcPr>
            <w:tcW w:w="8360" w:type="dxa"/>
            <w:vAlign w:val="bottom"/>
            <w:tcBorders>
              <w:bottom w:val="single" w:sz="8" w:color="0090DA"/>
            </w:tcBorders>
          </w:tcPr>
          <w:p>
            <w:pPr>
              <w:spacing w:after="0"/>
              <w:rPr>
                <w:sz w:val="21"/>
                <w:szCs w:val="21"/>
                <w:color w:val="auto"/>
              </w:rPr>
            </w:pPr>
          </w:p>
        </w:tc>
        <w:tc>
          <w:tcPr>
            <w:tcW w:w="32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0090DA"/>
            </w:tcBorders>
          </w:tcPr>
          <w:p>
            <w:pPr>
              <w:spacing w:after="0"/>
              <w:rPr>
                <w:sz w:val="21"/>
                <w:szCs w:val="21"/>
                <w:color w:val="auto"/>
              </w:rPr>
            </w:pPr>
          </w:p>
        </w:tc>
        <w:tc>
          <w:tcPr>
            <w:tcW w:w="9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r>
      <w:tr>
        <w:trPr>
          <w:trHeight w:val="41"/>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7"/>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4,012</w:t>
            </w:r>
          </w:p>
        </w:tc>
        <w:tc>
          <w:tcPr>
            <w:tcW w:w="5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8,245</w:t>
            </w:r>
          </w:p>
        </w:tc>
      </w:tr>
      <w:tr>
        <w:trPr>
          <w:trHeight w:val="25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(6,919)</w:t>
            </w:r>
          </w:p>
        </w:tc>
      </w:tr>
      <w:tr>
        <w:trPr>
          <w:trHeight w:val="26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(1,207)</w:t>
            </w:r>
          </w:p>
        </w:tc>
        <w:tc>
          <w:tcPr>
            <w:tcW w:w="54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(1,483)</w:t>
            </w:r>
          </w:p>
        </w:tc>
      </w:tr>
      <w:tr>
        <w:trPr>
          <w:trHeight w:val="257"/>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75"/>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540" w:type="dxa"/>
            <w:vAlign w:val="bottom"/>
            <w:tcBorders>
              <w:bottom w:val="single" w:sz="8" w:color="auto"/>
            </w:tcBorders>
            <w:shd w:val="clear" w:color="auto" w:fill="D1D2D4"/>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(158)</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540" w:type="dxa"/>
            <w:vAlign w:val="bottom"/>
            <w:tcBorders>
              <w:top w:val="single" w:sz="8" w:color="D1D2D4"/>
              <w:bottom w:val="single" w:sz="8" w:color="auto"/>
            </w:tcBorders>
          </w:tcPr>
          <w:p>
            <w:pPr>
              <w:spacing w:after="0" w:line="20" w:lineRule="exact"/>
              <w:rPr>
                <w:sz w:val="1"/>
                <w:szCs w:val="1"/>
                <w:color w:val="auto"/>
              </w:rPr>
            </w:pPr>
          </w:p>
        </w:tc>
        <w:tc>
          <w:tcPr>
            <w:tcW w:w="940" w:type="dxa"/>
            <w:vAlign w:val="bottom"/>
            <w:tcBorders>
              <w:top w:val="single" w:sz="8" w:color="D1D2D4"/>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For the first six months of 2020, cash provided by operating activities was due primarily to cash generated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the effects of an increase in accounts payable and accrued expenses from timing of payments and a decrease in receivables, partially offset by an increase in inventories. For the first six months of 2019, cash provided by operating activities was due primarily to cash generated by our operations and the effects of decreases in receivables and deferred tax assets, partially offset by an increase in inventories and a decrease in accounts payable and accrued expenses from timing of payments.</w:t>
      </w:r>
    </w:p>
    <w:p>
      <w:pPr>
        <w:spacing w:after="0" w:line="2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the first six months of 2020, net cash used for investing activities consisted primarily of $ 3.86 billion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property, plant, and equipment (net of partner contributions) partially offset by $1.02 billion of net inflows from sales, maturities, and purchases of available-for-sale securities. For the first six months of 2019, net cash used for investing activities consisted primarily of $4.89 billion of expenditures for property, plant, and equipment (net of partner contributions) and $2.02 billion of net outflows from sales, maturities, and purchases of available-for-sale securities.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the first six months of 2020, net cash used for financing activities consisted primarily of $1.68 billion cash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reduce our debt, including $621 million for IMFT Member Debt repayments, $534 million to prepay the 2025 Notes, $198 million to settle conversions of notes, and $129 million for scheduled repayment of finance leases; $744 million for the acquisition of noncontrolling interest in IMFT; and $94 million for the acquisition of 1.9 million shares of our common stock under our $10 billion share repurchase authorization. Cash used for financing activities was partially offset by net proceeds of $1.25 billion from issuance of the 2024 Term Loan A. For the first six months of 2019, net cash used for financing activities consisted primarily of $2.51 billion for the acquisition of 63 million shares of common stock, $ 506 million of scheduled repayments of other notes and capital leases, and $199 million of payments to settle conversions of notes, partially offset by net proceeds of $1.79 billion from the aggregate issuance of the 2024 Notes, 2026 Notes, and 2029 Notes.</w:t>
      </w:r>
    </w:p>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Potential Settlement Obligations of Convertible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price of our common stock exceeded 130% of the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per share of all our convertible notes for at least 20 trading days in the 30 trading day period ended on December 31, 2019, holders may convert these notes through the calendar quarter ended March 31, 2020. Additionally, the closing price of our common stock also exceeded the thresholds for the calendar quarter ended March 31, 2020; therefore, such notes are convertible by the holders at any time through June 30, 2020. The following table summarizes the potential settlements that we could be required to make for the calendar quarter ending March 31, 2020 if all holders converted their notes. The amounts in the table below are based on our closing share price of $50.58 as of February 27, 2020.</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40" w:type="dxa"/>
            <w:vAlign w:val="bottom"/>
            <w:gridSpan w:val="3"/>
          </w:tcPr>
          <w:p>
            <w:pPr>
              <w:ind w:left="20"/>
              <w:spacing w:after="0"/>
              <w:rPr>
                <w:sz w:val="20"/>
                <w:szCs w:val="20"/>
                <w:color w:val="auto"/>
              </w:rPr>
            </w:pPr>
            <w:r>
              <w:rPr>
                <w:rFonts w:ascii="Arial" w:cs="Arial" w:eastAsia="Arial" w:hAnsi="Arial"/>
                <w:sz w:val="16"/>
                <w:szCs w:val="16"/>
                <w:b w:val="1"/>
                <w:bCs w:val="1"/>
                <w:color w:val="auto"/>
              </w:rPr>
              <w:t>If Settled With Minimum Cash</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2100" w:type="dxa"/>
            <w:vAlign w:val="bottom"/>
          </w:tcPr>
          <w:p>
            <w:pPr>
              <w:spacing w:after="0"/>
              <w:rPr>
                <w:sz w:val="19"/>
                <w:szCs w:val="19"/>
                <w:color w:val="auto"/>
              </w:rPr>
            </w:pPr>
          </w:p>
        </w:tc>
        <w:tc>
          <w:tcPr>
            <w:tcW w:w="4080" w:type="dxa"/>
            <w:vAlign w:val="bottom"/>
            <w:tcBorders>
              <w:bottom w:val="single" w:sz="8" w:color="0090DA"/>
            </w:tcBorders>
            <w:gridSpan w:val="2"/>
          </w:tcPr>
          <w:p>
            <w:pPr>
              <w:ind w:left="1340"/>
              <w:spacing w:after="0"/>
              <w:rPr>
                <w:sz w:val="20"/>
                <w:szCs w:val="20"/>
                <w:color w:val="auto"/>
              </w:rPr>
            </w:pPr>
            <w:r>
              <w:rPr>
                <w:rFonts w:ascii="Arial" w:cs="Arial" w:eastAsia="Arial" w:hAnsi="Arial"/>
                <w:sz w:val="16"/>
                <w:szCs w:val="16"/>
                <w:b w:val="1"/>
                <w:bCs w:val="1"/>
                <w:color w:val="auto"/>
              </w:rPr>
              <w:t>Settlement Option</w:t>
            </w:r>
          </w:p>
        </w:tc>
        <w:tc>
          <w:tcPr>
            <w:tcW w:w="1220" w:type="dxa"/>
            <w:vAlign w:val="bottom"/>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2100" w:type="dxa"/>
            <w:vAlign w:val="bottom"/>
            <w:tcBorders>
              <w:bottom w:val="single" w:sz="8" w:color="0090DA"/>
            </w:tcBorders>
            <w:gridSpan w:val="2"/>
          </w:tcPr>
          <w:p>
            <w:pPr>
              <w:jc w:val="right"/>
              <w:ind w:right="734"/>
              <w:spacing w:after="0"/>
              <w:rPr>
                <w:sz w:val="20"/>
                <w:szCs w:val="20"/>
                <w:color w:val="auto"/>
              </w:rPr>
            </w:pPr>
            <w:r>
              <w:rPr>
                <w:rFonts w:ascii="Arial" w:cs="Arial" w:eastAsia="Arial" w:hAnsi="Arial"/>
                <w:sz w:val="16"/>
                <w:szCs w:val="16"/>
                <w:b w:val="1"/>
                <w:bCs w:val="1"/>
                <w:color w:val="auto"/>
              </w:rPr>
              <w:t>Required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98"/>
        </w:trPr>
        <w:tc>
          <w:tcPr>
            <w:tcW w:w="2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0" w:type="dxa"/>
            <w:vAlign w:val="bottom"/>
          </w:tcPr>
          <w:p>
            <w:pPr>
              <w:jc w:val="center"/>
              <w:ind w:left="75"/>
              <w:spacing w:after="0"/>
              <w:rPr>
                <w:sz w:val="20"/>
                <w:szCs w:val="20"/>
                <w:color w:val="auto"/>
              </w:rPr>
            </w:pPr>
            <w:r>
              <w:rPr>
                <w:rFonts w:ascii="Arial" w:cs="Arial" w:eastAsia="Arial" w:hAnsi="Arial"/>
                <w:sz w:val="16"/>
                <w:szCs w:val="16"/>
                <w:b w:val="1"/>
                <w:bCs w:val="1"/>
                <w:color w:val="auto"/>
              </w:rPr>
              <w:t>Amount in Excess of</w:t>
            </w:r>
          </w:p>
        </w:tc>
        <w:tc>
          <w:tcPr>
            <w:tcW w:w="1220" w:type="dxa"/>
            <w:vAlign w:val="bottom"/>
          </w:tcPr>
          <w:p>
            <w:pPr>
              <w:jc w:val="right"/>
              <w:ind w:right="94"/>
              <w:spacing w:after="0"/>
              <w:rPr>
                <w:sz w:val="20"/>
                <w:szCs w:val="20"/>
                <w:color w:val="auto"/>
              </w:rPr>
            </w:pPr>
            <w:r>
              <w:rPr>
                <w:rFonts w:ascii="Arial" w:cs="Arial" w:eastAsia="Arial" w:hAnsi="Arial"/>
                <w:sz w:val="16"/>
                <w:szCs w:val="16"/>
                <w:b w:val="1"/>
                <w:bCs w:val="1"/>
                <w:color w:val="auto"/>
              </w:rPr>
              <w:t>Underlying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Remainder in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If Settled Entirely</w:t>
            </w:r>
          </w:p>
        </w:tc>
      </w:tr>
      <w:tr>
        <w:trPr>
          <w:trHeight w:val="228"/>
        </w:trPr>
        <w:tc>
          <w:tcPr>
            <w:tcW w:w="2100" w:type="dxa"/>
            <w:vAlign w:val="bottom"/>
            <w:tcBorders>
              <w:bottom w:val="single" w:sz="8" w:color="0090DA"/>
            </w:tcBorders>
          </w:tcPr>
          <w:p>
            <w:pPr>
              <w:spacing w:after="0"/>
              <w:rPr>
                <w:sz w:val="19"/>
                <w:szCs w:val="19"/>
                <w:color w:val="auto"/>
              </w:rPr>
            </w:pPr>
          </w:p>
        </w:tc>
        <w:tc>
          <w:tcPr>
            <w:tcW w:w="1880" w:type="dxa"/>
            <w:vAlign w:val="bottom"/>
            <w:tcBorders>
              <w:bottom w:val="single" w:sz="8" w:color="0090DA"/>
            </w:tcBorders>
          </w:tcPr>
          <w:p>
            <w:pPr>
              <w:ind w:left="360"/>
              <w:spacing w:after="0"/>
              <w:rPr>
                <w:sz w:val="20"/>
                <w:szCs w:val="20"/>
                <w:color w:val="auto"/>
              </w:rPr>
            </w:pPr>
            <w:r>
              <w:rPr>
                <w:rFonts w:ascii="Arial" w:cs="Arial" w:eastAsia="Arial" w:hAnsi="Arial"/>
                <w:sz w:val="16"/>
                <w:szCs w:val="16"/>
                <w:b w:val="1"/>
                <w:bCs w:val="1"/>
                <w:color w:val="auto"/>
              </w:rPr>
              <w:t>Principal Amount</w:t>
            </w:r>
          </w:p>
        </w:tc>
        <w:tc>
          <w:tcPr>
            <w:tcW w:w="2200" w:type="dxa"/>
            <w:vAlign w:val="bottom"/>
            <w:tcBorders>
              <w:bottom w:val="single" w:sz="8" w:color="0090DA"/>
            </w:tcBorders>
          </w:tcPr>
          <w:p>
            <w:pPr>
              <w:jc w:val="center"/>
              <w:ind w:left="75"/>
              <w:spacing w:after="0"/>
              <w:rPr>
                <w:sz w:val="20"/>
                <w:szCs w:val="20"/>
                <w:color w:val="auto"/>
              </w:rPr>
            </w:pPr>
            <w:r>
              <w:rPr>
                <w:rFonts w:ascii="Arial" w:cs="Arial" w:eastAsia="Arial" w:hAnsi="Arial"/>
                <w:sz w:val="16"/>
                <w:szCs w:val="16"/>
                <w:b w:val="1"/>
                <w:bCs w:val="1"/>
                <w:color w:val="auto"/>
              </w:rPr>
              <w:t>Principal</w:t>
            </w:r>
          </w:p>
        </w:tc>
        <w:tc>
          <w:tcPr>
            <w:tcW w:w="1220" w:type="dxa"/>
            <w:vAlign w:val="bottom"/>
            <w:tcBorders>
              <w:bottom w:val="single" w:sz="8" w:color="0090DA"/>
            </w:tcBorders>
          </w:tcPr>
          <w:p>
            <w:pPr>
              <w:jc w:val="right"/>
              <w:ind w:right="254"/>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tcPr>
          <w:p>
            <w:pPr>
              <w:jc w:val="right"/>
              <w:ind w:right="234"/>
              <w:spacing w:after="0"/>
              <w:rPr>
                <w:sz w:val="20"/>
                <w:szCs w:val="20"/>
                <w:color w:val="auto"/>
              </w:rPr>
            </w:pPr>
            <w:r>
              <w:rPr>
                <w:rFonts w:ascii="Arial" w:cs="Arial" w:eastAsia="Arial" w:hAnsi="Arial"/>
                <w:sz w:val="16"/>
                <w:szCs w:val="16"/>
                <w:b w:val="1"/>
                <w:bCs w:val="1"/>
                <w:color w:val="auto"/>
              </w:rPr>
              <w:t>Cash</w:t>
            </w:r>
          </w:p>
        </w:tc>
        <w:tc>
          <w:tcPr>
            <w:tcW w:w="1240" w:type="dxa"/>
            <w:vAlign w:val="bottom"/>
            <w:tcBorders>
              <w:bottom w:val="single" w:sz="8" w:color="0090DA"/>
            </w:tcBorders>
          </w:tcPr>
          <w:p>
            <w:pPr>
              <w:jc w:val="right"/>
              <w:ind w:right="234"/>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252"/>
              <w:spacing w:after="0"/>
              <w:rPr>
                <w:sz w:val="20"/>
                <w:szCs w:val="20"/>
                <w:color w:val="auto"/>
              </w:rPr>
            </w:pPr>
            <w:r>
              <w:rPr>
                <w:rFonts w:ascii="Arial" w:cs="Arial" w:eastAsia="Arial" w:hAnsi="Arial"/>
                <w:sz w:val="16"/>
                <w:szCs w:val="16"/>
                <w:b w:val="1"/>
                <w:bCs w:val="1"/>
                <w:color w:val="auto"/>
              </w:rPr>
              <w:t>With Cash</w:t>
            </w:r>
          </w:p>
        </w:tc>
      </w:tr>
      <w:tr>
        <w:trPr>
          <w:trHeight w:val="40"/>
        </w:trPr>
        <w:tc>
          <w:tcPr>
            <w:tcW w:w="2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7"/>
        </w:trPr>
        <w:tc>
          <w:tcPr>
            <w:tcW w:w="2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1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and/or shares</w:t>
            </w:r>
          </w:p>
        </w:tc>
        <w:tc>
          <w:tcPr>
            <w:tcW w:w="22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and/or shares</w:t>
            </w:r>
          </w:p>
        </w:tc>
        <w:tc>
          <w:tcPr>
            <w:tcW w:w="1220" w:type="dxa"/>
            <w:vAlign w:val="bottom"/>
            <w:shd w:val="clear" w:color="auto" w:fill="D1D2D4"/>
          </w:tcPr>
          <w:p>
            <w:pPr>
              <w:jc w:val="right"/>
              <w:ind w:right="74"/>
              <w:spacing w:after="0"/>
              <w:rPr>
                <w:sz w:val="20"/>
                <w:szCs w:val="20"/>
                <w:color w:val="auto"/>
              </w:rPr>
            </w:pPr>
            <w:r>
              <w:rPr>
                <w:rFonts w:ascii="Arial" w:cs="Arial" w:eastAsia="Arial" w:hAnsi="Arial"/>
                <w:sz w:val="18"/>
                <w:szCs w:val="18"/>
                <w:color w:val="auto"/>
              </w:rPr>
              <w:t>13</w:t>
            </w:r>
          </w:p>
        </w:tc>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ind w:right="74"/>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1D2D4"/>
          </w:tcPr>
          <w:p>
            <w:pPr>
              <w:jc w:val="right"/>
              <w:ind w:right="13"/>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72"/>
              <w:spacing w:after="0"/>
              <w:rPr>
                <w:sz w:val="20"/>
                <w:szCs w:val="20"/>
                <w:color w:val="auto"/>
              </w:rPr>
            </w:pPr>
            <w:r>
              <w:rPr>
                <w:rFonts w:ascii="Arial" w:cs="Arial" w:eastAsia="Arial" w:hAnsi="Arial"/>
                <w:sz w:val="18"/>
                <w:szCs w:val="18"/>
                <w:color w:val="auto"/>
              </w:rPr>
              <w:t>677</w:t>
            </w:r>
          </w:p>
        </w:tc>
      </w:tr>
      <w:tr>
        <w:trPr>
          <w:trHeight w:val="257"/>
        </w:trPr>
        <w:tc>
          <w:tcPr>
            <w:tcW w:w="21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2033F Notes</w:t>
            </w:r>
          </w:p>
        </w:tc>
        <w:tc>
          <w:tcPr>
            <w:tcW w:w="18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w:t>
            </w:r>
          </w:p>
        </w:tc>
        <w:tc>
          <w:tcPr>
            <w:tcW w:w="22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Cash and/or shares</w:t>
            </w: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75</w:t>
            </w:r>
          </w:p>
        </w:tc>
      </w:tr>
      <w:tr>
        <w:trPr>
          <w:trHeight w:val="268"/>
        </w:trPr>
        <w:tc>
          <w:tcPr>
            <w:tcW w:w="2100" w:type="dxa"/>
            <w:vAlign w:val="bottom"/>
            <w:tcBorders>
              <w:bottom w:val="single" w:sz="8" w:color="D1D2D4"/>
            </w:tcBorders>
            <w:shd w:val="clear" w:color="auto" w:fill="D1D2D4"/>
          </w:tcPr>
          <w:p>
            <w:pPr>
              <w:spacing w:after="0"/>
              <w:rPr>
                <w:sz w:val="22"/>
                <w:szCs w:val="22"/>
                <w:color w:val="auto"/>
              </w:rPr>
            </w:pPr>
          </w:p>
        </w:tc>
        <w:tc>
          <w:tcPr>
            <w:tcW w:w="1880" w:type="dxa"/>
            <w:vAlign w:val="bottom"/>
            <w:tcBorders>
              <w:bottom w:val="single" w:sz="8" w:color="D1D2D4"/>
            </w:tcBorders>
            <w:shd w:val="clear" w:color="auto" w:fill="D1D2D4"/>
          </w:tcPr>
          <w:p>
            <w:pPr>
              <w:spacing w:after="0"/>
              <w:rPr>
                <w:sz w:val="22"/>
                <w:szCs w:val="22"/>
                <w:color w:val="auto"/>
              </w:rPr>
            </w:pPr>
          </w:p>
        </w:tc>
        <w:tc>
          <w:tcPr>
            <w:tcW w:w="2200" w:type="dxa"/>
            <w:vAlign w:val="bottom"/>
            <w:tcBorders>
              <w:bottom w:val="single" w:sz="8" w:color="D1D2D4"/>
            </w:tcBorders>
            <w:shd w:val="clear" w:color="auto" w:fill="D1D2D4"/>
          </w:tcPr>
          <w:p>
            <w:pPr>
              <w:spacing w:after="0"/>
              <w:rPr>
                <w:sz w:val="22"/>
                <w:szCs w:val="22"/>
                <w:color w:val="auto"/>
              </w:rPr>
            </w:pPr>
          </w:p>
        </w:tc>
        <w:tc>
          <w:tcPr>
            <w:tcW w:w="1220" w:type="dxa"/>
            <w:vAlign w:val="bottom"/>
            <w:tcBorders>
              <w:bottom w:val="single" w:sz="8" w:color="auto"/>
            </w:tcBorders>
            <w:shd w:val="clear" w:color="auto" w:fill="D1D2D4"/>
          </w:tcPr>
          <w:p>
            <w:pPr>
              <w:jc w:val="right"/>
              <w:ind w:right="74"/>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1D2D4"/>
          </w:tcPr>
          <w:p>
            <w:pPr>
              <w:jc w:val="right"/>
              <w:ind w:right="34"/>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auto"/>
            </w:tcBorders>
            <w:shd w:val="clear" w:color="auto" w:fill="D1D2D4"/>
          </w:tcPr>
          <w:p>
            <w:pPr>
              <w:jc w:val="right"/>
              <w:ind w:right="74"/>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shd w:val="clear" w:color="auto" w:fill="D1D2D4"/>
          </w:tcPr>
          <w:p>
            <w:pPr>
              <w:jc w:val="right"/>
              <w:ind w:right="13"/>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1D2D4"/>
          </w:tcPr>
          <w:p>
            <w:pPr>
              <w:jc w:val="right"/>
              <w:ind w:right="72"/>
              <w:spacing w:after="0"/>
              <w:rPr>
                <w:sz w:val="20"/>
                <w:szCs w:val="20"/>
                <w:color w:val="auto"/>
              </w:rPr>
            </w:pPr>
            <w:r>
              <w:rPr>
                <w:rFonts w:ascii="Arial" w:cs="Arial" w:eastAsia="Arial" w:hAnsi="Arial"/>
                <w:sz w:val="18"/>
                <w:szCs w:val="18"/>
                <w:color w:val="auto"/>
              </w:rPr>
              <w:t>752</w:t>
            </w:r>
          </w:p>
        </w:tc>
      </w:tr>
      <w:tr>
        <w:trPr>
          <w:trHeight w:val="20"/>
        </w:trPr>
        <w:tc>
          <w:tcPr>
            <w:tcW w:w="2100" w:type="dxa"/>
            <w:vAlign w:val="bottom"/>
            <w:tcBorders>
              <w:top w:val="single" w:sz="8" w:color="D1D2D4"/>
            </w:tcBorders>
          </w:tcPr>
          <w:p>
            <w:pPr>
              <w:spacing w:after="0" w:line="20" w:lineRule="exact"/>
              <w:rPr>
                <w:sz w:val="1"/>
                <w:szCs w:val="1"/>
                <w:color w:val="auto"/>
              </w:rPr>
            </w:pPr>
          </w:p>
        </w:tc>
        <w:tc>
          <w:tcPr>
            <w:tcW w:w="1880" w:type="dxa"/>
            <w:vAlign w:val="bottom"/>
            <w:tcBorders>
              <w:top w:val="single" w:sz="8" w:color="D1D2D4"/>
            </w:tcBorders>
          </w:tcPr>
          <w:p>
            <w:pPr>
              <w:spacing w:after="0" w:line="20" w:lineRule="exact"/>
              <w:rPr>
                <w:sz w:val="1"/>
                <w:szCs w:val="1"/>
                <w:color w:val="auto"/>
              </w:rPr>
            </w:pPr>
          </w:p>
        </w:tc>
        <w:tc>
          <w:tcPr>
            <w:tcW w:w="2200" w:type="dxa"/>
            <w:vAlign w:val="bottom"/>
            <w:tcBorders>
              <w:top w:val="single" w:sz="8" w:color="D1D2D4"/>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b w:val="1"/>
          <w:b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Leases” and “– Debt.”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Issued Accounting Standards.”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affected by changes in currency exchange and interest rates. For further discussion about market risk and sensitivity analysis related to changes in currency exchange rates, see “Part II – Item 7A. Quantitative and Qualitative Disclosures About Market Risk” in our Annual Report on Form 10-K for the year ended August 29, 2019.</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8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second quarter of 2020,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29, 2019 and “Part I. Financial Information – Item 1. Financial Statements – Notes to Consolidated Financial Statements – Contingencies” and “Item 1A. Risk Factors” herein.</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5"/>
          <w:szCs w:val="25"/>
          <w:b w:val="1"/>
          <w:bCs w:val="1"/>
          <w:color w:val="auto"/>
        </w:rPr>
        <w:t>ITEM 1A. RISK FACTORS</w:t>
      </w:r>
    </w:p>
    <w:p>
      <w:pPr>
        <w:spacing w:after="0" w:line="2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outbreak could adversely affect our business, results of operations, and financial condition.</w:t>
      </w:r>
    </w:p>
    <w:p>
      <w:pPr>
        <w:spacing w:after="0" w:line="27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effects of a public health crisis caused by the COVID-19 outbreak and the measures being taken to limit COVID-19’s spread are uncertain and difficult to predict, but may include:</w:t>
      </w:r>
    </w:p>
    <w:p>
      <w:pPr>
        <w:spacing w:after="0" w:line="225" w:lineRule="exact"/>
        <w:rPr>
          <w:sz w:val="20"/>
          <w:szCs w:val="20"/>
          <w:color w:val="auto"/>
        </w:rPr>
      </w:pPr>
    </w:p>
    <w:p>
      <w:pPr>
        <w:ind w:left="660" w:right="12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a global economic recession that could further reduce demand and/or pricing for our products, resulting from actions taken by governments, businesses, and/or the general public in an effort to limit exposure to and spreading of such infectious diseases, such as travel restrictions, quarantines, and business shutdowns or slowdowns;</w:t>
      </w:r>
    </w:p>
    <w:p>
      <w:pPr>
        <w:spacing w:after="0" w:line="230"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impacts to our operations, including reductions in production levels, R&amp;D activities, and qualification activities with our customers, and increased costs resulting from our efforts to mitigate the impact of COVID-19 through social-distancing measures we have enacted at certain of our locations around the world in an effort to protect our employees’ health and well-being (including working from home, limiting the number of employees attending meetings, reducing the number of people in our sites at any one time and suspending employee travel);</w:t>
      </w:r>
    </w:p>
    <w:p>
      <w:pPr>
        <w:spacing w:after="0" w:line="232" w:lineRule="exact"/>
        <w:rPr>
          <w:rFonts w:ascii="Arial" w:cs="Arial" w:eastAsia="Arial" w:hAnsi="Arial"/>
          <w:sz w:val="18"/>
          <w:szCs w:val="18"/>
          <w:color w:val="auto"/>
        </w:rPr>
      </w:pPr>
    </w:p>
    <w:p>
      <w:pPr>
        <w:jc w:val="both"/>
        <w:ind w:left="660" w:right="24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and result in a higher rate of losses on our accounts receivables due to credit defaults; and</w:t>
      </w:r>
    </w:p>
    <w:p>
      <w:pPr>
        <w:spacing w:after="0" w:line="228"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of materials, equipment and engineering support, and services from geographic areas that have been impacted by COVID-19 and by efforts to contain the spread of COVID-19.</w:t>
      </w:r>
    </w:p>
    <w:p>
      <w:pPr>
        <w:spacing w:after="0" w:line="22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resumption of normal business operations after such interruptions may be delayed or constrained by lingering effects of COVID-19 on our suppliers, third-party service providers, and/or customers.</w:t>
      </w:r>
    </w:p>
    <w:p>
      <w:pPr>
        <w:spacing w:after="0" w:line="22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or prolonged outbreak could exacerbate the adverse impact of such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6"/>
        </w:trPr>
        <w:tc>
          <w:tcPr>
            <w:tcW w:w="7600" w:type="dxa"/>
            <w:vAlign w:val="bottom"/>
          </w:tcPr>
          <w:p>
            <w:pPr>
              <w:spacing w:after="0"/>
              <w:rPr>
                <w:sz w:val="21"/>
                <w:szCs w:val="21"/>
                <w:color w:val="auto"/>
              </w:rPr>
            </w:pPr>
          </w:p>
        </w:tc>
        <w:tc>
          <w:tcPr>
            <w:tcW w:w="1240" w:type="dxa"/>
            <w:vAlign w:val="bottom"/>
            <w:tcBorders>
              <w:bottom w:val="single" w:sz="8" w:color="0090DA"/>
            </w:tcBorders>
          </w:tcPr>
          <w:p>
            <w:pPr>
              <w:ind w:left="640"/>
              <w:spacing w:after="0"/>
              <w:rPr>
                <w:sz w:val="20"/>
                <w:szCs w:val="20"/>
                <w:color w:val="auto"/>
              </w:rPr>
            </w:pPr>
            <w:r>
              <w:rPr>
                <w:rFonts w:ascii="Arial" w:cs="Arial" w:eastAsia="Arial" w:hAnsi="Arial"/>
                <w:sz w:val="18"/>
                <w:szCs w:val="18"/>
                <w:b w:val="1"/>
                <w:bCs w:val="1"/>
                <w:color w:val="auto"/>
              </w:rPr>
              <w:t>DRAM</w:t>
            </w:r>
          </w:p>
        </w:tc>
        <w:tc>
          <w:tcPr>
            <w:tcW w:w="900" w:type="dxa"/>
            <w:vAlign w:val="bottom"/>
            <w:tcBorders>
              <w:bottom w:val="single" w:sz="8" w:color="0090DA"/>
            </w:tcBorders>
          </w:tcPr>
          <w:p>
            <w:pPr>
              <w:spacing w:after="0"/>
              <w:rPr>
                <w:sz w:val="21"/>
                <w:szCs w:val="21"/>
                <w:color w:val="auto"/>
              </w:rPr>
            </w:pPr>
          </w:p>
        </w:tc>
        <w:tc>
          <w:tcPr>
            <w:tcW w:w="1500" w:type="dxa"/>
            <w:vAlign w:val="bottom"/>
            <w:tcBorders>
              <w:bottom w:val="single" w:sz="8" w:color="0090DA"/>
            </w:tcBorders>
          </w:tcPr>
          <w:p>
            <w:pPr>
              <w:jc w:val="right"/>
              <w:ind w:right="570"/>
              <w:spacing w:after="0"/>
              <w:rPr>
                <w:sz w:val="20"/>
                <w:szCs w:val="20"/>
                <w:color w:val="auto"/>
              </w:rPr>
            </w:pPr>
            <w:r>
              <w:rPr>
                <w:rFonts w:ascii="Arial" w:cs="Arial" w:eastAsia="Arial" w:hAnsi="Arial"/>
                <w:sz w:val="18"/>
                <w:szCs w:val="18"/>
                <w:b w:val="1"/>
                <w:bCs w:val="1"/>
                <w:color w:val="auto"/>
              </w:rPr>
              <w:t>NAND</w:t>
            </w:r>
          </w:p>
        </w:tc>
      </w:tr>
      <w:tr>
        <w:trPr>
          <w:trHeight w:val="236"/>
        </w:trPr>
        <w:tc>
          <w:tcPr>
            <w:tcW w:w="7600" w:type="dxa"/>
            <w:vAlign w:val="bottom"/>
            <w:tcBorders>
              <w:bottom w:val="single" w:sz="8" w:color="0090DA"/>
            </w:tcBorders>
          </w:tcPr>
          <w:p>
            <w:pPr>
              <w:spacing w:after="0"/>
              <w:rPr>
                <w:sz w:val="20"/>
                <w:szCs w:val="20"/>
                <w:color w:val="auto"/>
              </w:rPr>
            </w:pPr>
          </w:p>
        </w:tc>
        <w:tc>
          <w:tcPr>
            <w:tcW w:w="3640" w:type="dxa"/>
            <w:vAlign w:val="bottom"/>
            <w:tcBorders>
              <w:bottom w:val="single" w:sz="8" w:color="0090DA"/>
            </w:tcBorders>
            <w:gridSpan w:val="3"/>
          </w:tcPr>
          <w:p>
            <w:pPr>
              <w:jc w:val="right"/>
              <w:ind w:right="190"/>
              <w:spacing w:after="0"/>
              <w:rPr>
                <w:sz w:val="20"/>
                <w:szCs w:val="20"/>
                <w:color w:val="auto"/>
              </w:rPr>
            </w:pPr>
            <w:r>
              <w:rPr>
                <w:rFonts w:ascii="Arial" w:cs="Arial" w:eastAsia="Arial" w:hAnsi="Arial"/>
                <w:sz w:val="16"/>
                <w:szCs w:val="16"/>
                <w:color w:val="auto"/>
              </w:rPr>
              <w:t>(percentage change in average selling prices)</w:t>
            </w:r>
          </w:p>
        </w:tc>
      </w:tr>
      <w:tr>
        <w:trPr>
          <w:trHeight w:val="41"/>
        </w:trPr>
        <w:tc>
          <w:tcPr>
            <w:tcW w:w="76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7"/>
        </w:trPr>
        <w:tc>
          <w:tcPr>
            <w:tcW w:w="8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2019 from 2018</w:t>
            </w:r>
          </w:p>
        </w:tc>
        <w:tc>
          <w:tcPr>
            <w:tcW w:w="90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(30)%</w:t>
            </w: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2018 from 2017</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36 %</w:t>
            </w: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8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2017 from 2016</w:t>
            </w:r>
          </w:p>
        </w:tc>
        <w:tc>
          <w:tcPr>
            <w:tcW w:w="90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18 %</w:t>
            </w: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2016 from 2015</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88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2015 from 2014</w:t>
            </w:r>
          </w:p>
        </w:tc>
        <w:tc>
          <w:tcPr>
            <w:tcW w:w="90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(11)%</w:t>
            </w: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r>
    </w:tbl>
    <w:p>
      <w:pPr>
        <w:spacing w:after="0" w:line="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Beginning in 2020, revenue and units for MCPs and SSDs, which contain both DRAM and NAND, are disaggregated based on the relative values of each component. Prior periods presented in the table above have been conformed to current period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transitioning to replacement gate technology for NAND, process complexity including number of mask layers and fabrication steps, manufacturing yield, technological barriers, changes in process technologies, and new products that may require relatively larger die sizes.</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our ramp of emerging technologies in dedicated manufacturing capacity, declining selling prices, and changes in supply agreements. A significant portion of our manufacturing costs are fixed and do not vary proportionally with changes in production output. As a result, lower utilization and increases in our per gigabit manufacturing costs may adversely affect our gross margins, business, results of operations, or financial condition.</w:t>
      </w:r>
    </w:p>
    <w:p>
      <w:pPr>
        <w:spacing w:after="0" w:line="23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As a result, we may incur charges in connection with obsolete or excess inventories, which could have a material adverse effect on our business, results of operations, or financial condition. In addition, due to the customized nature of certain of the products we manufacture, we may be unable to sell certain finished goods inventory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face intense competition in the semiconductor memory and storage markets from a number of companies, including Intel; Samsung Electronics Co., Ltd.; SK Hynix Inc.; Kioxia Holdings Corporation (formerly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right="280"/>
        <w:spacing w:after="0" w:line="261" w:lineRule="auto"/>
        <w:rPr>
          <w:sz w:val="20"/>
          <w:szCs w:val="20"/>
          <w:color w:val="auto"/>
        </w:rPr>
      </w:pPr>
      <w:r>
        <w:rPr>
          <w:rFonts w:ascii="Arial" w:cs="Arial" w:eastAsia="Arial" w:hAnsi="Arial"/>
          <w:sz w:val="18"/>
          <w:szCs w:val="18"/>
          <w:color w:val="auto"/>
        </w:rPr>
        <w:t>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further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and make adequate capital investments.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3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estimate that capital expenditures in 2020 for property, plant, and equipment, net of partner contributions, will be approximately $7 billion to $8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21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 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23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In 2019, we suspended the security interest in the collateral under our credit facility upon achieving specified credit ratings and the prepayment of our Senior Secured Term Loan B due 2022; however, the security interest would be automatically reinstated upon a decline in our corporate credit rating below a certain level. There can be no assurance that we will be able to generate sufficient cash flows, use cash held by MMJ to fund its capital expenditures, access capital or credit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Downturns in the worldwide economy have harmed our business in the past and future downturns could also adversely affect our business. For example, the health crisis caused by COVID-19 could cause a downturn in the worldwide economy and cause adverse economic conditions across the world. If these adverse conditions materialize, we anticipate a reduction in demand for our products and/or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2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In 2019,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and China.</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U.S. has threatened to impose tariffs on goods imported from other countries, which could also impact certain of our customers’ or our operations. If the U.S.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1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0090DA"/>
        </w:rPr>
        <w:t>U.S. trade regulations have restricted our ability to sell our products to a significant customer and could restrict our ability to sell our products to other customers.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16, 2019, the Bureau of Industry and Security (“BIS”) of the U.S. Department of Commerce added Huawei to the BIS’s Entity List, which imposes limitations on the supply of certain U.S. items and product support to Huawei. In 2019, our sales to Huawei accounted for 12% of our total revenue. To ensure compliance with the Entity List restrictions, we suspended shipments of all products to Huawei, effective May 16, 2019. We have determined that certain products Huawei purchases from us are not subject to the Export Administration Regulations and consequently can be lawfully sold and shipped to Huawei. Accordingly, we resumed shipping certain products to Huawei in the fourth quarter of 2019.</w:t>
      </w:r>
    </w:p>
    <w:p>
      <w:pPr>
        <w:spacing w:after="0" w:line="2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applied for, and recently received, licenses that enable us to provide support for the products we sell that are not subject to the Export Administration Regulations, as well as qualify new products for Huawei’s mobile and server businesses. Additionally, these licenses allow us to ship previously restricted products that we manufacture in the United States, which represent a very small portion of our sales. However, there are still some products outside of the mobile and server markets that we are unable to sell to Huawei. While Huawei remains on the Entity List, and in the absence of additional licenses from the BIS, we may be unable to work with Huawei on product development for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0" w:name="page41"/>
    <w:bookmarkEnd w:id="40"/>
    <w:p>
      <w:pPr>
        <w:ind w:right="40"/>
        <w:spacing w:after="0" w:line="253" w:lineRule="auto"/>
        <w:rPr>
          <w:sz w:val="20"/>
          <w:szCs w:val="20"/>
          <w:color w:val="auto"/>
        </w:rPr>
      </w:pPr>
      <w:r>
        <w:rPr>
          <w:rFonts w:ascii="Arial" w:cs="Arial" w:eastAsia="Arial" w:hAnsi="Arial"/>
          <w:sz w:val="18"/>
          <w:szCs w:val="18"/>
          <w:color w:val="auto"/>
        </w:rPr>
        <w:t>uses other than in mobile and server end-products, which may have a negative effect on our ability to sell products to Huawei in the future. Despite the receipt of licenses, Entity List restrictions may also encourage Huawei to seek to obtain a greater supply of similar or substitute products from our competitors that are not subject to these restrictions, thereby decreasing our long-term competitiveness as a supplier to Huawei. Moreover, although Huawei is not prohibited from paying (and we are not restricted from collecting) accounts receivable for products we sell to Huawei, the credit risks associated with these accounts may have increased as a result of the BIS’s actions.</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cannot predict what additional actions the U.S. government may take with respect to Huawei, including modifications to, or interpretations of, Entity List restrictions, export restrictions, tariffs, or other trade limitations or barriers. We may be unable to sell certain inventories to alternative customers, which may result in excess and obsolescence charges in future periods. The licenses we have received may not be effective against such additional or heightened restrictions.</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Entity List trade restrictions enacted during our third quarter of 2019 had an adverse effect on our business. Although we received licenses in the first quarter of fiscal 2020, we are unable to predict the impact these licenses will have on our sales to Huawei, nor the impact existing or future trade restrictions may have on our business with Huawei. Other companies may be added to the Entity List and/or subject to trade restrictions. For example, in October 2019, the U.S. government added several additional organizations to the Entity List, effective October 9, 2019. In addition, there may be indirect impacts to our business which we cannot reasonably quantify, including that some of our other customer’s products which incorporate our solutions may also be impacted by these and other trade restrictions that may be imposed by the U.S., China, or other countries. Restrictions on our ability to sell and ship our products to Huawei have had, and may continue to have, an adverse effect on our business, results of operations, or financial condition. In addition, if there are changes to Export Administration Regulations or Entity List restrictions, our revenue with Huawei or other customers could be negatively impacted, and the licenses we have received could be rendered ineffective. Any such changes may have a further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each of the last three fiscal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1" w:name="page42"/>
    <w:bookmarkEnd w:id="41"/>
    <w:p>
      <w:pPr>
        <w:ind w:right="100"/>
        <w:spacing w:after="0" w:line="254" w:lineRule="auto"/>
        <w:rPr>
          <w:sz w:val="20"/>
          <w:szCs w:val="20"/>
          <w:color w:val="auto"/>
        </w:rPr>
      </w:pPr>
      <w:r>
        <w:rPr>
          <w:rFonts w:ascii="Arial" w:cs="Arial" w:eastAsia="Arial" w:hAnsi="Arial"/>
          <w:sz w:val="18"/>
          <w:szCs w:val="18"/>
          <w:color w:val="auto"/>
        </w:rPr>
        <w:t>inability to meet our customers’ requirements or to qualify our products with them could adversely impact our revenue. Meaningful change in the inventory strategy of our customers, particularly those in China, could impact our industry bit demand growth outlook. The loss of one or more of our major customers or any significant reduction in orders from, or a shift in product mix by, these customers could have a material adverse effect on our business, results of operations, or financial condition.</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0090DA"/>
        </w:rPr>
        <w:t>We face risks associated with our international sales and operations that could materially adversely affect our business, results of operations, or financial condition.</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2019, 53% of our revenue was to customers who have headquarters located in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in 2019 was from products shipped to customer locations outside the United States. In addition, a substantial portion of our manufacturing operations are located outside the United States. In particular, a significant portion of our manufacturing operations are concentrated in Singapore, Taiwan, Japan, and China. Many of our customers, suppliers, and vendors operate internationally and are also subject to the risks described below.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 We have experienced restrictions on our ability to sell products to certain foreign customers where sales of products require export licenses or are prohibited by government action. Possible future U.S. government actions could lead to additional or enhanced controls on exports from the United States to China or other countries, bans on sales to other key customers, or other similar restrictions.</w:t>
      </w:r>
    </w:p>
    <w:p>
      <w:pPr>
        <w:spacing w:after="0" w:line="23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Trade-related government actions, by China or other countries, that impose barriers or restrictions that would impact our ability to sell or ship products to Huawei or other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5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2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ind w:right="160"/>
        <w:spacing w:after="0" w:line="261"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 purports to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3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complaint. The consolidated complaint purports to be on behalf of a nationwide class of direct purchasers of DRAM products. The complaints assert claims based on alleged price-fixing of DRAM products under federal and state law during the period from June 1, 2016 through at least February 1, 2018, and seek treble monetary damages, costs, interest, attorneys’ fees, and other injunctive and equitable relief.</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20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the dependency on third-party service providers.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ind w:right="40"/>
        <w:spacing w:after="0" w:line="252" w:lineRule="auto"/>
        <w:rPr>
          <w:sz w:val="20"/>
          <w:szCs w:val="20"/>
          <w:color w:val="auto"/>
        </w:rPr>
      </w:pPr>
      <w:r>
        <w:rPr>
          <w:rFonts w:ascii="Arial" w:cs="Arial" w:eastAsia="Arial" w:hAnsi="Arial"/>
          <w:sz w:val="18"/>
          <w:szCs w:val="18"/>
          <w:color w:val="auto"/>
        </w:rPr>
        <w:t>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materials are primarily available in certain countries, including rare earth elements, minerals, and metals available primarily from China. Trade disputes or other political conditions, economic conditions, or public health issues may limit our availability to obtain such materials. Although these rare earth and other materials are generally available from multiple suppliers, China is the predominant producer of certain of these materials. If China were to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or contagious disease outbreaks,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The disruption of our supply of materials, components, services, or the extension of our lead times could have a material adverse effect on our business, results of operations, or financial condition.</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end-customer’s needs and preferences. As a result, our product demand forecasts may be impacted significantly by the strategic actions of our customers. 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and performance, often well in advance of a planned ramp of production, in order to secure design wins with our customers.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23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4" w:name="page45"/>
    <w:bookmarkEnd w:id="44"/>
    <w:p>
      <w:pPr>
        <w:ind w:left="660" w:right="5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3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2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functions in our customers’ products and may result in sharing or shifting of product or financial liability from our customers to us for costs incurred by the end user as a result of our customers’ products failing to perform as specified. We could be adversely affected in several ways, including the following:</w:t>
      </w:r>
    </w:p>
    <w:p>
      <w:pPr>
        <w:spacing w:after="0" w:line="232" w:lineRule="exact"/>
        <w:rPr>
          <w:sz w:val="20"/>
          <w:szCs w:val="20"/>
          <w:color w:val="auto"/>
        </w:rPr>
      </w:pPr>
    </w:p>
    <w:p>
      <w:pPr>
        <w:ind w:left="660" w:right="1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3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3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90DA"/>
        </w:rPr>
        <w:t>Litigation could have a material adverse effect on our business, results of operations, or financial condition.</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securities violations and related wrongful acts.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alleges that defendants committed securities fraud through misrepresentations and omissions about purported anticompetitive behavior in the DRAM industry and seek compensatory and punitive damages, fees, interest, costs, and other appropriate relief. On October 2, 2019, the parties submitted a joint stipulation to dismiss the complaint. The Court approved the stipulation and dismissed the complaint on October 3, 2019. On March 5, 2019, a derivative complaint was filed by a shareholder in the U.S. District Court for the District of Delaware, based on similar allegations to the securities fraud cases, allegedly on behalf of and for the benefit of Micron, against certain current and former officers and directors of Micron for alleged breaches of their fiduciary duties and other violations of law. The complaint seeks damages, fees, interest, costs, and other appropriate relief. Similar shareholder derivative complaints were subsequently filed in the U.S. District Court for the District of Delaware and the U.S. District Court for the District of Idaho. On November 20, 2019, the plaintiff in the second action filed in the U.S. District Court for the District of Delaware voluntarily dismissed his complaint. On November 21, 2019, the plaintiff voluntarily dismissed his complaint that was filed in the U.S. District Court for the District of Idaho.</w:t>
      </w:r>
    </w:p>
    <w:p>
      <w:pPr>
        <w:spacing w:after="0" w:line="2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20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or tsunamis, that could disrupt operations. In addition, our suppliers and</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ind w:right="20"/>
        <w:spacing w:after="0" w:line="252" w:lineRule="auto"/>
        <w:rPr>
          <w:sz w:val="20"/>
          <w:szCs w:val="20"/>
          <w:color w:val="auto"/>
        </w:rPr>
      </w:pPr>
      <w:r>
        <w:rPr>
          <w:rFonts w:ascii="Arial" w:cs="Arial" w:eastAsia="Arial" w:hAnsi="Arial"/>
          <w:sz w:val="18"/>
          <w:szCs w:val="18"/>
          <w:color w:val="auto"/>
        </w:rPr>
        <w:t>customers also have operations in such locations. Additionally, public health crises, such as an outbreak of contagious diseases like COVID-19, SARS-CoV, avian and swine influenza, measles, or Ebola, may affect our production capabilities or that of our suppliers, including as a result of quarantines, closures of production facilities, lack of supplies, or delays caused by restrictions on travel. For example, on March 16, 2020, the government of Malaysia announced measures to restrict movement in that country until March 31, 2020 in an effort to suppress the number of COVID-19 cases. These restrictions could limit our ability to operate our manufacturing facilities in that country. The events noted above have occurred from time to time in the past and may occur in the future. As a result, in addition to disruptions to operations, our insurance premiums may increase or we may not be able to fully recover any sustained losses through insurance.</w:t>
      </w:r>
    </w:p>
    <w:p>
      <w:pPr>
        <w:spacing w:after="0" w:line="2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acquisition of Intel’s noncontrolling interest in IMFT involves numerous risks.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31, 2019, we purchased Intel’s noncontrolling interest in IMFT, now known as MTU. Our acquisition involves risks including, but not limited to, an inability to sell the product MTU produces, increases in underutilization charges, increase in R&amp;D expenses, retention of key employees, and successful integration of MTU. We may also face risks from disputes in connection with joint venture activities, or difficulties or delays in collecting amounts due to us. The foregoing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February 27, 2020, we had debt with a carrying value of $ 5.43 billion. Subsequent to the second quarter of 2020, on March 13, 2020, we drew the $2.50 billion available under our revolving credit facility. Borrowings under the revolving credit facility are scheduled to mature on July 3, 2023, and we may repay amounts borrowed any time without penalty. The revolving credit facility bears interest at a rate equal to LIBOR plus 1.25% based on our current corporate credit rating and leverage ratio. As of February 27, 2020, the conversion value in excess of principal of our convertible notes was $602 million, based on the trading price of our common stock of $50.58 per share on such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52" w:lineRule="exact"/>
        <w:rPr>
          <w:sz w:val="20"/>
          <w:szCs w:val="20"/>
          <w:color w:val="auto"/>
        </w:rPr>
      </w:pPr>
    </w:p>
    <w:p>
      <w:pPr>
        <w:ind w:left="660" w:right="4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8" w:name="page49"/>
    <w:bookmarkEnd w:id="48"/>
    <w:p>
      <w:pPr>
        <w:ind w:left="660" w:right="40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22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2019, we suspended the security interest in the collateral under our credit facility upon achieving a specified credit rating and prepaying our Senior Secured Term Loan B due 2022; however, if our corporate credit rating were to decline below a certain level, the security interest would be automatically reinstated.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remain competitive, we must attract, retain, and motivate executives and other highly skilled employees. Competition for experienced employees in our industry can be intense and hiring and retaining qualified executives, engineers, technical staff, and sales representatives are critical to our business. Our inability to attract and retain key employees may inhibit our ability to maintain or expand our business operations. Additionally, changes to immigration policies in the numerous countries in which we operate, including the United States, may limit our ability to hire and/or retain talent in specific locations as well as restrictions on global travel as a result of local or global public health crises requiring quarantines or other precautions to limit exposure to infectious diseases.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21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0090DA"/>
        </w:rPr>
        <w:t>The acquisition of our ownership interest in Inotera from Qimonda has been challenged by the administrator of the insolvency proceedings for Qimonda.</w:t>
      </w:r>
    </w:p>
    <w:p>
      <w:pPr>
        <w:spacing w:after="0" w:line="20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3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Following a series of hearings with pleadings, arguments, and witnesses on behalf of the Qimonda estate, on March 13, 2014, the court issued judgments: (1) ordering Micron B.V. to pay approximately $1 million in respect of certain</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9" w:name="page50"/>
    <w:bookmarkEnd w:id="49"/>
    <w:p>
      <w:pPr>
        <w:ind w:right="80"/>
        <w:spacing w:after="0" w:line="251" w:lineRule="auto"/>
        <w:rPr>
          <w:sz w:val="20"/>
          <w:szCs w:val="20"/>
          <w:color w:val="auto"/>
        </w:rPr>
      </w:pPr>
      <w:r>
        <w:rPr>
          <w:rFonts w:ascii="Arial" w:cs="Arial" w:eastAsia="Arial" w:hAnsi="Arial"/>
          <w:sz w:val="18"/>
          <w:szCs w:val="18"/>
          <w:color w:val="auto"/>
        </w:rPr>
        <w:t>Inotera Shares sold in connection with the original share purchase; (2) 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two independent experts to perform an evaluation of Dr. Jaffé’s claims that the amount Micron paid for Qimonda was less than fair market value. On January 25, 2018, the court-appointed experts issued their report concluding that the amount paid by Micron was within an acceptable fair-value range. The Appeals Court held a subsequent hearing on April 30, 2019, and on May 28, 2019, the Appeals Court remanded the case to the experts for supplemental expert opinion.</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 from operating activities and otherwise have a material adverse effect on our financial condition. For example, our effective tax rate increased from 1.2% for 2018 to 9.8% for 2019 primarily as a result of the Tax Cuts and Jobs Act, enacted on December 22, 2017 by the United States and for which the U.S. Treasury Department continues to issue interpretive guidance. Additionally, various levels of government are increasingly focused on tax reform and other legislative actions to increase tax revenue. Further changes in the tax laws of foreign jurisdictions could arise as a result of the base erosion and profit shifting project undertaken by the Organization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0" w:name="page51"/>
    <w:bookmarkEnd w:id="50"/>
    <w:p>
      <w:pPr>
        <w:ind w:right="200"/>
        <w:spacing w:after="0" w:line="287"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previous years, supply of memory and storage products has significantly exceeded customer demand resulting in significant declines in average selling prices.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1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Singapore dollar, New Taiwan dollar, and yen. In addition, a significant portion of our manufacturing costs are denominated in foreign currencies. Exchange rates for some of</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ind w:right="40"/>
        <w:spacing w:after="0" w:line="256" w:lineRule="auto"/>
        <w:rPr>
          <w:sz w:val="20"/>
          <w:szCs w:val="20"/>
          <w:color w:val="auto"/>
        </w:rPr>
      </w:pPr>
      <w:r>
        <w:rPr>
          <w:rFonts w:ascii="Arial" w:cs="Arial" w:eastAsia="Arial" w:hAnsi="Arial"/>
          <w:sz w:val="18"/>
          <w:szCs w:val="18"/>
          <w:color w:val="auto"/>
        </w:rPr>
        <w:t>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restructuring charges in future periods.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1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0090DA"/>
        </w:rPr>
        <w:t>Compliance with customer and responsible sourcing requirements and related regulations could limit the supply and increase the cost of certain materials, supplies, and services used in manufacturing our products.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is concentrated to a limited number of suppliers. This in turn may affect our ability and/or the cost to obtain materials, supplies, and services necessary for the manufacture of our products in sufficient quantities.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increased focus on environmental protection and social responsibility initiatives led to the passage of Section 1502 of the Dodd-Frank Wall Street Reform and Consumer Protection Act of 2010 and its implementing SEC regulations. The act imposes supply chain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inability to comply with customers’ requirements for responsible sourcing or with regulations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and others are subject to a variety of laws, regulations, or industry standards that may result in additional costs and liabilities.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to represent us or otherwise act on our behalf who are also subject to a broad array of laws, regulations, and industry standards. Our engagement with these third parties may also expose us to risks associated with their respective compliance with laws and regulations. As a result of these items, we could experience the following:</w:t>
      </w:r>
    </w:p>
    <w:p>
      <w:pPr>
        <w:spacing w:after="0" w:line="23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2" w:name="page53"/>
    <w:bookmarkEnd w:id="52"/>
    <w:p>
      <w:pPr>
        <w:ind w:right="480"/>
        <w:spacing w:after="0" w:line="261" w:lineRule="auto"/>
        <w:rPr>
          <w:sz w:val="20"/>
          <w:szCs w:val="20"/>
          <w:color w:val="auto"/>
        </w:rPr>
      </w:pPr>
      <w:r>
        <w:rPr>
          <w:rFonts w:ascii="Arial" w:cs="Arial" w:eastAsia="Arial" w:hAnsi="Arial"/>
          <w:sz w:val="18"/>
          <w:szCs w:val="18"/>
          <w:color w:val="auto"/>
        </w:rPr>
        <w:t>Our failure, or the failure of our third-party agents, to comply with laws, regulations, or industry standards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1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0090DA"/>
        </w:rPr>
        <w:t>The operations of MMJ are subject to continued oversight by the Tokyo District Court during the pendency of the corporate reorganization proceedings.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Because MMJ’s plan of reorganization provides for ongoing payments to creditors following the closing of the MMJ acquisition,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the MMJ, other than oversight in relation to acts that need to be carried out in connection with the Japan Proceedings, which are the responsibility of the legal trustee. As of February 27, 2020, substantially all creditor payments had been paid under MMJ’s plan of reorganization. Following distribution of the final payment and the Tokyo District Court’s approval and issuance of an order concluding the reorganization proceedings, MMJ’s reorganization proceedings in Japan and oversight by the Tokyo District Court will terminate.</w:t>
      </w: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 advisable for its business could be adversely affected if the Tokyo District Court or the legal trustee is unwilling to consent to various actions that we may wish to take with respect to MMJ.</w:t>
      </w:r>
    </w:p>
    <w:p>
      <w:pPr>
        <w:spacing w:after="0" w:line="239" w:lineRule="exact"/>
        <w:rPr>
          <w:sz w:val="20"/>
          <w:szCs w:val="20"/>
          <w:color w:val="auto"/>
        </w:rPr>
      </w:pPr>
    </w:p>
    <w:p>
      <w:pPr>
        <w:ind w:right="1040"/>
        <w:spacing w:after="0" w:line="291" w:lineRule="auto"/>
        <w:rPr>
          <w:sz w:val="20"/>
          <w:szCs w:val="20"/>
          <w:color w:val="auto"/>
        </w:rPr>
      </w:pPr>
      <w:r>
        <w:rPr>
          <w:rFonts w:ascii="Arial" w:cs="Arial" w:eastAsia="Arial" w:hAnsi="Arial"/>
          <w:sz w:val="17"/>
          <w:szCs w:val="17"/>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3" w:name="page54"/>
    <w:bookmarkEnd w:id="53"/>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8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does not obligate us to acquire any common stock and is subject to market conditions and our ongoing determination of the best use of available cash.</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(or</w:t>
            </w:r>
          </w:p>
        </w:tc>
        <w:tc>
          <w:tcPr>
            <w:tcW w:w="140" w:type="dxa"/>
            <w:vAlign w:val="bottom"/>
          </w:tcPr>
          <w:p>
            <w:pPr>
              <w:spacing w:after="0"/>
              <w:rPr>
                <w:sz w:val="16"/>
                <w:szCs w:val="16"/>
                <w:color w:val="auto"/>
              </w:rPr>
            </w:pPr>
          </w:p>
        </w:tc>
        <w:tc>
          <w:tcPr>
            <w:tcW w:w="3260" w:type="dxa"/>
            <w:vAlign w:val="bottom"/>
          </w:tcPr>
          <w:p>
            <w:pPr>
              <w:jc w:val="center"/>
              <w:ind w:right="37"/>
              <w:spacing w:after="0"/>
              <w:rPr>
                <w:sz w:val="20"/>
                <w:szCs w:val="20"/>
                <w:color w:val="auto"/>
              </w:rPr>
            </w:pPr>
            <w:r>
              <w:rPr>
                <w:rFonts w:ascii="Arial" w:cs="Arial" w:eastAsia="Arial" w:hAnsi="Arial"/>
                <w:sz w:val="16"/>
                <w:szCs w:val="16"/>
                <w:b w:val="1"/>
                <w:bCs w:val="1"/>
                <w:color w:val="auto"/>
              </w:rPr>
              <w:t>Maximum number (or approximate dollar</w:t>
            </w:r>
          </w:p>
        </w:tc>
      </w:tr>
      <w:tr>
        <w:trPr>
          <w:trHeight w:val="189"/>
        </w:trPr>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Total number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units) purchased as part of</w:t>
            </w:r>
          </w:p>
        </w:tc>
        <w:tc>
          <w:tcPr>
            <w:tcW w:w="340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of shares (or units) that may yet be</w:t>
            </w:r>
          </w:p>
        </w:tc>
      </w:tr>
      <w:tr>
        <w:trPr>
          <w:trHeight w:val="189"/>
        </w:trPr>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of shares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price paid</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plans</w:t>
            </w:r>
          </w:p>
        </w:tc>
        <w:tc>
          <w:tcPr>
            <w:tcW w:w="140" w:type="dxa"/>
            <w:vAlign w:val="bottom"/>
          </w:tcPr>
          <w:p>
            <w:pPr>
              <w:spacing w:after="0"/>
              <w:rPr>
                <w:sz w:val="16"/>
                <w:szCs w:val="16"/>
                <w:color w:val="auto"/>
              </w:rPr>
            </w:pPr>
          </w:p>
        </w:tc>
        <w:tc>
          <w:tcPr>
            <w:tcW w:w="3260" w:type="dxa"/>
            <w:vAlign w:val="bottom"/>
          </w:tcPr>
          <w:p>
            <w:pPr>
              <w:jc w:val="center"/>
              <w:ind w:right="17"/>
              <w:spacing w:after="0"/>
              <w:rPr>
                <w:sz w:val="20"/>
                <w:szCs w:val="20"/>
                <w:color w:val="auto"/>
              </w:rPr>
            </w:pPr>
            <w:r>
              <w:rPr>
                <w:rFonts w:ascii="Arial" w:cs="Arial" w:eastAsia="Arial" w:hAnsi="Arial"/>
                <w:sz w:val="16"/>
                <w:szCs w:val="16"/>
                <w:b w:val="1"/>
                <w:bCs w:val="1"/>
                <w:color w:val="auto"/>
              </w:rPr>
              <w:t>purchased under publicly announced</w:t>
            </w:r>
          </w:p>
        </w:tc>
      </w:tr>
      <w:tr>
        <w:trPr>
          <w:trHeight w:val="228"/>
        </w:trPr>
        <w:tc>
          <w:tcPr>
            <w:tcW w:w="1480" w:type="dxa"/>
            <w:vAlign w:val="bottom"/>
            <w:tcBorders>
              <w:bottom w:val="single" w:sz="8" w:color="0090DA"/>
            </w:tcBorders>
          </w:tcPr>
          <w:p>
            <w:pPr>
              <w:spacing w:after="0"/>
              <w:rPr>
                <w:sz w:val="19"/>
                <w:szCs w:val="19"/>
                <w:color w:val="auto"/>
              </w:rPr>
            </w:pPr>
          </w:p>
        </w:tc>
        <w:tc>
          <w:tcPr>
            <w:tcW w:w="2020" w:type="dxa"/>
            <w:vAlign w:val="bottom"/>
            <w:tcBorders>
              <w:bottom w:val="single" w:sz="8" w:color="0090DA"/>
            </w:tcBorders>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260" w:type="dxa"/>
            <w:vAlign w:val="bottom"/>
            <w:tcBorders>
              <w:bottom w:val="single" w:sz="8" w:color="0090DA"/>
            </w:tcBorders>
            <w:gridSpan w:val="2"/>
          </w:tcPr>
          <w:p>
            <w:pPr>
              <w:jc w:val="center"/>
              <w:ind w:right="120"/>
              <w:spacing w:after="0"/>
              <w:rPr>
                <w:sz w:val="20"/>
                <w:szCs w:val="20"/>
                <w:color w:val="auto"/>
              </w:rPr>
            </w:pPr>
            <w:r>
              <w:rPr>
                <w:rFonts w:ascii="Arial" w:cs="Arial" w:eastAsia="Arial" w:hAnsi="Arial"/>
                <w:sz w:val="16"/>
                <w:szCs w:val="16"/>
                <w:b w:val="1"/>
                <w:bCs w:val="1"/>
                <w:color w:val="auto"/>
              </w:rPr>
              <w:t>purchased</w:t>
            </w:r>
          </w:p>
        </w:tc>
        <w:tc>
          <w:tcPr>
            <w:tcW w:w="8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per share</w:t>
            </w:r>
          </w:p>
        </w:tc>
        <w:tc>
          <w:tcPr>
            <w:tcW w:w="22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140" w:type="dxa"/>
            <w:vAlign w:val="bottom"/>
            <w:tcBorders>
              <w:bottom w:val="single" w:sz="8" w:color="0090DA"/>
            </w:tcBorders>
          </w:tcPr>
          <w:p>
            <w:pPr>
              <w:spacing w:after="0"/>
              <w:rPr>
                <w:sz w:val="19"/>
                <w:szCs w:val="19"/>
                <w:color w:val="auto"/>
              </w:rPr>
            </w:pPr>
          </w:p>
        </w:tc>
        <w:tc>
          <w:tcPr>
            <w:tcW w:w="3260" w:type="dxa"/>
            <w:vAlign w:val="bottom"/>
            <w:tcBorders>
              <w:bottom w:val="single" w:sz="8" w:color="0090DA"/>
            </w:tcBorders>
          </w:tcPr>
          <w:p>
            <w:pPr>
              <w:jc w:val="center"/>
              <w:ind w:right="37"/>
              <w:spacing w:after="0"/>
              <w:rPr>
                <w:sz w:val="20"/>
                <w:szCs w:val="20"/>
                <w:color w:val="auto"/>
              </w:rPr>
            </w:pPr>
            <w:r>
              <w:rPr>
                <w:rFonts w:ascii="Arial" w:cs="Arial" w:eastAsia="Arial" w:hAnsi="Arial"/>
                <w:sz w:val="16"/>
                <w:szCs w:val="16"/>
                <w:b w:val="1"/>
                <w:bCs w:val="1"/>
                <w:color w:val="auto"/>
              </w:rPr>
              <w:t>plans or programs</w:t>
            </w:r>
          </w:p>
        </w:tc>
      </w:tr>
      <w:tr>
        <w:trPr>
          <w:trHeight w:val="40"/>
        </w:trPr>
        <w:tc>
          <w:tcPr>
            <w:tcW w:w="1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257"/>
        </w:trPr>
        <w:tc>
          <w:tcPr>
            <w:tcW w:w="14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November 29, 2019</w:t>
            </w:r>
          </w:p>
        </w:tc>
        <w:tc>
          <w:tcPr>
            <w:tcW w:w="280" w:type="dxa"/>
            <w:vAlign w:val="bottom"/>
            <w:shd w:val="clear" w:color="auto" w:fill="D1D2D4"/>
          </w:tcPr>
          <w:p>
            <w:pPr>
              <w:ind w:lef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D1D2D4"/>
          </w:tcPr>
          <w:p>
            <w:pPr>
              <w:ind w:left="80"/>
              <w:spacing w:after="0"/>
              <w:rPr>
                <w:sz w:val="20"/>
                <w:szCs w:val="20"/>
                <w:color w:val="auto"/>
              </w:rPr>
            </w:pPr>
            <w:r>
              <w:rPr>
                <w:rFonts w:ascii="Arial" w:cs="Arial" w:eastAsia="Arial" w:hAnsi="Arial"/>
                <w:sz w:val="16"/>
                <w:szCs w:val="16"/>
                <w:color w:val="auto"/>
              </w:rPr>
              <w:t>January 2, 2020</w:t>
            </w:r>
          </w:p>
        </w:tc>
        <w:tc>
          <w:tcPr>
            <w:tcW w:w="1260" w:type="dxa"/>
            <w:vAlign w:val="bottom"/>
            <w:gridSpan w:val="2"/>
            <w:shd w:val="clear" w:color="auto" w:fill="D1D2D4"/>
          </w:tcPr>
          <w:p>
            <w:pPr>
              <w:ind w:left="8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D1D2D4"/>
          </w:tcPr>
          <w:p>
            <w:pPr>
              <w:jc w:val="right"/>
              <w:ind w:right="34"/>
              <w:spacing w:after="0"/>
              <w:rPr>
                <w:sz w:val="20"/>
                <w:szCs w:val="20"/>
                <w:color w:val="auto"/>
              </w:rPr>
            </w:pPr>
            <w:r>
              <w:rPr>
                <w:rFonts w:ascii="Arial" w:cs="Arial" w:eastAsia="Arial" w:hAnsi="Arial"/>
                <w:sz w:val="18"/>
                <w:szCs w:val="18"/>
                <w:color w:val="auto"/>
              </w:rPr>
              <w:t>—</w:t>
            </w:r>
          </w:p>
        </w:tc>
        <w:tc>
          <w:tcPr>
            <w:tcW w:w="2220" w:type="dxa"/>
            <w:vAlign w:val="bottom"/>
            <w:shd w:val="clear" w:color="auto" w:fill="D1D2D4"/>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3260" w:type="dxa"/>
            <w:vAlign w:val="bottom"/>
            <w:shd w:val="clear" w:color="auto" w:fill="D1D2D4"/>
          </w:tcPr>
          <w:p>
            <w:pPr>
              <w:spacing w:after="0"/>
              <w:rPr>
                <w:sz w:val="22"/>
                <w:szCs w:val="22"/>
                <w:color w:val="auto"/>
              </w:rPr>
            </w:pPr>
          </w:p>
        </w:tc>
      </w:tr>
      <w:tr>
        <w:trPr>
          <w:trHeight w:val="250"/>
        </w:trPr>
        <w:tc>
          <w:tcPr>
            <w:tcW w:w="1480" w:type="dxa"/>
            <w:vAlign w:val="bottom"/>
          </w:tcPr>
          <w:p>
            <w:pPr>
              <w:ind w:left="20"/>
              <w:spacing w:after="0"/>
              <w:rPr>
                <w:sz w:val="20"/>
                <w:szCs w:val="20"/>
                <w:color w:val="auto"/>
              </w:rPr>
            </w:pPr>
            <w:r>
              <w:rPr>
                <w:rFonts w:ascii="Arial" w:cs="Arial" w:eastAsia="Arial" w:hAnsi="Arial"/>
                <w:sz w:val="16"/>
                <w:szCs w:val="16"/>
                <w:color w:val="auto"/>
              </w:rPr>
              <w:t>January 3, 2020</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740" w:type="dxa"/>
            <w:vAlign w:val="bottom"/>
          </w:tcPr>
          <w:p>
            <w:pPr>
              <w:ind w:left="80"/>
              <w:spacing w:after="0"/>
              <w:rPr>
                <w:sz w:val="20"/>
                <w:szCs w:val="20"/>
                <w:color w:val="auto"/>
              </w:rPr>
            </w:pPr>
            <w:r>
              <w:rPr>
                <w:rFonts w:ascii="Arial" w:cs="Arial" w:eastAsia="Arial" w:hAnsi="Arial"/>
                <w:sz w:val="16"/>
                <w:szCs w:val="16"/>
                <w:color w:val="auto"/>
              </w:rPr>
              <w:t>January 30, 2020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57"/>
        </w:trPr>
        <w:tc>
          <w:tcPr>
            <w:tcW w:w="1480" w:type="dxa"/>
            <w:vAlign w:val="bottom"/>
            <w:shd w:val="clear" w:color="auto" w:fill="D1D2D4"/>
          </w:tcPr>
          <w:p>
            <w:pPr>
              <w:ind w:left="20"/>
              <w:spacing w:after="0"/>
              <w:rPr>
                <w:sz w:val="20"/>
                <w:szCs w:val="20"/>
                <w:color w:val="auto"/>
              </w:rPr>
            </w:pPr>
            <w:r>
              <w:rPr>
                <w:rFonts w:ascii="Arial" w:cs="Arial" w:eastAsia="Arial" w:hAnsi="Arial"/>
                <w:sz w:val="16"/>
                <w:szCs w:val="16"/>
                <w:color w:val="auto"/>
              </w:rPr>
              <w:t>January 31, 2020</w:t>
            </w:r>
          </w:p>
        </w:tc>
        <w:tc>
          <w:tcPr>
            <w:tcW w:w="280" w:type="dxa"/>
            <w:vAlign w:val="bottom"/>
            <w:shd w:val="clear" w:color="auto" w:fill="D1D2D4"/>
          </w:tcPr>
          <w:p>
            <w:pPr>
              <w:ind w:lef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D1D2D4"/>
          </w:tcPr>
          <w:p>
            <w:pPr>
              <w:ind w:left="80"/>
              <w:spacing w:after="0"/>
              <w:rPr>
                <w:sz w:val="20"/>
                <w:szCs w:val="20"/>
                <w:color w:val="auto"/>
              </w:rPr>
            </w:pPr>
            <w:r>
              <w:rPr>
                <w:rFonts w:ascii="Arial" w:cs="Arial" w:eastAsia="Arial" w:hAnsi="Arial"/>
                <w:sz w:val="16"/>
                <w:szCs w:val="16"/>
                <w:color w:val="auto"/>
              </w:rPr>
              <w:t>February 27, 2020</w:t>
            </w:r>
          </w:p>
        </w:tc>
        <w:tc>
          <w:tcPr>
            <w:tcW w:w="1160" w:type="dxa"/>
            <w:vAlign w:val="bottom"/>
            <w:tcBorders>
              <w:bottom w:val="single" w:sz="8" w:color="auto"/>
            </w:tcBorders>
            <w:shd w:val="clear" w:color="auto" w:fill="D1D2D4"/>
          </w:tcPr>
          <w:p>
            <w:pPr>
              <w:jc w:val="right"/>
              <w:ind w:right="74"/>
              <w:spacing w:after="0"/>
              <w:rPr>
                <w:sz w:val="20"/>
                <w:szCs w:val="20"/>
                <w:color w:val="auto"/>
              </w:rPr>
            </w:pPr>
            <w:r>
              <w:rPr>
                <w:rFonts w:ascii="Arial" w:cs="Arial" w:eastAsia="Arial" w:hAnsi="Arial"/>
                <w:sz w:val="18"/>
                <w:szCs w:val="18"/>
                <w:color w:val="auto"/>
              </w:rPr>
              <w:t>784,879</w:t>
            </w:r>
          </w:p>
        </w:tc>
        <w:tc>
          <w:tcPr>
            <w:tcW w:w="10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34"/>
              <w:spacing w:after="0"/>
              <w:rPr>
                <w:sz w:val="20"/>
                <w:szCs w:val="20"/>
                <w:color w:val="auto"/>
              </w:rPr>
            </w:pPr>
            <w:r>
              <w:rPr>
                <w:rFonts w:ascii="Arial" w:cs="Arial" w:eastAsia="Arial" w:hAnsi="Arial"/>
                <w:sz w:val="18"/>
                <w:szCs w:val="18"/>
                <w:color w:val="auto"/>
              </w:rPr>
              <w:t>56.07</w:t>
            </w:r>
          </w:p>
        </w:tc>
        <w:tc>
          <w:tcPr>
            <w:tcW w:w="2220" w:type="dxa"/>
            <w:vAlign w:val="bottom"/>
            <w:shd w:val="clear" w:color="auto" w:fill="D1D2D4"/>
          </w:tcPr>
          <w:p>
            <w:pPr>
              <w:jc w:val="right"/>
              <w:ind w:right="55"/>
              <w:spacing w:after="0"/>
              <w:rPr>
                <w:sz w:val="20"/>
                <w:szCs w:val="20"/>
                <w:color w:val="auto"/>
              </w:rPr>
            </w:pPr>
            <w:r>
              <w:rPr>
                <w:rFonts w:ascii="Arial" w:cs="Arial" w:eastAsia="Arial" w:hAnsi="Arial"/>
                <w:sz w:val="18"/>
                <w:szCs w:val="18"/>
                <w:color w:val="auto"/>
              </w:rPr>
              <w:t>784,879</w:t>
            </w:r>
          </w:p>
        </w:tc>
        <w:tc>
          <w:tcPr>
            <w:tcW w:w="140" w:type="dxa"/>
            <w:vAlign w:val="bottom"/>
            <w:shd w:val="clear" w:color="auto" w:fill="D1D2D4"/>
          </w:tcPr>
          <w:p>
            <w:pPr>
              <w:spacing w:after="0"/>
              <w:rPr>
                <w:sz w:val="22"/>
                <w:szCs w:val="22"/>
                <w:color w:val="auto"/>
              </w:rPr>
            </w:pPr>
          </w:p>
        </w:tc>
        <w:tc>
          <w:tcPr>
            <w:tcW w:w="3260" w:type="dxa"/>
            <w:vAlign w:val="bottom"/>
            <w:shd w:val="clear" w:color="auto" w:fill="D1D2D4"/>
          </w:tcPr>
          <w:p>
            <w:pPr>
              <w:spacing w:after="0"/>
              <w:rPr>
                <w:sz w:val="22"/>
                <w:szCs w:val="22"/>
                <w:color w:val="auto"/>
              </w:rPr>
            </w:pPr>
          </w:p>
        </w:tc>
      </w:tr>
      <w:tr>
        <w:trPr>
          <w:trHeight w:val="257"/>
        </w:trPr>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784,879</w:t>
            </w:r>
          </w:p>
        </w:tc>
        <w:tc>
          <w:tcPr>
            <w:tcW w:w="100" w:type="dxa"/>
            <w:vAlign w:val="bottom"/>
          </w:tcPr>
          <w:p>
            <w:pPr>
              <w:spacing w:after="0"/>
              <w:rPr>
                <w:sz w:val="22"/>
                <w:szCs w:val="22"/>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56.07</w:t>
            </w:r>
          </w:p>
        </w:tc>
        <w:tc>
          <w:tcPr>
            <w:tcW w:w="2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jc w:val="right"/>
              <w:ind w:right="77"/>
              <w:spacing w:after="0"/>
              <w:rPr>
                <w:sz w:val="20"/>
                <w:szCs w:val="20"/>
                <w:color w:val="auto"/>
              </w:rPr>
            </w:pPr>
            <w:r>
              <w:rPr>
                <w:rFonts w:ascii="Arial" w:cs="Arial" w:eastAsia="Arial" w:hAnsi="Arial"/>
                <w:sz w:val="18"/>
                <w:szCs w:val="18"/>
                <w:color w:val="auto"/>
              </w:rPr>
              <w:t>7,243,838,523</w:t>
            </w:r>
          </w:p>
        </w:tc>
      </w:tr>
      <w:tr>
        <w:trPr>
          <w:trHeight w:val="20"/>
        </w:trPr>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21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the second quarter of 2020, we share-settled certain capped calls and received an aggregate of 1.7 million shares of our common stock, equal to a value of $98 million.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tcPr>
          <w:p>
            <w:pPr>
              <w:jc w:val="center"/>
              <w:ind w:right="539"/>
              <w:spacing w:after="0"/>
              <w:rPr>
                <w:sz w:val="20"/>
                <w:szCs w:val="20"/>
                <w:color w:val="auto"/>
              </w:rPr>
            </w:pPr>
            <w:r>
              <w:rPr>
                <w:rFonts w:ascii="Arial" w:cs="Arial" w:eastAsia="Arial" w:hAnsi="Arial"/>
                <w:sz w:val="16"/>
                <w:szCs w:val="16"/>
                <w:b w:val="1"/>
                <w:bCs w:val="1"/>
                <w:color w:val="auto"/>
              </w:rPr>
              <w:t>Filed</w:t>
            </w:r>
          </w:p>
        </w:tc>
        <w:tc>
          <w:tcPr>
            <w:tcW w:w="680" w:type="dxa"/>
            <w:vAlign w:val="bottom"/>
          </w:tcPr>
          <w:p>
            <w:pPr>
              <w:ind w:left="100"/>
              <w:spacing w:after="0"/>
              <w:rPr>
                <w:sz w:val="20"/>
                <w:szCs w:val="20"/>
                <w:color w:val="auto"/>
              </w:rPr>
            </w:pPr>
            <w:r>
              <w:rPr>
                <w:rFonts w:ascii="Arial" w:cs="Arial" w:eastAsia="Arial" w:hAnsi="Arial"/>
                <w:sz w:val="16"/>
                <w:szCs w:val="16"/>
                <w:b w:val="1"/>
                <w:bCs w:val="1"/>
                <w:color w:val="auto"/>
              </w:rPr>
              <w:t>Period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Filing</w:t>
            </w:r>
          </w:p>
        </w:tc>
      </w:tr>
      <w:tr>
        <w:trPr>
          <w:trHeight w:val="228"/>
        </w:trPr>
        <w:tc>
          <w:tcPr>
            <w:tcW w:w="880" w:type="dxa"/>
            <w:vAlign w:val="bottom"/>
            <w:tcBorders>
              <w:bottom w:val="single" w:sz="8" w:color="0090DA"/>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0090DA"/>
            </w:tcBorders>
          </w:tcPr>
          <w:p>
            <w:pPr>
              <w:spacing w:after="0"/>
              <w:rPr>
                <w:sz w:val="19"/>
                <w:szCs w:val="19"/>
                <w:color w:val="auto"/>
              </w:rPr>
            </w:pPr>
          </w:p>
        </w:tc>
        <w:tc>
          <w:tcPr>
            <w:tcW w:w="6540" w:type="dxa"/>
            <w:vAlign w:val="bottom"/>
            <w:tcBorders>
              <w:bottom w:val="single" w:sz="8" w:color="0090DA"/>
            </w:tcBorders>
            <w:gridSpan w:val="6"/>
          </w:tcPr>
          <w:p>
            <w:pPr>
              <w:ind w:left="2440"/>
              <w:spacing w:after="0"/>
              <w:rPr>
                <w:sz w:val="20"/>
                <w:szCs w:val="20"/>
                <w:color w:val="auto"/>
              </w:rPr>
            </w:pPr>
            <w:r>
              <w:rPr>
                <w:rFonts w:ascii="Arial" w:cs="Arial" w:eastAsia="Arial" w:hAnsi="Arial"/>
                <w:sz w:val="16"/>
                <w:szCs w:val="16"/>
                <w:b w:val="1"/>
                <w:bCs w:val="1"/>
                <w:color w:val="auto"/>
              </w:rPr>
              <w:t>Description of Exhibit</w:t>
            </w:r>
          </w:p>
        </w:tc>
        <w:tc>
          <w:tcPr>
            <w:tcW w:w="1440" w:type="dxa"/>
            <w:vAlign w:val="bottom"/>
            <w:tcBorders>
              <w:bottom w:val="single" w:sz="8" w:color="0090DA"/>
            </w:tcBorders>
          </w:tcPr>
          <w:p>
            <w:pPr>
              <w:jc w:val="right"/>
              <w:ind w:right="19"/>
              <w:spacing w:after="0"/>
              <w:rPr>
                <w:sz w:val="20"/>
                <w:szCs w:val="20"/>
                <w:color w:val="auto"/>
              </w:rPr>
            </w:pPr>
            <w:r>
              <w:rPr>
                <w:rFonts w:ascii="Arial" w:cs="Arial" w:eastAsia="Arial" w:hAnsi="Arial"/>
                <w:sz w:val="16"/>
                <w:szCs w:val="16"/>
                <w:b w:val="1"/>
                <w:bCs w:val="1"/>
                <w:color w:val="auto"/>
              </w:rPr>
              <w:t>Herewith  Form</w:t>
            </w:r>
          </w:p>
        </w:tc>
        <w:tc>
          <w:tcPr>
            <w:tcW w:w="680" w:type="dxa"/>
            <w:vAlign w:val="bottom"/>
            <w:tcBorders>
              <w:bottom w:val="single" w:sz="8" w:color="0090DA"/>
            </w:tcBorders>
          </w:tcPr>
          <w:p>
            <w:pPr>
              <w:ind w:left="80"/>
              <w:spacing w:after="0"/>
              <w:rPr>
                <w:sz w:val="20"/>
                <w:szCs w:val="20"/>
                <w:color w:val="auto"/>
              </w:rPr>
            </w:pPr>
            <w:r>
              <w:rPr>
                <w:rFonts w:ascii="Arial" w:cs="Arial" w:eastAsia="Arial" w:hAnsi="Arial"/>
                <w:sz w:val="16"/>
                <w:szCs w:val="16"/>
                <w:b w:val="1"/>
                <w:bCs w:val="1"/>
                <w:color w:val="auto"/>
              </w:rPr>
              <w:t>Ending</w:t>
            </w:r>
          </w:p>
        </w:tc>
        <w:tc>
          <w:tcPr>
            <w:tcW w:w="8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Appendix</w:t>
            </w:r>
          </w:p>
        </w:tc>
        <w:tc>
          <w:tcPr>
            <w:tcW w:w="7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03"/>
        </w:trPr>
        <w:tc>
          <w:tcPr>
            <w:tcW w:w="880" w:type="dxa"/>
            <w:vAlign w:val="bottom"/>
            <w:shd w:val="clear" w:color="auto" w:fill="D1D2D4"/>
          </w:tcPr>
          <w:p>
            <w:pPr>
              <w:ind w:lef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D1D2D4"/>
          </w:tcPr>
          <w:p>
            <w:pPr>
              <w:spacing w:after="0"/>
              <w:rPr>
                <w:sz w:val="17"/>
                <w:szCs w:val="17"/>
                <w:color w:val="auto"/>
              </w:rPr>
            </w:pPr>
          </w:p>
        </w:tc>
        <w:tc>
          <w:tcPr>
            <w:tcW w:w="6540" w:type="dxa"/>
            <w:vAlign w:val="bottom"/>
            <w:gridSpan w:val="6"/>
            <w:shd w:val="clear" w:color="auto" w:fill="D1D2D4"/>
          </w:tcPr>
          <w:p>
            <w:pPr>
              <w:spacing w:after="0"/>
              <w:rPr>
                <w:rFonts w:ascii="Arial" w:cs="Arial" w:eastAsia="Arial" w:hAnsi="Arial"/>
                <w:sz w:val="16"/>
                <w:szCs w:val="16"/>
                <w:color w:val="0000FF"/>
              </w:rPr>
            </w:pPr>
            <w:hyperlink r:id="rId130">
              <w:r>
                <w:rPr>
                  <w:rFonts w:ascii="Arial" w:cs="Arial" w:eastAsia="Arial" w:hAnsi="Arial"/>
                  <w:sz w:val="16"/>
                  <w:szCs w:val="16"/>
                  <w:color w:val="0000FF"/>
                </w:rPr>
                <w:t>Bylaws of the Registrant, Amended and Restated</w:t>
              </w:r>
            </w:hyperlink>
          </w:p>
        </w:tc>
        <w:tc>
          <w:tcPr>
            <w:tcW w:w="144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8-K/A</w:t>
            </w:r>
          </w:p>
        </w:tc>
        <w:tc>
          <w:tcPr>
            <w:tcW w:w="680" w:type="dxa"/>
            <w:vAlign w:val="bottom"/>
            <w:shd w:val="clear" w:color="auto" w:fill="D1D2D4"/>
          </w:tcPr>
          <w:p>
            <w:pPr>
              <w:spacing w:after="0"/>
              <w:rPr>
                <w:sz w:val="17"/>
                <w:szCs w:val="17"/>
                <w:color w:val="auto"/>
              </w:rPr>
            </w:pPr>
          </w:p>
        </w:tc>
        <w:tc>
          <w:tcPr>
            <w:tcW w:w="88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99.1</w:t>
            </w:r>
          </w:p>
        </w:tc>
        <w:tc>
          <w:tcPr>
            <w:tcW w:w="72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1/23/20</w:t>
            </w:r>
          </w:p>
        </w:tc>
      </w:tr>
      <w:tr>
        <w:trPr>
          <w:trHeight w:val="20"/>
        </w:trPr>
        <w:tc>
          <w:tcPr>
            <w:tcW w:w="8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3540" w:type="dxa"/>
            <w:vAlign w:val="bottom"/>
            <w:tcBorders>
              <w:top w:val="single" w:sz="8" w:color="0000FF"/>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1440" w:type="dxa"/>
            <w:vAlign w:val="bottom"/>
            <w:tcBorders>
              <w:top w:val="single" w:sz="8" w:color="D1D2D4"/>
            </w:tcBorders>
            <w:shd w:val="clear" w:color="auto" w:fill="D1D2D4"/>
          </w:tcPr>
          <w:p>
            <w:pPr>
              <w:spacing w:after="0" w:line="20" w:lineRule="exact"/>
              <w:rPr>
                <w:sz w:val="1"/>
                <w:szCs w:val="1"/>
                <w:color w:val="auto"/>
              </w:rPr>
            </w:pPr>
          </w:p>
        </w:tc>
        <w:tc>
          <w:tcPr>
            <w:tcW w:w="680" w:type="dxa"/>
            <w:vAlign w:val="bottom"/>
            <w:tcBorders>
              <w:top w:val="single" w:sz="8" w:color="D1D2D4"/>
            </w:tcBorders>
            <w:shd w:val="clear" w:color="auto" w:fill="D1D2D4"/>
          </w:tcPr>
          <w:p>
            <w:pPr>
              <w:spacing w:after="0" w:line="20" w:lineRule="exact"/>
              <w:rPr>
                <w:sz w:val="1"/>
                <w:szCs w:val="1"/>
                <w:color w:val="auto"/>
              </w:rPr>
            </w:pPr>
          </w:p>
        </w:tc>
        <w:tc>
          <w:tcPr>
            <w:tcW w:w="880" w:type="dxa"/>
            <w:vAlign w:val="bottom"/>
            <w:tcBorders>
              <w:top w:val="single" w:sz="8" w:color="D1D2D4"/>
            </w:tcBorders>
            <w:shd w:val="clear" w:color="auto" w:fill="D1D2D4"/>
          </w:tcPr>
          <w:p>
            <w:pPr>
              <w:spacing w:after="0" w:line="20" w:lineRule="exact"/>
              <w:rPr>
                <w:sz w:val="1"/>
                <w:szCs w:val="1"/>
                <w:color w:val="auto"/>
              </w:rPr>
            </w:pPr>
          </w:p>
        </w:tc>
        <w:tc>
          <w:tcPr>
            <w:tcW w:w="720" w:type="dxa"/>
            <w:vAlign w:val="bottom"/>
            <w:tcBorders>
              <w:top w:val="single" w:sz="8" w:color="D1D2D4"/>
            </w:tcBorders>
            <w:shd w:val="clear" w:color="auto" w:fill="D1D2D4"/>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6540" w:type="dxa"/>
            <w:vAlign w:val="bottom"/>
            <w:gridSpan w:val="6"/>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Rule 13a-14(a) Certification of Chief Executive Officer</w:t>
              </w:r>
            </w:hyperlink>
          </w:p>
        </w:tc>
        <w:tc>
          <w:tcPr>
            <w:tcW w:w="1440" w:type="dxa"/>
            <w:vAlign w:val="bottom"/>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3"/>
        </w:trPr>
        <w:tc>
          <w:tcPr>
            <w:tcW w:w="880" w:type="dxa"/>
            <w:vAlign w:val="bottom"/>
            <w:shd w:val="clear" w:color="auto" w:fill="D1D2D4"/>
          </w:tcPr>
          <w:p>
            <w:pPr>
              <w:ind w:left="20"/>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D1D2D4"/>
          </w:tcPr>
          <w:p>
            <w:pPr>
              <w:spacing w:after="0"/>
              <w:rPr>
                <w:sz w:val="17"/>
                <w:szCs w:val="17"/>
                <w:color w:val="auto"/>
              </w:rPr>
            </w:pPr>
          </w:p>
        </w:tc>
        <w:tc>
          <w:tcPr>
            <w:tcW w:w="6540" w:type="dxa"/>
            <w:vAlign w:val="bottom"/>
            <w:gridSpan w:val="6"/>
            <w:shd w:val="clear" w:color="auto" w:fill="D1D2D4"/>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Rule 13a-14(a) Certification of Chief Financial Officer</w:t>
              </w:r>
            </w:hyperlink>
          </w:p>
        </w:tc>
        <w:tc>
          <w:tcPr>
            <w:tcW w:w="1440" w:type="dxa"/>
            <w:vAlign w:val="bottom"/>
            <w:shd w:val="clear" w:color="auto" w:fill="D1D2D4"/>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shd w:val="clear" w:color="auto" w:fill="D1D2D4"/>
          </w:tcPr>
          <w:p>
            <w:pPr>
              <w:spacing w:after="0"/>
              <w:rPr>
                <w:sz w:val="17"/>
                <w:szCs w:val="17"/>
                <w:color w:val="auto"/>
              </w:rPr>
            </w:pPr>
          </w:p>
        </w:tc>
        <w:tc>
          <w:tcPr>
            <w:tcW w:w="8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r>
      <w:tr>
        <w:trPr>
          <w:trHeight w:val="20"/>
        </w:trPr>
        <w:tc>
          <w:tcPr>
            <w:tcW w:w="8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3540" w:type="dxa"/>
            <w:vAlign w:val="bottom"/>
            <w:tcBorders>
              <w:top w:val="single" w:sz="8" w:color="0000FF"/>
            </w:tcBorders>
            <w:shd w:val="clear" w:color="auto" w:fill="D1D2D4"/>
          </w:tcPr>
          <w:p>
            <w:pPr>
              <w:spacing w:after="0" w:line="20" w:lineRule="exact"/>
              <w:rPr>
                <w:sz w:val="1"/>
                <w:szCs w:val="1"/>
                <w:color w:val="auto"/>
              </w:rPr>
            </w:pPr>
          </w:p>
        </w:tc>
        <w:tc>
          <w:tcPr>
            <w:tcW w:w="26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1440" w:type="dxa"/>
            <w:vAlign w:val="bottom"/>
            <w:tcBorders>
              <w:top w:val="single" w:sz="8" w:color="D1D2D4"/>
            </w:tcBorders>
            <w:shd w:val="clear" w:color="auto" w:fill="D1D2D4"/>
          </w:tcPr>
          <w:p>
            <w:pPr>
              <w:spacing w:after="0" w:line="20" w:lineRule="exact"/>
              <w:rPr>
                <w:sz w:val="1"/>
                <w:szCs w:val="1"/>
                <w:color w:val="auto"/>
              </w:rPr>
            </w:pPr>
          </w:p>
        </w:tc>
        <w:tc>
          <w:tcPr>
            <w:tcW w:w="680" w:type="dxa"/>
            <w:vAlign w:val="bottom"/>
            <w:tcBorders>
              <w:top w:val="single" w:sz="8" w:color="D1D2D4"/>
            </w:tcBorders>
            <w:shd w:val="clear" w:color="auto" w:fill="D1D2D4"/>
          </w:tcPr>
          <w:p>
            <w:pPr>
              <w:spacing w:after="0" w:line="20" w:lineRule="exact"/>
              <w:rPr>
                <w:sz w:val="1"/>
                <w:szCs w:val="1"/>
                <w:color w:val="auto"/>
              </w:rPr>
            </w:pPr>
          </w:p>
        </w:tc>
        <w:tc>
          <w:tcPr>
            <w:tcW w:w="880" w:type="dxa"/>
            <w:vAlign w:val="bottom"/>
            <w:tcBorders>
              <w:top w:val="single" w:sz="8" w:color="D1D2D4"/>
            </w:tcBorders>
            <w:shd w:val="clear" w:color="auto" w:fill="D1D2D4"/>
          </w:tcPr>
          <w:p>
            <w:pPr>
              <w:spacing w:after="0" w:line="20" w:lineRule="exact"/>
              <w:rPr>
                <w:sz w:val="1"/>
                <w:szCs w:val="1"/>
                <w:color w:val="auto"/>
              </w:rPr>
            </w:pPr>
          </w:p>
        </w:tc>
        <w:tc>
          <w:tcPr>
            <w:tcW w:w="720" w:type="dxa"/>
            <w:vAlign w:val="bottom"/>
            <w:tcBorders>
              <w:top w:val="single" w:sz="8" w:color="D1D2D4"/>
            </w:tcBorders>
            <w:shd w:val="clear" w:color="auto" w:fill="D1D2D4"/>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6540" w:type="dxa"/>
            <w:vAlign w:val="bottom"/>
            <w:gridSpan w:val="6"/>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Certification of Chief Executive Officer Pursuant to 18 U.S.C. 1350</w:t>
              </w:r>
            </w:hyperlink>
          </w:p>
        </w:tc>
        <w:tc>
          <w:tcPr>
            <w:tcW w:w="1440" w:type="dxa"/>
            <w:vAlign w:val="bottom"/>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3"/>
        </w:trPr>
        <w:tc>
          <w:tcPr>
            <w:tcW w:w="880" w:type="dxa"/>
            <w:vAlign w:val="bottom"/>
            <w:shd w:val="clear" w:color="auto" w:fill="D1D2D4"/>
          </w:tcPr>
          <w:p>
            <w:pPr>
              <w:ind w:left="20"/>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D1D2D4"/>
          </w:tcPr>
          <w:p>
            <w:pPr>
              <w:spacing w:after="0"/>
              <w:rPr>
                <w:sz w:val="17"/>
                <w:szCs w:val="17"/>
                <w:color w:val="auto"/>
              </w:rPr>
            </w:pPr>
          </w:p>
        </w:tc>
        <w:tc>
          <w:tcPr>
            <w:tcW w:w="6540" w:type="dxa"/>
            <w:vAlign w:val="bottom"/>
            <w:gridSpan w:val="6"/>
            <w:shd w:val="clear" w:color="auto" w:fill="D1D2D4"/>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Certification of Chief Financial Officer Pursuant to 18 U.S.C. 1350</w:t>
              </w:r>
            </w:hyperlink>
          </w:p>
        </w:tc>
        <w:tc>
          <w:tcPr>
            <w:tcW w:w="1440" w:type="dxa"/>
            <w:vAlign w:val="bottom"/>
            <w:shd w:val="clear" w:color="auto" w:fill="D1D2D4"/>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shd w:val="clear" w:color="auto" w:fill="D1D2D4"/>
          </w:tcPr>
          <w:p>
            <w:pPr>
              <w:spacing w:after="0"/>
              <w:rPr>
                <w:sz w:val="17"/>
                <w:szCs w:val="17"/>
                <w:color w:val="auto"/>
              </w:rPr>
            </w:pPr>
          </w:p>
        </w:tc>
        <w:tc>
          <w:tcPr>
            <w:tcW w:w="8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r>
      <w:tr>
        <w:trPr>
          <w:trHeight w:val="20"/>
        </w:trPr>
        <w:tc>
          <w:tcPr>
            <w:tcW w:w="88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3540" w:type="dxa"/>
            <w:vAlign w:val="bottom"/>
            <w:tcBorders>
              <w:top w:val="single" w:sz="8" w:color="0000FF"/>
            </w:tcBorders>
            <w:shd w:val="clear" w:color="auto" w:fill="D1D2D4"/>
          </w:tcPr>
          <w:p>
            <w:pPr>
              <w:spacing w:after="0" w:line="20" w:lineRule="exact"/>
              <w:rPr>
                <w:sz w:val="1"/>
                <w:szCs w:val="1"/>
                <w:color w:val="auto"/>
              </w:rPr>
            </w:pPr>
          </w:p>
        </w:tc>
        <w:tc>
          <w:tcPr>
            <w:tcW w:w="26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0000FF"/>
            </w:tcBorders>
            <w:shd w:val="clear" w:color="auto" w:fill="D1D2D4"/>
          </w:tcPr>
          <w:p>
            <w:pPr>
              <w:spacing w:after="0" w:line="20" w:lineRule="exact"/>
              <w:rPr>
                <w:sz w:val="1"/>
                <w:szCs w:val="1"/>
                <w:color w:val="auto"/>
              </w:rPr>
            </w:pPr>
          </w:p>
        </w:tc>
        <w:tc>
          <w:tcPr>
            <w:tcW w:w="840" w:type="dxa"/>
            <w:vAlign w:val="bottom"/>
            <w:tcBorders>
              <w:top w:val="single" w:sz="8" w:color="0000FF"/>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1440" w:type="dxa"/>
            <w:vAlign w:val="bottom"/>
            <w:tcBorders>
              <w:top w:val="single" w:sz="8" w:color="D1D2D4"/>
            </w:tcBorders>
            <w:shd w:val="clear" w:color="auto" w:fill="D1D2D4"/>
          </w:tcPr>
          <w:p>
            <w:pPr>
              <w:spacing w:after="0" w:line="20" w:lineRule="exact"/>
              <w:rPr>
                <w:sz w:val="1"/>
                <w:szCs w:val="1"/>
                <w:color w:val="auto"/>
              </w:rPr>
            </w:pPr>
          </w:p>
        </w:tc>
        <w:tc>
          <w:tcPr>
            <w:tcW w:w="680" w:type="dxa"/>
            <w:vAlign w:val="bottom"/>
            <w:tcBorders>
              <w:top w:val="single" w:sz="8" w:color="D1D2D4"/>
            </w:tcBorders>
            <w:shd w:val="clear" w:color="auto" w:fill="D1D2D4"/>
          </w:tcPr>
          <w:p>
            <w:pPr>
              <w:spacing w:after="0" w:line="20" w:lineRule="exact"/>
              <w:rPr>
                <w:sz w:val="1"/>
                <w:szCs w:val="1"/>
                <w:color w:val="auto"/>
              </w:rPr>
            </w:pPr>
          </w:p>
        </w:tc>
        <w:tc>
          <w:tcPr>
            <w:tcW w:w="880" w:type="dxa"/>
            <w:vAlign w:val="bottom"/>
            <w:tcBorders>
              <w:top w:val="single" w:sz="8" w:color="D1D2D4"/>
            </w:tcBorders>
            <w:shd w:val="clear" w:color="auto" w:fill="D1D2D4"/>
          </w:tcPr>
          <w:p>
            <w:pPr>
              <w:spacing w:after="0" w:line="20" w:lineRule="exact"/>
              <w:rPr>
                <w:sz w:val="1"/>
                <w:szCs w:val="1"/>
                <w:color w:val="auto"/>
              </w:rPr>
            </w:pPr>
          </w:p>
        </w:tc>
        <w:tc>
          <w:tcPr>
            <w:tcW w:w="720" w:type="dxa"/>
            <w:vAlign w:val="bottom"/>
            <w:tcBorders>
              <w:top w:val="single" w:sz="8" w:color="D1D2D4"/>
            </w:tcBorders>
            <w:shd w:val="clear" w:color="auto" w:fill="D1D2D4"/>
          </w:tcPr>
          <w:p>
            <w:pPr>
              <w:spacing w:after="0" w:line="20" w:lineRule="exact"/>
              <w:rPr>
                <w:sz w:val="1"/>
                <w:szCs w:val="1"/>
                <w:color w:val="auto"/>
              </w:rPr>
            </w:pPr>
          </w:p>
        </w:tc>
      </w:tr>
      <w:tr>
        <w:trPr>
          <w:trHeight w:val="218"/>
        </w:trPr>
        <w:tc>
          <w:tcPr>
            <w:tcW w:w="880" w:type="dxa"/>
            <w:vAlign w:val="bottom"/>
          </w:tcPr>
          <w:p>
            <w:pPr>
              <w:ind w:left="2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18"/>
                <w:szCs w:val="18"/>
                <w:color w:val="auto"/>
              </w:rPr>
            </w:pPr>
          </w:p>
        </w:tc>
        <w:tc>
          <w:tcPr>
            <w:tcW w:w="6540" w:type="dxa"/>
            <w:vAlign w:val="bottom"/>
            <w:gridSpan w:val="6"/>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w:t>
            </w: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4"/>
        </w:trPr>
        <w:tc>
          <w:tcPr>
            <w:tcW w:w="880" w:type="dxa"/>
            <w:vAlign w:val="bottom"/>
          </w:tcPr>
          <w:p>
            <w:pPr>
              <w:spacing w:after="0"/>
              <w:rPr>
                <w:sz w:val="17"/>
                <w:szCs w:val="17"/>
                <w:color w:val="auto"/>
              </w:rPr>
            </w:pPr>
          </w:p>
        </w:tc>
        <w:tc>
          <w:tcPr>
            <w:tcW w:w="6640" w:type="dxa"/>
            <w:vAlign w:val="bottom"/>
            <w:gridSpan w:val="7"/>
          </w:tcPr>
          <w:p>
            <w:pPr>
              <w:ind w:left="100"/>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1440" w:type="dxa"/>
            <w:vAlign w:val="bottom"/>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3"/>
        </w:trPr>
        <w:tc>
          <w:tcPr>
            <w:tcW w:w="8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101.SCH</w:t>
            </w:r>
          </w:p>
        </w:tc>
        <w:tc>
          <w:tcPr>
            <w:tcW w:w="6640" w:type="dxa"/>
            <w:vAlign w:val="bottom"/>
            <w:gridSpan w:val="7"/>
            <w:shd w:val="clear" w:color="auto" w:fill="D1D2D4"/>
          </w:tcPr>
          <w:p>
            <w:pPr>
              <w:ind w:left="100"/>
              <w:spacing w:after="0"/>
              <w:rPr>
                <w:sz w:val="20"/>
                <w:szCs w:val="20"/>
                <w:color w:val="auto"/>
              </w:rPr>
            </w:pPr>
            <w:r>
              <w:rPr>
                <w:rFonts w:ascii="Arial" w:cs="Arial" w:eastAsia="Arial" w:hAnsi="Arial"/>
                <w:sz w:val="16"/>
                <w:szCs w:val="16"/>
                <w:color w:val="auto"/>
              </w:rPr>
              <w:t>Inline XBRL Taxonomy Extension Schema Document</w:t>
            </w:r>
          </w:p>
        </w:tc>
        <w:tc>
          <w:tcPr>
            <w:tcW w:w="1440" w:type="dxa"/>
            <w:vAlign w:val="bottom"/>
            <w:shd w:val="clear" w:color="auto" w:fill="D1D2D4"/>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shd w:val="clear" w:color="auto" w:fill="D1D2D4"/>
          </w:tcPr>
          <w:p>
            <w:pPr>
              <w:spacing w:after="0"/>
              <w:rPr>
                <w:sz w:val="21"/>
                <w:szCs w:val="21"/>
                <w:color w:val="auto"/>
              </w:rPr>
            </w:pPr>
          </w:p>
        </w:tc>
        <w:tc>
          <w:tcPr>
            <w:tcW w:w="880" w:type="dxa"/>
            <w:vAlign w:val="bottom"/>
            <w:shd w:val="clear" w:color="auto" w:fill="D1D2D4"/>
          </w:tcPr>
          <w:p>
            <w:pPr>
              <w:spacing w:after="0"/>
              <w:rPr>
                <w:sz w:val="21"/>
                <w:szCs w:val="21"/>
                <w:color w:val="auto"/>
              </w:rPr>
            </w:pPr>
          </w:p>
        </w:tc>
        <w:tc>
          <w:tcPr>
            <w:tcW w:w="720" w:type="dxa"/>
            <w:vAlign w:val="bottom"/>
            <w:shd w:val="clear" w:color="auto" w:fill="D1D2D4"/>
          </w:tcPr>
          <w:p>
            <w:pPr>
              <w:spacing w:after="0"/>
              <w:rPr>
                <w:sz w:val="21"/>
                <w:szCs w:val="21"/>
                <w:color w:val="auto"/>
              </w:rPr>
            </w:pPr>
          </w:p>
        </w:tc>
      </w:tr>
      <w:tr>
        <w:trPr>
          <w:trHeight w:val="233"/>
        </w:trPr>
        <w:tc>
          <w:tcPr>
            <w:tcW w:w="880" w:type="dxa"/>
            <w:vAlign w:val="bottom"/>
          </w:tcPr>
          <w:p>
            <w:pPr>
              <w:ind w:left="20"/>
              <w:spacing w:after="0"/>
              <w:rPr>
                <w:sz w:val="20"/>
                <w:szCs w:val="20"/>
                <w:color w:val="auto"/>
              </w:rPr>
            </w:pPr>
            <w:r>
              <w:rPr>
                <w:rFonts w:ascii="Arial" w:cs="Arial" w:eastAsia="Arial" w:hAnsi="Arial"/>
                <w:sz w:val="16"/>
                <w:szCs w:val="16"/>
                <w:color w:val="auto"/>
              </w:rPr>
              <w:t>101.CAL</w:t>
            </w:r>
          </w:p>
        </w:tc>
        <w:tc>
          <w:tcPr>
            <w:tcW w:w="6640" w:type="dxa"/>
            <w:vAlign w:val="bottom"/>
            <w:gridSpan w:val="7"/>
          </w:tcPr>
          <w:p>
            <w:pPr>
              <w:ind w:left="100"/>
              <w:spacing w:after="0"/>
              <w:rPr>
                <w:sz w:val="20"/>
                <w:szCs w:val="20"/>
                <w:color w:val="auto"/>
              </w:rPr>
            </w:pPr>
            <w:r>
              <w:rPr>
                <w:rFonts w:ascii="Arial" w:cs="Arial" w:eastAsia="Arial" w:hAnsi="Arial"/>
                <w:sz w:val="16"/>
                <w:szCs w:val="16"/>
                <w:color w:val="auto"/>
              </w:rPr>
              <w:t>Inline XBRL Taxonomy Extension Calculation Linkbase Document</w:t>
            </w:r>
          </w:p>
        </w:tc>
        <w:tc>
          <w:tcPr>
            <w:tcW w:w="1440" w:type="dxa"/>
            <w:vAlign w:val="bottom"/>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3"/>
        </w:trPr>
        <w:tc>
          <w:tcPr>
            <w:tcW w:w="8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101.DEF</w:t>
            </w:r>
          </w:p>
        </w:tc>
        <w:tc>
          <w:tcPr>
            <w:tcW w:w="6640" w:type="dxa"/>
            <w:vAlign w:val="bottom"/>
            <w:gridSpan w:val="7"/>
            <w:shd w:val="clear" w:color="auto" w:fill="D1D2D4"/>
          </w:tcPr>
          <w:p>
            <w:pPr>
              <w:ind w:left="100"/>
              <w:spacing w:after="0"/>
              <w:rPr>
                <w:sz w:val="20"/>
                <w:szCs w:val="20"/>
                <w:color w:val="auto"/>
              </w:rPr>
            </w:pPr>
            <w:r>
              <w:rPr>
                <w:rFonts w:ascii="Arial" w:cs="Arial" w:eastAsia="Arial" w:hAnsi="Arial"/>
                <w:sz w:val="16"/>
                <w:szCs w:val="16"/>
                <w:color w:val="auto"/>
              </w:rPr>
              <w:t>Inline XBRL Taxonomy Extension Definition Linkbase Document</w:t>
            </w:r>
          </w:p>
        </w:tc>
        <w:tc>
          <w:tcPr>
            <w:tcW w:w="1440" w:type="dxa"/>
            <w:vAlign w:val="bottom"/>
            <w:shd w:val="clear" w:color="auto" w:fill="D1D2D4"/>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shd w:val="clear" w:color="auto" w:fill="D1D2D4"/>
          </w:tcPr>
          <w:p>
            <w:pPr>
              <w:spacing w:after="0"/>
              <w:rPr>
                <w:sz w:val="21"/>
                <w:szCs w:val="21"/>
                <w:color w:val="auto"/>
              </w:rPr>
            </w:pPr>
          </w:p>
        </w:tc>
        <w:tc>
          <w:tcPr>
            <w:tcW w:w="880" w:type="dxa"/>
            <w:vAlign w:val="bottom"/>
            <w:shd w:val="clear" w:color="auto" w:fill="D1D2D4"/>
          </w:tcPr>
          <w:p>
            <w:pPr>
              <w:spacing w:after="0"/>
              <w:rPr>
                <w:sz w:val="21"/>
                <w:szCs w:val="21"/>
                <w:color w:val="auto"/>
              </w:rPr>
            </w:pPr>
          </w:p>
        </w:tc>
        <w:tc>
          <w:tcPr>
            <w:tcW w:w="720" w:type="dxa"/>
            <w:vAlign w:val="bottom"/>
            <w:shd w:val="clear" w:color="auto" w:fill="D1D2D4"/>
          </w:tcPr>
          <w:p>
            <w:pPr>
              <w:spacing w:after="0"/>
              <w:rPr>
                <w:sz w:val="21"/>
                <w:szCs w:val="21"/>
                <w:color w:val="auto"/>
              </w:rPr>
            </w:pPr>
          </w:p>
        </w:tc>
      </w:tr>
      <w:tr>
        <w:trPr>
          <w:trHeight w:val="233"/>
        </w:trPr>
        <w:tc>
          <w:tcPr>
            <w:tcW w:w="880" w:type="dxa"/>
            <w:vAlign w:val="bottom"/>
          </w:tcPr>
          <w:p>
            <w:pPr>
              <w:ind w:left="20"/>
              <w:spacing w:after="0"/>
              <w:rPr>
                <w:sz w:val="20"/>
                <w:szCs w:val="20"/>
                <w:color w:val="auto"/>
              </w:rPr>
            </w:pPr>
            <w:r>
              <w:rPr>
                <w:rFonts w:ascii="Arial" w:cs="Arial" w:eastAsia="Arial" w:hAnsi="Arial"/>
                <w:sz w:val="16"/>
                <w:szCs w:val="16"/>
                <w:color w:val="auto"/>
              </w:rPr>
              <w:t>101.LAB</w:t>
            </w:r>
          </w:p>
        </w:tc>
        <w:tc>
          <w:tcPr>
            <w:tcW w:w="6640" w:type="dxa"/>
            <w:vAlign w:val="bottom"/>
            <w:gridSpan w:val="7"/>
          </w:tcPr>
          <w:p>
            <w:pPr>
              <w:ind w:left="100"/>
              <w:spacing w:after="0"/>
              <w:rPr>
                <w:sz w:val="20"/>
                <w:szCs w:val="20"/>
                <w:color w:val="auto"/>
              </w:rPr>
            </w:pPr>
            <w:r>
              <w:rPr>
                <w:rFonts w:ascii="Arial" w:cs="Arial" w:eastAsia="Arial" w:hAnsi="Arial"/>
                <w:sz w:val="16"/>
                <w:szCs w:val="16"/>
                <w:color w:val="auto"/>
              </w:rPr>
              <w:t>Inline XBRL Taxonomy Extension Label Linkbase Document</w:t>
            </w:r>
          </w:p>
        </w:tc>
        <w:tc>
          <w:tcPr>
            <w:tcW w:w="1440" w:type="dxa"/>
            <w:vAlign w:val="bottom"/>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3"/>
        </w:trPr>
        <w:tc>
          <w:tcPr>
            <w:tcW w:w="8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101.PRE</w:t>
            </w:r>
          </w:p>
        </w:tc>
        <w:tc>
          <w:tcPr>
            <w:tcW w:w="6640" w:type="dxa"/>
            <w:vAlign w:val="bottom"/>
            <w:gridSpan w:val="7"/>
            <w:shd w:val="clear" w:color="auto" w:fill="D1D2D4"/>
          </w:tcPr>
          <w:p>
            <w:pPr>
              <w:ind w:left="100"/>
              <w:spacing w:after="0"/>
              <w:rPr>
                <w:sz w:val="20"/>
                <w:szCs w:val="20"/>
                <w:color w:val="auto"/>
              </w:rPr>
            </w:pPr>
            <w:r>
              <w:rPr>
                <w:rFonts w:ascii="Arial" w:cs="Arial" w:eastAsia="Arial" w:hAnsi="Arial"/>
                <w:sz w:val="16"/>
                <w:szCs w:val="16"/>
                <w:color w:val="auto"/>
              </w:rPr>
              <w:t>Inline XBRL Taxonomy Extension Presentation Linkbase Document</w:t>
            </w:r>
          </w:p>
        </w:tc>
        <w:tc>
          <w:tcPr>
            <w:tcW w:w="1440" w:type="dxa"/>
            <w:vAlign w:val="bottom"/>
            <w:shd w:val="clear" w:color="auto" w:fill="D1D2D4"/>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shd w:val="clear" w:color="auto" w:fill="D1D2D4"/>
          </w:tcPr>
          <w:p>
            <w:pPr>
              <w:spacing w:after="0"/>
              <w:rPr>
                <w:sz w:val="21"/>
                <w:szCs w:val="21"/>
                <w:color w:val="auto"/>
              </w:rPr>
            </w:pPr>
          </w:p>
        </w:tc>
        <w:tc>
          <w:tcPr>
            <w:tcW w:w="880" w:type="dxa"/>
            <w:vAlign w:val="bottom"/>
            <w:shd w:val="clear" w:color="auto" w:fill="D1D2D4"/>
          </w:tcPr>
          <w:p>
            <w:pPr>
              <w:spacing w:after="0"/>
              <w:rPr>
                <w:sz w:val="21"/>
                <w:szCs w:val="21"/>
                <w:color w:val="auto"/>
              </w:rPr>
            </w:pPr>
          </w:p>
        </w:tc>
        <w:tc>
          <w:tcPr>
            <w:tcW w:w="720" w:type="dxa"/>
            <w:vAlign w:val="bottom"/>
            <w:shd w:val="clear" w:color="auto" w:fill="D1D2D4"/>
          </w:tcPr>
          <w:p>
            <w:pPr>
              <w:spacing w:after="0"/>
              <w:rPr>
                <w:sz w:val="21"/>
                <w:szCs w:val="2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6"/>
                <w:szCs w:val="16"/>
                <w:color w:val="auto"/>
              </w:rPr>
              <w:t>104</w:t>
            </w:r>
          </w:p>
        </w:tc>
        <w:tc>
          <w:tcPr>
            <w:tcW w:w="6640" w:type="dxa"/>
            <w:vAlign w:val="bottom"/>
            <w:gridSpan w:val="7"/>
          </w:tcPr>
          <w:p>
            <w:pPr>
              <w:ind w:left="10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1440" w:type="dxa"/>
            <w:vAlign w:val="bottom"/>
          </w:tcPr>
          <w:p>
            <w:pPr>
              <w:jc w:val="center"/>
              <w:ind w:right="539"/>
              <w:spacing w:after="0"/>
              <w:rPr>
                <w:sz w:val="20"/>
                <w:szCs w:val="20"/>
                <w:color w:val="auto"/>
              </w:rPr>
            </w:pPr>
            <w:r>
              <w:rPr>
                <w:rFonts w:ascii="Arial" w:cs="Arial" w:eastAsia="Arial" w:hAnsi="Arial"/>
                <w:sz w:val="16"/>
                <w:szCs w:val="16"/>
                <w:color w:val="auto"/>
                <w:w w:val="93"/>
              </w:rPr>
              <w:t>X</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777"/>
        </w:trPr>
        <w:tc>
          <w:tcPr>
            <w:tcW w:w="3760" w:type="dxa"/>
            <w:vAlign w:val="bottom"/>
          </w:tcPr>
          <w:p>
            <w:pPr>
              <w:spacing w:after="0"/>
              <w:rPr>
                <w:sz w:val="20"/>
                <w:szCs w:val="20"/>
                <w:color w:val="auto"/>
              </w:rPr>
            </w:pPr>
            <w:r>
              <w:rPr>
                <w:rFonts w:ascii="Arial" w:cs="Arial" w:eastAsia="Arial" w:hAnsi="Arial"/>
                <w:sz w:val="18"/>
                <w:szCs w:val="18"/>
                <w:color w:val="auto"/>
              </w:rPr>
              <w:t>Date:  March 26, 2020</w:t>
            </w:r>
          </w:p>
        </w:tc>
        <w:tc>
          <w:tcPr>
            <w:tcW w:w="7460" w:type="dxa"/>
            <w:vAlign w:val="bottom"/>
            <w:gridSpan w:val="2"/>
          </w:tcPr>
          <w:p>
            <w:pPr>
              <w:ind w:left="1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Zinsner</w:t>
            </w:r>
          </w:p>
        </w:tc>
      </w:tr>
      <w:tr>
        <w:trPr>
          <w:trHeight w:val="243"/>
        </w:trPr>
        <w:tc>
          <w:tcPr>
            <w:tcW w:w="37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56"/>
        </w:trPr>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20"/>
        </w:trPr>
        <w:tc>
          <w:tcPr>
            <w:tcW w:w="3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Paul Marosvari</w:t>
            </w:r>
          </w:p>
        </w:tc>
      </w:tr>
      <w:tr>
        <w:trPr>
          <w:trHeight w:val="243"/>
        </w:trPr>
        <w:tc>
          <w:tcPr>
            <w:tcW w:w="37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Paul Marosvari</w:t>
            </w:r>
          </w:p>
        </w:tc>
      </w:tr>
      <w:tr>
        <w:trPr>
          <w:trHeight w:val="257"/>
        </w:trPr>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56"/>
        </w:trPr>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53</w:t>
      </w:r>
    </w:p>
    <w:p>
      <w:pPr>
        <w:sectPr>
          <w:pgSz w:w="11900" w:h="16838" w:orient="portrait"/>
          <w:cols w:equalWidth="0" w:num="1">
            <w:col w:w="11240"/>
          </w:cols>
          <w:pgMar w:left="320" w:top="93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31.1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760" w:val="left"/>
          <w:tab w:leader="none" w:pos="5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2020</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3089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Sanjay Mehrotra</w:t>
      </w:r>
    </w:p>
    <w:p>
      <w:pPr>
        <w:ind w:left="512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89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720" w:val="left"/>
          <w:tab w:leader="none" w:pos="5640" w:val="left"/>
        </w:tabs>
        <w:rPr>
          <w:sz w:val="20"/>
          <w:szCs w:val="20"/>
          <w:color w:val="auto"/>
        </w:rPr>
      </w:pPr>
      <w:r>
        <w:rPr>
          <w:rFonts w:ascii="Arial" w:cs="Arial" w:eastAsia="Arial" w:hAnsi="Arial"/>
          <w:sz w:val="18"/>
          <w:szCs w:val="18"/>
          <w:color w:val="auto"/>
        </w:rPr>
        <w:t>Date:</w:t>
        <w:tab/>
        <w:t>March 26, 2020</w:t>
      </w:r>
      <w:r>
        <w:rPr>
          <w:sz w:val="20"/>
          <w:szCs w:val="20"/>
          <w:color w:val="auto"/>
        </w:rPr>
        <w:tab/>
      </w: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0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A. Zinsner</w:t>
      </w:r>
    </w:p>
    <w:p>
      <w:pPr>
        <w:ind w:left="56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98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32.1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February 27, 2020,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341" w:lineRule="exact"/>
        <w:rPr>
          <w:sz w:val="20"/>
          <w:szCs w:val="20"/>
          <w:color w:val="auto"/>
        </w:rPr>
      </w:pPr>
    </w:p>
    <w:p>
      <w:pPr>
        <w:ind w:left="60"/>
        <w:spacing w:after="0"/>
        <w:tabs>
          <w:tab w:leader="none" w:pos="720" w:val="left"/>
          <w:tab w:leader="none" w:pos="5620" w:val="left"/>
        </w:tabs>
        <w:rPr>
          <w:sz w:val="20"/>
          <w:szCs w:val="20"/>
          <w:color w:val="auto"/>
        </w:rPr>
      </w:pPr>
      <w:r>
        <w:rPr>
          <w:rFonts w:ascii="Arial" w:cs="Arial" w:eastAsia="Arial" w:hAnsi="Arial"/>
          <w:sz w:val="18"/>
          <w:szCs w:val="18"/>
          <w:color w:val="auto"/>
        </w:rPr>
        <w:t>Date:</w:t>
        <w:tab/>
        <w:t>March 26, 2020</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18 U.S.C. 1350</w:t>
      </w:r>
    </w:p>
    <w:p>
      <w:pPr>
        <w:spacing w:after="0" w:line="17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February 27, 2020,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720" w:val="left"/>
          <w:tab w:leader="none" w:pos="5640" w:val="left"/>
        </w:tabs>
        <w:rPr>
          <w:sz w:val="20"/>
          <w:szCs w:val="20"/>
          <w:color w:val="auto"/>
        </w:rPr>
      </w:pPr>
      <w:r>
        <w:rPr>
          <w:rFonts w:ascii="Arial" w:cs="Arial" w:eastAsia="Arial" w:hAnsi="Arial"/>
          <w:sz w:val="18"/>
          <w:szCs w:val="18"/>
          <w:color w:val="auto"/>
        </w:rPr>
        <w:t>Date:</w:t>
        <w:tab/>
        <w:t>March 26, 2020</w:t>
      </w:r>
      <w:r>
        <w:rPr>
          <w:sz w:val="20"/>
          <w:szCs w:val="20"/>
          <w:color w:val="auto"/>
        </w:rPr>
        <w:tab/>
      </w: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0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A. Zinsner</w:t>
      </w:r>
    </w:p>
    <w:p>
      <w:pPr>
        <w:ind w:left="566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566"/>
    </w:lvl>
  </w:abstractNum>
  <w:abstractNum w:abstractNumId="4">
    <w:nsid w:val="25E45D32"/>
    <w:multiLevelType w:val="hybridMultilevel"/>
    <w:lvl w:ilvl="0">
      <w:lvlJc w:val="left"/>
      <w:lvlText w:val="%1"/>
      <w:numFmt w:val="decimal"/>
      <w:start w:val="105"/>
    </w:lvl>
    <w:lvl w:ilvl="1">
      <w:lvlJc w:val="left"/>
      <w:lvlText w:val="(%2)"/>
      <w:numFmt w:val="decimal"/>
      <w:start w:val="2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3"/>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0" Type="http://schemas.openxmlformats.org/officeDocument/2006/relationships/hyperlink" Target="http://www.sec.gov/Archives/edgar/data/723125/000072312520000012/ex991amendedbylaws11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2020-03-26T12:55:32Z</dcterms:created>
  <dcterms:modified xsi:type="dcterms:W3CDTF">2020-03-26T12:55:32Z</dcterms:modified>
</cp:coreProperties>
</file>