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3, 2022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3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On November 3, 2022 (the “Closing Date”), Micron Technology, Inc. (the “Company”), entered into a Term Loan Credit Agreement, by and among the Company, Wells Fargo Bank, National Association, as Administrative Agent, Wells Fargo Securities, LLC, Mizuho Bank, Ltd., and Truist Securities, Inc. as Joint Bookrunners and Joint Lead Arrangers, and certain financial institutions as lenders (the “Term Loan Agreement”).</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Term Loan Agreement provides a committed term loan facility (the “Term Loan Facility”) consisting of three tranches of term loans. On the Closing Date, the company borrowed $2.6 billion in aggregate principal amount, consisting of approximately $926.7 million in aggregate principal amount of Term A-1 Loans, approximately $746.7 million in aggregate principal amount of Term A-2 Loans, and approximately</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$926.7 million in aggregate principal amount of Term A-3 Loans (collectively, the “Term Loans”). The Company will use the proceeds of such Term Loans for general corporate purposes, which may include capital expenditures. The Term Loan Agreement also provides that, under certain circumstances, the Company may add one or more incremental commitments in an aggregate principal amount not to exceed $1.3 billion, and which may consist of additional Term A-1 Loan, Term A-2 Loan, or Term A-3 Loan commitments.</w:t>
      </w:r>
    </w:p>
    <w:p>
      <w:pPr>
        <w:spacing w:after="0" w:line="20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Term A-1 Loans do not amortize. Term A-2 Loans and Term A-3 Loans each amortize in equal quarterly installments in an amount equal to 1.25% of the original principal amount of such Term A-2 Loans or Term A-3 Loans, as applicable. Term A-1 Loans are scheduled to mature on November 3, 2025, Term A-2 Loans are scheduled to mature on November 3, 2026 and Term A-3 Loans are scheduled to mature on November 3, 2027 (each a “Term Loan Facility Maturity Date”). The Company must repay the outstanding principal amount of the applicable loans under the Term Loan Facility, together with all accrued but unpaid interest, fees, and other obligations owing thereon, on the applicable Term Loan Facility Maturity Date.</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Borrowings under the Term Loan Facility will bear interest, at the Company’s option, at adjusted term SOFR or at a “base rate”, plus in either case an applicable interest rate margin varying by tranche and depending on the Company’s corporate ratings. The additional interest rate</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margin for borrowings ranges from 1.00% to 2.00% per annum in the case of adjusted term SOFR borrowings and 0.00% to 1.00% in the case of base rate borrowings. The adjusted term SOFR is defined as the term SOFR reference rate for the selected interest period, plus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0.10% per annum (subject to a 0.00% floor).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required to pay other customary fees and costs in connection with the Term Loan Facility.</w:t>
      </w:r>
    </w:p>
    <w:p>
      <w:pPr>
        <w:spacing w:after="0" w:line="2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Term Loan Agreement requires the Company to maintain, on a consolidated basis, a leverage ratio of total indebtedness to EBITDA, as defined in the Term Loan Agreement and calculated as of the last day of each fiscal quarter, not to exceed 3.25 to 1.00, subject to a temporary four fiscal quarter increase in such maximum ratio to 3.75 to 1.00 following certain material acquisitions.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obligations under the Term Loan Agreement are unsecured. Additionally, as of the date of the filing of this Current Report, no subsidiaries of the Company are guarantors under the Term Loan Agreement.</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Term Loan Agreement contains representations and warranties, affirmative covenants and conditions precedent to borrowing usual and customary for credit agreements of this type. The Term Loan Agreement contains negative covenants that restrict, subject to certain exceptions, the ability of the Company and its restricted subsidiaries to:</w:t>
      </w:r>
    </w:p>
    <w:p>
      <w:pPr>
        <w:spacing w:after="0" w:line="196" w:lineRule="exact"/>
        <w:rPr>
          <w:sz w:val="20"/>
          <w:szCs w:val="20"/>
          <w:color w:val="auto"/>
        </w:rPr>
      </w:pPr>
    </w:p>
    <w:p>
      <w:pPr>
        <w:ind w:left="660" w:right="4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the Company, consolidate with or merge with or into, or sell, assign, convey, transfer, lease, or otherwise dispose of all or substantially all of the properties, rights, and assets of the Company and its restricted subsidiaries, taken as a whole, to another person;</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guarantee, or otherwise become liable for any indebtedness secured by a lien;</w:t>
      </w:r>
    </w:p>
    <w:p>
      <w:pPr>
        <w:spacing w:after="0" w:line="238" w:lineRule="exact"/>
        <w:rPr>
          <w:rFonts w:ascii="Arial" w:cs="Arial" w:eastAsia="Arial" w:hAnsi="Arial"/>
          <w:sz w:val="18"/>
          <w:szCs w:val="18"/>
          <w:color w:val="auto"/>
        </w:rPr>
      </w:pPr>
    </w:p>
    <w:p>
      <w:pPr>
        <w:ind w:left="660" w:right="220" w:hanging="328"/>
        <w:spacing w:after="0" w:line="27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non-guarantor restricted subsidiaries, incur, guarantee, or otherwise become liable for any unsecured indebtedness; and</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and its restricted subsidiaries are permitted to incur, guarantee, or otherwise become liable for indebtedness, and to enter into sale and lease-back transactions, that would otherwise be prohibited under the negative covenants, in an aggregate amount equal to the greater of (x) $5.6 billion and (y) 15% of consolidated net tangible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ind w:right="40"/>
        <w:spacing w:after="0" w:line="271" w:lineRule="auto"/>
        <w:rPr>
          <w:sz w:val="20"/>
          <w:szCs w:val="20"/>
          <w:color w:val="auto"/>
        </w:rPr>
      </w:pPr>
      <w:r>
        <w:rPr>
          <w:rFonts w:ascii="Arial" w:cs="Arial" w:eastAsia="Arial" w:hAnsi="Arial"/>
          <w:sz w:val="18"/>
          <w:szCs w:val="18"/>
          <w:color w:val="auto"/>
        </w:rPr>
        <w:t>The Term Loan Agreement does not contain any covenant restricting the payment of dividends or the making of other restricted payments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under the Term Loan Agreement:</w:t>
      </w:r>
    </w:p>
    <w:p>
      <w:pPr>
        <w:spacing w:after="0" w:line="2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pay principal of a loan under the Term Loan Agreement when due;</w:t>
      </w:r>
    </w:p>
    <w:p>
      <w:pPr>
        <w:spacing w:after="0" w:line="238" w:lineRule="exact"/>
        <w:rPr>
          <w:rFonts w:ascii="Arial" w:cs="Arial" w:eastAsia="Arial" w:hAnsi="Arial"/>
          <w:sz w:val="18"/>
          <w:szCs w:val="18"/>
          <w:color w:val="auto"/>
        </w:rPr>
      </w:pPr>
    </w:p>
    <w:p>
      <w:pPr>
        <w:ind w:left="660" w:right="2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pay (a) any interest or scheduled fees under the Term Loan Agreement for 5 business days after the date when due and (b) any other obligation under the Term Loan Agreement for 10 business days after the date when due;</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failure to comply with the leverage ratio described above;</w:t>
      </w:r>
    </w:p>
    <w:p>
      <w:pPr>
        <w:spacing w:after="0" w:line="225"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by the Company or any of its restricted subsidiaries to comply with any other agreement under the Term Loan Agreement for a period of 30 days after notice of breach;</w:t>
      </w:r>
    </w:p>
    <w:p>
      <w:pPr>
        <w:spacing w:after="0" w:line="180" w:lineRule="exact"/>
        <w:rPr>
          <w:rFonts w:ascii="Arial" w:cs="Arial" w:eastAsia="Arial" w:hAnsi="Arial"/>
          <w:sz w:val="18"/>
          <w:szCs w:val="18"/>
          <w:color w:val="auto"/>
        </w:rPr>
      </w:pPr>
    </w:p>
    <w:p>
      <w:pPr>
        <w:ind w:left="660" w:hanging="328"/>
        <w:spacing w:after="0" w:line="24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 under any indebtedness of the Company or a guarantor subsidiary that (a) either results from (i) failure to pay any principal of such indebtedness at its stated final maturity or (ii) a default with respect to another obligation under such indebtedness and such other default results in such indebtedness becoming due and payable before its stated maturity without such indebtedness having been discharged, cured, waived, rescinded, or annulled within 30 days and (b) the principal amount of which aggregates $100 million or more;</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the Company or any of its significant subsidiaries;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ERISA event has occurred that would reasonably be expected to result in a material adverse effect;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 of control of the Company.</w:t>
      </w:r>
    </w:p>
    <w:p>
      <w:pPr>
        <w:spacing w:after="0" w:line="23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If an event of default described above with respect to certain events of bankruptcy, insolvency, or reorganization with respect to the Company occurs and is continuing, then the principal amount plus interest, fees, and other obligations then outstanding under the Term Loan</w:t>
      </w:r>
    </w:p>
    <w:p>
      <w:pPr>
        <w:ind w:right="380"/>
        <w:spacing w:after="0"/>
        <w:rPr>
          <w:sz w:val="20"/>
          <w:szCs w:val="20"/>
          <w:color w:val="auto"/>
        </w:rPr>
      </w:pPr>
      <w:r>
        <w:rPr>
          <w:rFonts w:ascii="Arial" w:cs="Arial" w:eastAsia="Arial" w:hAnsi="Arial"/>
          <w:sz w:val="17"/>
          <w:szCs w:val="17"/>
          <w:color w:val="auto"/>
        </w:rPr>
        <w:t>Agreement will automatically become due and immediately payable. If any other event of default occurs and is continuing, then the administrative agent under the Term Loan Agreement may accelerate the principal amount plus interest, fees, and other obligations then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under the Term Loan Agreement to become due and immediately payable.</w:t>
      </w:r>
    </w:p>
    <w:p>
      <w:pPr>
        <w:spacing w:after="0" w:line="22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lenders under the Term Loan Agreement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and commodity hedging, and equipment financing and leasing services.</w:t>
      </w:r>
    </w:p>
    <w:p>
      <w:pPr>
        <w:spacing w:after="0" w:line="25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60" w:type="dxa"/>
            <w:vAlign w:val="bottom"/>
          </w:tcPr>
          <w:p>
            <w:pPr>
              <w:spacing w:after="0"/>
              <w:rPr>
                <w:sz w:val="21"/>
                <w:szCs w:val="21"/>
                <w:color w:val="auto"/>
              </w:rPr>
            </w:pPr>
          </w:p>
        </w:tc>
        <w:tc>
          <w:tcPr>
            <w:tcW w:w="6780" w:type="dxa"/>
            <w:vAlign w:val="bottom"/>
            <w:gridSpan w:val="2"/>
          </w:tcPr>
          <w:p>
            <w:pPr>
              <w:ind w:left="162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860" w:type="dxa"/>
            <w:vAlign w:val="bottom"/>
          </w:tcPr>
          <w:p>
            <w:pPr>
              <w:spacing w:after="0"/>
              <w:rPr>
                <w:sz w:val="20"/>
                <w:szCs w:val="20"/>
                <w:color w:val="auto"/>
              </w:rPr>
            </w:pPr>
            <w:r>
              <w:rPr>
                <w:rFonts w:ascii="Arial" w:cs="Arial" w:eastAsia="Arial" w:hAnsi="Arial"/>
                <w:sz w:val="18"/>
                <w:szCs w:val="18"/>
                <w:color w:val="auto"/>
              </w:rPr>
              <w:t>Date:    November 3, 2022</w:t>
            </w:r>
          </w:p>
        </w:tc>
        <w:tc>
          <w:tcPr>
            <w:tcW w:w="2520" w:type="dxa"/>
            <w:vAlign w:val="bottom"/>
          </w:tcPr>
          <w:p>
            <w:pPr>
              <w:ind w:left="162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860" w:type="dxa"/>
            <w:vAlign w:val="bottom"/>
          </w:tcPr>
          <w:p>
            <w:pPr>
              <w:spacing w:after="0"/>
              <w:rPr>
                <w:sz w:val="18"/>
                <w:szCs w:val="18"/>
                <w:color w:val="auto"/>
              </w:rPr>
            </w:pPr>
          </w:p>
        </w:tc>
        <w:tc>
          <w:tcPr>
            <w:tcW w:w="2520" w:type="dxa"/>
            <w:vAlign w:val="bottom"/>
          </w:tcPr>
          <w:p>
            <w:pPr>
              <w:ind w:left="162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860" w:type="dxa"/>
            <w:vAlign w:val="bottom"/>
          </w:tcPr>
          <w:p>
            <w:pPr>
              <w:spacing w:after="0"/>
              <w:rPr>
                <w:sz w:val="20"/>
                <w:szCs w:val="20"/>
                <w:color w:val="auto"/>
              </w:rPr>
            </w:pPr>
          </w:p>
        </w:tc>
        <w:tc>
          <w:tcPr>
            <w:tcW w:w="2520" w:type="dxa"/>
            <w:vAlign w:val="bottom"/>
          </w:tcPr>
          <w:p>
            <w:pPr>
              <w:ind w:left="162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1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2022-11-03T17:05:44Z</dcterms:created>
  <dcterms:modified xsi:type="dcterms:W3CDTF">2022-11-03T17:05:44Z</dcterms:modified>
</cp:coreProperties>
</file>