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alibri" w:cs="Calibri" w:eastAsia="Calibri" w:hAnsi="Calibri"/>
          <w:sz w:val="12"/>
          <w:szCs w:val="12"/>
          <w:color w:val="003366"/>
        </w:rPr>
        <w:t>TABLE OF CONTENTS</w:t>
      </w:r>
    </w:p>
    <w:p>
      <w:pPr>
        <w:spacing w:after="0" w:line="398" w:lineRule="exact"/>
        <w:rPr>
          <w:sz w:val="24"/>
          <w:szCs w:val="24"/>
          <w:color w:val="auto"/>
        </w:rPr>
      </w:pPr>
    </w:p>
    <w:p>
      <w:pPr>
        <w:jc w:val="right"/>
        <w:ind w:right="499"/>
        <w:spacing w:after="0"/>
        <w:rPr>
          <w:sz w:val="20"/>
          <w:szCs w:val="20"/>
          <w:color w:val="auto"/>
        </w:rPr>
      </w:pPr>
      <w:r>
        <w:rPr>
          <w:rFonts w:ascii="Arial" w:cs="Arial" w:eastAsia="Arial" w:hAnsi="Arial"/>
          <w:sz w:val="13"/>
          <w:szCs w:val="13"/>
          <w:b w:val="1"/>
          <w:bCs w:val="1"/>
          <w:color w:val="auto"/>
        </w:rPr>
        <w:t> Filed pursuant to Rule 424(b)(5)​</w:t>
      </w:r>
    </w:p>
    <w:p>
      <w:pPr>
        <w:jc w:val="right"/>
        <w:ind w:right="499"/>
        <w:spacing w:after="0"/>
        <w:rPr>
          <w:sz w:val="20"/>
          <w:szCs w:val="20"/>
          <w:color w:val="auto"/>
        </w:rPr>
      </w:pPr>
      <w:r>
        <w:rPr>
          <w:rFonts w:ascii="Arial" w:cs="Arial" w:eastAsia="Arial" w:hAnsi="Arial"/>
          <w:sz w:val="13"/>
          <w:szCs w:val="13"/>
          <w:b w:val="1"/>
          <w:bCs w:val="1"/>
          <w:color w:val="auto"/>
        </w:rPr>
        <w:t> Registration No. 333-275276​</w:t>
      </w:r>
    </w:p>
    <w:p>
      <w:pPr>
        <w:spacing w:after="0" w:line="18" w:lineRule="exact"/>
        <w:rPr>
          <w:sz w:val="24"/>
          <w:szCs w:val="24"/>
          <w:color w:val="auto"/>
        </w:rPr>
      </w:pPr>
    </w:p>
    <w:p>
      <w:pPr>
        <w:ind w:left="520"/>
        <w:spacing w:after="0"/>
        <w:rPr>
          <w:sz w:val="20"/>
          <w:szCs w:val="20"/>
          <w:color w:val="auto"/>
        </w:rPr>
      </w:pPr>
      <w:r>
        <w:rPr>
          <w:rFonts w:ascii="Arial" w:cs="Arial" w:eastAsia="Arial" w:hAnsi="Arial"/>
          <w:sz w:val="15"/>
          <w:szCs w:val="15"/>
          <w:b w:val="1"/>
          <w:bCs w:val="1"/>
          <w:color w:val="auto"/>
        </w:rPr>
        <w:t>Prospectus Supplement</w:t>
      </w:r>
    </w:p>
    <w:p>
      <w:pPr>
        <w:spacing w:after="0" w:line="11" w:lineRule="exact"/>
        <w:rPr>
          <w:sz w:val="24"/>
          <w:szCs w:val="24"/>
          <w:color w:val="auto"/>
        </w:rPr>
      </w:pPr>
    </w:p>
    <w:p>
      <w:pPr>
        <w:ind w:left="520"/>
        <w:spacing w:after="0"/>
        <w:rPr>
          <w:sz w:val="20"/>
          <w:szCs w:val="20"/>
          <w:color w:val="auto"/>
        </w:rPr>
      </w:pPr>
      <w:r>
        <w:rPr>
          <w:rFonts w:ascii="Arial" w:cs="Arial" w:eastAsia="Arial" w:hAnsi="Arial"/>
          <w:sz w:val="15"/>
          <w:szCs w:val="15"/>
          <w:b w:val="1"/>
          <w:bCs w:val="1"/>
          <w:color w:val="auto"/>
        </w:rPr>
        <w:t>(To Prospectus dated November 2, 2023)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60960</wp:posOffset>
            </wp:positionV>
            <wp:extent cx="1395095" cy="385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5095"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Micron Technology, Inc.</w:t>
      </w:r>
      <w:r>
        <w:rPr>
          <w:rFonts w:ascii="Times New Roman" w:cs="Times New Roman" w:eastAsia="Times New Roman" w:hAnsi="Times New Roman"/>
          <w:sz w:val="32"/>
          <w:szCs w:val="32"/>
          <w:color w:val="auto"/>
        </w:rPr>
        <w:t>​</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5.30% Senior Notes due 2031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2359025</wp:posOffset>
            </wp:positionH>
            <wp:positionV relativeFrom="paragraph">
              <wp:posOffset>78740</wp:posOffset>
            </wp:positionV>
            <wp:extent cx="10096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71" w:lineRule="exact"/>
        <w:rPr>
          <w:sz w:val="24"/>
          <w:szCs w:val="24"/>
          <w:color w:val="auto"/>
        </w:rPr>
      </w:pPr>
    </w:p>
    <w:p>
      <w:pPr>
        <w:jc w:val="both"/>
        <w:ind w:left="520" w:right="619"/>
        <w:spacing w:after="0" w:line="252" w:lineRule="auto"/>
        <w:rPr>
          <w:sz w:val="20"/>
          <w:szCs w:val="20"/>
          <w:color w:val="auto"/>
        </w:rPr>
      </w:pPr>
      <w:r>
        <w:rPr>
          <w:rFonts w:ascii="Arial" w:cs="Arial" w:eastAsia="Arial" w:hAnsi="Arial"/>
          <w:sz w:val="13"/>
          <w:szCs w:val="13"/>
          <w:color w:val="auto"/>
        </w:rPr>
        <w:t>Micron Technology, Inc. is offering $1,000,000,000 aggregate principal amount of 5.30% senior notes due 2031 (the “notes”). The notes will bear interest at the rate of 5.30% per year. Interest on the notes will be payable semi-annually in arrears on January 15 and July 15 of each year, beginning July 15, 2024.</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3"/>
          <w:szCs w:val="13"/>
          <w:color w:val="auto"/>
        </w:rPr>
        <w:t>The notes will mature on January 15, 2031.</w:t>
      </w:r>
    </w:p>
    <w:p>
      <w:pPr>
        <w:spacing w:after="0" w:line="19" w:lineRule="exact"/>
        <w:rPr>
          <w:sz w:val="24"/>
          <w:szCs w:val="24"/>
          <w:color w:val="auto"/>
        </w:rPr>
      </w:pPr>
    </w:p>
    <w:p>
      <w:pPr>
        <w:ind w:left="520" w:right="579"/>
        <w:spacing w:after="0" w:line="241" w:lineRule="auto"/>
        <w:rPr>
          <w:sz w:val="20"/>
          <w:szCs w:val="20"/>
          <w:color w:val="auto"/>
        </w:rPr>
      </w:pPr>
      <w:r>
        <w:rPr>
          <w:rFonts w:ascii="Arial" w:cs="Arial" w:eastAsia="Arial" w:hAnsi="Arial"/>
          <w:sz w:val="13"/>
          <w:szCs w:val="13"/>
          <w:color w:val="auto"/>
        </w:rPr>
        <w:t>We may redeem some or all of the notes, at any time or from time to time, at a redemption price equal to the greater of (i) a make-whole amount (as described in the section entitled “Description of the Notes — Optional Redemption”) and (ii) 100% of the principal amount of the notes to be redeemed, plus accrued and unpaid interest thereon to, but excluding, the redemption date. In addition, we may redeem the notes, in whole or in part, at any time from or after November 15, 2030, at a redemption price equal to 100% of the principal amount of the notes to be redeemed, plus accrued and unpaid interest thereon to, but excluding, the redemption date. See “Description of the Notes — Optional Redemption” in this prospectus supplement for more information. We will be required to make an offer to purchase the notes, at a price equal to 101% of their principal amount, plus accrued and unpaid interest to, but excluding, the date of purchase, upon the occurrence of a Change of Control Triggering Event (as defined herein). See the section entitled “Description of the Notes —  Repurchase of Notes Upon a Change of Control Triggering Event” for more information.</w:t>
      </w:r>
    </w:p>
    <w:p>
      <w:pPr>
        <w:spacing w:after="0" w:line="7" w:lineRule="exact"/>
        <w:rPr>
          <w:sz w:val="24"/>
          <w:szCs w:val="24"/>
          <w:color w:val="auto"/>
        </w:rPr>
      </w:pPr>
    </w:p>
    <w:p>
      <w:pPr>
        <w:ind w:left="520" w:right="1179"/>
        <w:spacing w:after="0" w:line="269" w:lineRule="auto"/>
        <w:rPr>
          <w:sz w:val="20"/>
          <w:szCs w:val="20"/>
          <w:color w:val="auto"/>
        </w:rPr>
      </w:pPr>
      <w:r>
        <w:rPr>
          <w:rFonts w:ascii="Arial" w:cs="Arial" w:eastAsia="Arial" w:hAnsi="Arial"/>
          <w:sz w:val="13"/>
          <w:szCs w:val="13"/>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2359025</wp:posOffset>
            </wp:positionH>
            <wp:positionV relativeFrom="paragraph">
              <wp:posOffset>25400</wp:posOffset>
            </wp:positionV>
            <wp:extent cx="10096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75" w:lineRule="exact"/>
        <w:rPr>
          <w:sz w:val="24"/>
          <w:szCs w:val="24"/>
          <w:color w:val="auto"/>
        </w:rPr>
      </w:pPr>
    </w:p>
    <w:p>
      <w:pPr>
        <w:ind w:left="520" w:right="559"/>
        <w:spacing w:after="0" w:line="268" w:lineRule="auto"/>
        <w:rPr>
          <w:sz w:val="20"/>
          <w:szCs w:val="20"/>
          <w:color w:val="auto"/>
        </w:rPr>
      </w:pPr>
      <w:r>
        <w:rPr>
          <w:rFonts w:ascii="Arial" w:cs="Arial" w:eastAsia="Arial" w:hAnsi="Arial"/>
          <w:sz w:val="13"/>
          <w:szCs w:val="13"/>
          <w:b w:val="1"/>
          <w:bCs w:val="1"/>
          <w:color w:val="auto"/>
        </w:rPr>
        <w:t xml:space="preserve">Investing in the notes involves risks. See “Risk Factors” beginning on page </w:t>
      </w:r>
      <w:r>
        <w:rPr>
          <w:rFonts w:ascii="Arial" w:cs="Arial" w:eastAsia="Arial" w:hAnsi="Arial"/>
          <w:sz w:val="13"/>
          <w:szCs w:val="13"/>
          <w:b w:val="1"/>
          <w:bCs w:val="1"/>
          <w:u w:val="single" w:color="auto"/>
          <w:color w:val="0000EE"/>
        </w:rPr>
        <w:t>S-5</w:t>
      </w:r>
      <w:r>
        <w:rPr>
          <w:rFonts w:ascii="Arial" w:cs="Arial" w:eastAsia="Arial" w:hAnsi="Arial"/>
          <w:sz w:val="13"/>
          <w:szCs w:val="13"/>
          <w:b w:val="1"/>
          <w:bCs w:val="1"/>
          <w:color w:val="auto"/>
        </w:rPr>
        <w:t xml:space="preserve"> for a discussion of certain risks that should be considered in connection with an investment in the notes.</w:t>
      </w:r>
    </w:p>
    <w:p>
      <w:pPr>
        <w:spacing w:after="0" w:line="1" w:lineRule="exact"/>
        <w:rPr>
          <w:sz w:val="24"/>
          <w:szCs w:val="24"/>
          <w:color w:val="auto"/>
        </w:rPr>
      </w:pPr>
    </w:p>
    <w:p>
      <w:pPr>
        <w:ind w:left="520" w:right="739"/>
        <w:spacing w:after="0" w:line="252"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4" w:lineRule="exact"/>
        <w:rPr>
          <w:sz w:val="24"/>
          <w:szCs w:val="24"/>
          <w:color w:val="auto"/>
        </w:rPr>
      </w:pPr>
    </w:p>
    <w:tbl>
      <w:tblPr>
        <w:tblLayout w:type="fixed"/>
        <w:tblInd w:w="520" w:type="dxa"/>
        <w:tblCellMar>
          <w:top w:w="0" w:type="dxa"/>
          <w:left w:w="0" w:type="dxa"/>
          <w:bottom w:w="0" w:type="dxa"/>
          <w:right w:w="0" w:type="dxa"/>
        </w:tblCellMar>
      </w:tblPr>
      <w:tr>
        <w:trPr>
          <w:trHeight w:val="132"/>
        </w:trPr>
        <w:tc>
          <w:tcPr>
            <w:tcW w:w="320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ind w:right="117"/>
              <w:spacing w:after="0" w:line="133" w:lineRule="exact"/>
              <w:rPr>
                <w:sz w:val="20"/>
                <w:szCs w:val="20"/>
                <w:color w:val="auto"/>
              </w:rPr>
            </w:pPr>
            <w:r>
              <w:rPr>
                <w:rFonts w:ascii="Arial" w:cs="Arial" w:eastAsia="Arial" w:hAnsi="Arial"/>
                <w:sz w:val="12"/>
                <w:szCs w:val="12"/>
                <w:b w:val="1"/>
                <w:bCs w:val="1"/>
                <w:color w:val="auto"/>
                <w:w w:val="99"/>
              </w:rPr>
              <w:t>Public</w:t>
            </w:r>
          </w:p>
        </w:tc>
        <w:tc>
          <w:tcPr>
            <w:tcW w:w="18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7"/>
              </w:rPr>
              <w:t>Underwriting</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6"/>
              </w:rPr>
              <w:t>Proceeds</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ind w:right="117"/>
              <w:spacing w:after="0" w:line="122" w:lineRule="exact"/>
              <w:rPr>
                <w:sz w:val="20"/>
                <w:szCs w:val="20"/>
                <w:color w:val="auto"/>
              </w:rPr>
            </w:pPr>
            <w:r>
              <w:rPr>
                <w:rFonts w:ascii="Arial" w:cs="Arial" w:eastAsia="Arial" w:hAnsi="Arial"/>
                <w:sz w:val="12"/>
                <w:szCs w:val="12"/>
                <w:b w:val="1"/>
                <w:bCs w:val="1"/>
                <w:color w:val="auto"/>
                <w:w w:val="98"/>
              </w:rPr>
              <w:t>offering</w:t>
            </w:r>
          </w:p>
        </w:tc>
        <w:tc>
          <w:tcPr>
            <w:tcW w:w="1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3"/>
          </w:tcPr>
          <w:p>
            <w:pPr>
              <w:jc w:val="center"/>
              <w:ind w:right="160"/>
              <w:spacing w:after="0" w:line="122" w:lineRule="exact"/>
              <w:rPr>
                <w:sz w:val="20"/>
                <w:szCs w:val="20"/>
                <w:color w:val="auto"/>
              </w:rPr>
            </w:pPr>
            <w:r>
              <w:rPr>
                <w:rFonts w:ascii="Arial" w:cs="Arial" w:eastAsia="Arial" w:hAnsi="Arial"/>
                <w:sz w:val="12"/>
                <w:szCs w:val="12"/>
                <w:b w:val="1"/>
                <w:bCs w:val="1"/>
                <w:color w:val="auto"/>
                <w:w w:val="97"/>
              </w:rPr>
              <w:t>to us, before</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 ​</w:t>
            </w:r>
          </w:p>
        </w:tc>
        <w:tc>
          <w:tcPr>
            <w:tcW w:w="180" w:type="dxa"/>
            <w:vAlign w:val="bottom"/>
          </w:tcPr>
          <w:p>
            <w:pPr>
              <w:spacing w:after="0"/>
              <w:rPr>
                <w:sz w:val="13"/>
                <w:szCs w:val="13"/>
                <w:color w:val="auto"/>
              </w:rPr>
            </w:pPr>
          </w:p>
        </w:tc>
        <w:tc>
          <w:tcPr>
            <w:tcW w:w="740" w:type="dxa"/>
            <w:vAlign w:val="bottom"/>
          </w:tcPr>
          <w:p>
            <w:pPr>
              <w:jc w:val="center"/>
              <w:ind w:right="137"/>
              <w:spacing w:after="0"/>
              <w:rPr>
                <w:sz w:val="20"/>
                <w:szCs w:val="20"/>
                <w:color w:val="auto"/>
              </w:rPr>
            </w:pPr>
            <w:r>
              <w:rPr>
                <w:rFonts w:ascii="Arial" w:cs="Arial" w:eastAsia="Arial" w:hAnsi="Arial"/>
                <w:sz w:val="12"/>
                <w:szCs w:val="12"/>
                <w:b w:val="1"/>
                <w:bCs w:val="1"/>
                <w:color w:val="auto"/>
              </w:rPr>
              <w:t>price</w:t>
            </w:r>
            <w:r>
              <w:rPr>
                <w:rFonts w:ascii="Arial" w:cs="Arial" w:eastAsia="Arial" w:hAnsi="Arial"/>
                <w:sz w:val="7"/>
                <w:szCs w:val="7"/>
                <w:b w:val="1"/>
                <w:bCs w:val="1"/>
                <w:color w:val="auto"/>
              </w:rPr>
              <w:t>(1)</w:t>
            </w:r>
          </w:p>
        </w:tc>
        <w:tc>
          <w:tcPr>
            <w:tcW w:w="940" w:type="dxa"/>
            <w:vAlign w:val="bottom"/>
            <w:gridSpan w:val="3"/>
          </w:tcPr>
          <w:p>
            <w:pPr>
              <w:ind w:left="40"/>
              <w:spacing w:after="0" w:line="154"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discount</w:t>
            </w:r>
            <w:r>
              <w:rPr>
                <w:rFonts w:ascii="Arial" w:cs="Arial" w:eastAsia="Arial" w:hAnsi="Arial"/>
                <w:sz w:val="6"/>
                <w:szCs w:val="6"/>
                <w:b w:val="1"/>
                <w:bCs w:val="1"/>
                <w:color w:val="auto"/>
              </w:rPr>
              <w:t>(2)</w:t>
            </w:r>
          </w:p>
        </w:tc>
        <w:tc>
          <w:tcPr>
            <w:tcW w:w="320" w:type="dxa"/>
            <w:vAlign w:val="bottom"/>
            <w:gridSpan w:val="2"/>
          </w:tcPr>
          <w:p>
            <w:pPr>
              <w:ind w:left="40"/>
              <w:spacing w:after="0"/>
              <w:rPr>
                <w:sz w:val="20"/>
                <w:szCs w:val="20"/>
                <w:color w:val="auto"/>
              </w:rPr>
            </w:pPr>
            <w:r>
              <w:rPr>
                <w:rFonts w:ascii="Arial" w:cs="Arial" w:eastAsia="Arial" w:hAnsi="Arial"/>
                <w:sz w:val="12"/>
                <w:szCs w:val="12"/>
                <w:b w:val="1"/>
                <w:bCs w:val="1"/>
                <w:color w:val="auto"/>
              </w:rPr>
              <w:t>​ ​</w:t>
            </w:r>
          </w:p>
        </w:tc>
        <w:tc>
          <w:tcPr>
            <w:tcW w:w="920" w:type="dxa"/>
            <w:vAlign w:val="bottom"/>
            <w:gridSpan w:val="2"/>
          </w:tcPr>
          <w:p>
            <w:pPr>
              <w:spacing w:after="0" w:line="154" w:lineRule="exact"/>
              <w:rPr>
                <w:sz w:val="20"/>
                <w:szCs w:val="20"/>
                <w:color w:val="auto"/>
              </w:rPr>
            </w:pPr>
            <w:r>
              <w:rPr>
                <w:rFonts w:ascii="Arial" w:cs="Arial" w:eastAsia="Arial" w:hAnsi="Arial"/>
                <w:sz w:val="10"/>
                <w:szCs w:val="10"/>
                <w:b w:val="1"/>
                <w:bCs w:val="1"/>
                <w:color w:val="auto"/>
              </w:rPr>
              <w:t>expenses</w:t>
            </w:r>
            <w:r>
              <w:rPr>
                <w:rFonts w:ascii="Arial" w:cs="Arial" w:eastAsia="Arial" w:hAnsi="Arial"/>
                <w:sz w:val="11"/>
                <w:szCs w:val="11"/>
                <w:b w:val="1"/>
                <w:bCs w:val="1"/>
                <w:color w:val="auto"/>
                <w:vertAlign w:val="superscript"/>
              </w:rPr>
              <w:t>(1)</w:t>
            </w:r>
            <w:r>
              <w:rPr>
                <w:rFonts w:ascii="Arial" w:cs="Arial" w:eastAsia="Arial" w:hAnsi="Arial"/>
                <w:sz w:val="10"/>
                <w:szCs w:val="10"/>
                <w:b w:val="1"/>
                <w:bCs w:val="1"/>
                <w:color w:val="auto"/>
              </w:rPr>
              <w:t xml:space="preserve">    </w:t>
            </w:r>
            <w:r>
              <w:rPr>
                <w:rFonts w:ascii="Arial" w:cs="Arial" w:eastAsia="Arial" w:hAnsi="Arial"/>
                <w:sz w:val="17"/>
                <w:szCs w:val="17"/>
                <w:b w:val="1"/>
                <w:bCs w:val="1"/>
                <w:color w:val="auto"/>
                <w:vertAlign w:val="subscript"/>
              </w:rPr>
              <w:t>​</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200" w:type="dxa"/>
            <w:vAlign w:val="bottom"/>
            <w:shd w:val="clear" w:color="auto" w:fill="CCEEFF"/>
          </w:tcPr>
          <w:p>
            <w:pPr>
              <w:spacing w:after="0" w:line="168" w:lineRule="exact"/>
              <w:rPr>
                <w:sz w:val="20"/>
                <w:szCs w:val="20"/>
                <w:color w:val="auto"/>
              </w:rPr>
            </w:pPr>
            <w:r>
              <w:rPr>
                <w:rFonts w:ascii="Arial" w:cs="Arial" w:eastAsia="Arial" w:hAnsi="Arial"/>
                <w:sz w:val="15"/>
                <w:szCs w:val="15"/>
                <w:color w:val="auto"/>
              </w:rPr>
              <w:t>Per Note</w:t>
            </w:r>
          </w:p>
        </w:tc>
        <w:tc>
          <w:tcPr>
            <w:tcW w:w="15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80"/>
              <w:spacing w:after="0" w:line="168" w:lineRule="exact"/>
              <w:rPr>
                <w:sz w:val="20"/>
                <w:szCs w:val="20"/>
                <w:color w:val="auto"/>
              </w:rPr>
            </w:pPr>
            <w:r>
              <w:rPr>
                <w:rFonts w:ascii="Arial" w:cs="Arial" w:eastAsia="Arial" w:hAnsi="Arial"/>
                <w:sz w:val="15"/>
                <w:szCs w:val="15"/>
                <w:color w:val="auto"/>
              </w:rPr>
              <w:t>​ ​​ ​</w:t>
            </w:r>
          </w:p>
        </w:tc>
        <w:tc>
          <w:tcPr>
            <w:tcW w:w="1180" w:type="dxa"/>
            <w:vAlign w:val="bottom"/>
            <w:gridSpan w:val="3"/>
            <w:shd w:val="clear" w:color="auto" w:fill="CCEEFF"/>
          </w:tcPr>
          <w:p>
            <w:pPr>
              <w:ind w:left="280"/>
              <w:spacing w:after="0" w:line="168" w:lineRule="exact"/>
              <w:rPr>
                <w:sz w:val="20"/>
                <w:szCs w:val="20"/>
                <w:color w:val="auto"/>
              </w:rPr>
            </w:pPr>
            <w:r>
              <w:rPr>
                <w:rFonts w:ascii="Arial" w:cs="Arial" w:eastAsia="Arial" w:hAnsi="Arial"/>
                <w:sz w:val="15"/>
                <w:szCs w:val="15"/>
                <w:color w:val="auto"/>
              </w:rPr>
              <w:t>99.930​​%​​ ​</w:t>
            </w:r>
          </w:p>
        </w:tc>
        <w:tc>
          <w:tcPr>
            <w:tcW w:w="820" w:type="dxa"/>
            <w:vAlign w:val="bottom"/>
            <w:gridSpan w:val="3"/>
            <w:shd w:val="clear" w:color="auto" w:fill="CCEEFF"/>
          </w:tcPr>
          <w:p>
            <w:pPr>
              <w:ind w:left="120"/>
              <w:spacing w:after="0" w:line="168" w:lineRule="exact"/>
              <w:rPr>
                <w:sz w:val="20"/>
                <w:szCs w:val="20"/>
                <w:color w:val="auto"/>
              </w:rPr>
            </w:pPr>
            <w:r>
              <w:rPr>
                <w:rFonts w:ascii="Arial" w:cs="Arial" w:eastAsia="Arial" w:hAnsi="Arial"/>
                <w:sz w:val="15"/>
                <w:szCs w:val="15"/>
                <w:color w:val="auto"/>
              </w:rPr>
              <w:t>0.350​​%​​ ​</w:t>
            </w:r>
          </w:p>
        </w:tc>
        <w:tc>
          <w:tcPr>
            <w:tcW w:w="780" w:type="dxa"/>
            <w:vAlign w:val="bottom"/>
            <w:shd w:val="clear" w:color="auto" w:fill="CCEEFF"/>
          </w:tcPr>
          <w:p>
            <w:pPr>
              <w:ind w:left="340"/>
              <w:spacing w:after="0" w:line="168" w:lineRule="exact"/>
              <w:rPr>
                <w:sz w:val="20"/>
                <w:szCs w:val="20"/>
                <w:color w:val="auto"/>
              </w:rPr>
            </w:pPr>
            <w:r>
              <w:rPr>
                <w:rFonts w:ascii="Arial" w:cs="Arial" w:eastAsia="Arial" w:hAnsi="Arial"/>
                <w:sz w:val="15"/>
                <w:szCs w:val="15"/>
                <w:color w:val="auto"/>
                <w:w w:val="70"/>
              </w:rPr>
              <w:t>99.580​%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00" w:type="dxa"/>
            <w:vAlign w:val="bottom"/>
          </w:tcPr>
          <w:p>
            <w:pPr>
              <w:spacing w:after="0"/>
              <w:rPr>
                <w:sz w:val="20"/>
                <w:szCs w:val="20"/>
                <w:color w:val="auto"/>
              </w:rPr>
            </w:pPr>
            <w:r>
              <w:rPr>
                <w:rFonts w:ascii="Arial" w:cs="Arial" w:eastAsia="Arial" w:hAnsi="Arial"/>
                <w:sz w:val="15"/>
                <w:szCs w:val="15"/>
                <w:color w:val="auto"/>
              </w:rPr>
              <w:t>Total</w:t>
            </w:r>
          </w:p>
        </w:tc>
        <w:tc>
          <w:tcPr>
            <w:tcW w:w="1580" w:type="dxa"/>
            <w:vAlign w:val="bottom"/>
          </w:tcPr>
          <w:p>
            <w:pPr>
              <w:spacing w:after="0"/>
              <w:rPr>
                <w:sz w:val="17"/>
                <w:szCs w:val="17"/>
                <w:color w:val="auto"/>
              </w:rPr>
            </w:pPr>
          </w:p>
        </w:tc>
        <w:tc>
          <w:tcPr>
            <w:tcW w:w="3320" w:type="dxa"/>
            <w:vAlign w:val="bottom"/>
            <w:gridSpan w:val="10"/>
          </w:tcPr>
          <w:p>
            <w:pPr>
              <w:ind w:left="80"/>
              <w:spacing w:after="0"/>
              <w:rPr>
                <w:sz w:val="20"/>
                <w:szCs w:val="20"/>
                <w:color w:val="auto"/>
              </w:rPr>
            </w:pPr>
            <w:r>
              <w:rPr>
                <w:rFonts w:ascii="Arial" w:cs="Arial" w:eastAsia="Arial" w:hAnsi="Arial"/>
                <w:sz w:val="15"/>
                <w:szCs w:val="15"/>
                <w:color w:val="auto"/>
              </w:rPr>
              <w:t>​ ​​$999,300,000​​ ​​$3,500,000​​ ​​$995,800,000​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4686300</wp:posOffset>
            </wp:positionH>
            <wp:positionV relativeFrom="paragraph">
              <wp:posOffset>-245745</wp:posOffset>
            </wp:positionV>
            <wp:extent cx="1123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-245745</wp:posOffset>
            </wp:positionV>
            <wp:extent cx="38696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69690" cy="698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104140</wp:posOffset>
            </wp:positionV>
            <wp:extent cx="10096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50" w:lineRule="exact"/>
        <w:rPr>
          <w:sz w:val="24"/>
          <w:szCs w:val="24"/>
          <w:color w:val="auto"/>
        </w:rPr>
      </w:pPr>
    </w:p>
    <w:p>
      <w:pPr>
        <w:ind w:left="820" w:hanging="300"/>
        <w:spacing w:after="0"/>
        <w:tabs>
          <w:tab w:leader="none" w:pos="820" w:val="left"/>
        </w:tabs>
        <w:numPr>
          <w:ilvl w:val="0"/>
          <w:numId w:val="1"/>
        </w:numPr>
        <w:rPr>
          <w:rFonts w:ascii="Arial" w:cs="Arial" w:eastAsia="Arial" w:hAnsi="Arial"/>
          <w:sz w:val="15"/>
          <w:szCs w:val="15"/>
          <w:color w:val="auto"/>
        </w:rPr>
      </w:pPr>
      <w:r>
        <w:rPr>
          <w:rFonts w:ascii="Arial" w:cs="Arial" w:eastAsia="Arial" w:hAnsi="Arial"/>
          <w:sz w:val="15"/>
          <w:szCs w:val="15"/>
          <w:color w:val="auto"/>
        </w:rPr>
        <w:t>Plus accrued interest, if any, from January 12, 2024.</w:t>
      </w:r>
    </w:p>
    <w:p>
      <w:pPr>
        <w:spacing w:after="0" w:line="70" w:lineRule="exact"/>
        <w:rPr>
          <w:rFonts w:ascii="Arial" w:cs="Arial" w:eastAsia="Arial" w:hAnsi="Arial"/>
          <w:sz w:val="15"/>
          <w:szCs w:val="15"/>
          <w:color w:val="auto"/>
        </w:rPr>
      </w:pPr>
    </w:p>
    <w:p>
      <w:pPr>
        <w:ind w:left="820" w:hanging="300"/>
        <w:spacing w:after="0"/>
        <w:tabs>
          <w:tab w:leader="none" w:pos="82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underwriters have agreed to reimburse us for certain expenses in connection with the offering. See “Underwriting</w:t>
      </w:r>
    </w:p>
    <w:p>
      <w:pPr>
        <w:spacing w:after="0" w:line="18" w:lineRule="exact"/>
        <w:rPr>
          <w:sz w:val="24"/>
          <w:szCs w:val="24"/>
          <w:color w:val="auto"/>
        </w:rPr>
      </w:pPr>
    </w:p>
    <w:p>
      <w:pPr>
        <w:ind w:left="820"/>
        <w:spacing w:after="0"/>
        <w:rPr>
          <w:sz w:val="20"/>
          <w:szCs w:val="20"/>
          <w:color w:val="auto"/>
        </w:rPr>
      </w:pPr>
      <w:r>
        <w:rPr>
          <w:rFonts w:ascii="Arial" w:cs="Arial" w:eastAsia="Arial" w:hAnsi="Arial"/>
          <w:sz w:val="15"/>
          <w:szCs w:val="15"/>
          <w:color w:val="auto"/>
        </w:rPr>
        <w:t>(Conflicts of Interest)”.</w:t>
      </w:r>
    </w:p>
    <w:p>
      <w:pPr>
        <w:spacing w:after="0" w:line="7" w:lineRule="exact"/>
        <w:rPr>
          <w:sz w:val="24"/>
          <w:szCs w:val="24"/>
          <w:color w:val="auto"/>
        </w:rPr>
      </w:pPr>
    </w:p>
    <w:p>
      <w:pPr>
        <w:jc w:val="both"/>
        <w:ind w:left="520" w:right="819"/>
        <w:spacing w:after="0" w:line="253" w:lineRule="auto"/>
        <w:rPr>
          <w:sz w:val="20"/>
          <w:szCs w:val="20"/>
          <w:color w:val="auto"/>
        </w:rPr>
      </w:pPr>
      <w:r>
        <w:rPr>
          <w:rFonts w:ascii="Arial" w:cs="Arial" w:eastAsia="Arial" w:hAnsi="Arial"/>
          <w:sz w:val="13"/>
          <w:szCs w:val="13"/>
          <w:color w:val="auto"/>
        </w:rPr>
        <w:t>Interest on the notes will accrue from January 12, 2024.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1" w:lineRule="exact"/>
        <w:rPr>
          <w:sz w:val="24"/>
          <w:szCs w:val="24"/>
          <w:color w:val="auto"/>
        </w:rPr>
      </w:pPr>
    </w:p>
    <w:p>
      <w:pPr>
        <w:ind w:left="520" w:right="659"/>
        <w:spacing w:after="0" w:line="258" w:lineRule="auto"/>
        <w:rPr>
          <w:sz w:val="20"/>
          <w:szCs w:val="20"/>
          <w:color w:val="auto"/>
        </w:rPr>
      </w:pPr>
      <w:r>
        <w:rPr>
          <w:rFonts w:ascii="Arial" w:cs="Arial" w:eastAsia="Arial" w:hAnsi="Arial"/>
          <w:sz w:val="13"/>
          <w:szCs w:val="13"/>
          <w:color w:val="auto"/>
        </w:rPr>
        <w:t>The underwriters expect to deliver the notes to purchasers through the book-entry delivery system of The Depository Trust Company and its participants, including Euroclear Bank S.A./N.V and Clearstream Banking, S.A., on or about January 12, 2024, which will be the second business day from the date of the pricing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2359025</wp:posOffset>
            </wp:positionH>
            <wp:positionV relativeFrom="paragraph">
              <wp:posOffset>29845</wp:posOffset>
            </wp:positionV>
            <wp:extent cx="10096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94" w:lineRule="exact"/>
        <w:rPr>
          <w:sz w:val="24"/>
          <w:szCs w:val="24"/>
          <w:color w:val="auto"/>
        </w:rPr>
      </w:pPr>
    </w:p>
    <w:tbl>
      <w:tblPr>
        <w:tblLayout w:type="fixed"/>
        <w:tblInd w:w="520" w:type="dxa"/>
        <w:tblCellMar>
          <w:top w:w="0" w:type="dxa"/>
          <w:left w:w="0" w:type="dxa"/>
          <w:bottom w:w="0" w:type="dxa"/>
          <w:right w:w="0" w:type="dxa"/>
        </w:tblCellMar>
      </w:tblPr>
      <w:tr>
        <w:trPr>
          <w:trHeight w:val="164"/>
        </w:trPr>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40" w:type="dxa"/>
            <w:vAlign w:val="bottom"/>
            <w:gridSpan w:val="2"/>
          </w:tcPr>
          <w:p>
            <w:pPr>
              <w:jc w:val="center"/>
              <w:spacing w:after="0"/>
              <w:rPr>
                <w:sz w:val="20"/>
                <w:szCs w:val="20"/>
                <w:color w:val="auto"/>
              </w:rPr>
            </w:pPr>
            <w:r>
              <w:rPr>
                <w:rFonts w:ascii="Arial" w:cs="Arial" w:eastAsia="Arial" w:hAnsi="Arial"/>
                <w:sz w:val="13"/>
                <w:szCs w:val="13"/>
                <w:i w:val="1"/>
                <w:iCs w:val="1"/>
                <w:color w:val="auto"/>
              </w:rPr>
              <w:t>Joint Book-Running Managers</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w w:val="98"/>
              </w:rPr>
              <w:t>Morgan</w:t>
            </w:r>
            <w:r>
              <w:rPr>
                <w:rFonts w:ascii="Arial" w:cs="Arial" w:eastAsia="Arial" w:hAnsi="Arial"/>
                <w:sz w:val="18"/>
                <w:szCs w:val="18"/>
                <w:color w:val="auto"/>
                <w:w w:val="98"/>
              </w:rPr>
              <w:t>​</w:t>
            </w:r>
          </w:p>
        </w:tc>
        <w:tc>
          <w:tcPr>
            <w:tcW w:w="1020" w:type="dxa"/>
            <w:vAlign w:val="bottom"/>
            <w:gridSpan w:val="2"/>
          </w:tcPr>
          <w:p>
            <w:pPr>
              <w:jc w:val="right"/>
              <w:ind w:right="286"/>
              <w:spacing w:after="0" w:line="178" w:lineRule="exact"/>
              <w:rPr>
                <w:sz w:val="20"/>
                <w:szCs w:val="20"/>
                <w:color w:val="auto"/>
              </w:rPr>
            </w:pPr>
            <w:r>
              <w:rPr>
                <w:rFonts w:ascii="Arial" w:cs="Arial" w:eastAsia="Arial" w:hAnsi="Arial"/>
                <w:sz w:val="18"/>
                <w:szCs w:val="18"/>
                <w:b w:val="1"/>
                <w:bCs w:val="1"/>
                <w:color w:val="auto"/>
                <w:w w:val="99"/>
              </w:rPr>
              <w:t>Stanley</w:t>
            </w:r>
          </w:p>
        </w:tc>
        <w:tc>
          <w:tcPr>
            <w:tcW w:w="180" w:type="dxa"/>
            <w:vAlign w:val="bottom"/>
          </w:tcPr>
          <w:p>
            <w:pPr>
              <w:spacing w:after="0"/>
              <w:rPr>
                <w:sz w:val="15"/>
                <w:szCs w:val="15"/>
                <w:color w:val="auto"/>
              </w:rPr>
            </w:pPr>
          </w:p>
        </w:tc>
        <w:tc>
          <w:tcPr>
            <w:tcW w:w="1080" w:type="dxa"/>
            <w:vAlign w:val="bottom"/>
          </w:tcPr>
          <w:p>
            <w:pPr>
              <w:ind w:left="660"/>
              <w:spacing w:after="0" w:line="178" w:lineRule="exact"/>
              <w:rPr>
                <w:sz w:val="20"/>
                <w:szCs w:val="20"/>
                <w:color w:val="auto"/>
              </w:rPr>
            </w:pPr>
            <w:r>
              <w:rPr>
                <w:rFonts w:ascii="Arial" w:cs="Arial" w:eastAsia="Arial" w:hAnsi="Arial"/>
                <w:sz w:val="18"/>
                <w:szCs w:val="18"/>
                <w:color w:val="auto"/>
              </w:rPr>
              <w:t>​ ​</w:t>
            </w:r>
          </w:p>
        </w:tc>
        <w:tc>
          <w:tcPr>
            <w:tcW w:w="204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w w:val="98"/>
              </w:rPr>
              <w:t>Credit Agricole CIB</w:t>
            </w:r>
          </w:p>
        </w:tc>
        <w:tc>
          <w:tcPr>
            <w:tcW w:w="860" w:type="dxa"/>
            <w:vAlign w:val="bottom"/>
          </w:tcPr>
          <w:p>
            <w:pPr>
              <w:ind w:left="260"/>
              <w:spacing w:after="0" w:line="178" w:lineRule="exact"/>
              <w:rPr>
                <w:sz w:val="20"/>
                <w:szCs w:val="20"/>
                <w:color w:val="auto"/>
              </w:rPr>
            </w:pPr>
            <w:r>
              <w:rPr>
                <w:rFonts w:ascii="Arial" w:cs="Arial" w:eastAsia="Arial" w:hAnsi="Arial"/>
                <w:sz w:val="18"/>
                <w:szCs w:val="18"/>
                <w:color w:val="auto"/>
              </w:rPr>
              <w:t>​ ​</w:t>
            </w:r>
          </w:p>
        </w:tc>
        <w:tc>
          <w:tcPr>
            <w:tcW w:w="1120" w:type="dxa"/>
            <w:vAlign w:val="bottom"/>
          </w:tcPr>
          <w:p>
            <w:pPr>
              <w:spacing w:after="0"/>
              <w:rPr>
                <w:sz w:val="15"/>
                <w:szCs w:val="15"/>
                <w:color w:val="auto"/>
              </w:rPr>
            </w:pPr>
          </w:p>
        </w:tc>
        <w:tc>
          <w:tcPr>
            <w:tcW w:w="1040" w:type="dxa"/>
            <w:vAlign w:val="bottom"/>
            <w:gridSpan w:val="3"/>
          </w:tcPr>
          <w:p>
            <w:pPr>
              <w:jc w:val="right"/>
              <w:spacing w:after="0" w:line="178" w:lineRule="exact"/>
              <w:rPr>
                <w:sz w:val="20"/>
                <w:szCs w:val="20"/>
                <w:color w:val="auto"/>
              </w:rPr>
            </w:pPr>
            <w:r>
              <w:rPr>
                <w:rFonts w:ascii="Arial" w:cs="Arial" w:eastAsia="Arial" w:hAnsi="Arial"/>
                <w:sz w:val="18"/>
                <w:szCs w:val="18"/>
                <w:b w:val="1"/>
                <w:bCs w:val="1"/>
                <w:color w:val="auto"/>
              </w:rPr>
              <w:t>Scotiabank</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320" w:type="dxa"/>
            <w:vAlign w:val="bottom"/>
          </w:tcPr>
          <w:p>
            <w:pPr>
              <w:spacing w:after="0" w:line="176"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ind w:left="660"/>
              <w:spacing w:after="0" w:line="176" w:lineRule="exact"/>
              <w:rPr>
                <w:sz w:val="20"/>
                <w:szCs w:val="20"/>
                <w:color w:val="auto"/>
              </w:rPr>
            </w:pPr>
            <w:r>
              <w:rPr>
                <w:rFonts w:ascii="Arial" w:cs="Arial" w:eastAsia="Arial" w:hAnsi="Arial"/>
                <w:sz w:val="18"/>
                <w:szCs w:val="18"/>
                <w:b w:val="1"/>
                <w:bCs w:val="1"/>
                <w:color w:val="auto"/>
              </w:rPr>
              <w:t>​ ​</w:t>
            </w:r>
          </w:p>
        </w:tc>
        <w:tc>
          <w:tcPr>
            <w:tcW w:w="340" w:type="dxa"/>
            <w:vAlign w:val="bottom"/>
          </w:tcPr>
          <w:p>
            <w:pPr>
              <w:spacing w:after="0"/>
              <w:rPr>
                <w:sz w:val="15"/>
                <w:szCs w:val="15"/>
                <w:color w:val="auto"/>
              </w:rPr>
            </w:pPr>
          </w:p>
        </w:tc>
        <w:tc>
          <w:tcPr>
            <w:tcW w:w="1700" w:type="dxa"/>
            <w:vAlign w:val="bottom"/>
            <w:vMerge w:val="restart"/>
          </w:tcPr>
          <w:p>
            <w:pPr>
              <w:jc w:val="center"/>
              <w:ind w:right="242"/>
              <w:spacing w:after="0"/>
              <w:rPr>
                <w:sz w:val="20"/>
                <w:szCs w:val="20"/>
                <w:color w:val="auto"/>
              </w:rPr>
            </w:pPr>
            <w:r>
              <w:rPr>
                <w:rFonts w:ascii="Arial" w:cs="Arial" w:eastAsia="Arial" w:hAnsi="Arial"/>
                <w:sz w:val="18"/>
                <w:szCs w:val="18"/>
                <w:b w:val="1"/>
                <w:bCs w:val="1"/>
                <w:color w:val="auto"/>
                <w:w w:val="97"/>
              </w:rPr>
              <w:t>HSBC</w:t>
            </w:r>
          </w:p>
        </w:tc>
        <w:tc>
          <w:tcPr>
            <w:tcW w:w="860" w:type="dxa"/>
            <w:vAlign w:val="bottom"/>
          </w:tcPr>
          <w:p>
            <w:pPr>
              <w:ind w:left="260"/>
              <w:spacing w:after="0" w:line="176" w:lineRule="exact"/>
              <w:rPr>
                <w:sz w:val="20"/>
                <w:szCs w:val="20"/>
                <w:color w:val="auto"/>
              </w:rPr>
            </w:pPr>
            <w:r>
              <w:rPr>
                <w:rFonts w:ascii="Arial" w:cs="Arial" w:eastAsia="Arial" w:hAnsi="Arial"/>
                <w:sz w:val="18"/>
                <w:szCs w:val="18"/>
                <w:b w:val="1"/>
                <w:bCs w:val="1"/>
                <w:color w:val="auto"/>
              </w:rPr>
              <w:t>​ ​</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MUFG</w:t>
            </w:r>
          </w:p>
        </w:tc>
        <w:tc>
          <w:tcPr>
            <w:tcW w:w="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1860" w:type="dxa"/>
            <w:vAlign w:val="bottom"/>
            <w:gridSpan w:val="5"/>
          </w:tcPr>
          <w:p>
            <w:pPr>
              <w:spacing w:after="0" w:line="54" w:lineRule="exact"/>
              <w:rPr>
                <w:sz w:val="20"/>
                <w:szCs w:val="20"/>
                <w:color w:val="auto"/>
              </w:rPr>
            </w:pPr>
            <w:r>
              <w:rPr>
                <w:rFonts w:ascii="Arial" w:cs="Arial" w:eastAsia="Arial" w:hAnsi="Arial"/>
                <w:sz w:val="6"/>
                <w:szCs w:val="6"/>
                <w:b w:val="1"/>
                <w:bCs w:val="1"/>
                <w:color w:val="auto"/>
              </w:rPr>
              <w:t>CIBC Capital Markets</w:t>
            </w:r>
          </w:p>
        </w:tc>
        <w:tc>
          <w:tcPr>
            <w:tcW w:w="1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 ​</w:t>
            </w:r>
          </w:p>
        </w:tc>
        <w:tc>
          <w:tcPr>
            <w:tcW w:w="34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 ​</w:t>
            </w: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8"/>
        </w:trPr>
        <w:tc>
          <w:tcPr>
            <w:tcW w:w="320" w:type="dxa"/>
            <w:vAlign w:val="bottom"/>
          </w:tcPr>
          <w:p>
            <w:pPr>
              <w:spacing w:after="0" w:line="178"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vMerge w:val="restart"/>
          </w:tcPr>
          <w:p>
            <w:pPr>
              <w:jc w:val="center"/>
              <w:ind w:right="242"/>
              <w:spacing w:after="0"/>
              <w:rPr>
                <w:sz w:val="20"/>
                <w:szCs w:val="20"/>
                <w:color w:val="auto"/>
              </w:rPr>
            </w:pPr>
            <w:r>
              <w:rPr>
                <w:rFonts w:ascii="Arial" w:cs="Arial" w:eastAsia="Arial" w:hAnsi="Arial"/>
                <w:sz w:val="18"/>
                <w:szCs w:val="18"/>
                <w:b w:val="1"/>
                <w:bCs w:val="1"/>
                <w:color w:val="auto"/>
                <w:w w:val="97"/>
              </w:rPr>
              <w:t>Truist Securities</w:t>
            </w:r>
          </w:p>
        </w:tc>
        <w:tc>
          <w:tcPr>
            <w:tcW w:w="860" w:type="dxa"/>
            <w:vAlign w:val="bottom"/>
            <w:vMerge w:val="continue"/>
          </w:tcPr>
          <w:p>
            <w:pPr>
              <w:spacing w:after="0"/>
              <w:rPr>
                <w:sz w:val="15"/>
                <w:szCs w:val="15"/>
                <w:color w:val="auto"/>
              </w:rPr>
            </w:pPr>
          </w:p>
        </w:tc>
        <w:tc>
          <w:tcPr>
            <w:tcW w:w="21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Wells Fargo Securities</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20" w:type="dxa"/>
            <w:vAlign w:val="bottom"/>
            <w:gridSpan w:val="3"/>
          </w:tcPr>
          <w:p>
            <w:pPr>
              <w:spacing w:after="0" w:line="200" w:lineRule="exact"/>
              <w:rPr>
                <w:sz w:val="20"/>
                <w:szCs w:val="20"/>
                <w:color w:val="auto"/>
              </w:rPr>
            </w:pPr>
            <w:r>
              <w:rPr>
                <w:rFonts w:ascii="Arial" w:cs="Arial" w:eastAsia="Arial" w:hAnsi="Arial"/>
                <w:sz w:val="18"/>
                <w:szCs w:val="18"/>
                <w:b w:val="1"/>
                <w:bCs w:val="1"/>
                <w:color w:val="auto"/>
              </w:rPr>
              <w:t>TD Securities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1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center"/>
              <w:ind w:right="222"/>
              <w:spacing w:after="0"/>
              <w:rPr>
                <w:sz w:val="20"/>
                <w:szCs w:val="20"/>
                <w:color w:val="auto"/>
              </w:rPr>
            </w:pPr>
            <w:r>
              <w:rPr>
                <w:rFonts w:ascii="Arial" w:cs="Arial" w:eastAsia="Arial" w:hAnsi="Arial"/>
                <w:sz w:val="13"/>
                <w:szCs w:val="13"/>
                <w:i w:val="1"/>
                <w:iCs w:val="1"/>
                <w:color w:val="auto"/>
              </w:rPr>
              <w:t>Co-Managers</w:t>
            </w: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60" w:type="dxa"/>
            <w:vAlign w:val="bottom"/>
            <w:gridSpan w:val="2"/>
          </w:tcPr>
          <w:p>
            <w:pPr>
              <w:spacing w:after="0"/>
              <w:rPr>
                <w:sz w:val="20"/>
                <w:szCs w:val="20"/>
                <w:color w:val="auto"/>
              </w:rPr>
            </w:pPr>
            <w:r>
              <w:rPr>
                <w:rFonts w:ascii="Arial" w:cs="Arial" w:eastAsia="Arial" w:hAnsi="Arial"/>
                <w:sz w:val="15"/>
                <w:szCs w:val="15"/>
                <w:b w:val="1"/>
                <w:bCs w:val="1"/>
                <w:color w:val="auto"/>
                <w:w w:val="95"/>
              </w:rPr>
              <w:t>Academy​</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Securities ​ ​ ​</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ind w:left="120"/>
              <w:spacing w:after="0"/>
              <w:rPr>
                <w:sz w:val="20"/>
                <w:szCs w:val="20"/>
                <w:color w:val="auto"/>
              </w:rPr>
            </w:pPr>
            <w:r>
              <w:rPr>
                <w:rFonts w:ascii="Arial" w:cs="Arial" w:eastAsia="Arial" w:hAnsi="Arial"/>
                <w:sz w:val="15"/>
                <w:szCs w:val="15"/>
                <w:b w:val="1"/>
                <w:bCs w:val="1"/>
                <w:color w:val="auto"/>
              </w:rPr>
              <w:t>​ ​ ​</w:t>
            </w:r>
          </w:p>
        </w:tc>
        <w:tc>
          <w:tcPr>
            <w:tcW w:w="1700" w:type="dxa"/>
            <w:vAlign w:val="bottom"/>
          </w:tcPr>
          <w:p>
            <w:pPr>
              <w:ind w:left="1420"/>
              <w:spacing w:after="0"/>
              <w:rPr>
                <w:sz w:val="20"/>
                <w:szCs w:val="20"/>
                <w:color w:val="auto"/>
              </w:rPr>
            </w:pPr>
            <w:r>
              <w:rPr>
                <w:rFonts w:ascii="Arial" w:cs="Arial" w:eastAsia="Arial" w:hAnsi="Arial"/>
                <w:sz w:val="15"/>
                <w:szCs w:val="15"/>
                <w:b w:val="1"/>
                <w:bCs w:val="1"/>
                <w:color w:val="auto"/>
              </w:rPr>
              <w:t>​ ​</w:t>
            </w:r>
          </w:p>
        </w:tc>
        <w:tc>
          <w:tcPr>
            <w:tcW w:w="860" w:type="dxa"/>
            <w:vAlign w:val="bottom"/>
          </w:tcPr>
          <w:p>
            <w:pPr>
              <w:spacing w:after="0"/>
              <w:rPr>
                <w:sz w:val="17"/>
                <w:szCs w:val="17"/>
                <w:color w:val="auto"/>
              </w:rPr>
            </w:pPr>
          </w:p>
        </w:tc>
        <w:tc>
          <w:tcPr>
            <w:tcW w:w="2160" w:type="dxa"/>
            <w:vAlign w:val="bottom"/>
            <w:gridSpan w:val="4"/>
          </w:tcPr>
          <w:p>
            <w:pPr>
              <w:jc w:val="right"/>
              <w:spacing w:after="0"/>
              <w:rPr>
                <w:sz w:val="20"/>
                <w:szCs w:val="20"/>
                <w:color w:val="auto"/>
              </w:rPr>
            </w:pPr>
            <w:r>
              <w:rPr>
                <w:rFonts w:ascii="Arial" w:cs="Arial" w:eastAsia="Arial" w:hAnsi="Arial"/>
                <w:sz w:val="15"/>
                <w:szCs w:val="15"/>
                <w:b w:val="1"/>
                <w:bCs w:val="1"/>
                <w:color w:val="auto"/>
              </w:rPr>
              <w:t>Siebert Williams Shank​</w:t>
            </w:r>
          </w:p>
        </w:tc>
        <w:tc>
          <w:tcPr>
            <w:tcW w:w="0" w:type="dxa"/>
            <w:vAlign w:val="bottom"/>
          </w:tcPr>
          <w:p>
            <w:pPr>
              <w:spacing w:after="0"/>
              <w:rPr>
                <w:sz w:val="1"/>
                <w:szCs w:val="1"/>
                <w:color w:val="auto"/>
              </w:rPr>
            </w:pPr>
          </w:p>
        </w:tc>
      </w:tr>
      <w:tr>
        <w:trPr>
          <w:trHeight w:val="265"/>
        </w:trPr>
        <w:tc>
          <w:tcPr>
            <w:tcW w:w="320" w:type="dxa"/>
            <w:vAlign w:val="bottom"/>
          </w:tcPr>
          <w:p>
            <w:pPr>
              <w:spacing w:after="0"/>
              <w:rPr>
                <w:sz w:val="20"/>
                <w:szCs w:val="20"/>
                <w:color w:val="auto"/>
              </w:rPr>
            </w:pPr>
            <w:r>
              <w:rPr>
                <w:rFonts w:ascii="Arial" w:cs="Arial" w:eastAsia="Arial" w:hAnsi="Arial"/>
                <w:sz w:val="15"/>
                <w:szCs w:val="15"/>
                <w:b w:val="1"/>
                <w:bCs w:val="1"/>
                <w:color w:val="auto"/>
                <w:w w:val="97"/>
              </w:rPr>
              <w:t>ANZ​</w:t>
            </w:r>
          </w:p>
        </w:tc>
        <w:tc>
          <w:tcPr>
            <w:tcW w:w="900" w:type="dxa"/>
            <w:vAlign w:val="bottom"/>
            <w:gridSpan w:val="2"/>
          </w:tcPr>
          <w:p>
            <w:pPr>
              <w:ind w:left="20"/>
              <w:spacing w:after="0"/>
              <w:rPr>
                <w:sz w:val="20"/>
                <w:szCs w:val="20"/>
                <w:color w:val="auto"/>
              </w:rPr>
            </w:pPr>
            <w:r>
              <w:rPr>
                <w:rFonts w:ascii="Arial" w:cs="Arial" w:eastAsia="Arial" w:hAnsi="Arial"/>
                <w:sz w:val="15"/>
                <w:szCs w:val="15"/>
                <w:b w:val="1"/>
                <w:bCs w:val="1"/>
                <w:color w:val="auto"/>
              </w:rPr>
              <w:t>Securities</w:t>
            </w:r>
          </w:p>
        </w:tc>
        <w:tc>
          <w:tcPr>
            <w:tcW w:w="460" w:type="dxa"/>
            <w:vAlign w:val="bottom"/>
          </w:tcPr>
          <w:p>
            <w:pPr>
              <w:jc w:val="right"/>
              <w:ind w:right="286"/>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ind w:left="80"/>
              <w:spacing w:after="0"/>
              <w:rPr>
                <w:sz w:val="20"/>
                <w:szCs w:val="20"/>
                <w:color w:val="auto"/>
              </w:rPr>
            </w:pPr>
            <w:r>
              <w:rPr>
                <w:rFonts w:ascii="Arial" w:cs="Arial" w:eastAsia="Arial" w:hAnsi="Arial"/>
                <w:sz w:val="15"/>
                <w:szCs w:val="15"/>
                <w:b w:val="1"/>
                <w:bCs w:val="1"/>
                <w:color w:val="auto"/>
              </w:rPr>
              <w:t>Barclays   ​</w:t>
            </w:r>
          </w:p>
        </w:tc>
        <w:tc>
          <w:tcPr>
            <w:tcW w:w="340" w:type="dxa"/>
            <w:vAlign w:val="bottom"/>
          </w:tcPr>
          <w:p>
            <w:pPr>
              <w:ind w:left="280"/>
              <w:spacing w:after="0"/>
              <w:rPr>
                <w:sz w:val="20"/>
                <w:szCs w:val="20"/>
                <w:color w:val="auto"/>
              </w:rPr>
            </w:pPr>
            <w:r>
              <w:rPr>
                <w:rFonts w:ascii="Arial" w:cs="Arial" w:eastAsia="Arial" w:hAnsi="Arial"/>
                <w:sz w:val="15"/>
                <w:szCs w:val="15"/>
                <w:b w:val="1"/>
                <w:bCs w:val="1"/>
                <w:color w:val="auto"/>
              </w:rPr>
              <w:t>​</w:t>
            </w:r>
          </w:p>
        </w:tc>
        <w:tc>
          <w:tcPr>
            <w:tcW w:w="1700" w:type="dxa"/>
            <w:vAlign w:val="bottom"/>
          </w:tcPr>
          <w:p>
            <w:pPr>
              <w:ind w:left="160"/>
              <w:spacing w:after="0"/>
              <w:rPr>
                <w:sz w:val="20"/>
                <w:szCs w:val="20"/>
                <w:color w:val="auto"/>
              </w:rPr>
            </w:pPr>
            <w:r>
              <w:rPr>
                <w:rFonts w:ascii="Arial" w:cs="Arial" w:eastAsia="Arial" w:hAnsi="Arial"/>
                <w:sz w:val="15"/>
                <w:szCs w:val="15"/>
                <w:b w:val="1"/>
                <w:bCs w:val="1"/>
                <w:color w:val="auto"/>
              </w:rPr>
              <w:t>BNP PARIBAS   ​</w:t>
            </w:r>
          </w:p>
        </w:tc>
        <w:tc>
          <w:tcPr>
            <w:tcW w:w="1980" w:type="dxa"/>
            <w:vAlign w:val="bottom"/>
            <w:gridSpan w:val="2"/>
          </w:tcPr>
          <w:p>
            <w:pPr>
              <w:ind w:left="100"/>
              <w:spacing w:after="0"/>
              <w:rPr>
                <w:sz w:val="20"/>
                <w:szCs w:val="20"/>
                <w:color w:val="auto"/>
              </w:rPr>
            </w:pPr>
            <w:r>
              <w:rPr>
                <w:rFonts w:ascii="Arial" w:cs="Arial" w:eastAsia="Arial" w:hAnsi="Arial"/>
                <w:sz w:val="15"/>
                <w:szCs w:val="15"/>
                <w:b w:val="1"/>
                <w:bCs w:val="1"/>
                <w:color w:val="auto"/>
              </w:rPr>
              <w:t>​   BofA Securities   ​</w:t>
            </w:r>
          </w:p>
        </w:tc>
        <w:tc>
          <w:tcPr>
            <w:tcW w:w="160" w:type="dxa"/>
            <w:vAlign w:val="bottom"/>
          </w:tcPr>
          <w:p>
            <w:pPr>
              <w:ind w:left="10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5"/>
                <w:szCs w:val="15"/>
                <w:b w:val="1"/>
                <w:bCs w:val="1"/>
                <w:color w:val="auto"/>
              </w:rPr>
              <w:t>Citigroup​</w:t>
            </w:r>
          </w:p>
        </w:tc>
        <w:tc>
          <w:tcPr>
            <w:tcW w:w="0" w:type="dxa"/>
            <w:vAlign w:val="bottom"/>
          </w:tcPr>
          <w:p>
            <w:pPr>
              <w:spacing w:after="0"/>
              <w:rPr>
                <w:sz w:val="1"/>
                <w:szCs w:val="1"/>
                <w:color w:val="auto"/>
              </w:rPr>
            </w:pPr>
          </w:p>
        </w:tc>
      </w:tr>
      <w:tr>
        <w:trPr>
          <w:trHeight w:val="254"/>
        </w:trPr>
        <w:tc>
          <w:tcPr>
            <w:tcW w:w="1220" w:type="dxa"/>
            <w:vAlign w:val="bottom"/>
            <w:gridSpan w:val="3"/>
          </w:tcPr>
          <w:p>
            <w:pPr>
              <w:spacing w:after="0"/>
              <w:rPr>
                <w:sz w:val="20"/>
                <w:szCs w:val="20"/>
                <w:color w:val="auto"/>
              </w:rPr>
            </w:pPr>
            <w:r>
              <w:rPr>
                <w:rFonts w:ascii="Arial" w:cs="Arial" w:eastAsia="Arial" w:hAnsi="Arial"/>
                <w:sz w:val="15"/>
                <w:szCs w:val="15"/>
                <w:b w:val="1"/>
                <w:bCs w:val="1"/>
                <w:color w:val="auto"/>
                <w:w w:val="99"/>
              </w:rPr>
              <w:t>​COMMERZBANK</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   ​</w:t>
            </w:r>
          </w:p>
        </w:tc>
        <w:tc>
          <w:tcPr>
            <w:tcW w:w="4160" w:type="dxa"/>
            <w:vAlign w:val="bottom"/>
            <w:gridSpan w:val="5"/>
          </w:tcPr>
          <w:p>
            <w:pPr>
              <w:ind w:left="40"/>
              <w:spacing w:after="0"/>
              <w:rPr>
                <w:sz w:val="20"/>
                <w:szCs w:val="20"/>
                <w:color w:val="auto"/>
              </w:rPr>
            </w:pPr>
            <w:r>
              <w:rPr>
                <w:rFonts w:ascii="Arial" w:cs="Arial" w:eastAsia="Arial" w:hAnsi="Arial"/>
                <w:sz w:val="15"/>
                <w:szCs w:val="15"/>
                <w:b w:val="1"/>
                <w:bCs w:val="1"/>
                <w:color w:val="auto"/>
              </w:rPr>
              <w:t>Goldman Sachs &amp; Co. LLC  ​   ​ ICBC Standard Bank  ​</w:t>
            </w:r>
          </w:p>
        </w:tc>
        <w:tc>
          <w:tcPr>
            <w:tcW w:w="1120" w:type="dxa"/>
            <w:vAlign w:val="bottom"/>
          </w:tcPr>
          <w:p>
            <w:pPr>
              <w:ind w:left="120"/>
              <w:spacing w:after="0"/>
              <w:rPr>
                <w:sz w:val="20"/>
                <w:szCs w:val="20"/>
                <w:color w:val="auto"/>
              </w:rPr>
            </w:pPr>
            <w:r>
              <w:rPr>
                <w:rFonts w:ascii="Arial" w:cs="Arial" w:eastAsia="Arial" w:hAnsi="Arial"/>
                <w:sz w:val="15"/>
                <w:szCs w:val="15"/>
                <w:b w:val="1"/>
                <w:bCs w:val="1"/>
                <w:color w:val="auto"/>
              </w:rPr>
              <w:t>​ J.P. Morgan</w:t>
            </w:r>
          </w:p>
        </w:tc>
        <w:tc>
          <w:tcPr>
            <w:tcW w:w="16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5"/>
                <w:szCs w:val="15"/>
                <w:b w:val="1"/>
                <w:bCs w:val="1"/>
                <w:color w:val="auto"/>
              </w:rPr>
              <w:t>​ Mizuho​</w:t>
            </w:r>
          </w:p>
        </w:tc>
        <w:tc>
          <w:tcPr>
            <w:tcW w:w="0" w:type="dxa"/>
            <w:vAlign w:val="bottom"/>
          </w:tcPr>
          <w:p>
            <w:pPr>
              <w:spacing w:after="0"/>
              <w:rPr>
                <w:sz w:val="1"/>
                <w:szCs w:val="1"/>
                <w:color w:val="auto"/>
              </w:rPr>
            </w:pPr>
          </w:p>
        </w:tc>
      </w:tr>
      <w:tr>
        <w:trPr>
          <w:trHeight w:val="254"/>
        </w:trPr>
        <w:tc>
          <w:tcPr>
            <w:tcW w:w="320" w:type="dxa"/>
            <w:vAlign w:val="bottom"/>
          </w:tcPr>
          <w:p>
            <w:pPr>
              <w:spacing w:after="0"/>
              <w:rPr>
                <w:sz w:val="20"/>
                <w:szCs w:val="20"/>
                <w:color w:val="auto"/>
              </w:rPr>
            </w:pPr>
            <w:r>
              <w:rPr>
                <w:rFonts w:ascii="Arial" w:cs="Arial" w:eastAsia="Arial" w:hAnsi="Arial"/>
                <w:sz w:val="15"/>
                <w:szCs w:val="15"/>
                <w:b w:val="1"/>
                <w:bCs w:val="1"/>
                <w:color w:val="auto"/>
                <w:w w:val="94"/>
              </w:rPr>
              <w:t>PNC​</w:t>
            </w:r>
          </w:p>
        </w:tc>
        <w:tc>
          <w:tcPr>
            <w:tcW w:w="1540" w:type="dxa"/>
            <w:vAlign w:val="bottom"/>
            <w:gridSpan w:val="4"/>
          </w:tcPr>
          <w:p>
            <w:pPr>
              <w:jc w:val="right"/>
              <w:ind w:right="26"/>
              <w:spacing w:after="0"/>
              <w:rPr>
                <w:sz w:val="20"/>
                <w:szCs w:val="20"/>
                <w:color w:val="auto"/>
              </w:rPr>
            </w:pPr>
            <w:r>
              <w:rPr>
                <w:rFonts w:ascii="Arial" w:cs="Arial" w:eastAsia="Arial" w:hAnsi="Arial"/>
                <w:sz w:val="15"/>
                <w:szCs w:val="15"/>
                <w:b w:val="1"/>
                <w:bCs w:val="1"/>
                <w:color w:val="auto"/>
                <w:w w:val="98"/>
              </w:rPr>
              <w:t>Capital Markets LLC</w:t>
            </w:r>
          </w:p>
        </w:tc>
        <w:tc>
          <w:tcPr>
            <w:tcW w:w="1080" w:type="dxa"/>
            <w:vAlign w:val="bottom"/>
          </w:tcPr>
          <w:p>
            <w:pPr>
              <w:spacing w:after="0"/>
              <w:rPr>
                <w:sz w:val="22"/>
                <w:szCs w:val="22"/>
                <w:color w:val="auto"/>
              </w:rPr>
            </w:pPr>
          </w:p>
        </w:tc>
        <w:tc>
          <w:tcPr>
            <w:tcW w:w="2040" w:type="dxa"/>
            <w:vAlign w:val="bottom"/>
            <w:gridSpan w:val="2"/>
          </w:tcPr>
          <w:p>
            <w:pPr>
              <w:ind w:left="120"/>
              <w:spacing w:after="0"/>
              <w:rPr>
                <w:sz w:val="20"/>
                <w:szCs w:val="20"/>
                <w:color w:val="auto"/>
              </w:rPr>
            </w:pPr>
            <w:r>
              <w:rPr>
                <w:rFonts w:ascii="Arial" w:cs="Arial" w:eastAsia="Arial" w:hAnsi="Arial"/>
                <w:sz w:val="15"/>
                <w:szCs w:val="15"/>
                <w:b w:val="1"/>
                <w:bCs w:val="1"/>
                <w:color w:val="auto"/>
              </w:rPr>
              <w:t>​ ​ RBC Capital Markets​ ​</w:t>
            </w: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b w:val="1"/>
                <w:bCs w:val="1"/>
                <w:color w:val="auto"/>
              </w:rPr>
              <w:t>US Bancorp​</w:t>
            </w:r>
          </w:p>
        </w:tc>
        <w:tc>
          <w:tcPr>
            <w:tcW w:w="0" w:type="dxa"/>
            <w:vAlign w:val="bottom"/>
          </w:tcPr>
          <w:p>
            <w:pPr>
              <w:spacing w:after="0"/>
              <w:rPr>
                <w:sz w:val="1"/>
                <w:szCs w:val="1"/>
                <w:color w:val="auto"/>
              </w:rPr>
            </w:pPr>
          </w:p>
        </w:tc>
      </w:tr>
    </w:tbl>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January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200660</wp:posOffset>
            </wp:positionV>
            <wp:extent cx="558419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87" w:right="1440" w:bottom="1440" w:gutter="0" w:footer="0" w:header="0"/>
        </w:sectPr>
      </w:pPr>
    </w:p>
    <w:bookmarkStart w:id="1" w:name="page2"/>
    <w:bookmarkEnd w:id="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TABLE OF CONTENTS</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Prospectus Supplement</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wp:posOffset>
            </wp:positionV>
            <wp:extent cx="4262120" cy="14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Cautionary Note on Forward-Looking Statements</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Summary</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Use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Cash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Description of the Notes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Underwriting (Conflicts of Interest)</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Validity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Where You Can Find More Information</w:t>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Prospectus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wp:posOffset>
            </wp:positionV>
            <wp:extent cx="4262120" cy="14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About This Prospectus</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3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The Company</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Use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Plan of Distribution</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Page </w:t>
      </w:r>
      <w:r>
        <w:rPr>
          <w:rFonts w:ascii="Arial" w:cs="Arial" w:eastAsia="Arial" w:hAnsi="Arial"/>
          <w:sz w:val="23"/>
          <w:szCs w:val="23"/>
          <w:b w:val="1"/>
          <w:bCs w:val="1"/>
          <w:color w:val="auto"/>
          <w:vertAlign w:val="subscript"/>
        </w:rPr>
        <w: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S-ii</w:t>
      </w:r>
      <w:r>
        <w:rPr>
          <w:rFonts w:ascii="Arial" w:cs="Arial" w:eastAsia="Arial" w:hAnsi="Arial"/>
          <w:sz w:val="15"/>
          <w:szCs w:val="15"/>
          <w:color w:val="auto"/>
        </w:rPr>
        <w: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S-iii</w:t>
      </w:r>
      <w:r>
        <w:rPr>
          <w:rFonts w:ascii="Arial" w:cs="Arial" w:eastAsia="Arial" w:hAnsi="Arial"/>
          <w:sz w:val="15"/>
          <w:szCs w:val="15"/>
          <w:color w:val="auto"/>
        </w:rPr>
        <w:t>​</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S-1</w:t>
      </w:r>
      <w:r>
        <w:rPr>
          <w:rFonts w:ascii="Arial" w:cs="Arial" w:eastAsia="Arial" w:hAnsi="Arial"/>
          <w:sz w:val="15"/>
          <w:szCs w:val="15"/>
          <w:color w:val="auto"/>
        </w:rPr>
        <w:t>​</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S-5</w:t>
      </w:r>
      <w:r>
        <w:rPr>
          <w:rFonts w:ascii="Arial" w:cs="Arial" w:eastAsia="Arial" w:hAnsi="Arial"/>
          <w:sz w:val="15"/>
          <w:szCs w:val="15"/>
          <w:color w:val="auto"/>
        </w:rPr>
        <w: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S-9</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S-10</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S-12</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S-34</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S-39</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Page </w:t>
      </w:r>
      <w:r>
        <w:rPr>
          <w:rFonts w:ascii="Arial" w:cs="Arial" w:eastAsia="Arial" w:hAnsi="Arial"/>
          <w:sz w:val="23"/>
          <w:szCs w:val="23"/>
          <w:b w:val="1"/>
          <w:bCs w:val="1"/>
          <w:color w:val="auto"/>
          <w:vertAlign w:val="subscript"/>
        </w:rPr>
        <w: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w:t>
      </w:r>
      <w:r>
        <w:rPr>
          <w:rFonts w:ascii="Arial" w:cs="Arial" w:eastAsia="Arial" w:hAnsi="Arial"/>
          <w:sz w:val="15"/>
          <w:szCs w:val="15"/>
          <w:color w:val="auto"/>
        </w:rPr>
        <w:t xml:space="preserve"> ​</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2</w:t>
      </w:r>
      <w:r>
        <w:rPr>
          <w:rFonts w:ascii="Arial" w:cs="Arial" w:eastAsia="Arial" w:hAnsi="Arial"/>
          <w:sz w:val="15"/>
          <w:szCs w:val="15"/>
          <w:color w:val="auto"/>
        </w:rPr>
        <w:t xml:space="preserve"> ​</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4</w:t>
      </w:r>
      <w:r>
        <w:rPr>
          <w:rFonts w:ascii="Arial" w:cs="Arial" w:eastAsia="Arial" w:hAnsi="Arial"/>
          <w:sz w:val="15"/>
          <w:szCs w:val="15"/>
          <w:color w:val="auto"/>
        </w:rPr>
        <w:t xml:space="preserve"> ​</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5</w:t>
      </w:r>
      <w:r>
        <w:rPr>
          <w:rFonts w:ascii="Arial" w:cs="Arial" w:eastAsia="Arial" w:hAnsi="Arial"/>
          <w:sz w:val="15"/>
          <w:szCs w:val="15"/>
          <w:color w:val="auto"/>
        </w:rPr>
        <w:t xml:space="preserve"> ​</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6</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7</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8</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 xml:space="preserve"> ​</w:t>
      </w:r>
    </w:p>
    <w:p>
      <w:pPr>
        <w:sectPr>
          <w:pgSz w:w="11900" w:h="16838" w:orient="portrait"/>
          <w:cols w:equalWidth="0" w:num="2">
            <w:col w:w="6620" w:space="720"/>
            <w:col w:w="1679"/>
          </w:cols>
          <w:pgMar w:left="1440" w:top="98" w:right="1440" w:bottom="1440" w:gutter="0" w:footer="0" w:header="0"/>
        </w:sectPr>
      </w:pPr>
    </w:p>
    <w:bookmarkStart w:id="2" w:name="page3"/>
    <w:bookmarkEnd w:id="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CAUTIONARY NOTE ON FORWARD-</w:t>
      </w:r>
    </w:p>
    <w:p>
      <w:pPr>
        <w:ind w:left="1140"/>
        <w:spacing w:after="0" w:line="234" w:lineRule="auto"/>
        <w:rPr>
          <w:sz w:val="20"/>
          <w:szCs w:val="20"/>
          <w:color w:val="auto"/>
        </w:rPr>
      </w:pPr>
      <w:r>
        <w:rPr>
          <w:rFonts w:ascii="Arial" w:cs="Arial" w:eastAsia="Arial" w:hAnsi="Arial"/>
          <w:sz w:val="32"/>
          <w:szCs w:val="32"/>
          <w:b w:val="1"/>
          <w:bCs w:val="1"/>
          <w:color w:val="auto"/>
        </w:rPr>
        <w:t>LOOKING</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STATEMENTS</w:t>
      </w:r>
    </w:p>
    <w:p>
      <w:pPr>
        <w:spacing w:after="0" w:line="45" w:lineRule="exact"/>
        <w:rPr>
          <w:sz w:val="20"/>
          <w:szCs w:val="20"/>
          <w:color w:val="auto"/>
        </w:rPr>
      </w:pPr>
    </w:p>
    <w:p>
      <w:pPr>
        <w:ind w:left="1140" w:right="1179"/>
        <w:spacing w:after="0" w:line="239" w:lineRule="auto"/>
        <w:rPr>
          <w:sz w:val="20"/>
          <w:szCs w:val="20"/>
          <w:color w:val="auto"/>
        </w:rPr>
      </w:pPr>
      <w:r>
        <w:rPr>
          <w:rFonts w:ascii="Arial" w:cs="Arial" w:eastAsia="Arial" w:hAnsi="Arial"/>
          <w:sz w:val="15"/>
          <w:szCs w:val="15"/>
          <w:color w:val="auto"/>
        </w:rPr>
        <w:t>This prospectus supplement, the accompanying prospectus and the information incorporated herein and therein by reference contain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p>
    <w:p>
      <w:pPr>
        <w:spacing w:after="0" w:line="54" w:lineRule="exact"/>
        <w:rPr>
          <w:sz w:val="20"/>
          <w:szCs w:val="20"/>
          <w:color w:val="auto"/>
        </w:rPr>
      </w:pPr>
    </w:p>
    <w:p>
      <w:pPr>
        <w:ind w:left="1140" w:right="1499"/>
        <w:spacing w:after="0" w:line="259" w:lineRule="auto"/>
        <w:rPr>
          <w:sz w:val="20"/>
          <w:szCs w:val="20"/>
          <w:color w:val="auto"/>
        </w:rPr>
      </w:pPr>
      <w:r>
        <w:rPr>
          <w:rFonts w:ascii="Arial" w:cs="Arial" w:eastAsia="Arial" w:hAnsi="Arial"/>
          <w:sz w:val="15"/>
          <w:szCs w:val="15"/>
          <w:color w:val="auto"/>
        </w:rPr>
        <w:t>Specific forward-looking statements include, but are not limited to, statements such as those made regarding:</w:t>
      </w:r>
    </w:p>
    <w:p>
      <w:pPr>
        <w:spacing w:after="0" w:line="47" w:lineRule="exact"/>
        <w:rPr>
          <w:sz w:val="20"/>
          <w:szCs w:val="20"/>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potential change in our effective tax rate;</w:t>
      </w:r>
    </w:p>
    <w:p>
      <w:pPr>
        <w:spacing w:after="0" w:line="92" w:lineRule="exact"/>
        <w:rPr>
          <w:rFonts w:ascii="Arial" w:cs="Arial" w:eastAsia="Arial" w:hAnsi="Arial"/>
          <w:sz w:val="15"/>
          <w:szCs w:val="15"/>
          <w:color w:val="auto"/>
        </w:rPr>
      </w:pPr>
    </w:p>
    <w:p>
      <w:pPr>
        <w:ind w:left="1580" w:right="1239" w:hanging="138"/>
        <w:spacing w:after="0" w:line="274" w:lineRule="auto"/>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timing for construction and ramping of production for new memory manufacturing fabs in the United States;</w:t>
      </w:r>
    </w:p>
    <w:p>
      <w:pPr>
        <w:spacing w:after="0" w:line="36" w:lineRule="exact"/>
        <w:rPr>
          <w:rFonts w:ascii="Arial" w:cs="Arial" w:eastAsia="Arial" w:hAnsi="Arial"/>
          <w:sz w:val="15"/>
          <w:szCs w:val="15"/>
          <w:color w:val="auto"/>
        </w:rPr>
      </w:pPr>
    </w:p>
    <w:p>
      <w:pPr>
        <w:ind w:left="1580" w:right="1279" w:hanging="138"/>
        <w:spacing w:after="0" w:line="274" w:lineRule="auto"/>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intent to make investments at our backend facility in Xi’an, China and build a new assembly and test facility in Gujarat, India;</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expected wafer starts and underutilization charges for the second quarter of 2024,</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payment of future cash dividends;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market conditions and profitability in our industry;</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impact of the Cyberspace Administration of China decision;</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capital spending in 2024;</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sufficiency of our cash and investments; and</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intended use of proceeds from the offering of notes.</w:t>
      </w:r>
    </w:p>
    <w:p>
      <w:pPr>
        <w:spacing w:after="0" w:line="81"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 on Form 10-Q incorporated by reference herein and as may be updated in this prospectus supplement and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55" w:lineRule="exact"/>
        <w:rPr>
          <w:sz w:val="20"/>
          <w:szCs w:val="20"/>
          <w:color w:val="auto"/>
        </w:rPr>
      </w:pPr>
    </w:p>
    <w:p>
      <w:pPr>
        <w:ind w:left="1140" w:right="1179"/>
        <w:spacing w:after="0" w:line="262" w:lineRule="auto"/>
        <w:rPr>
          <w:sz w:val="20"/>
          <w:szCs w:val="20"/>
          <w:color w:val="auto"/>
        </w:rPr>
      </w:pPr>
      <w:r>
        <w:rPr>
          <w:rFonts w:ascii="Arial" w:cs="Arial" w:eastAsia="Arial" w:hAnsi="Arial"/>
          <w:sz w:val="14"/>
          <w:szCs w:val="14"/>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update any of these forward-looking statements to conform these statements to actual results, unless the securities laws require us to do so.</w:t>
      </w:r>
    </w:p>
    <w:p>
      <w:pPr>
        <w:spacing w:after="0" w:line="12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Trademarks and Service Marks</w:t>
      </w:r>
    </w:p>
    <w:p>
      <w:pPr>
        <w:spacing w:after="0" w:line="89" w:lineRule="exact"/>
        <w:rPr>
          <w:sz w:val="20"/>
          <w:szCs w:val="20"/>
          <w:color w:val="auto"/>
        </w:rPr>
      </w:pPr>
    </w:p>
    <w:p>
      <w:pPr>
        <w:ind w:left="1140" w:right="1239"/>
        <w:spacing w:after="0" w:line="227" w:lineRule="auto"/>
        <w:rPr>
          <w:sz w:val="20"/>
          <w:szCs w:val="20"/>
          <w:color w:val="auto"/>
        </w:rPr>
      </w:pPr>
      <w:r>
        <w:rPr>
          <w:rFonts w:ascii="Arial" w:cs="Arial" w:eastAsia="Arial" w:hAnsi="Arial"/>
          <w:sz w:val="15"/>
          <w:szCs w:val="15"/>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symbols, but we will assert, to the fullest extent under applicable law, our rights or the rights of the applicable licensors to these trademarks, service marks, and tradenames.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 w:name="page4"/>
    <w:bookmarkEnd w:id="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ABOUT THIS PROSPECTUS SUPPLEMENT</w:t>
      </w:r>
    </w:p>
    <w:p>
      <w:pPr>
        <w:spacing w:after="0" w:line="130" w:lineRule="exact"/>
        <w:rPr>
          <w:sz w:val="20"/>
          <w:szCs w:val="20"/>
          <w:color w:val="auto"/>
        </w:rPr>
      </w:pPr>
    </w:p>
    <w:p>
      <w:pPr>
        <w:ind w:left="1140" w:right="1199"/>
        <w:spacing w:after="0" w:line="266" w:lineRule="auto"/>
        <w:rPr>
          <w:sz w:val="20"/>
          <w:szCs w:val="20"/>
          <w:color w:val="auto"/>
        </w:rPr>
      </w:pPr>
      <w:r>
        <w:rPr>
          <w:rFonts w:ascii="Arial" w:cs="Arial" w:eastAsia="Arial" w:hAnsi="Arial"/>
          <w:sz w:val="14"/>
          <w:szCs w:val="14"/>
          <w:color w:val="auto"/>
        </w:rPr>
        <w:t>This prospectus supplement and the accompanying prospectus dated November 2, 2023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89" w:lineRule="exact"/>
        <w:rPr>
          <w:sz w:val="20"/>
          <w:szCs w:val="20"/>
          <w:color w:val="auto"/>
        </w:rPr>
      </w:pPr>
    </w:p>
    <w:p>
      <w:pPr>
        <w:ind w:left="1140" w:right="1219"/>
        <w:spacing w:after="0" w:line="248" w:lineRule="auto"/>
        <w:rPr>
          <w:sz w:val="20"/>
          <w:szCs w:val="20"/>
          <w:color w:val="auto"/>
        </w:rPr>
      </w:pPr>
      <w:r>
        <w:rPr>
          <w:rFonts w:ascii="Arial" w:cs="Arial" w:eastAsia="Arial" w:hAnsi="Arial"/>
          <w:sz w:val="15"/>
          <w:szCs w:val="15"/>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93" w:lineRule="exact"/>
        <w:rPr>
          <w:sz w:val="20"/>
          <w:szCs w:val="20"/>
          <w:color w:val="auto"/>
        </w:rPr>
      </w:pPr>
    </w:p>
    <w:p>
      <w:pPr>
        <w:ind w:left="1140" w:right="1359"/>
        <w:spacing w:after="0" w:line="255" w:lineRule="auto"/>
        <w:rPr>
          <w:sz w:val="20"/>
          <w:szCs w:val="20"/>
          <w:color w:val="auto"/>
        </w:rPr>
      </w:pPr>
      <w:r>
        <w:rPr>
          <w:rFonts w:ascii="Arial" w:cs="Arial" w:eastAsia="Arial" w:hAnsi="Arial"/>
          <w:sz w:val="15"/>
          <w:szCs w:val="15"/>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95" w:lineRule="exact"/>
        <w:rPr>
          <w:sz w:val="20"/>
          <w:szCs w:val="20"/>
          <w:color w:val="auto"/>
        </w:rPr>
      </w:pPr>
    </w:p>
    <w:p>
      <w:pPr>
        <w:ind w:left="1140" w:right="1399"/>
        <w:spacing w:after="0" w:line="260" w:lineRule="auto"/>
        <w:rPr>
          <w:sz w:val="20"/>
          <w:szCs w:val="20"/>
          <w:color w:val="auto"/>
        </w:rPr>
      </w:pPr>
      <w:r>
        <w:rPr>
          <w:rFonts w:ascii="Arial" w:cs="Arial" w:eastAsia="Arial" w:hAnsi="Arial"/>
          <w:sz w:val="15"/>
          <w:szCs w:val="15"/>
          <w:color w:val="auto"/>
        </w:rPr>
        <w:t>Unless the context requires otherwise or unless otherwise specified, references in this prospectus supplement to “Micron,” “we,” “our,” “us” and the “Company” refer to Micron Technology, Inc. and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auto"/>
        </w:rPr>
        <w:t>SUMMARY</w:t>
      </w:r>
    </w:p>
    <w:p>
      <w:pPr>
        <w:spacing w:after="0" w:line="88"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i w:val="1"/>
          <w:iCs w:val="1"/>
          <w:color w:val="auto"/>
        </w:rPr>
        <w:t>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Annual Report on Form 10-K for the fiscal year ended August 31, 2023, our Quarterly Report on Form 10-Q for the fiscal quarter ended November 30, 2023, documents that we subsequently file with the SEC and the financial statements and other information included or incorporated by reference in this prospectus supplement and the accompanying prospectus, before making an investment decision.</w:t>
      </w:r>
    </w:p>
    <w:p>
      <w:pPr>
        <w:spacing w:after="0" w:line="5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006CB7"/>
        </w:rPr>
        <w:t>Micron Technology, Inc.</w:t>
      </w:r>
    </w:p>
    <w:p>
      <w:pPr>
        <w:spacing w:after="0" w:line="8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Overview</w:t>
      </w:r>
    </w:p>
    <w:p>
      <w:pPr>
        <w:spacing w:after="0" w:line="79" w:lineRule="exact"/>
        <w:rPr>
          <w:sz w:val="20"/>
          <w:szCs w:val="20"/>
          <w:color w:val="auto"/>
        </w:rPr>
      </w:pPr>
    </w:p>
    <w:p>
      <w:pPr>
        <w:ind w:left="1160" w:right="1139"/>
        <w:spacing w:after="0" w:line="221" w:lineRule="auto"/>
        <w:rPr>
          <w:sz w:val="20"/>
          <w:szCs w:val="20"/>
          <w:color w:val="auto"/>
        </w:rPr>
      </w:pPr>
      <w:r>
        <w:rPr>
          <w:rFonts w:ascii="Arial" w:cs="Arial" w:eastAsia="Arial" w:hAnsi="Arial"/>
          <w:sz w:val="15"/>
          <w:szCs w:val="15"/>
          <w:color w:val="auto"/>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Crucial</w:t>
      </w:r>
      <w:r>
        <w:rPr>
          <w:rFonts w:ascii="Arial" w:cs="Arial" w:eastAsia="Arial" w:hAnsi="Arial"/>
          <w:sz w:val="22"/>
          <w:szCs w:val="22"/>
          <w:color w:val="auto"/>
          <w:vertAlign w:val="superscript"/>
        </w:rPr>
        <w:t>®</w:t>
      </w:r>
      <w:r>
        <w:rPr>
          <w:rFonts w:ascii="Arial" w:cs="Arial" w:eastAsia="Arial" w:hAnsi="Arial"/>
          <w:sz w:val="15"/>
          <w:szCs w:val="15"/>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54" w:lineRule="exact"/>
        <w:rPr>
          <w:sz w:val="20"/>
          <w:szCs w:val="20"/>
          <w:color w:val="auto"/>
        </w:rPr>
      </w:pPr>
    </w:p>
    <w:p>
      <w:pPr>
        <w:ind w:left="1160" w:right="1179"/>
        <w:spacing w:after="0" w:line="267"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45" w:lineRule="exact"/>
        <w:rPr>
          <w:sz w:val="20"/>
          <w:szCs w:val="20"/>
          <w:color w:val="auto"/>
        </w:rPr>
      </w:pPr>
    </w:p>
    <w:p>
      <w:pPr>
        <w:ind w:left="1160" w:right="1419"/>
        <w:spacing w:after="0" w:line="250" w:lineRule="auto"/>
        <w:rPr>
          <w:sz w:val="20"/>
          <w:szCs w:val="20"/>
          <w:color w:val="auto"/>
        </w:rPr>
      </w:pPr>
      <w:r>
        <w:rPr>
          <w:rFonts w:ascii="Arial" w:cs="Arial" w:eastAsia="Arial" w:hAnsi="Arial"/>
          <w:sz w:val="15"/>
          <w:szCs w:val="15"/>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398" w:lineRule="exact"/>
        <w:rPr>
          <w:sz w:val="20"/>
          <w:szCs w:val="20"/>
          <w:color w:val="auto"/>
        </w:rPr>
      </w:pPr>
    </w:p>
    <w:p>
      <w:pPr>
        <w:ind w:left="1160" w:right="1199"/>
        <w:spacing w:after="0" w:line="252" w:lineRule="auto"/>
        <w:rPr>
          <w:sz w:val="20"/>
          <w:szCs w:val="20"/>
          <w:color w:val="auto"/>
        </w:rPr>
      </w:pPr>
      <w:r>
        <w:rPr>
          <w:rFonts w:ascii="Arial" w:cs="Arial" w:eastAsia="Arial" w:hAnsi="Arial"/>
          <w:sz w:val="15"/>
          <w:szCs w:val="15"/>
          <w:color w:val="auto"/>
        </w:rPr>
        <w:t xml:space="preserve">Our executive offices are located at 8000 South Federal Way, Boise, Idaho 83716 and our telephone number is (208) 368-4000. Information about us is available at our website </w:t>
      </w:r>
      <w:r>
        <w:rPr>
          <w:rFonts w:ascii="Arial" w:cs="Arial" w:eastAsia="Arial" w:hAnsi="Arial"/>
          <w:sz w:val="15"/>
          <w:szCs w:val="15"/>
          <w:i w:val="1"/>
          <w:iCs w:val="1"/>
          <w:color w:val="auto"/>
        </w:rPr>
        <w:t>www.micron.com</w:t>
      </w:r>
      <w:r>
        <w:rPr>
          <w:rFonts w:ascii="Arial" w:cs="Arial" w:eastAsia="Arial" w:hAnsi="Arial"/>
          <w:sz w:val="15"/>
          <w:szCs w:val="15"/>
          <w:color w:val="auto"/>
        </w:rPr>
        <w:t>. Information contained or referenced on our website is not incorporated by reference and does not form a part of this prospectus supplement or the accompanying prospectus. You should not rely on any such information in making your decision whether to purchase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67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5960" cy="656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006CB7"/>
        </w:rPr>
        <w:t>The Offering</w:t>
      </w:r>
    </w:p>
    <w:p>
      <w:pPr>
        <w:spacing w:after="0" w:line="135" w:lineRule="exact"/>
        <w:rPr>
          <w:sz w:val="20"/>
          <w:szCs w:val="20"/>
          <w:color w:val="auto"/>
        </w:rPr>
      </w:pPr>
    </w:p>
    <w:p>
      <w:pPr>
        <w:ind w:left="1160" w:right="1199"/>
        <w:spacing w:after="0" w:line="238" w:lineRule="auto"/>
        <w:rPr>
          <w:sz w:val="20"/>
          <w:szCs w:val="20"/>
          <w:color w:val="auto"/>
        </w:rPr>
      </w:pPr>
      <w:r>
        <w:rPr>
          <w:rFonts w:ascii="Arial" w:cs="Arial" w:eastAsia="Arial" w:hAnsi="Arial"/>
          <w:sz w:val="15"/>
          <w:szCs w:val="15"/>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76" w:lineRule="exact"/>
        <w:rPr>
          <w:sz w:val="20"/>
          <w:szCs w:val="20"/>
          <w:color w:val="auto"/>
        </w:rPr>
      </w:pPr>
    </w:p>
    <w:p>
      <w:pPr>
        <w:ind w:left="1160"/>
        <w:spacing w:after="0"/>
        <w:tabs>
          <w:tab w:leader="none" w:pos="3620" w:val="left"/>
        </w:tabs>
        <w:rPr>
          <w:sz w:val="20"/>
          <w:szCs w:val="20"/>
          <w:color w:val="auto"/>
        </w:rPr>
      </w:pPr>
      <w:r>
        <w:rPr>
          <w:rFonts w:ascii="Arial" w:cs="Arial" w:eastAsia="Arial" w:hAnsi="Arial"/>
          <w:sz w:val="15"/>
          <w:szCs w:val="15"/>
          <w:color w:val="auto"/>
        </w:rPr>
        <w:t>Issuer</w:t>
      </w:r>
      <w:r>
        <w:rPr>
          <w:sz w:val="20"/>
          <w:szCs w:val="20"/>
          <w:color w:val="auto"/>
        </w:rPr>
        <w:tab/>
      </w:r>
      <w:r>
        <w:rPr>
          <w:rFonts w:ascii="Arial" w:cs="Arial" w:eastAsia="Arial" w:hAnsi="Arial"/>
          <w:sz w:val="15"/>
          <w:szCs w:val="15"/>
          <w:color w:val="auto"/>
        </w:rPr>
        <w:t>Micron Technology, Inc.</w:t>
      </w:r>
    </w:p>
    <w:p>
      <w:pPr>
        <w:spacing w:after="0" w:line="92" w:lineRule="exact"/>
        <w:rPr>
          <w:sz w:val="20"/>
          <w:szCs w:val="20"/>
          <w:color w:val="auto"/>
        </w:rPr>
      </w:pPr>
    </w:p>
    <w:p>
      <w:pPr>
        <w:ind w:left="1160"/>
        <w:spacing w:after="0"/>
        <w:tabs>
          <w:tab w:leader="none" w:pos="3620" w:val="left"/>
        </w:tabs>
        <w:rPr>
          <w:sz w:val="20"/>
          <w:szCs w:val="20"/>
          <w:color w:val="auto"/>
        </w:rPr>
      </w:pPr>
      <w:r>
        <w:rPr>
          <w:rFonts w:ascii="Arial" w:cs="Arial" w:eastAsia="Arial" w:hAnsi="Arial"/>
          <w:sz w:val="15"/>
          <w:szCs w:val="15"/>
          <w:color w:val="auto"/>
        </w:rPr>
        <w:t>Securities Offered</w:t>
      </w:r>
      <w:r>
        <w:rPr>
          <w:sz w:val="20"/>
          <w:szCs w:val="20"/>
          <w:color w:val="auto"/>
        </w:rPr>
        <w:tab/>
      </w:r>
      <w:r>
        <w:rPr>
          <w:rFonts w:ascii="Arial" w:cs="Arial" w:eastAsia="Arial" w:hAnsi="Arial"/>
          <w:sz w:val="14"/>
          <w:szCs w:val="14"/>
          <w:color w:val="auto"/>
        </w:rPr>
        <w:t>$1,000,000,000 aggregate principal amount of 5.30% Senior</w:t>
      </w:r>
    </w:p>
    <w:p>
      <w:pPr>
        <w:spacing w:after="0" w:line="7"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Notes due 2031.</w:t>
      </w:r>
    </w:p>
    <w:p>
      <w:pPr>
        <w:spacing w:after="0" w:line="67" w:lineRule="exact"/>
        <w:rPr>
          <w:sz w:val="20"/>
          <w:szCs w:val="20"/>
          <w:color w:val="auto"/>
        </w:rPr>
      </w:pPr>
    </w:p>
    <w:p>
      <w:pPr>
        <w:ind w:left="1160"/>
        <w:spacing w:after="0"/>
        <w:tabs>
          <w:tab w:leader="none" w:pos="3620" w:val="left"/>
        </w:tabs>
        <w:rPr>
          <w:sz w:val="20"/>
          <w:szCs w:val="20"/>
          <w:color w:val="auto"/>
        </w:rPr>
      </w:pPr>
      <w:r>
        <w:rPr>
          <w:rFonts w:ascii="Arial" w:cs="Arial" w:eastAsia="Arial" w:hAnsi="Arial"/>
          <w:sz w:val="15"/>
          <w:szCs w:val="15"/>
          <w:color w:val="auto"/>
        </w:rPr>
        <w:t>Maturity</w:t>
      </w:r>
      <w:r>
        <w:rPr>
          <w:sz w:val="20"/>
          <w:szCs w:val="20"/>
          <w:color w:val="auto"/>
        </w:rPr>
        <w:tab/>
      </w:r>
      <w:r>
        <w:rPr>
          <w:rFonts w:ascii="Arial" w:cs="Arial" w:eastAsia="Arial" w:hAnsi="Arial"/>
          <w:sz w:val="15"/>
          <w:szCs w:val="15"/>
          <w:color w:val="auto"/>
        </w:rPr>
        <w:t>The notes will mature on January 15, 2031.</w:t>
      </w:r>
    </w:p>
    <w:p>
      <w:pPr>
        <w:spacing w:after="0" w:line="92" w:lineRule="exact"/>
        <w:rPr>
          <w:sz w:val="20"/>
          <w:szCs w:val="20"/>
          <w:color w:val="auto"/>
        </w:rPr>
      </w:pPr>
    </w:p>
    <w:p>
      <w:pPr>
        <w:ind w:left="1160"/>
        <w:spacing w:after="0"/>
        <w:tabs>
          <w:tab w:leader="none" w:pos="3620" w:val="left"/>
        </w:tabs>
        <w:rPr>
          <w:sz w:val="20"/>
          <w:szCs w:val="20"/>
          <w:color w:val="auto"/>
        </w:rPr>
      </w:pPr>
      <w:r>
        <w:rPr>
          <w:rFonts w:ascii="Arial" w:cs="Arial" w:eastAsia="Arial" w:hAnsi="Arial"/>
          <w:sz w:val="15"/>
          <w:szCs w:val="15"/>
          <w:color w:val="auto"/>
        </w:rPr>
        <w:t>Interest and Payment Dates</w:t>
      </w:r>
      <w:r>
        <w:rPr>
          <w:sz w:val="20"/>
          <w:szCs w:val="20"/>
          <w:color w:val="auto"/>
        </w:rPr>
        <w:tab/>
      </w:r>
      <w:r>
        <w:rPr>
          <w:rFonts w:ascii="Arial" w:cs="Arial" w:eastAsia="Arial" w:hAnsi="Arial"/>
          <w:sz w:val="14"/>
          <w:szCs w:val="14"/>
          <w:color w:val="auto"/>
        </w:rPr>
        <w:t>5.30% per year on the principal amount of the notes. Interest is</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payable on the notes on January 15 and July 15 of each year</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after the date of issuance, commencing July 15, 2024. Interest on</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the notes will accrue from January 12, 2024.</w:t>
      </w:r>
    </w:p>
    <w:p>
      <w:pPr>
        <w:spacing w:after="0" w:line="78" w:lineRule="exact"/>
        <w:rPr>
          <w:sz w:val="20"/>
          <w:szCs w:val="20"/>
          <w:color w:val="auto"/>
        </w:rPr>
      </w:pPr>
    </w:p>
    <w:p>
      <w:pPr>
        <w:ind w:left="1160"/>
        <w:spacing w:after="0"/>
        <w:tabs>
          <w:tab w:leader="none" w:pos="3620" w:val="left"/>
        </w:tabs>
        <w:rPr>
          <w:sz w:val="20"/>
          <w:szCs w:val="20"/>
          <w:color w:val="auto"/>
        </w:rPr>
      </w:pPr>
      <w:r>
        <w:rPr>
          <w:rFonts w:ascii="Arial" w:cs="Arial" w:eastAsia="Arial" w:hAnsi="Arial"/>
          <w:sz w:val="15"/>
          <w:szCs w:val="15"/>
          <w:color w:val="auto"/>
        </w:rPr>
        <w:t>Ranking of the Notes</w:t>
      </w:r>
      <w:r>
        <w:rPr>
          <w:sz w:val="20"/>
          <w:szCs w:val="20"/>
          <w:color w:val="auto"/>
        </w:rPr>
        <w:tab/>
      </w:r>
      <w:r>
        <w:rPr>
          <w:rFonts w:ascii="Arial" w:cs="Arial" w:eastAsia="Arial" w:hAnsi="Arial"/>
          <w:sz w:val="14"/>
          <w:szCs w:val="14"/>
          <w:color w:val="auto"/>
        </w:rPr>
        <w:t>The notes will be senior unsecured obligations and will rank</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equally with all of our other existing and future unsecured and</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unsubordinated indebtedness from time to time outstanding.</w:t>
      </w:r>
    </w:p>
    <w:p>
      <w:pPr>
        <w:spacing w:after="0" w:line="112"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As of November 30, 2023:</w:t>
      </w:r>
    </w:p>
    <w:p>
      <w:pPr>
        <w:spacing w:after="0" w:line="115" w:lineRule="exact"/>
        <w:rPr>
          <w:sz w:val="20"/>
          <w:szCs w:val="20"/>
          <w:color w:val="auto"/>
        </w:rPr>
      </w:pPr>
    </w:p>
    <w:p>
      <w:pPr>
        <w:ind w:left="3640"/>
        <w:spacing w:after="0"/>
        <w:tabs>
          <w:tab w:leader="none" w:pos="39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we had approximately $12.4 billion aggregate principal</w:t>
      </w:r>
    </w:p>
    <w:p>
      <w:pPr>
        <w:spacing w:after="0" w:line="18" w:lineRule="exact"/>
        <w:rPr>
          <w:sz w:val="20"/>
          <w:szCs w:val="20"/>
          <w:color w:val="auto"/>
        </w:rPr>
      </w:pPr>
    </w:p>
    <w:p>
      <w:pPr>
        <w:ind w:left="3940"/>
        <w:spacing w:after="0"/>
        <w:rPr>
          <w:sz w:val="20"/>
          <w:szCs w:val="20"/>
          <w:color w:val="auto"/>
        </w:rPr>
      </w:pPr>
      <w:r>
        <w:rPr>
          <w:rFonts w:ascii="Arial" w:cs="Arial" w:eastAsia="Arial" w:hAnsi="Arial"/>
          <w:sz w:val="15"/>
          <w:szCs w:val="15"/>
          <w:color w:val="auto"/>
        </w:rPr>
        <w:t>amount of indebtedness; and</w:t>
      </w:r>
    </w:p>
    <w:p>
      <w:pPr>
        <w:sectPr>
          <w:pgSz w:w="11900" w:h="16838" w:orient="portrait"/>
          <w:cols w:equalWidth="0" w:num="1">
            <w:col w:w="9019"/>
          </w:cols>
          <w:pgMar w:left="1440" w:top="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Sinking Fund</w:t>
      </w:r>
    </w:p>
    <w:p>
      <w:pPr>
        <w:spacing w:after="0" w:line="9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20" w:hanging="146"/>
        <w:spacing w:after="0" w:line="287" w:lineRule="auto"/>
        <w:rPr>
          <w:sz w:val="20"/>
          <w:szCs w:val="20"/>
          <w:color w:val="auto"/>
        </w:rPr>
      </w:pPr>
      <w:r>
        <w:rPr>
          <w:rFonts w:ascii="Arial" w:cs="Arial" w:eastAsia="Arial" w:hAnsi="Arial"/>
          <w:sz w:val="14"/>
          <w:szCs w:val="14"/>
          <w:color w:val="auto"/>
        </w:rPr>
        <w:t>Mandatory Offer to Repurchase Upon a Change of Control Triggering Event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304" w:right="1259" w:hanging="304"/>
        <w:spacing w:after="0" w:line="270" w:lineRule="auto"/>
        <w:tabs>
          <w:tab w:leader="none" w:pos="304"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$6.7 billion, all of which will be structurally senior to the notes with respect to claims on the assets and cash flows of our subsidiaries.</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5"/>
          <w:szCs w:val="15"/>
          <w:color w:val="auto"/>
        </w:rPr>
        <w:t>None.</w:t>
      </w:r>
    </w:p>
    <w:p>
      <w:pPr>
        <w:spacing w:after="0" w:line="92" w:lineRule="exact"/>
        <w:rPr>
          <w:sz w:val="20"/>
          <w:szCs w:val="20"/>
          <w:color w:val="auto"/>
        </w:rPr>
      </w:pPr>
    </w:p>
    <w:p>
      <w:pPr>
        <w:ind w:left="4" w:right="1139"/>
        <w:spacing w:after="0" w:line="267" w:lineRule="auto"/>
        <w:rPr>
          <w:sz w:val="20"/>
          <w:szCs w:val="20"/>
          <w:color w:val="auto"/>
        </w:rPr>
      </w:pPr>
      <w:r>
        <w:rPr>
          <w:rFonts w:ascii="Arial" w:cs="Arial" w:eastAsia="Arial" w:hAnsi="Arial"/>
          <w:sz w:val="14"/>
          <w:szCs w:val="14"/>
          <w:color w:val="auto"/>
        </w:rPr>
        <w:t>The notes will be redeemable at our option, in whole or in part, at any time and from time to time at a redemption price for the notes equal to the greater of (i) the make-whole amount (as described in the section entitled “Description of the Notes — Optional Redemption”) and (ii) 100% of the principal amount of the notes to be redeemed, plus accrued and unpaid interest thereon to, but excluding, the redemption date. In addition, on or after November 15, 2030 (two months prior to the maturity date of the notes), we may redeem the notes at a redemption price equal to 100% of the principal amount thereof plus accrued and unpaid interest to, but excluding, the date of redemption. See “Description of the Notes — Optional Redemption.”</w:t>
      </w:r>
    </w:p>
    <w:p>
      <w:pPr>
        <w:spacing w:after="0" w:line="200" w:lineRule="exact"/>
        <w:rPr>
          <w:sz w:val="20"/>
          <w:szCs w:val="20"/>
          <w:color w:val="auto"/>
        </w:rPr>
      </w:pPr>
    </w:p>
    <w:p>
      <w:pPr>
        <w:spacing w:after="0" w:line="212" w:lineRule="exact"/>
        <w:rPr>
          <w:sz w:val="20"/>
          <w:szCs w:val="20"/>
          <w:color w:val="auto"/>
        </w:rPr>
      </w:pPr>
    </w:p>
    <w:p>
      <w:pPr>
        <w:ind w:left="4" w:right="1159"/>
        <w:spacing w:after="0" w:line="275" w:lineRule="auto"/>
        <w:rPr>
          <w:sz w:val="20"/>
          <w:szCs w:val="20"/>
          <w:color w:val="auto"/>
        </w:rPr>
      </w:pPr>
      <w:r>
        <w:rPr>
          <w:rFonts w:ascii="Arial" w:cs="Arial" w:eastAsia="Arial" w:hAnsi="Arial"/>
          <w:sz w:val="14"/>
          <w:szCs w:val="14"/>
          <w:color w:val="auto"/>
        </w:rPr>
        <w:t>Upon the occurrence of a Change of Control Triggering Event (as defined elsewhere in this prospectus supplement), we will be required to make an offer to purchase the notes at a price equal to 101% of their principal amount plus accrued and unpaid interest to, but excluding, the date of purchase. See “Description</w:t>
      </w:r>
    </w:p>
    <w:p>
      <w:pPr>
        <w:spacing w:after="0" w:line="200" w:lineRule="exact"/>
        <w:rPr>
          <w:sz w:val="20"/>
          <w:szCs w:val="20"/>
          <w:color w:val="auto"/>
        </w:rPr>
      </w:pPr>
    </w:p>
    <w:p>
      <w:pPr>
        <w:sectPr>
          <w:pgSz w:w="11900" w:h="16838" w:orient="portrait"/>
          <w:cols w:equalWidth="0" w:num="2">
            <w:col w:w="3220" w:space="416"/>
            <w:col w:w="5384"/>
          </w:cols>
          <w:pgMar w:left="1440" w:top="98" w:right="1440" w:bottom="1440" w:gutter="0" w:footer="0" w:header="0"/>
          <w:type w:val="continuous"/>
        </w:sectPr>
      </w:pP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6" w:name="page7"/>
    <w:bookmarkEnd w:id="6"/>
    <w:p>
      <w:pPr>
        <w:ind w:left="120"/>
        <w:spacing w:after="0"/>
        <w:rPr>
          <w:sz w:val="20"/>
          <w:szCs w:val="20"/>
          <w:color w:val="auto"/>
        </w:rPr>
      </w:pPr>
      <w:r>
        <w:rPr>
          <w:rFonts w:ascii="Calibri" w:cs="Calibri" w:eastAsia="Calibri" w:hAnsi="Calibri"/>
          <w:sz w:val="12"/>
          <w:szCs w:val="12"/>
          <w:color w:val="003366"/>
        </w:rPr>
        <w:t>TABLE OF CONTENTS</w:t>
      </w:r>
    </w:p>
    <w:p>
      <w:pPr>
        <w:spacing w:after="0" w:line="400" w:lineRule="exact"/>
        <w:rPr>
          <w:sz w:val="20"/>
          <w:szCs w:val="20"/>
          <w:color w:val="auto"/>
        </w:rPr>
      </w:pPr>
    </w:p>
    <w:tbl>
      <w:tblPr>
        <w:tblLayout w:type="fixed"/>
        <w:tblInd w:w="120" w:type="dxa"/>
        <w:tblCellMar>
          <w:top w:w="0" w:type="dxa"/>
          <w:left w:w="0" w:type="dxa"/>
          <w:bottom w:w="0" w:type="dxa"/>
          <w:right w:w="0" w:type="dxa"/>
        </w:tblCellMar>
      </w:tblPr>
      <w:tr>
        <w:trPr>
          <w:trHeight w:val="431"/>
        </w:trPr>
        <w:tc>
          <w:tcPr>
            <w:tcW w:w="880" w:type="dxa"/>
            <w:vAlign w:val="bottom"/>
            <w:tcBorders>
              <w:right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4780" w:type="dxa"/>
            <w:vAlign w:val="bottom"/>
            <w:tcBorders>
              <w:top w:val="single" w:sz="8" w:color="auto"/>
              <w:right w:val="single" w:sz="8" w:color="auto"/>
            </w:tcBorders>
            <w:gridSpan w:val="2"/>
          </w:tcPr>
          <w:p>
            <w:pPr>
              <w:ind w:left="360"/>
              <w:spacing w:after="0"/>
              <w:rPr>
                <w:sz w:val="20"/>
                <w:szCs w:val="20"/>
                <w:color w:val="auto"/>
              </w:rPr>
            </w:pPr>
            <w:r>
              <w:rPr>
                <w:rFonts w:ascii="Arial" w:cs="Arial" w:eastAsia="Arial" w:hAnsi="Arial"/>
                <w:sz w:val="15"/>
                <w:szCs w:val="15"/>
                <w:color w:val="auto"/>
              </w:rPr>
              <w:t>of the Notes — Repurchase of Notes Upon a Change of Control</w:t>
            </w:r>
          </w:p>
        </w:tc>
        <w:tc>
          <w:tcPr>
            <w:tcW w:w="820" w:type="dxa"/>
            <w:vAlign w:val="bottom"/>
          </w:tcPr>
          <w:p>
            <w:pPr>
              <w:spacing w:after="0"/>
              <w:rPr>
                <w:sz w:val="24"/>
                <w:szCs w:val="24"/>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Triggering Event.”</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15"/>
                <w:szCs w:val="15"/>
                <w:color w:val="auto"/>
              </w:rPr>
              <w:t>Certain Covenants</w:t>
            </w: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 indenture that will govern the notes contains covenants that,</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subject to significant exceptions, limit our ability and/or the ability</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of our restricted subsidiaries (which are generally domestic</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subsidiaries in which we own at least 80% of the voting stock and</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which own Principal Property (as defined herein)) to:</w:t>
            </w:r>
          </w:p>
        </w:tc>
        <w:tc>
          <w:tcPr>
            <w:tcW w:w="820" w:type="dxa"/>
            <w:vAlign w:val="bottom"/>
          </w:tcPr>
          <w:p>
            <w:pPr>
              <w:spacing w:after="0"/>
              <w:rPr>
                <w:sz w:val="16"/>
                <w:szCs w:val="16"/>
                <w:color w:val="auto"/>
              </w:rPr>
            </w:pPr>
          </w:p>
        </w:tc>
      </w:tr>
      <w:tr>
        <w:trPr>
          <w:trHeight w:val="293"/>
        </w:trPr>
        <w:tc>
          <w:tcPr>
            <w:tcW w:w="88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15"/>
                <w:szCs w:val="15"/>
                <w:color w:val="auto"/>
              </w:rPr>
              <w:t>•</w:t>
            </w: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create or incur certain liens on Principal Property owned by</w:t>
            </w:r>
          </w:p>
        </w:tc>
        <w:tc>
          <w:tcPr>
            <w:tcW w:w="820" w:type="dxa"/>
            <w:vAlign w:val="bottom"/>
          </w:tcPr>
          <w:p>
            <w:pPr>
              <w:spacing w:after="0"/>
              <w:rPr>
                <w:sz w:val="24"/>
                <w:szCs w:val="24"/>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us or a restricted subsidiary and shares of capital stock of</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any restricted subsidiary and enter into sale and leaseback</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transactions with respect to Principal Property; and</w:t>
            </w:r>
          </w:p>
        </w:tc>
        <w:tc>
          <w:tcPr>
            <w:tcW w:w="820" w:type="dxa"/>
            <w:vAlign w:val="bottom"/>
          </w:tcPr>
          <w:p>
            <w:pPr>
              <w:spacing w:after="0"/>
              <w:rPr>
                <w:sz w:val="16"/>
                <w:szCs w:val="16"/>
                <w:color w:val="auto"/>
              </w:rPr>
            </w:pPr>
          </w:p>
        </w:tc>
      </w:tr>
      <w:tr>
        <w:trPr>
          <w:trHeight w:val="282"/>
        </w:trPr>
        <w:tc>
          <w:tcPr>
            <w:tcW w:w="88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15"/>
                <w:szCs w:val="15"/>
                <w:color w:val="auto"/>
              </w:rPr>
              <w:t>•</w:t>
            </w: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consolidate with or merge with or into, or convey, transfer or</w:t>
            </w:r>
          </w:p>
        </w:tc>
        <w:tc>
          <w:tcPr>
            <w:tcW w:w="820" w:type="dxa"/>
            <w:vAlign w:val="bottom"/>
          </w:tcPr>
          <w:p>
            <w:pPr>
              <w:spacing w:after="0"/>
              <w:rPr>
                <w:sz w:val="24"/>
                <w:szCs w:val="24"/>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lease all or substantially all of our assets, to another person.</w:t>
            </w:r>
          </w:p>
        </w:tc>
        <w:tc>
          <w:tcPr>
            <w:tcW w:w="820" w:type="dxa"/>
            <w:vAlign w:val="bottom"/>
          </w:tcPr>
          <w:p>
            <w:pPr>
              <w:spacing w:after="0"/>
              <w:rPr>
                <w:sz w:val="16"/>
                <w:szCs w:val="16"/>
                <w:color w:val="auto"/>
              </w:rPr>
            </w:pPr>
          </w:p>
        </w:tc>
      </w:tr>
      <w:tr>
        <w:trPr>
          <w:trHeight w:val="270"/>
        </w:trPr>
        <w:tc>
          <w:tcPr>
            <w:tcW w:w="880" w:type="dxa"/>
            <w:vAlign w:val="bottom"/>
            <w:tcBorders>
              <w:right w:val="single" w:sz="8" w:color="auto"/>
            </w:tcBorders>
          </w:tcPr>
          <w:p>
            <w:pPr>
              <w:spacing w:after="0"/>
              <w:rPr>
                <w:sz w:val="23"/>
                <w:szCs w:val="23"/>
                <w:color w:val="auto"/>
              </w:rPr>
            </w:pPr>
          </w:p>
        </w:tc>
        <w:tc>
          <w:tcPr>
            <w:tcW w:w="2280" w:type="dxa"/>
            <w:vAlign w:val="bottom"/>
          </w:tcPr>
          <w:p>
            <w:pPr>
              <w:spacing w:after="0"/>
              <w:rPr>
                <w:sz w:val="23"/>
                <w:szCs w:val="23"/>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These covenants are subject to a number of important limitations</w:t>
            </w:r>
          </w:p>
        </w:tc>
        <w:tc>
          <w:tcPr>
            <w:tcW w:w="820" w:type="dxa"/>
            <w:vAlign w:val="bottom"/>
          </w:tcPr>
          <w:p>
            <w:pPr>
              <w:spacing w:after="0"/>
              <w:rPr>
                <w:sz w:val="23"/>
                <w:szCs w:val="23"/>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and exceptions as described under “Description of the Notes — </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Certain Covenants.”</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15"/>
                <w:szCs w:val="15"/>
                <w:color w:val="auto"/>
              </w:rPr>
              <w:t>No Prior Market; No Listing</w:t>
            </w: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 notes will be a new issue of securities for which there is</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currently no established public market. Although the underwriters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have informed us that they intend to make a market in the notes,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they are not obligated to do so and may discontinue market-</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making with respect to the notes at any time without notice.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Accordingly, a liquid market for the notes may not develop or be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maintained. See “Risk Factors — Risks Related to the Notes —</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Your ability to transfer the notes may be limited by the absence of</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an active trading market, and an active trading market may not</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develop for the notes.”</w:t>
            </w:r>
          </w:p>
        </w:tc>
        <w:tc>
          <w:tcPr>
            <w:tcW w:w="820" w:type="dxa"/>
            <w:vAlign w:val="bottom"/>
          </w:tcPr>
          <w:p>
            <w:pPr>
              <w:spacing w:after="0"/>
              <w:rPr>
                <w:sz w:val="16"/>
                <w:szCs w:val="16"/>
                <w:color w:val="auto"/>
              </w:rPr>
            </w:pPr>
          </w:p>
        </w:tc>
      </w:tr>
      <w:tr>
        <w:trPr>
          <w:trHeight w:val="282"/>
        </w:trPr>
        <w:tc>
          <w:tcPr>
            <w:tcW w:w="88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We do not intend to apply for the listing of the notes on any</w:t>
            </w:r>
          </w:p>
        </w:tc>
        <w:tc>
          <w:tcPr>
            <w:tcW w:w="820" w:type="dxa"/>
            <w:vAlign w:val="bottom"/>
          </w:tcPr>
          <w:p>
            <w:pPr>
              <w:spacing w:after="0"/>
              <w:rPr>
                <w:sz w:val="24"/>
                <w:szCs w:val="24"/>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securities exchange or for the quotation of the notes in any</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dealer quotation system.</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15"/>
                <w:szCs w:val="15"/>
                <w:color w:val="auto"/>
              </w:rPr>
              <w:t>Use of Proceeds</w:t>
            </w: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We estimate net proceeds from the sale of the notes, after</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deducting underwriter discounts and other estimated offering</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expenses, will be approximately $993 million. We intend to use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net proceeds from the sale of the notes to repay borrowings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under our senior term loan due October 2024 (the “2024 Term</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Loan A”), and the remainder of the net proceeds for general</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corporate purposes, which may include the repayment of other</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indebtedness. See “Use of Proceeds.”</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15"/>
                <w:szCs w:val="15"/>
                <w:color w:val="auto"/>
              </w:rPr>
              <w:t>Risk Factors</w:t>
            </w: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You should carefully consider all of the information set forth in</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this prospectus supplement and the accompanying prospectus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and the documents, including the information incorporated by</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reference, and, in particular, should evaluate the specific factors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set forth in this prospectus supplement under “Risk Factors” for</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an explanation of certain risks you should consider before</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investing in the notes.</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15"/>
                <w:szCs w:val="15"/>
                <w:color w:val="auto"/>
              </w:rPr>
              <w:t>Form and Denomination</w:t>
            </w: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 notes will be issued in the form of one or more fully</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registered global securities, without coupons, in denominations of</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$2,000 in principal amount and integral multiples of $1,000 in</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excess thereof. These global notes will be deposited with the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trustee as custodian for, and registered in the name of, a</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nominee of The Depository Trust Company (“DTC”). Except in</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 limited</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251"/>
        </w:trPr>
        <w:tc>
          <w:tcPr>
            <w:tcW w:w="8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60" w:type="dxa"/>
            <w:vAlign w:val="bottom"/>
          </w:tcPr>
          <w:p>
            <w:pPr>
              <w:ind w:left="580"/>
              <w:spacing w:after="0"/>
              <w:rPr>
                <w:sz w:val="20"/>
                <w:szCs w:val="20"/>
                <w:color w:val="auto"/>
              </w:rPr>
            </w:pPr>
            <w:r>
              <w:rPr>
                <w:rFonts w:ascii="Arial" w:cs="Arial" w:eastAsia="Arial" w:hAnsi="Arial"/>
                <w:sz w:val="15"/>
                <w:szCs w:val="15"/>
                <w:color w:val="auto"/>
              </w:rPr>
              <w:t>S-3</w:t>
            </w:r>
          </w:p>
        </w:tc>
        <w:tc>
          <w:tcPr>
            <w:tcW w:w="820" w:type="dxa"/>
            <w:vAlign w:val="bottom"/>
          </w:tcPr>
          <w:p>
            <w:pPr>
              <w:spacing w:after="0"/>
              <w:rPr>
                <w:sz w:val="21"/>
                <w:szCs w:val="21"/>
                <w:color w:val="auto"/>
              </w:rPr>
            </w:pPr>
          </w:p>
        </w:tc>
      </w:tr>
      <w:tr>
        <w:trPr>
          <w:trHeight w:val="320"/>
        </w:trPr>
        <w:tc>
          <w:tcPr>
            <w:tcW w:w="8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circumstances described under “Description of the Notes — </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Book-Entry, Form, Denomination and Delivery of Notes,” notes in</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certificated form will not be issued or exchanged for interests in</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global securities. Investors may hold their interests in a global</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note directly through Euroclear Bank S.A./N.V, as operator of the</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Euroclear System (“Euroclear”), and Clearstream Banking, S.A.</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(“Clearstream”), if they are participants in such systems, or</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indirectly through organizations that are participants in such</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systems. Euroclear and Clearstream will hold interests in a global</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note on behalf of their participants through their respective</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depositaries, which in turn will hold such interests in the global</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note in customers’ securities accounts in the depositaries’ names</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on the books of DTC.</w:t>
      </w:r>
    </w:p>
    <w:p>
      <w:pPr>
        <w:sectPr>
          <w:pgSz w:w="11900" w:h="16838" w:orient="portrait"/>
          <w:cols w:equalWidth="0" w:num="1">
            <w:col w:w="9019"/>
          </w:cols>
          <w:pgMar w:left="1440" w:top="98" w:right="1440" w:bottom="1440" w:gutter="0" w:footer="0" w:header="0"/>
        </w:sectPr>
      </w:pPr>
    </w:p>
    <w:p>
      <w:pPr>
        <w:spacing w:after="0" w:line="7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Trustee, Registrar and Paying</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Agent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 Bank Trust Company, National Association.</w:t>
      </w:r>
    </w:p>
    <w:p>
      <w:pPr>
        <w:spacing w:after="0" w:line="103" w:lineRule="exact"/>
        <w:rPr>
          <w:sz w:val="20"/>
          <w:szCs w:val="20"/>
          <w:color w:val="auto"/>
        </w:rPr>
      </w:pPr>
    </w:p>
    <w:p>
      <w:pPr>
        <w:sectPr>
          <w:pgSz w:w="11900" w:h="16838" w:orient="portrait"/>
          <w:cols w:equalWidth="0" w:num="2">
            <w:col w:w="3100" w:space="540"/>
            <w:col w:w="5379"/>
          </w:cols>
          <w:pgMar w:left="1440" w:top="98" w:right="1440" w:bottom="1440" w:gutter="0" w:footer="0" w:header="0"/>
          <w:type w:val="continuous"/>
        </w:sectPr>
      </w:pPr>
    </w:p>
    <w:p>
      <w:pPr>
        <w:ind w:left="1160"/>
        <w:spacing w:after="0"/>
        <w:rPr>
          <w:sz w:val="20"/>
          <w:szCs w:val="20"/>
          <w:color w:val="auto"/>
        </w:rPr>
      </w:pPr>
      <w:r>
        <w:rPr>
          <w:rFonts w:ascii="Arial" w:cs="Arial" w:eastAsia="Arial" w:hAnsi="Arial"/>
          <w:sz w:val="14"/>
          <w:szCs w:val="14"/>
          <w:color w:val="auto"/>
        </w:rPr>
        <w:t>Governing Law</w:t>
      </w:r>
    </w:p>
    <w:p>
      <w:pPr>
        <w:spacing w:after="0" w:line="20" w:lineRule="exact"/>
        <w:rPr>
          <w:sz w:val="20"/>
          <w:szCs w:val="20"/>
          <w:color w:val="auto"/>
        </w:rPr>
      </w:pPr>
      <w:r>
        <w:rPr>
          <w:sz w:val="20"/>
          <w:szCs w:val="20"/>
          <w:color w:val="auto"/>
        </w:rPr>
        <w:br w:type="column"/>
      </w:r>
    </w:p>
    <w:p>
      <w:pPr>
        <w:ind w:right="1279"/>
        <w:spacing w:after="0" w:line="274" w:lineRule="auto"/>
        <w:rPr>
          <w:sz w:val="20"/>
          <w:szCs w:val="20"/>
          <w:color w:val="auto"/>
        </w:rPr>
      </w:pPr>
      <w:r>
        <w:rPr>
          <w:rFonts w:ascii="Arial" w:cs="Arial" w:eastAsia="Arial" w:hAnsi="Arial"/>
          <w:sz w:val="15"/>
          <w:szCs w:val="15"/>
          <w:color w:val="auto"/>
        </w:rPr>
        <w:t>The indenture and the notes will be governed by the laws of the State of New York.</w:t>
      </w:r>
    </w:p>
    <w:p>
      <w:pPr>
        <w:spacing w:after="0" w:line="48" w:lineRule="exact"/>
        <w:rPr>
          <w:sz w:val="20"/>
          <w:szCs w:val="20"/>
          <w:color w:val="auto"/>
        </w:rPr>
      </w:pPr>
    </w:p>
    <w:p>
      <w:pPr>
        <w:sectPr>
          <w:pgSz w:w="11900" w:h="16838" w:orient="portrait"/>
          <w:cols w:equalWidth="0" w:num="2">
            <w:col w:w="2920" w:space="720"/>
            <w:col w:w="5379"/>
          </w:cols>
          <w:pgMar w:left="1440" w:top="98" w:right="1440" w:bottom="1440" w:gutter="0" w:footer="0" w:header="0"/>
          <w:type w:val="continuous"/>
        </w:sectPr>
      </w:pPr>
    </w:p>
    <w:p>
      <w:pPr>
        <w:jc w:val="center"/>
        <w:ind w:left="660"/>
        <w:spacing w:after="0"/>
        <w:rPr>
          <w:sz w:val="20"/>
          <w:szCs w:val="20"/>
          <w:color w:val="auto"/>
        </w:rPr>
      </w:pPr>
      <w:r>
        <w:rPr>
          <w:rFonts w:ascii="Arial" w:cs="Arial" w:eastAsia="Arial" w:hAnsi="Arial"/>
          <w:sz w:val="14"/>
          <w:szCs w:val="14"/>
          <w:color w:val="auto"/>
        </w:rPr>
        <w:t>Conflicts of Interest</w:t>
      </w:r>
    </w:p>
    <w:p>
      <w:pPr>
        <w:spacing w:after="0" w:line="20" w:lineRule="exact"/>
        <w:rPr>
          <w:sz w:val="20"/>
          <w:szCs w:val="20"/>
          <w:color w:val="auto"/>
        </w:rPr>
      </w:pPr>
      <w:r>
        <w:rPr>
          <w:sz w:val="20"/>
          <w:szCs w:val="20"/>
          <w:color w:val="auto"/>
        </w:rPr>
        <w:br w:type="column"/>
      </w:r>
    </w:p>
    <w:p>
      <w:pPr>
        <w:ind w:right="1179"/>
        <w:spacing w:after="0" w:line="248" w:lineRule="auto"/>
        <w:rPr>
          <w:sz w:val="20"/>
          <w:szCs w:val="20"/>
          <w:color w:val="auto"/>
        </w:rPr>
      </w:pPr>
      <w:r>
        <w:rPr>
          <w:rFonts w:ascii="Arial" w:cs="Arial" w:eastAsia="Arial" w:hAnsi="Arial"/>
          <w:sz w:val="15"/>
          <w:szCs w:val="15"/>
          <w:color w:val="auto"/>
        </w:rPr>
        <w:t>Affiliates of certain underwriters will receive at least 5% of the net proceeds of this offering in connection with the repayment of the outstanding borrowings under our 2024 Term Loan A. See “Use of Proceeds.” Accordingly, this offering is being made in compliance with the requirements of Rule 5121 of the Financial Industry Regulation Authority (“FINRA”). 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w:t>
      </w:r>
    </w:p>
    <w:p>
      <w:pPr>
        <w:spacing w:after="0" w:line="200" w:lineRule="exact"/>
        <w:rPr>
          <w:sz w:val="20"/>
          <w:szCs w:val="20"/>
          <w:color w:val="auto"/>
        </w:rPr>
      </w:pPr>
    </w:p>
    <w:p>
      <w:pPr>
        <w:sectPr>
          <w:pgSz w:w="11900" w:h="16838" w:orient="portrait"/>
          <w:cols w:equalWidth="0" w:num="2">
            <w:col w:w="2920" w:space="720"/>
            <w:col w:w="5379"/>
          </w:cols>
          <w:pgMar w:left="1440" w:top="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8" w:name="page9"/>
    <w:bookmarkEnd w:id="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RISK FACTORS</w:t>
      </w:r>
    </w:p>
    <w:p>
      <w:pPr>
        <w:spacing w:after="0" w:line="130" w:lineRule="exact"/>
        <w:rPr>
          <w:sz w:val="20"/>
          <w:szCs w:val="20"/>
          <w:color w:val="auto"/>
        </w:rPr>
      </w:pPr>
    </w:p>
    <w:p>
      <w:pPr>
        <w:ind w:left="1140" w:right="1219"/>
        <w:spacing w:after="0" w:line="251" w:lineRule="auto"/>
        <w:rPr>
          <w:sz w:val="20"/>
          <w:szCs w:val="20"/>
          <w:color w:val="auto"/>
        </w:rPr>
      </w:pPr>
      <w:r>
        <w:rPr>
          <w:rFonts w:ascii="Arial" w:cs="Arial" w:eastAsia="Arial" w:hAnsi="Arial"/>
          <w:sz w:val="15"/>
          <w:szCs w:val="15"/>
          <w:color w:val="auto"/>
        </w:rPr>
        <w:t>In considering whether to purchase the notes, you should carefully consider all the information contained or incorporated by reference in this prospectus supplement and the accompanying prospectus. In particular, you should carefully consider the risk factors in our Quarterly Report on Form 10-Q for the fiscal quarter ended November 30, 2023 as well as the risk factors described below, which are not exhaustive. In this section, references to “Micron,” “us,” “we,” or “our” refer only to Micron Technology, Inc. and not to any of its subsidiaries.</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Risks Related to Our Business</w:t>
      </w:r>
    </w:p>
    <w:p>
      <w:pPr>
        <w:spacing w:after="0" w:line="122" w:lineRule="exact"/>
        <w:rPr>
          <w:sz w:val="20"/>
          <w:szCs w:val="20"/>
          <w:color w:val="auto"/>
        </w:rPr>
      </w:pPr>
    </w:p>
    <w:p>
      <w:pPr>
        <w:ind w:left="1140" w:right="1359"/>
        <w:spacing w:after="0" w:line="274" w:lineRule="auto"/>
        <w:rPr>
          <w:sz w:val="20"/>
          <w:szCs w:val="20"/>
          <w:color w:val="auto"/>
        </w:rPr>
      </w:pPr>
      <w:r>
        <w:rPr>
          <w:rFonts w:ascii="Arial" w:cs="Arial" w:eastAsia="Arial" w:hAnsi="Arial"/>
          <w:sz w:val="15"/>
          <w:szCs w:val="15"/>
          <w:color w:val="auto"/>
        </w:rPr>
        <w:t>We hereby incorporate by reference the risk factors in Item 1A of our Quarterly Report on Form 10-Q for the fiscal quarter ended November 30, 2023.</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Risks Related to the Notes</w:t>
      </w:r>
    </w:p>
    <w:p>
      <w:pPr>
        <w:spacing w:after="0" w:line="190" w:lineRule="exact"/>
        <w:rPr>
          <w:sz w:val="20"/>
          <w:szCs w:val="20"/>
          <w:color w:val="auto"/>
        </w:rPr>
      </w:pPr>
    </w:p>
    <w:p>
      <w:pPr>
        <w:ind w:left="1140" w:right="1399"/>
        <w:spacing w:after="0" w:line="282" w:lineRule="auto"/>
        <w:rPr>
          <w:sz w:val="20"/>
          <w:szCs w:val="20"/>
          <w:color w:val="auto"/>
        </w:rPr>
      </w:pPr>
      <w:r>
        <w:rPr>
          <w:rFonts w:ascii="Arial" w:cs="Arial" w:eastAsia="Arial" w:hAnsi="Arial"/>
          <w:sz w:val="15"/>
          <w:szCs w:val="15"/>
          <w:b w:val="1"/>
          <w:bCs w:val="1"/>
          <w:i w:val="1"/>
          <w:iCs w:val="1"/>
          <w:color w:val="auto"/>
        </w:rPr>
        <w:t>We may not be able to generate sufficient cash to service our debt obligations, including our obligations under the notes.</w:t>
      </w:r>
    </w:p>
    <w:p>
      <w:pPr>
        <w:spacing w:after="0" w:line="67" w:lineRule="exact"/>
        <w:rPr>
          <w:sz w:val="20"/>
          <w:szCs w:val="20"/>
          <w:color w:val="auto"/>
        </w:rPr>
      </w:pPr>
    </w:p>
    <w:p>
      <w:pPr>
        <w:ind w:left="1140" w:right="1199"/>
        <w:spacing w:after="0" w:line="252" w:lineRule="auto"/>
        <w:rPr>
          <w:sz w:val="20"/>
          <w:szCs w:val="20"/>
          <w:color w:val="auto"/>
        </w:rPr>
      </w:pPr>
      <w:r>
        <w:rPr>
          <w:rFonts w:ascii="Arial" w:cs="Arial" w:eastAsia="Arial" w:hAnsi="Arial"/>
          <w:sz w:val="15"/>
          <w:szCs w:val="15"/>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88"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05" w:lineRule="exact"/>
        <w:rPr>
          <w:sz w:val="20"/>
          <w:szCs w:val="20"/>
          <w:color w:val="auto"/>
        </w:rPr>
      </w:pPr>
    </w:p>
    <w:p>
      <w:pPr>
        <w:ind w:left="1140" w:right="1559"/>
        <w:spacing w:after="0" w:line="251" w:lineRule="auto"/>
        <w:rPr>
          <w:sz w:val="20"/>
          <w:szCs w:val="20"/>
          <w:color w:val="auto"/>
        </w:rPr>
      </w:pPr>
      <w:r>
        <w:rPr>
          <w:rFonts w:ascii="Arial" w:cs="Arial" w:eastAsia="Arial" w:hAnsi="Arial"/>
          <w:sz w:val="15"/>
          <w:szCs w:val="15"/>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56" w:lineRule="exact"/>
        <w:rPr>
          <w:sz w:val="20"/>
          <w:szCs w:val="20"/>
          <w:color w:val="auto"/>
        </w:rPr>
      </w:pPr>
    </w:p>
    <w:p>
      <w:pPr>
        <w:ind w:left="1140" w:right="1379"/>
        <w:spacing w:after="0" w:line="282" w:lineRule="auto"/>
        <w:rPr>
          <w:sz w:val="20"/>
          <w:szCs w:val="20"/>
          <w:color w:val="auto"/>
        </w:rPr>
      </w:pPr>
      <w:r>
        <w:rPr>
          <w:rFonts w:ascii="Arial" w:cs="Arial" w:eastAsia="Arial" w:hAnsi="Arial"/>
          <w:sz w:val="15"/>
          <w:szCs w:val="15"/>
          <w:b w:val="1"/>
          <w:bCs w:val="1"/>
          <w:i w:val="1"/>
          <w:iCs w:val="1"/>
          <w:color w:val="auto"/>
        </w:rPr>
        <w:t>Despite current indebtedness levels, we are able to incur substantially more debt. This could further exacerbate the risks described herein.</w:t>
      </w:r>
    </w:p>
    <w:p>
      <w:pPr>
        <w:spacing w:after="0" w:line="67" w:lineRule="exact"/>
        <w:rPr>
          <w:sz w:val="20"/>
          <w:szCs w:val="20"/>
          <w:color w:val="auto"/>
        </w:rPr>
      </w:pPr>
    </w:p>
    <w:p>
      <w:pPr>
        <w:ind w:left="1140" w:right="1219"/>
        <w:spacing w:after="0" w:line="248" w:lineRule="auto"/>
        <w:rPr>
          <w:sz w:val="20"/>
          <w:szCs w:val="20"/>
          <w:color w:val="auto"/>
        </w:rPr>
      </w:pPr>
      <w:r>
        <w:rPr>
          <w:rFonts w:ascii="Arial" w:cs="Arial" w:eastAsia="Arial" w:hAnsi="Arial"/>
          <w:sz w:val="15"/>
          <w:szCs w:val="15"/>
          <w:color w:val="auto"/>
        </w:rPr>
        <w:t xml:space="preserve">We and our subsidiaries are able to incur substantial additional indebtedness in the future, including secured indebtedness, and the terms of the indenture governing the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the holders of that debt will be entitled to share ratably with you in any proceeds distributed in connection with any insolvency, liquidation, reorganization,</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 w:name="page10"/>
    <w:bookmarkEnd w:id="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79"/>
        <w:spacing w:after="0" w:line="289" w:lineRule="auto"/>
        <w:rPr>
          <w:sz w:val="20"/>
          <w:szCs w:val="20"/>
          <w:color w:val="auto"/>
        </w:rPr>
      </w:pPr>
      <w:r>
        <w:rPr>
          <w:rFonts w:ascii="Arial" w:cs="Arial" w:eastAsia="Arial" w:hAnsi="Arial"/>
          <w:sz w:val="15"/>
          <w:szCs w:val="15"/>
          <w:color w:val="auto"/>
        </w:rPr>
        <w:t>dissolution or other winding-up of us. If new debt is added to our current debt levels, the related risks that we and our subsidiaries now face could intensify. See “Description of the Notes.”</w:t>
      </w:r>
    </w:p>
    <w:p>
      <w:pPr>
        <w:spacing w:after="0" w:line="139" w:lineRule="exact"/>
        <w:rPr>
          <w:sz w:val="20"/>
          <w:szCs w:val="20"/>
          <w:color w:val="auto"/>
        </w:rPr>
      </w:pPr>
    </w:p>
    <w:p>
      <w:pPr>
        <w:ind w:left="1140" w:right="1539"/>
        <w:spacing w:after="0" w:line="282" w:lineRule="auto"/>
        <w:rPr>
          <w:sz w:val="20"/>
          <w:szCs w:val="20"/>
          <w:color w:val="auto"/>
        </w:rPr>
      </w:pPr>
      <w:r>
        <w:rPr>
          <w:rFonts w:ascii="Arial" w:cs="Arial" w:eastAsia="Arial" w:hAnsi="Arial"/>
          <w:sz w:val="15"/>
          <w:szCs w:val="15"/>
          <w:b w:val="1"/>
          <w:bCs w:val="1"/>
          <w:i w:val="1"/>
          <w:iCs w:val="1"/>
          <w:color w:val="auto"/>
        </w:rPr>
        <w:t>The indenture governing the notes will contain negative covenants that may have a limited effect but these covenants may still restrict the operation of our business.</w:t>
      </w:r>
    </w:p>
    <w:p>
      <w:pPr>
        <w:spacing w:after="0" w:line="78" w:lineRule="exact"/>
        <w:rPr>
          <w:sz w:val="20"/>
          <w:szCs w:val="20"/>
          <w:color w:val="auto"/>
        </w:rPr>
      </w:pPr>
    </w:p>
    <w:p>
      <w:pPr>
        <w:ind w:left="1140" w:right="1159"/>
        <w:spacing w:after="0" w:line="257" w:lineRule="auto"/>
        <w:rPr>
          <w:sz w:val="20"/>
          <w:szCs w:val="20"/>
          <w:color w:val="auto"/>
        </w:rPr>
      </w:pPr>
      <w:r>
        <w:rPr>
          <w:rFonts w:ascii="Arial" w:cs="Arial" w:eastAsia="Arial" w:hAnsi="Arial"/>
          <w:sz w:val="15"/>
          <w:szCs w:val="15"/>
          <w:color w:val="auto"/>
        </w:rPr>
        <w:t>The indenture governing the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105" w:lineRule="exact"/>
        <w:rPr>
          <w:sz w:val="20"/>
          <w:szCs w:val="20"/>
          <w:color w:val="auto"/>
        </w:rPr>
      </w:pPr>
    </w:p>
    <w:p>
      <w:pPr>
        <w:ind w:left="1140" w:right="1219"/>
        <w:spacing w:after="0" w:line="279" w:lineRule="auto"/>
        <w:rPr>
          <w:sz w:val="20"/>
          <w:szCs w:val="20"/>
          <w:color w:val="auto"/>
        </w:rPr>
      </w:pPr>
      <w:r>
        <w:rPr>
          <w:rFonts w:ascii="Arial" w:cs="Arial" w:eastAsia="Arial" w:hAnsi="Arial"/>
          <w:sz w:val="14"/>
          <w:szCs w:val="14"/>
          <w:color w:val="auto"/>
        </w:rPr>
        <w:t>Despite the limited effect of the covenants in the indenture governing the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the notes does not have cross-acceleration or cross-default provisions.</w:t>
      </w:r>
    </w:p>
    <w:p>
      <w:pPr>
        <w:spacing w:after="0" w:line="92" w:lineRule="exact"/>
        <w:rPr>
          <w:sz w:val="20"/>
          <w:szCs w:val="20"/>
          <w:color w:val="auto"/>
        </w:rPr>
      </w:pPr>
    </w:p>
    <w:p>
      <w:pPr>
        <w:ind w:left="1140" w:right="1159"/>
        <w:spacing w:after="0" w:line="282" w:lineRule="auto"/>
        <w:rPr>
          <w:sz w:val="20"/>
          <w:szCs w:val="20"/>
          <w:color w:val="auto"/>
        </w:rPr>
      </w:pPr>
      <w:r>
        <w:rPr>
          <w:rFonts w:ascii="Arial" w:cs="Arial" w:eastAsia="Arial" w:hAnsi="Arial"/>
          <w:sz w:val="14"/>
          <w:szCs w:val="14"/>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48" w:lineRule="exact"/>
        <w:rPr>
          <w:sz w:val="20"/>
          <w:szCs w:val="20"/>
          <w:color w:val="auto"/>
        </w:rPr>
      </w:pPr>
    </w:p>
    <w:p>
      <w:pPr>
        <w:ind w:left="1140" w:right="2039"/>
        <w:spacing w:after="0" w:line="282" w:lineRule="auto"/>
        <w:rPr>
          <w:sz w:val="20"/>
          <w:szCs w:val="20"/>
          <w:color w:val="auto"/>
        </w:rPr>
      </w:pPr>
      <w:r>
        <w:rPr>
          <w:rFonts w:ascii="Arial" w:cs="Arial" w:eastAsia="Arial" w:hAnsi="Arial"/>
          <w:sz w:val="15"/>
          <w:szCs w:val="15"/>
          <w:b w:val="1"/>
          <w:bCs w:val="1"/>
          <w:i w:val="1"/>
          <w:iCs w:val="1"/>
          <w:color w:val="auto"/>
        </w:rPr>
        <w:t>Claims of noteholders will be structurally subordinated to claims of creditors of our subsidiaries.</w:t>
      </w:r>
    </w:p>
    <w:p>
      <w:pPr>
        <w:spacing w:after="0" w:line="56" w:lineRule="exact"/>
        <w:rPr>
          <w:sz w:val="20"/>
          <w:szCs w:val="20"/>
          <w:color w:val="auto"/>
        </w:rPr>
      </w:pPr>
    </w:p>
    <w:p>
      <w:pPr>
        <w:ind w:left="1140" w:right="1179"/>
        <w:spacing w:after="0" w:line="277" w:lineRule="auto"/>
        <w:rPr>
          <w:sz w:val="20"/>
          <w:szCs w:val="20"/>
          <w:color w:val="auto"/>
        </w:rPr>
      </w:pPr>
      <w:r>
        <w:rPr>
          <w:rFonts w:ascii="Arial" w:cs="Arial" w:eastAsia="Arial" w:hAnsi="Arial"/>
          <w:sz w:val="14"/>
          <w:szCs w:val="14"/>
          <w:color w:val="auto"/>
        </w:rPr>
        <w:t>The notes are not required to be guaranteed by any of our subsidiaries. Accordingly, claims of holders of the notes generally will be structurally subordinated to the claims of creditors of our subsidiaries, including trade creditors. The indenture governing the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November 30, 2023,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$6.7 billion, all of which will be structurally senior to the notes with respect to claims on the assets and cash flows of our subsidiaries.</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 w:name="page11"/>
    <w:bookmarkEnd w:id="1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40" w:right="1339"/>
        <w:spacing w:after="0" w:line="264" w:lineRule="auto"/>
        <w:rPr>
          <w:sz w:val="20"/>
          <w:szCs w:val="20"/>
          <w:color w:val="auto"/>
        </w:rPr>
      </w:pPr>
      <w:r>
        <w:rPr>
          <w:rFonts w:ascii="Arial" w:cs="Arial" w:eastAsia="Arial" w:hAnsi="Arial"/>
          <w:sz w:val="15"/>
          <w:szCs w:val="15"/>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80"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the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Changes in our credit rating may adversely affect your investment in the notes.</w:t>
      </w:r>
    </w:p>
    <w:p>
      <w:pPr>
        <w:spacing w:after="0" w:line="124" w:lineRule="exact"/>
        <w:rPr>
          <w:sz w:val="20"/>
          <w:szCs w:val="20"/>
          <w:color w:val="auto"/>
        </w:rPr>
      </w:pPr>
    </w:p>
    <w:p>
      <w:pPr>
        <w:ind w:left="1140" w:right="1199"/>
        <w:spacing w:after="0" w:line="249" w:lineRule="auto"/>
        <w:rPr>
          <w:sz w:val="20"/>
          <w:szCs w:val="20"/>
          <w:color w:val="auto"/>
        </w:rPr>
      </w:pPr>
      <w:r>
        <w:rPr>
          <w:rFonts w:ascii="Arial" w:cs="Arial" w:eastAsia="Arial" w:hAnsi="Arial"/>
          <w:sz w:val="15"/>
          <w:szCs w:val="15"/>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92" w:lineRule="exact"/>
        <w:rPr>
          <w:sz w:val="20"/>
          <w:szCs w:val="20"/>
          <w:color w:val="auto"/>
        </w:rPr>
      </w:pPr>
    </w:p>
    <w:p>
      <w:pPr>
        <w:ind w:left="1140" w:right="1239"/>
        <w:spacing w:after="0" w:line="252" w:lineRule="auto"/>
        <w:rPr>
          <w:sz w:val="20"/>
          <w:szCs w:val="20"/>
          <w:color w:val="auto"/>
        </w:rPr>
      </w:pPr>
      <w:r>
        <w:rPr>
          <w:rFonts w:ascii="Arial" w:cs="Arial" w:eastAsia="Arial" w:hAnsi="Arial"/>
          <w:sz w:val="15"/>
          <w:szCs w:val="15"/>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56" w:lineRule="exact"/>
        <w:rPr>
          <w:sz w:val="20"/>
          <w:szCs w:val="20"/>
          <w:color w:val="auto"/>
        </w:rPr>
      </w:pPr>
    </w:p>
    <w:p>
      <w:pPr>
        <w:ind w:left="1140" w:right="1179"/>
        <w:spacing w:after="0" w:line="282" w:lineRule="auto"/>
        <w:rPr>
          <w:sz w:val="20"/>
          <w:szCs w:val="20"/>
          <w:color w:val="auto"/>
        </w:rPr>
      </w:pPr>
      <w:r>
        <w:rPr>
          <w:rFonts w:ascii="Arial" w:cs="Arial" w:eastAsia="Arial" w:hAnsi="Arial"/>
          <w:sz w:val="15"/>
          <w:szCs w:val="15"/>
          <w:b w:val="1"/>
          <w:bCs w:val="1"/>
          <w:i w:val="1"/>
          <w:iCs w:val="1"/>
          <w:color w:val="auto"/>
        </w:rPr>
        <w:t>Your ability to transfer the notes may be limited by the absence of an active trading market, and an active trading market may not develop for the notes.</w:t>
      </w:r>
    </w:p>
    <w:p>
      <w:pPr>
        <w:spacing w:after="0" w:line="67" w:lineRule="exact"/>
        <w:rPr>
          <w:sz w:val="20"/>
          <w:szCs w:val="20"/>
          <w:color w:val="auto"/>
        </w:rPr>
      </w:pPr>
    </w:p>
    <w:p>
      <w:pPr>
        <w:ind w:left="1140" w:right="1219"/>
        <w:spacing w:after="0" w:line="248" w:lineRule="auto"/>
        <w:rPr>
          <w:sz w:val="20"/>
          <w:szCs w:val="20"/>
          <w:color w:val="auto"/>
        </w:rPr>
      </w:pPr>
      <w:r>
        <w:rPr>
          <w:rFonts w:ascii="Arial" w:cs="Arial" w:eastAsia="Arial" w:hAnsi="Arial"/>
          <w:sz w:val="15"/>
          <w:szCs w:val="15"/>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83" w:lineRule="exact"/>
        <w:rPr>
          <w:sz w:val="20"/>
          <w:szCs w:val="20"/>
          <w:color w:val="auto"/>
        </w:rPr>
      </w:pPr>
    </w:p>
    <w:p>
      <w:pPr>
        <w:ind w:left="1580" w:hanging="138"/>
        <w:spacing w:after="0"/>
        <w:tabs>
          <w:tab w:leader="none" w:pos="1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number of holders of notes;</w:t>
      </w:r>
    </w:p>
    <w:p>
      <w:pPr>
        <w:spacing w:after="0" w:line="114" w:lineRule="exact"/>
        <w:rPr>
          <w:rFonts w:ascii="Arial" w:cs="Arial" w:eastAsia="Arial" w:hAnsi="Arial"/>
          <w:sz w:val="15"/>
          <w:szCs w:val="15"/>
          <w:color w:val="auto"/>
        </w:rPr>
      </w:pPr>
    </w:p>
    <w:p>
      <w:pPr>
        <w:ind w:left="1580" w:hanging="138"/>
        <w:spacing w:after="0"/>
        <w:tabs>
          <w:tab w:leader="none" w:pos="1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operating performance and financial condition;</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market for similar securities;</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interest of securities dealers in making a market in the notes; and</w:t>
      </w:r>
    </w:p>
    <w:p>
      <w:pPr>
        <w:spacing w:after="0" w:line="114" w:lineRule="exact"/>
        <w:rPr>
          <w:rFonts w:ascii="Arial" w:cs="Arial" w:eastAsia="Arial" w:hAnsi="Arial"/>
          <w:sz w:val="15"/>
          <w:szCs w:val="15"/>
          <w:color w:val="auto"/>
        </w:rPr>
      </w:pPr>
    </w:p>
    <w:p>
      <w:pPr>
        <w:ind w:left="1580" w:hanging="138"/>
        <w:spacing w:after="0"/>
        <w:tabs>
          <w:tab w:leader="none" w:pos="1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prevailing interest rates.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72" w:lineRule="auto"/>
        <w:rPr>
          <w:sz w:val="20"/>
          <w:szCs w:val="20"/>
          <w:color w:val="auto"/>
        </w:rPr>
      </w:pPr>
      <w:r>
        <w:rPr>
          <w:rFonts w:ascii="Arial" w:cs="Arial" w:eastAsia="Arial" w:hAnsi="Arial"/>
          <w:sz w:val="14"/>
          <w:szCs w:val="14"/>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44" w:lineRule="exact"/>
        <w:rPr>
          <w:sz w:val="20"/>
          <w:szCs w:val="20"/>
          <w:color w:val="auto"/>
        </w:rPr>
      </w:pPr>
    </w:p>
    <w:p>
      <w:pPr>
        <w:ind w:left="1140" w:right="1279"/>
        <w:spacing w:after="0" w:line="264" w:lineRule="auto"/>
        <w:rPr>
          <w:sz w:val="20"/>
          <w:szCs w:val="20"/>
          <w:color w:val="auto"/>
        </w:rPr>
      </w:pPr>
      <w:r>
        <w:rPr>
          <w:rFonts w:ascii="Arial" w:cs="Arial" w:eastAsia="Arial" w:hAnsi="Arial"/>
          <w:sz w:val="15"/>
          <w:szCs w:val="15"/>
          <w:b w:val="1"/>
          <w:bCs w:val="1"/>
          <w:i w:val="1"/>
          <w:iCs w:val="1"/>
          <w:color w:val="auto"/>
        </w:rPr>
        <w:t>Upon a Change of Control Triggering Event, we may not have the funds necessary to finance the change of control offer required by the indenture governing the notes, which would violate the terms of such indenture.</w:t>
      </w:r>
    </w:p>
    <w:p>
      <w:pPr>
        <w:spacing w:after="0" w:line="80" w:lineRule="exact"/>
        <w:rPr>
          <w:sz w:val="20"/>
          <w:szCs w:val="20"/>
          <w:color w:val="auto"/>
        </w:rPr>
      </w:pPr>
    </w:p>
    <w:p>
      <w:pPr>
        <w:ind w:left="1140" w:right="1199"/>
        <w:spacing w:after="0" w:line="248" w:lineRule="auto"/>
        <w:rPr>
          <w:sz w:val="20"/>
          <w:szCs w:val="20"/>
          <w:color w:val="auto"/>
        </w:rPr>
      </w:pPr>
      <w:r>
        <w:rPr>
          <w:rFonts w:ascii="Arial" w:cs="Arial" w:eastAsia="Arial" w:hAnsi="Arial"/>
          <w:sz w:val="15"/>
          <w:szCs w:val="15"/>
          <w:color w:val="auto"/>
        </w:rPr>
        <w:t>Upon the occurrence of a Change of Control Triggering Event (as defined in the indenture governing the notes), holders of the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58" w:lineRule="exact"/>
        <w:rPr>
          <w:sz w:val="20"/>
          <w:szCs w:val="20"/>
          <w:color w:val="auto"/>
        </w:rPr>
      </w:pPr>
    </w:p>
    <w:p>
      <w:pPr>
        <w:ind w:left="1140" w:right="1679"/>
        <w:spacing w:after="0" w:line="282" w:lineRule="auto"/>
        <w:rPr>
          <w:sz w:val="20"/>
          <w:szCs w:val="20"/>
          <w:color w:val="auto"/>
        </w:rPr>
      </w:pPr>
      <w:r>
        <w:rPr>
          <w:rFonts w:ascii="Arial" w:cs="Arial" w:eastAsia="Arial" w:hAnsi="Arial"/>
          <w:sz w:val="15"/>
          <w:szCs w:val="15"/>
          <w:b w:val="1"/>
          <w:bCs w:val="1"/>
          <w:i w:val="1"/>
          <w:iCs w:val="1"/>
          <w:color w:val="auto"/>
        </w:rPr>
        <w:t>The provisions of the notes will not necessarily protect you in the event of certain highly leveraged transactions.</w:t>
      </w:r>
    </w:p>
    <w:p>
      <w:pPr>
        <w:spacing w:after="0" w:line="67"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color w:val="auto"/>
        </w:rPr>
        <w:t>Upon the occurrence of a Change of Control Triggering Event, you will have the right to require us to purchase the notes as provided in the indenture governing the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ratings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USE OF PROCEEDS</w:t>
      </w:r>
    </w:p>
    <w:p>
      <w:pPr>
        <w:spacing w:after="0" w:line="130" w:lineRule="exact"/>
        <w:rPr>
          <w:sz w:val="20"/>
          <w:szCs w:val="20"/>
          <w:color w:val="auto"/>
        </w:rPr>
      </w:pPr>
    </w:p>
    <w:p>
      <w:pPr>
        <w:ind w:left="1140" w:right="1339"/>
        <w:spacing w:after="0" w:line="274" w:lineRule="auto"/>
        <w:rPr>
          <w:sz w:val="20"/>
          <w:szCs w:val="20"/>
          <w:color w:val="auto"/>
        </w:rPr>
      </w:pPr>
      <w:r>
        <w:rPr>
          <w:rFonts w:ascii="Arial" w:cs="Arial" w:eastAsia="Arial" w:hAnsi="Arial"/>
          <w:sz w:val="15"/>
          <w:szCs w:val="15"/>
          <w:color w:val="auto"/>
        </w:rPr>
        <w:t>We estimate net proceeds from the sale of the notes, after deducting underwriter discounts and other estimated offering expenses, will be approximately $993 million.</w:t>
      </w:r>
    </w:p>
    <w:p>
      <w:pPr>
        <w:spacing w:after="0" w:line="81" w:lineRule="exact"/>
        <w:rPr>
          <w:sz w:val="20"/>
          <w:szCs w:val="20"/>
          <w:color w:val="auto"/>
        </w:rPr>
      </w:pPr>
    </w:p>
    <w:p>
      <w:pPr>
        <w:ind w:left="1140" w:right="1239"/>
        <w:spacing w:after="0" w:line="249" w:lineRule="auto"/>
        <w:rPr>
          <w:sz w:val="20"/>
          <w:szCs w:val="20"/>
          <w:color w:val="auto"/>
        </w:rPr>
      </w:pPr>
      <w:r>
        <w:rPr>
          <w:rFonts w:ascii="Arial" w:cs="Arial" w:eastAsia="Arial" w:hAnsi="Arial"/>
          <w:sz w:val="15"/>
          <w:szCs w:val="15"/>
          <w:color w:val="auto"/>
        </w:rPr>
        <w:t>We intend to use net proceeds from the sale of the notes to repay borrowings under our 2024 Term Loan A. As of November 30, 2023, approximately $588 million in principal amount of the 2024 Term Loan A was outstanding. Amounts borrowed under the 2024 Term Loan A bear interest at a rate equal to adjusted term SOFR plus an applicable interest rate margin ranging from 0.625% to 1.375% depending on our corporate credit ratings. Adjusted term SOFR for the 2024 Term Loan A is the SOFR benchmark plus a credit spread adjustment ranging from approximately 0.11% to 0.43% depending on the applicable interest period selected. As of January 8, 2024 such rate was 6.17044% per annum. Borrowings under the 2024 Term Loan A mature on October 30, 2024 and may be repaid at any time without penalty.</w:t>
      </w:r>
    </w:p>
    <w:p>
      <w:pPr>
        <w:spacing w:after="0" w:line="90" w:lineRule="exact"/>
        <w:rPr>
          <w:sz w:val="20"/>
          <w:szCs w:val="20"/>
          <w:color w:val="auto"/>
        </w:rPr>
      </w:pPr>
    </w:p>
    <w:p>
      <w:pPr>
        <w:ind w:left="1140" w:right="1159"/>
        <w:spacing w:after="0" w:line="250" w:lineRule="auto"/>
        <w:rPr>
          <w:sz w:val="20"/>
          <w:szCs w:val="20"/>
          <w:color w:val="auto"/>
        </w:rPr>
      </w:pPr>
      <w:r>
        <w:rPr>
          <w:rFonts w:ascii="Arial" w:cs="Arial" w:eastAsia="Arial" w:hAnsi="Arial"/>
          <w:sz w:val="15"/>
          <w:szCs w:val="15"/>
          <w:color w:val="auto"/>
        </w:rPr>
        <w:t>Affiliates of certain underwriters will receive at least 5% of the net proceeds of this offering in connection with the repayment of the outstanding borrowings under our 2024 Term Loan A. Accordingly, this offering is being made in compliance with the requirements of Rule 5121 of FINRA. 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 See “Underwriting (Conflicts of Interest).”</w:t>
      </w:r>
    </w:p>
    <w:p>
      <w:pPr>
        <w:spacing w:after="0" w:line="100" w:lineRule="exact"/>
        <w:rPr>
          <w:sz w:val="20"/>
          <w:szCs w:val="20"/>
          <w:color w:val="auto"/>
        </w:rPr>
      </w:pPr>
    </w:p>
    <w:p>
      <w:pPr>
        <w:ind w:left="1140" w:right="1439"/>
        <w:spacing w:after="0" w:line="274" w:lineRule="auto"/>
        <w:rPr>
          <w:sz w:val="20"/>
          <w:szCs w:val="20"/>
          <w:color w:val="auto"/>
        </w:rPr>
      </w:pPr>
      <w:r>
        <w:rPr>
          <w:rFonts w:ascii="Arial" w:cs="Arial" w:eastAsia="Arial" w:hAnsi="Arial"/>
          <w:sz w:val="15"/>
          <w:szCs w:val="15"/>
          <w:color w:val="auto"/>
        </w:rPr>
        <w:t>We intend to use the remainder of the net proceeds from the sale of the notes for general corporate purposes, which may include the repayment of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 w:name="page14"/>
    <w:bookmarkEnd w:id="1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CASH AND CAPITALIZATION</w:t>
      </w:r>
    </w:p>
    <w:p>
      <w:pPr>
        <w:spacing w:after="0" w:line="130" w:lineRule="exact"/>
        <w:rPr>
          <w:sz w:val="20"/>
          <w:szCs w:val="20"/>
          <w:color w:val="auto"/>
        </w:rPr>
      </w:pPr>
    </w:p>
    <w:p>
      <w:pPr>
        <w:jc w:val="both"/>
        <w:ind w:left="1140" w:right="1659"/>
        <w:spacing w:after="0" w:line="294" w:lineRule="auto"/>
        <w:rPr>
          <w:sz w:val="20"/>
          <w:szCs w:val="20"/>
          <w:color w:val="auto"/>
        </w:rPr>
      </w:pPr>
      <w:r>
        <w:rPr>
          <w:rFonts w:ascii="Arial" w:cs="Arial" w:eastAsia="Arial" w:hAnsi="Arial"/>
          <w:sz w:val="14"/>
          <w:szCs w:val="14"/>
          <w:color w:val="auto"/>
        </w:rPr>
        <w:t>The following table sets forth a summary of our consolidated cash, cash equivalents, short-term investments and long-term marketable investments and capitalization as of November 30, 2023:</w:t>
      </w:r>
    </w:p>
    <w:p>
      <w:pPr>
        <w:spacing w:after="0" w:line="25" w:lineRule="exact"/>
        <w:rPr>
          <w:sz w:val="20"/>
          <w:szCs w:val="20"/>
          <w:color w:val="auto"/>
        </w:rPr>
      </w:pPr>
    </w:p>
    <w:p>
      <w:pPr>
        <w:ind w:left="1580" w:hanging="138"/>
        <w:spacing w:after="0"/>
        <w:tabs>
          <w:tab w:leader="none" w:pos="1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an actual basis; and</w:t>
      </w:r>
    </w:p>
    <w:p>
      <w:pPr>
        <w:spacing w:after="0" w:line="59" w:lineRule="exact"/>
        <w:rPr>
          <w:rFonts w:ascii="Arial" w:cs="Arial" w:eastAsia="Arial" w:hAnsi="Arial"/>
          <w:sz w:val="15"/>
          <w:szCs w:val="15"/>
          <w:color w:val="auto"/>
        </w:rPr>
      </w:pPr>
    </w:p>
    <w:p>
      <w:pPr>
        <w:jc w:val="both"/>
        <w:ind w:left="1580" w:right="1299" w:hanging="138"/>
        <w:spacing w:after="0" w:line="255" w:lineRule="auto"/>
        <w:tabs>
          <w:tab w:leader="none" w:pos="1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an as adjusted basis to give effect to (i) the issuance of the notes offered by this prospectus supplement as if the offering had occurred on November 30, 2023 and (ii) the application of the net proceeds therefrom as described in “Use of Proceeds” to repay borrowings under the 2024 Term Loan A.</w:t>
      </w:r>
    </w:p>
    <w:p>
      <w:pPr>
        <w:spacing w:after="0" w:line="84" w:lineRule="exact"/>
        <w:rPr>
          <w:sz w:val="20"/>
          <w:szCs w:val="20"/>
          <w:color w:val="auto"/>
        </w:rPr>
      </w:pPr>
    </w:p>
    <w:p>
      <w:pPr>
        <w:ind w:left="1140" w:right="1499"/>
        <w:spacing w:after="0" w:line="259" w:lineRule="auto"/>
        <w:rPr>
          <w:sz w:val="20"/>
          <w:szCs w:val="20"/>
          <w:color w:val="auto"/>
        </w:rPr>
      </w:pPr>
      <w:r>
        <w:rPr>
          <w:rFonts w:ascii="Arial" w:cs="Arial" w:eastAsia="Arial" w:hAnsi="Arial"/>
          <w:sz w:val="15"/>
          <w:szCs w:val="15"/>
          <w:color w:val="auto"/>
        </w:rPr>
        <w:t>This table should be read in conjunction with our consolidated financial statements incorporated by reference in this prospectus supplement.</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0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5"/>
          </w:tcPr>
          <w:p>
            <w:pPr>
              <w:jc w:val="center"/>
              <w:ind w:right="27"/>
              <w:spacing w:after="0"/>
              <w:rPr>
                <w:sz w:val="20"/>
                <w:szCs w:val="20"/>
                <w:color w:val="auto"/>
              </w:rPr>
            </w:pPr>
            <w:r>
              <w:rPr>
                <w:rFonts w:ascii="Arial" w:cs="Arial" w:eastAsia="Arial" w:hAnsi="Arial"/>
                <w:sz w:val="12"/>
                <w:szCs w:val="12"/>
                <w:b w:val="1"/>
                <w:bCs w:val="1"/>
                <w:color w:val="auto"/>
                <w:w w:val="96"/>
              </w:rPr>
              <w:t>As of November 30,</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center"/>
              <w:ind w:left="249"/>
              <w:spacing w:after="0"/>
              <w:rPr>
                <w:sz w:val="20"/>
                <w:szCs w:val="20"/>
                <w:color w:val="auto"/>
              </w:rPr>
            </w:pPr>
            <w:r>
              <w:rPr>
                <w:rFonts w:ascii="Arial" w:cs="Arial" w:eastAsia="Arial" w:hAnsi="Arial"/>
                <w:sz w:val="12"/>
                <w:szCs w:val="12"/>
                <w:b w:val="1"/>
                <w:bCs w:val="1"/>
                <w:color w:val="auto"/>
                <w:w w:val="97"/>
              </w:rPr>
              <w:t>2023</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9"/>
        </w:trPr>
        <w:tc>
          <w:tcPr>
            <w:tcW w:w="6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4"/>
          </w:tcPr>
          <w:p>
            <w:pPr>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  Actual  </w:t>
            </w:r>
            <w:r>
              <w:rPr>
                <w:rFonts w:ascii="Arial" w:cs="Arial" w:eastAsia="Arial" w:hAnsi="Arial"/>
                <w:sz w:val="20"/>
                <w:szCs w:val="20"/>
                <w:b w:val="1"/>
                <w:bCs w:val="1"/>
                <w:color w:val="auto"/>
                <w:vertAlign w:val="subscript"/>
              </w:rPr>
              <w:t>​</w:t>
            </w:r>
          </w:p>
        </w:tc>
        <w:tc>
          <w:tcPr>
            <w:tcW w:w="1800" w:type="dxa"/>
            <w:vAlign w:val="bottom"/>
            <w:gridSpan w:val="5"/>
          </w:tcPr>
          <w:p>
            <w:pPr>
              <w:ind w:left="20"/>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 As Adjusted </w:t>
            </w:r>
            <w:r>
              <w:rPr>
                <w:rFonts w:ascii="Arial" w:cs="Arial" w:eastAsia="Arial" w:hAnsi="Arial"/>
                <w:sz w:val="20"/>
                <w:szCs w:val="20"/>
                <w:b w:val="1"/>
                <w:bCs w:val="1"/>
                <w:color w:val="auto"/>
                <w:vertAlign w:val="subscript"/>
              </w:rPr>
              <w:t>​</w:t>
            </w:r>
          </w:p>
        </w:tc>
        <w:tc>
          <w:tcPr>
            <w:tcW w:w="0" w:type="dxa"/>
            <w:vAlign w:val="bottom"/>
          </w:tcPr>
          <w:p>
            <w:pPr>
              <w:spacing w:after="0"/>
              <w:rPr>
                <w:sz w:val="1"/>
                <w:szCs w:val="1"/>
                <w:color w:val="auto"/>
              </w:rPr>
            </w:pPr>
          </w:p>
        </w:tc>
      </w:tr>
      <w:tr>
        <w:trPr>
          <w:trHeight w:val="179"/>
        </w:trPr>
        <w:tc>
          <w:tcPr>
            <w:tcW w:w="6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98"/>
              </w:rPr>
              <w:t>(dollars in millions)</w:t>
            </w:r>
          </w:p>
        </w:tc>
        <w:tc>
          <w:tcPr>
            <w:tcW w:w="80" w:type="dxa"/>
            <w:vAlign w:val="bottom"/>
            <w:tcBorders>
              <w:top w:val="single" w:sz="8" w:color="auto"/>
            </w:tcBorders>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60" w:type="dxa"/>
            <w:vAlign w:val="bottom"/>
            <w:shd w:val="clear" w:color="auto" w:fill="CCEEFF"/>
          </w:tcPr>
          <w:p>
            <w:pPr>
              <w:spacing w:after="0"/>
              <w:rPr>
                <w:sz w:val="16"/>
                <w:szCs w:val="16"/>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8,075​​ ​</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8,480</w:t>
            </w:r>
          </w:p>
        </w:tc>
        <w:tc>
          <w:tcPr>
            <w:tcW w:w="80" w:type="dxa"/>
            <w:vAlign w:val="bottom"/>
            <w:shd w:val="clear" w:color="auto" w:fill="CCEEFF"/>
          </w:tcPr>
          <w:p>
            <w:pPr>
              <w:spacing w:after="0"/>
              <w:rPr>
                <w:sz w:val="16"/>
                <w:szCs w:val="16"/>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6060" w:type="dxa"/>
            <w:vAlign w:val="bottom"/>
            <w:gridSpan w:val="2"/>
          </w:tcPr>
          <w:p>
            <w:pPr>
              <w:ind w:left="1020"/>
              <w:spacing w:after="0"/>
              <w:rPr>
                <w:sz w:val="20"/>
                <w:szCs w:val="20"/>
                <w:color w:val="auto"/>
              </w:rPr>
            </w:pPr>
            <w:r>
              <w:rPr>
                <w:rFonts w:ascii="Arial" w:cs="Arial" w:eastAsia="Arial" w:hAnsi="Arial"/>
                <w:sz w:val="15"/>
                <w:szCs w:val="15"/>
                <w:color w:val="auto"/>
              </w:rPr>
              <w:t>Short-term investments</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973​​ ​</w:t>
            </w:r>
          </w:p>
        </w:tc>
        <w:tc>
          <w:tcPr>
            <w:tcW w:w="140" w:type="dxa"/>
            <w:vAlign w:val="bottom"/>
          </w:tcPr>
          <w:p>
            <w:pPr>
              <w:spacing w:after="0"/>
              <w:rPr>
                <w:sz w:val="20"/>
                <w:szCs w:val="20"/>
                <w:color w:val="auto"/>
              </w:rPr>
            </w:pPr>
            <w:r>
              <w:rPr>
                <w:rFonts w:ascii="Arial" w:cs="Arial" w:eastAsia="Arial" w:hAnsi="Arial"/>
                <w:sz w:val="15"/>
                <w:szCs w:val="15"/>
                <w:color w:val="auto"/>
              </w:rPr>
              <w:t>​ ​</w:t>
            </w:r>
          </w:p>
        </w:tc>
        <w:tc>
          <w:tcPr>
            <w:tcW w:w="400" w:type="dxa"/>
            <w:vAlign w:val="bottom"/>
          </w:tcPr>
          <w:p>
            <w:pPr>
              <w:jc w:val="right"/>
              <w:spacing w:after="0"/>
              <w:rPr>
                <w:sz w:val="20"/>
                <w:szCs w:val="20"/>
                <w:color w:val="auto"/>
              </w:rPr>
            </w:pPr>
            <w:r>
              <w:rPr>
                <w:rFonts w:ascii="Arial" w:cs="Arial" w:eastAsia="Arial" w:hAnsi="Arial"/>
                <w:sz w:val="15"/>
                <w:szCs w:val="15"/>
                <w:color w:val="auto"/>
              </w:rPr>
              <w:t>973</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Long-term marketable investments</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720​​ ​</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720</w:t>
            </w:r>
          </w:p>
        </w:tc>
        <w:tc>
          <w:tcPr>
            <w:tcW w:w="80" w:type="dxa"/>
            <w:vAlign w:val="bottom"/>
            <w:shd w:val="clear" w:color="auto" w:fill="CCEEFF"/>
          </w:tcPr>
          <w:p>
            <w:pPr>
              <w:spacing w:after="0"/>
              <w:rPr>
                <w:sz w:val="19"/>
                <w:szCs w:val="19"/>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4"/>
        </w:trPr>
        <w:tc>
          <w:tcPr>
            <w:tcW w:w="1040" w:type="dxa"/>
            <w:vAlign w:val="bottom"/>
          </w:tcPr>
          <w:p>
            <w:pPr>
              <w:spacing w:after="0"/>
              <w:rPr>
                <w:sz w:val="14"/>
                <w:szCs w:val="14"/>
                <w:color w:val="auto"/>
              </w:rPr>
            </w:pPr>
          </w:p>
        </w:tc>
        <w:tc>
          <w:tcPr>
            <w:tcW w:w="5020" w:type="dxa"/>
            <w:vAlign w:val="bottom"/>
            <w:tcBorders>
              <w:top w:val="single" w:sz="8" w:color="CCEEFF"/>
            </w:tcBorders>
          </w:tcPr>
          <w:p>
            <w:pPr>
              <w:ind w:left="280"/>
              <w:spacing w:after="0" w:line="164" w:lineRule="exact"/>
              <w:rPr>
                <w:sz w:val="20"/>
                <w:szCs w:val="20"/>
                <w:color w:val="auto"/>
              </w:rPr>
            </w:pPr>
            <w:r>
              <w:rPr>
                <w:rFonts w:ascii="Arial" w:cs="Arial" w:eastAsia="Arial" w:hAnsi="Arial"/>
                <w:sz w:val="15"/>
                <w:szCs w:val="15"/>
                <w:color w:val="auto"/>
                <w:w w:val="98"/>
              </w:rPr>
              <w:t>Cash and equivalents, short-term investments and long-term marketable</w:t>
            </w: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5"/>
                <w:szCs w:val="15"/>
                <w:color w:val="auto"/>
              </w:rPr>
              <w:t>investments</w:t>
            </w:r>
          </w:p>
        </w:tc>
        <w:tc>
          <w:tcPr>
            <w:tcW w:w="60" w:type="dxa"/>
            <w:vAlign w:val="bottom"/>
          </w:tcPr>
          <w:p>
            <w:pPr>
              <w:spacing w:after="0"/>
              <w:rPr>
                <w:sz w:val="18"/>
                <w:szCs w:val="18"/>
                <w:color w:val="auto"/>
              </w:rPr>
            </w:pPr>
          </w:p>
        </w:tc>
        <w:tc>
          <w:tcPr>
            <w:tcW w:w="320" w:type="dxa"/>
            <w:vAlign w:val="bottom"/>
            <w:gridSpan w:val="3"/>
          </w:tcPr>
          <w:p>
            <w:pPr>
              <w:ind w:left="40"/>
              <w:spacing w:after="0" w:line="213"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680" w:type="dxa"/>
            <w:vAlign w:val="bottom"/>
            <w:gridSpan w:val="3"/>
          </w:tcPr>
          <w:p>
            <w:pPr>
              <w:jc w:val="right"/>
              <w:ind w:right="47"/>
              <w:spacing w:after="0" w:line="213" w:lineRule="exact"/>
              <w:rPr>
                <w:sz w:val="20"/>
                <w:szCs w:val="20"/>
                <w:color w:val="auto"/>
              </w:rPr>
            </w:pPr>
            <w:r>
              <w:rPr>
                <w:rFonts w:ascii="Arial" w:cs="Arial" w:eastAsia="Arial" w:hAnsi="Arial"/>
                <w:sz w:val="13"/>
                <w:szCs w:val="13"/>
                <w:color w:val="auto"/>
              </w:rPr>
              <w:t>9,768</w:t>
            </w:r>
            <w:r>
              <w:rPr>
                <w:rFonts w:ascii="Arial" w:cs="Arial" w:eastAsia="Arial" w:hAnsi="Arial"/>
                <w:sz w:val="24"/>
                <w:szCs w:val="24"/>
                <w:color w:val="auto"/>
                <w:vertAlign w:val="subscript"/>
              </w:rPr>
              <w:t>​​ ​</w:t>
            </w:r>
          </w:p>
        </w:tc>
        <w:tc>
          <w:tcPr>
            <w:tcW w:w="540" w:type="dxa"/>
            <w:vAlign w:val="bottom"/>
            <w:gridSpan w:val="2"/>
          </w:tcPr>
          <w:p>
            <w:pPr>
              <w:spacing w:after="0" w:line="213"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$10,173</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Pr>
          <w:p>
            <w:pPr>
              <w:spacing w:after="0"/>
              <w:rPr>
                <w:sz w:val="13"/>
                <w:szCs w:val="13"/>
                <w:color w:val="auto"/>
              </w:rPr>
            </w:pPr>
          </w:p>
        </w:tc>
        <w:tc>
          <w:tcPr>
            <w:tcW w:w="502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Current debt:</w:t>
            </w:r>
          </w:p>
        </w:tc>
        <w:tc>
          <w:tcPr>
            <w:tcW w:w="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ind w:left="40"/>
              <w:spacing w:after="0" w:line="150" w:lineRule="exact"/>
              <w:rPr>
                <w:sz w:val="20"/>
                <w:szCs w:val="20"/>
                <w:color w:val="auto"/>
              </w:rPr>
            </w:pPr>
            <w:r>
              <w:rPr>
                <w:rFonts w:ascii="Arial" w:cs="Arial" w:eastAsia="Arial" w:hAnsi="Arial"/>
                <w:sz w:val="15"/>
                <w:szCs w:val="15"/>
                <w:color w:val="auto"/>
              </w:rPr>
              <w:t>​ ​​ ​</w:t>
            </w:r>
          </w:p>
        </w:tc>
        <w:tc>
          <w:tcPr>
            <w:tcW w:w="420" w:type="dxa"/>
            <w:vAlign w:val="bottom"/>
            <w:shd w:val="clear" w:color="auto" w:fill="CCEEFF"/>
          </w:tcPr>
          <w:p>
            <w:pPr>
              <w:spacing w:after="0"/>
              <w:rPr>
                <w:sz w:val="13"/>
                <w:szCs w:val="13"/>
                <w:color w:val="auto"/>
              </w:rPr>
            </w:pPr>
          </w:p>
        </w:tc>
        <w:tc>
          <w:tcPr>
            <w:tcW w:w="260" w:type="dxa"/>
            <w:vAlign w:val="bottom"/>
            <w:tcBorders>
              <w:right w:val="single" w:sz="8" w:color="CCEEFF"/>
            </w:tcBorders>
            <w:gridSpan w:val="2"/>
            <w:shd w:val="clear" w:color="auto" w:fill="CCEEFF"/>
          </w:tcPr>
          <w:p>
            <w:pPr>
              <w:jc w:val="right"/>
              <w:ind w:right="47"/>
              <w:spacing w:after="0" w:line="150" w:lineRule="exact"/>
              <w:rPr>
                <w:sz w:val="20"/>
                <w:szCs w:val="20"/>
                <w:color w:val="auto"/>
              </w:rPr>
            </w:pPr>
            <w:r>
              <w:rPr>
                <w:rFonts w:ascii="Arial" w:cs="Arial" w:eastAsia="Arial" w:hAnsi="Arial"/>
                <w:sz w:val="15"/>
                <w:szCs w:val="15"/>
                <w:color w:val="auto"/>
              </w:rPr>
              <w:t>​​ ​</w:t>
            </w:r>
          </w:p>
        </w:tc>
        <w:tc>
          <w:tcPr>
            <w:tcW w:w="14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 ​</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w:t>
            </w:r>
          </w:p>
        </w:tc>
        <w:tc>
          <w:tcPr>
            <w:tcW w:w="1020" w:type="dxa"/>
            <w:vAlign w:val="bottom"/>
            <w:tcBorders>
              <w:left w:val="single" w:sz="8" w:color="CCEEFF"/>
            </w:tcBorders>
          </w:tcPr>
          <w:p>
            <w:pPr>
              <w:spacing w:after="0" w:line="15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2024 Term Loan A</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587​​ ​</w:t>
            </w:r>
          </w:p>
        </w:tc>
        <w:tc>
          <w:tcPr>
            <w:tcW w:w="140" w:type="dxa"/>
            <w:vAlign w:val="bottom"/>
          </w:tcPr>
          <w:p>
            <w:pPr>
              <w:spacing w:after="0"/>
              <w:rPr>
                <w:sz w:val="20"/>
                <w:szCs w:val="20"/>
                <w:color w:val="auto"/>
              </w:rPr>
            </w:pPr>
            <w:r>
              <w:rPr>
                <w:rFonts w:ascii="Arial" w:cs="Arial" w:eastAsia="Arial" w:hAnsi="Arial"/>
                <w:sz w:val="15"/>
                <w:szCs w:val="15"/>
                <w:color w:val="auto"/>
              </w:rPr>
              <w:t>​ ​</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2026 Term Loan A</w:t>
            </w:r>
          </w:p>
        </w:tc>
        <w:tc>
          <w:tcPr>
            <w:tcW w:w="6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49​​ ​</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2027 Term Loan A</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57​​ ​</w:t>
            </w:r>
          </w:p>
        </w:tc>
        <w:tc>
          <w:tcPr>
            <w:tcW w:w="140" w:type="dxa"/>
            <w:vAlign w:val="bottom"/>
          </w:tcPr>
          <w:p>
            <w:pPr>
              <w:spacing w:after="0"/>
              <w:rPr>
                <w:sz w:val="20"/>
                <w:szCs w:val="20"/>
                <w:color w:val="auto"/>
              </w:rPr>
            </w:pPr>
            <w:r>
              <w:rPr>
                <w:rFonts w:ascii="Arial" w:cs="Arial" w:eastAsia="Arial" w:hAnsi="Arial"/>
                <w:sz w:val="15"/>
                <w:szCs w:val="15"/>
                <w:color w:val="auto"/>
              </w:rPr>
              <w:t>​ ​</w:t>
            </w:r>
          </w:p>
        </w:tc>
        <w:tc>
          <w:tcPr>
            <w:tcW w:w="400" w:type="dxa"/>
            <w:vAlign w:val="bottom"/>
          </w:tcPr>
          <w:p>
            <w:pPr>
              <w:jc w:val="right"/>
              <w:spacing w:after="0"/>
              <w:rPr>
                <w:sz w:val="20"/>
                <w:szCs w:val="20"/>
                <w:color w:val="auto"/>
              </w:rPr>
            </w:pPr>
            <w:r>
              <w:rPr>
                <w:rFonts w:ascii="Arial" w:cs="Arial" w:eastAsia="Arial" w:hAnsi="Arial"/>
                <w:sz w:val="15"/>
                <w:szCs w:val="15"/>
                <w:color w:val="auto"/>
              </w:rPr>
              <w:t>57</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 obligations</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215​​ ​</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80" w:type="dxa"/>
            <w:vAlign w:val="bottom"/>
            <w:shd w:val="clear" w:color="auto" w:fill="CCEEFF"/>
          </w:tcPr>
          <w:p>
            <w:pPr>
              <w:spacing w:after="0"/>
              <w:rPr>
                <w:sz w:val="19"/>
                <w:szCs w:val="19"/>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Pr>
          <w:p>
            <w:pPr>
              <w:spacing w:after="0"/>
              <w:rPr>
                <w:sz w:val="17"/>
                <w:szCs w:val="17"/>
                <w:color w:val="auto"/>
              </w:rPr>
            </w:pPr>
          </w:p>
        </w:tc>
        <w:tc>
          <w:tcPr>
            <w:tcW w:w="5020" w:type="dxa"/>
            <w:vAlign w:val="bottom"/>
          </w:tcPr>
          <w:p>
            <w:pPr>
              <w:ind w:left="280"/>
              <w:spacing w:after="0"/>
              <w:rPr>
                <w:sz w:val="20"/>
                <w:szCs w:val="20"/>
                <w:color w:val="auto"/>
              </w:rPr>
            </w:pPr>
            <w:r>
              <w:rPr>
                <w:rFonts w:ascii="Arial" w:cs="Arial" w:eastAsia="Arial" w:hAnsi="Arial"/>
                <w:sz w:val="15"/>
                <w:szCs w:val="15"/>
                <w:color w:val="auto"/>
              </w:rPr>
              <w:t>Total current debt</w:t>
            </w:r>
          </w:p>
        </w:tc>
        <w:tc>
          <w:tcPr>
            <w:tcW w:w="60" w:type="dxa"/>
            <w:vAlign w:val="bottom"/>
          </w:tcPr>
          <w:p>
            <w:pPr>
              <w:spacing w:after="0"/>
              <w:rPr>
                <w:sz w:val="17"/>
                <w:szCs w:val="17"/>
                <w:color w:val="auto"/>
              </w:rPr>
            </w:pPr>
          </w:p>
        </w:tc>
        <w:tc>
          <w:tcPr>
            <w:tcW w:w="320" w:type="dxa"/>
            <w:vAlign w:val="bottom"/>
            <w:gridSpan w:val="3"/>
          </w:tcPr>
          <w:p>
            <w:pPr>
              <w:ind w:left="40"/>
              <w:spacing w:after="0" w:line="190"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perscript"/>
              </w:rPr>
              <w:t>$</w:t>
            </w:r>
          </w:p>
        </w:tc>
        <w:tc>
          <w:tcPr>
            <w:tcW w:w="680" w:type="dxa"/>
            <w:vAlign w:val="bottom"/>
            <w:gridSpan w:val="3"/>
          </w:tcPr>
          <w:p>
            <w:pPr>
              <w:jc w:val="right"/>
              <w:ind w:right="47"/>
              <w:spacing w:after="0" w:line="190" w:lineRule="exact"/>
              <w:rPr>
                <w:sz w:val="20"/>
                <w:szCs w:val="20"/>
                <w:color w:val="auto"/>
              </w:rPr>
            </w:pPr>
            <w:r>
              <w:rPr>
                <w:rFonts w:ascii="Arial" w:cs="Arial" w:eastAsia="Arial" w:hAnsi="Arial"/>
                <w:sz w:val="22"/>
                <w:szCs w:val="22"/>
                <w:color w:val="auto"/>
                <w:vertAlign w:val="superscript"/>
              </w:rPr>
              <w:t>908</w:t>
            </w:r>
            <w:r>
              <w:rPr>
                <w:rFonts w:ascii="Arial" w:cs="Arial" w:eastAsia="Arial" w:hAnsi="Arial"/>
                <w:sz w:val="12"/>
                <w:szCs w:val="12"/>
                <w:color w:val="auto"/>
              </w:rPr>
              <w:t>​​ ​</w:t>
            </w:r>
          </w:p>
        </w:tc>
        <w:tc>
          <w:tcPr>
            <w:tcW w:w="140" w:type="dxa"/>
            <w:vAlign w:val="bottom"/>
          </w:tcPr>
          <w:p>
            <w:pPr>
              <w:spacing w:after="0" w:line="190"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1500" w:type="dxa"/>
            <w:vAlign w:val="bottom"/>
            <w:gridSpan w:val="3"/>
          </w:tcPr>
          <w:p>
            <w:pPr>
              <w:ind w:left="140"/>
              <w:spacing w:after="0" w:line="190" w:lineRule="exact"/>
              <w:rPr>
                <w:sz w:val="20"/>
                <w:szCs w:val="20"/>
                <w:color w:val="auto"/>
              </w:rPr>
            </w:pPr>
            <w:r>
              <w:rPr>
                <w:rFonts w:ascii="Arial" w:cs="Arial" w:eastAsia="Arial" w:hAnsi="Arial"/>
                <w:sz w:val="12"/>
                <w:szCs w:val="12"/>
                <w:color w:val="auto"/>
              </w:rPr>
              <w:t xml:space="preserve">321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Pr>
          <w:p>
            <w:pPr>
              <w:spacing w:after="0"/>
              <w:rPr>
                <w:sz w:val="13"/>
                <w:szCs w:val="13"/>
                <w:color w:val="auto"/>
              </w:rPr>
            </w:pPr>
          </w:p>
        </w:tc>
        <w:tc>
          <w:tcPr>
            <w:tcW w:w="502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Long-term debt and finance lease obligations, excluding current portion:</w:t>
            </w:r>
          </w:p>
        </w:tc>
        <w:tc>
          <w:tcPr>
            <w:tcW w:w="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ind w:left="40"/>
              <w:spacing w:after="0" w:line="150" w:lineRule="exact"/>
              <w:rPr>
                <w:sz w:val="20"/>
                <w:szCs w:val="20"/>
                <w:color w:val="auto"/>
              </w:rPr>
            </w:pPr>
            <w:r>
              <w:rPr>
                <w:rFonts w:ascii="Arial" w:cs="Arial" w:eastAsia="Arial" w:hAnsi="Arial"/>
                <w:sz w:val="15"/>
                <w:szCs w:val="15"/>
                <w:color w:val="auto"/>
              </w:rPr>
              <w:t>​ ​​ ​</w:t>
            </w:r>
          </w:p>
        </w:tc>
        <w:tc>
          <w:tcPr>
            <w:tcW w:w="420" w:type="dxa"/>
            <w:vAlign w:val="bottom"/>
            <w:shd w:val="clear" w:color="auto" w:fill="CCEEFF"/>
          </w:tcPr>
          <w:p>
            <w:pPr>
              <w:spacing w:after="0"/>
              <w:rPr>
                <w:sz w:val="13"/>
                <w:szCs w:val="13"/>
                <w:color w:val="auto"/>
              </w:rPr>
            </w:pPr>
          </w:p>
        </w:tc>
        <w:tc>
          <w:tcPr>
            <w:tcW w:w="260" w:type="dxa"/>
            <w:vAlign w:val="bottom"/>
            <w:tcBorders>
              <w:right w:val="single" w:sz="8" w:color="CCEEFF"/>
            </w:tcBorders>
            <w:gridSpan w:val="2"/>
            <w:shd w:val="clear" w:color="auto" w:fill="CCEEFF"/>
          </w:tcPr>
          <w:p>
            <w:pPr>
              <w:jc w:val="right"/>
              <w:ind w:right="47"/>
              <w:spacing w:after="0" w:line="150" w:lineRule="exact"/>
              <w:rPr>
                <w:sz w:val="20"/>
                <w:szCs w:val="20"/>
                <w:color w:val="auto"/>
              </w:rPr>
            </w:pPr>
            <w:r>
              <w:rPr>
                <w:rFonts w:ascii="Arial" w:cs="Arial" w:eastAsia="Arial" w:hAnsi="Arial"/>
                <w:sz w:val="15"/>
                <w:szCs w:val="15"/>
                <w:color w:val="auto"/>
              </w:rPr>
              <w:t>​​ ​</w:t>
            </w:r>
          </w:p>
        </w:tc>
        <w:tc>
          <w:tcPr>
            <w:tcW w:w="14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 ​</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w:t>
            </w:r>
          </w:p>
        </w:tc>
        <w:tc>
          <w:tcPr>
            <w:tcW w:w="1020" w:type="dxa"/>
            <w:vAlign w:val="bottom"/>
            <w:tcBorders>
              <w:left w:val="single" w:sz="8" w:color="CCEEFF"/>
            </w:tcBorders>
          </w:tcPr>
          <w:p>
            <w:pPr>
              <w:spacing w:after="0" w:line="15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5.30% senior notes due 2031 offered hereby</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 ​</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993</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2025 Term Loan A</w:t>
            </w:r>
          </w:p>
        </w:tc>
        <w:tc>
          <w:tcPr>
            <w:tcW w:w="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5"/>
                <w:szCs w:val="15"/>
                <w:color w:val="auto"/>
              </w:rPr>
              <w:t>​ ​​ ​ 1,050​​ ​</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 1,050</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2026 Term Loan A</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909​​ ​</w:t>
            </w:r>
          </w:p>
        </w:tc>
        <w:tc>
          <w:tcPr>
            <w:tcW w:w="140" w:type="dxa"/>
            <w:vAlign w:val="bottom"/>
          </w:tcPr>
          <w:p>
            <w:pPr>
              <w:spacing w:after="0"/>
              <w:rPr>
                <w:sz w:val="20"/>
                <w:szCs w:val="20"/>
                <w:color w:val="auto"/>
              </w:rPr>
            </w:pPr>
            <w:r>
              <w:rPr>
                <w:rFonts w:ascii="Arial" w:cs="Arial" w:eastAsia="Arial" w:hAnsi="Arial"/>
                <w:sz w:val="15"/>
                <w:szCs w:val="15"/>
                <w:color w:val="auto"/>
              </w:rPr>
              <w:t>​ ​</w:t>
            </w:r>
          </w:p>
        </w:tc>
        <w:tc>
          <w:tcPr>
            <w:tcW w:w="400" w:type="dxa"/>
            <w:vAlign w:val="bottom"/>
          </w:tcPr>
          <w:p>
            <w:pPr>
              <w:jc w:val="right"/>
              <w:spacing w:after="0"/>
              <w:rPr>
                <w:sz w:val="20"/>
                <w:szCs w:val="20"/>
                <w:color w:val="auto"/>
              </w:rPr>
            </w:pPr>
            <w:r>
              <w:rPr>
                <w:rFonts w:ascii="Arial" w:cs="Arial" w:eastAsia="Arial" w:hAnsi="Arial"/>
                <w:sz w:val="15"/>
                <w:szCs w:val="15"/>
                <w:color w:val="auto"/>
              </w:rPr>
              <w:t>909</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2027 Term Loan A</w:t>
            </w:r>
          </w:p>
        </w:tc>
        <w:tc>
          <w:tcPr>
            <w:tcW w:w="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5"/>
                <w:szCs w:val="15"/>
                <w:color w:val="auto"/>
              </w:rPr>
              <w:t>​ ​​ ​ 1,049​​ ​</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 1,049</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4.975% senior notes due 2026</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499​​ ​</w:t>
            </w:r>
          </w:p>
        </w:tc>
        <w:tc>
          <w:tcPr>
            <w:tcW w:w="140" w:type="dxa"/>
            <w:vAlign w:val="bottom"/>
          </w:tcPr>
          <w:p>
            <w:pPr>
              <w:spacing w:after="0"/>
              <w:rPr>
                <w:sz w:val="20"/>
                <w:szCs w:val="20"/>
                <w:color w:val="auto"/>
              </w:rPr>
            </w:pPr>
            <w:r>
              <w:rPr>
                <w:rFonts w:ascii="Arial" w:cs="Arial" w:eastAsia="Arial" w:hAnsi="Arial"/>
                <w:sz w:val="15"/>
                <w:szCs w:val="15"/>
                <w:color w:val="auto"/>
              </w:rPr>
              <w:t>​ ​</w:t>
            </w:r>
          </w:p>
        </w:tc>
        <w:tc>
          <w:tcPr>
            <w:tcW w:w="400" w:type="dxa"/>
            <w:vAlign w:val="bottom"/>
          </w:tcPr>
          <w:p>
            <w:pPr>
              <w:jc w:val="right"/>
              <w:spacing w:after="0"/>
              <w:rPr>
                <w:sz w:val="20"/>
                <w:szCs w:val="20"/>
                <w:color w:val="auto"/>
              </w:rPr>
            </w:pPr>
            <w:r>
              <w:rPr>
                <w:rFonts w:ascii="Arial" w:cs="Arial" w:eastAsia="Arial" w:hAnsi="Arial"/>
                <w:sz w:val="15"/>
                <w:szCs w:val="15"/>
                <w:color w:val="auto"/>
              </w:rPr>
              <w:t>499</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4.185% senior notes due 2027</w:t>
            </w:r>
            <w:r>
              <w:rPr>
                <w:rFonts w:ascii="Arial" w:cs="Arial" w:eastAsia="Arial" w:hAnsi="Arial"/>
                <w:sz w:val="19"/>
                <w:szCs w:val="19"/>
                <w:color w:val="auto"/>
                <w:vertAlign w:val="superscript"/>
              </w:rPr>
              <w:t>(1)</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797​​ ​</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w:t>
            </w:r>
          </w:p>
        </w:tc>
        <w:tc>
          <w:tcPr>
            <w:tcW w:w="80" w:type="dxa"/>
            <w:vAlign w:val="bottom"/>
            <w:shd w:val="clear" w:color="auto" w:fill="CCEEFF"/>
          </w:tcPr>
          <w:p>
            <w:pPr>
              <w:spacing w:after="0"/>
              <w:rPr>
                <w:sz w:val="19"/>
                <w:szCs w:val="19"/>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5.375% senior notes due 2028</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597​​ ​</w:t>
            </w:r>
          </w:p>
        </w:tc>
        <w:tc>
          <w:tcPr>
            <w:tcW w:w="140" w:type="dxa"/>
            <w:vAlign w:val="bottom"/>
          </w:tcPr>
          <w:p>
            <w:pPr>
              <w:spacing w:after="0"/>
              <w:rPr>
                <w:sz w:val="20"/>
                <w:szCs w:val="20"/>
                <w:color w:val="auto"/>
              </w:rPr>
            </w:pPr>
            <w:r>
              <w:rPr>
                <w:rFonts w:ascii="Arial" w:cs="Arial" w:eastAsia="Arial" w:hAnsi="Arial"/>
                <w:sz w:val="15"/>
                <w:szCs w:val="15"/>
                <w:color w:val="auto"/>
              </w:rPr>
              <w:t>​ ​</w:t>
            </w:r>
          </w:p>
        </w:tc>
        <w:tc>
          <w:tcPr>
            <w:tcW w:w="400" w:type="dxa"/>
            <w:vAlign w:val="bottom"/>
          </w:tcPr>
          <w:p>
            <w:pPr>
              <w:jc w:val="right"/>
              <w:spacing w:after="0"/>
              <w:rPr>
                <w:sz w:val="20"/>
                <w:szCs w:val="20"/>
                <w:color w:val="auto"/>
              </w:rPr>
            </w:pPr>
            <w:r>
              <w:rPr>
                <w:rFonts w:ascii="Arial" w:cs="Arial" w:eastAsia="Arial" w:hAnsi="Arial"/>
                <w:sz w:val="15"/>
                <w:szCs w:val="15"/>
                <w:color w:val="auto"/>
              </w:rPr>
              <w:t>597</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5.327% senior notes due 2029</w:t>
            </w:r>
          </w:p>
        </w:tc>
        <w:tc>
          <w:tcPr>
            <w:tcW w:w="6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697​​ ​</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6.750% senior notes due 2029</w:t>
            </w:r>
          </w:p>
        </w:tc>
        <w:tc>
          <w:tcPr>
            <w:tcW w:w="60" w:type="dxa"/>
            <w:vAlign w:val="bottom"/>
          </w:tcPr>
          <w:p>
            <w:pPr>
              <w:spacing w:after="0"/>
              <w:rPr>
                <w:sz w:val="17"/>
                <w:szCs w:val="17"/>
                <w:color w:val="auto"/>
              </w:rPr>
            </w:pPr>
          </w:p>
        </w:tc>
        <w:tc>
          <w:tcPr>
            <w:tcW w:w="1000" w:type="dxa"/>
            <w:vAlign w:val="bottom"/>
            <w:gridSpan w:val="6"/>
          </w:tcPr>
          <w:p>
            <w:pPr>
              <w:ind w:left="40"/>
              <w:spacing w:after="0"/>
              <w:rPr>
                <w:sz w:val="20"/>
                <w:szCs w:val="20"/>
                <w:color w:val="auto"/>
              </w:rPr>
            </w:pPr>
            <w:r>
              <w:rPr>
                <w:rFonts w:ascii="Arial" w:cs="Arial" w:eastAsia="Arial" w:hAnsi="Arial"/>
                <w:sz w:val="15"/>
                <w:szCs w:val="15"/>
                <w:color w:val="auto"/>
              </w:rPr>
              <w:t>​ ​​ ​ 1,263​​ ​</w:t>
            </w:r>
          </w:p>
        </w:tc>
        <w:tc>
          <w:tcPr>
            <w:tcW w:w="540" w:type="dxa"/>
            <w:vAlign w:val="bottom"/>
            <w:gridSpan w:val="2"/>
          </w:tcPr>
          <w:p>
            <w:pPr>
              <w:spacing w:after="0"/>
              <w:rPr>
                <w:sz w:val="20"/>
                <w:szCs w:val="20"/>
                <w:color w:val="auto"/>
              </w:rPr>
            </w:pPr>
            <w:r>
              <w:rPr>
                <w:rFonts w:ascii="Arial" w:cs="Arial" w:eastAsia="Arial" w:hAnsi="Arial"/>
                <w:sz w:val="15"/>
                <w:szCs w:val="15"/>
                <w:color w:val="auto"/>
              </w:rPr>
              <w:t>​ ​ 1,263</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4.663% senior notes due 2030</w:t>
            </w:r>
          </w:p>
        </w:tc>
        <w:tc>
          <w:tcPr>
            <w:tcW w:w="6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847​​ ​</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847</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2.703% senior notes due 2032</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995​​ ​</w:t>
            </w:r>
          </w:p>
        </w:tc>
        <w:tc>
          <w:tcPr>
            <w:tcW w:w="140" w:type="dxa"/>
            <w:vAlign w:val="bottom"/>
          </w:tcPr>
          <w:p>
            <w:pPr>
              <w:spacing w:after="0"/>
              <w:rPr>
                <w:sz w:val="20"/>
                <w:szCs w:val="20"/>
                <w:color w:val="auto"/>
              </w:rPr>
            </w:pPr>
            <w:r>
              <w:rPr>
                <w:rFonts w:ascii="Arial" w:cs="Arial" w:eastAsia="Arial" w:hAnsi="Arial"/>
                <w:sz w:val="15"/>
                <w:szCs w:val="15"/>
                <w:color w:val="auto"/>
              </w:rPr>
              <w:t>​ ​</w:t>
            </w:r>
          </w:p>
        </w:tc>
        <w:tc>
          <w:tcPr>
            <w:tcW w:w="400" w:type="dxa"/>
            <w:vAlign w:val="bottom"/>
          </w:tcPr>
          <w:p>
            <w:pPr>
              <w:jc w:val="right"/>
              <w:spacing w:after="0"/>
              <w:rPr>
                <w:sz w:val="20"/>
                <w:szCs w:val="20"/>
                <w:color w:val="auto"/>
              </w:rPr>
            </w:pPr>
            <w:r>
              <w:rPr>
                <w:rFonts w:ascii="Arial" w:cs="Arial" w:eastAsia="Arial" w:hAnsi="Arial"/>
                <w:sz w:val="15"/>
                <w:szCs w:val="15"/>
                <w:color w:val="auto"/>
              </w:rPr>
              <w:t>995</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5.875% senior notes due 2033</w:t>
            </w:r>
          </w:p>
        </w:tc>
        <w:tc>
          <w:tcPr>
            <w:tcW w:w="6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745​​ ​</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5.875% senior notes due 2033</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890​​ ​</w:t>
            </w:r>
          </w:p>
        </w:tc>
        <w:tc>
          <w:tcPr>
            <w:tcW w:w="140" w:type="dxa"/>
            <w:vAlign w:val="bottom"/>
          </w:tcPr>
          <w:p>
            <w:pPr>
              <w:spacing w:after="0"/>
              <w:rPr>
                <w:sz w:val="20"/>
                <w:szCs w:val="20"/>
                <w:color w:val="auto"/>
              </w:rPr>
            </w:pPr>
            <w:r>
              <w:rPr>
                <w:rFonts w:ascii="Arial" w:cs="Arial" w:eastAsia="Arial" w:hAnsi="Arial"/>
                <w:sz w:val="15"/>
                <w:szCs w:val="15"/>
                <w:color w:val="auto"/>
              </w:rPr>
              <w:t>​ ​</w:t>
            </w:r>
          </w:p>
        </w:tc>
        <w:tc>
          <w:tcPr>
            <w:tcW w:w="400" w:type="dxa"/>
            <w:vAlign w:val="bottom"/>
          </w:tcPr>
          <w:p>
            <w:pPr>
              <w:jc w:val="right"/>
              <w:spacing w:after="0"/>
              <w:rPr>
                <w:sz w:val="20"/>
                <w:szCs w:val="20"/>
                <w:color w:val="auto"/>
              </w:rPr>
            </w:pPr>
            <w:r>
              <w:rPr>
                <w:rFonts w:ascii="Arial" w:cs="Arial" w:eastAsia="Arial" w:hAnsi="Arial"/>
                <w:sz w:val="15"/>
                <w:szCs w:val="15"/>
                <w:color w:val="auto"/>
              </w:rPr>
              <w:t>890</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3.366% senior notes due 2041</w:t>
            </w:r>
          </w:p>
        </w:tc>
        <w:tc>
          <w:tcPr>
            <w:tcW w:w="6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497​​ ​</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3.477% senior notes due 2051</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496​​ ​</w:t>
            </w:r>
          </w:p>
        </w:tc>
        <w:tc>
          <w:tcPr>
            <w:tcW w:w="140" w:type="dxa"/>
            <w:vAlign w:val="bottom"/>
          </w:tcPr>
          <w:p>
            <w:pPr>
              <w:spacing w:after="0"/>
              <w:rPr>
                <w:sz w:val="20"/>
                <w:szCs w:val="20"/>
                <w:color w:val="auto"/>
              </w:rPr>
            </w:pPr>
            <w:r>
              <w:rPr>
                <w:rFonts w:ascii="Arial" w:cs="Arial" w:eastAsia="Arial" w:hAnsi="Arial"/>
                <w:sz w:val="15"/>
                <w:szCs w:val="15"/>
                <w:color w:val="auto"/>
              </w:rPr>
              <w:t>​ ​</w:t>
            </w:r>
          </w:p>
        </w:tc>
        <w:tc>
          <w:tcPr>
            <w:tcW w:w="400" w:type="dxa"/>
            <w:vAlign w:val="bottom"/>
          </w:tcPr>
          <w:p>
            <w:pPr>
              <w:jc w:val="right"/>
              <w:spacing w:after="0"/>
              <w:rPr>
                <w:sz w:val="20"/>
                <w:szCs w:val="20"/>
                <w:color w:val="auto"/>
              </w:rPr>
            </w:pPr>
            <w:r>
              <w:rPr>
                <w:rFonts w:ascii="Arial" w:cs="Arial" w:eastAsia="Arial" w:hAnsi="Arial"/>
                <w:sz w:val="15"/>
                <w:szCs w:val="15"/>
                <w:color w:val="auto"/>
              </w:rPr>
              <w:t>496</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 obligations</w:t>
            </w:r>
          </w:p>
        </w:tc>
        <w:tc>
          <w:tcPr>
            <w:tcW w:w="6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5"/>
                <w:szCs w:val="15"/>
                <w:color w:val="auto"/>
              </w:rPr>
              <w:t>​ ​​ ​ 1,266​​ ​</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 1,266</w:t>
            </w:r>
          </w:p>
        </w:tc>
        <w:tc>
          <w:tcPr>
            <w:tcW w:w="80" w:type="dxa"/>
            <w:vAlign w:val="bottom"/>
            <w:shd w:val="clear" w:color="auto" w:fill="CCEEFF"/>
          </w:tcPr>
          <w:p>
            <w:pPr>
              <w:spacing w:after="0"/>
              <w:rPr>
                <w:sz w:val="19"/>
                <w:szCs w:val="19"/>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tcPr>
          <w:p>
            <w:pPr>
              <w:spacing w:after="0"/>
              <w:rPr>
                <w:sz w:val="16"/>
                <w:szCs w:val="16"/>
                <w:color w:val="auto"/>
              </w:rPr>
            </w:pPr>
          </w:p>
        </w:tc>
        <w:tc>
          <w:tcPr>
            <w:tcW w:w="5020" w:type="dxa"/>
            <w:vAlign w:val="bottom"/>
          </w:tcPr>
          <w:p>
            <w:pPr>
              <w:ind w:left="280"/>
              <w:spacing w:after="0"/>
              <w:rPr>
                <w:sz w:val="20"/>
                <w:szCs w:val="20"/>
                <w:color w:val="auto"/>
              </w:rPr>
            </w:pPr>
            <w:r>
              <w:rPr>
                <w:rFonts w:ascii="Arial" w:cs="Arial" w:eastAsia="Arial" w:hAnsi="Arial"/>
                <w:sz w:val="15"/>
                <w:szCs w:val="15"/>
                <w:color w:val="auto"/>
              </w:rPr>
              <w:t>Total long-term debt and finance lease obligations, excluding current</w:t>
            </w:r>
          </w:p>
        </w:tc>
        <w:tc>
          <w:tcPr>
            <w:tcW w:w="60" w:type="dxa"/>
            <w:vAlign w:val="bottom"/>
          </w:tcPr>
          <w:p>
            <w:pPr>
              <w:spacing w:after="0"/>
              <w:rPr>
                <w:sz w:val="16"/>
                <w:szCs w:val="16"/>
                <w:color w:val="auto"/>
              </w:rPr>
            </w:pPr>
          </w:p>
        </w:tc>
        <w:tc>
          <w:tcPr>
            <w:tcW w:w="1000" w:type="dxa"/>
            <w:vAlign w:val="bottom"/>
            <w:gridSpan w:val="6"/>
            <w:vMerge w:val="restart"/>
          </w:tcPr>
          <w:p>
            <w:pPr>
              <w:ind w:left="40"/>
              <w:spacing w:after="0"/>
              <w:rPr>
                <w:sz w:val="20"/>
                <w:szCs w:val="20"/>
                <w:color w:val="auto"/>
              </w:rPr>
            </w:pPr>
            <w:r>
              <w:rPr>
                <w:rFonts w:ascii="Arial" w:cs="Arial" w:eastAsia="Arial" w:hAnsi="Arial"/>
                <w:sz w:val="15"/>
                <w:szCs w:val="15"/>
                <w:color w:val="auto"/>
              </w:rPr>
              <w:t>​ ​​ ​12,597​​ ​</w:t>
            </w:r>
          </w:p>
        </w:tc>
        <w:tc>
          <w:tcPr>
            <w:tcW w:w="540" w:type="dxa"/>
            <w:vAlign w:val="bottom"/>
            <w:gridSpan w:val="2"/>
            <w:vMerge w:val="restart"/>
          </w:tcPr>
          <w:p>
            <w:pPr>
              <w:spacing w:after="0"/>
              <w:rPr>
                <w:sz w:val="20"/>
                <w:szCs w:val="20"/>
                <w:color w:val="auto"/>
              </w:rPr>
            </w:pPr>
            <w:r>
              <w:rPr>
                <w:rFonts w:ascii="Arial" w:cs="Arial" w:eastAsia="Arial" w:hAnsi="Arial"/>
                <w:sz w:val="15"/>
                <w:szCs w:val="15"/>
                <w:color w:val="auto"/>
              </w:rPr>
              <w:t>​ ​13,590</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5020" w:type="dxa"/>
            <w:vAlign w:val="bottom"/>
          </w:tcPr>
          <w:p>
            <w:pPr>
              <w:ind w:left="420"/>
              <w:spacing w:after="0"/>
              <w:rPr>
                <w:sz w:val="20"/>
                <w:szCs w:val="20"/>
                <w:color w:val="auto"/>
              </w:rPr>
            </w:pPr>
            <w:r>
              <w:rPr>
                <w:rFonts w:ascii="Arial" w:cs="Arial" w:eastAsia="Arial" w:hAnsi="Arial"/>
                <w:sz w:val="15"/>
                <w:szCs w:val="15"/>
                <w:color w:val="auto"/>
              </w:rPr>
              <w:t>portion</w:t>
            </w:r>
          </w:p>
        </w:tc>
        <w:tc>
          <w:tcPr>
            <w:tcW w:w="60" w:type="dxa"/>
            <w:vAlign w:val="bottom"/>
          </w:tcPr>
          <w:p>
            <w:pPr>
              <w:spacing w:after="0"/>
              <w:rPr>
                <w:sz w:val="16"/>
                <w:szCs w:val="16"/>
                <w:color w:val="auto"/>
              </w:rPr>
            </w:pPr>
          </w:p>
        </w:tc>
        <w:tc>
          <w:tcPr>
            <w:tcW w:w="1000" w:type="dxa"/>
            <w:vAlign w:val="bottom"/>
            <w:gridSpan w:val="6"/>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Total shareholders’ equity</w:t>
            </w:r>
          </w:p>
        </w:tc>
        <w:tc>
          <w:tcPr>
            <w:tcW w:w="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5"/>
                <w:szCs w:val="15"/>
                <w:color w:val="auto"/>
              </w:rPr>
              <w:t>​ ​​ ​42,885​​ ​</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​42,885</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60" w:type="dxa"/>
            <w:vAlign w:val="bottom"/>
            <w:gridSpan w:val="2"/>
          </w:tcPr>
          <w:p>
            <w:pPr>
              <w:ind w:left="1020"/>
              <w:spacing w:after="0"/>
              <w:rPr>
                <w:sz w:val="20"/>
                <w:szCs w:val="20"/>
                <w:color w:val="auto"/>
              </w:rPr>
            </w:pPr>
            <w:r>
              <w:rPr>
                <w:rFonts w:ascii="Arial" w:cs="Arial" w:eastAsia="Arial" w:hAnsi="Arial"/>
                <w:sz w:val="15"/>
                <w:szCs w:val="15"/>
                <w:color w:val="auto"/>
              </w:rPr>
              <w:t>Total capitalization</w:t>
            </w:r>
          </w:p>
        </w:tc>
        <w:tc>
          <w:tcPr>
            <w:tcW w:w="60" w:type="dxa"/>
            <w:vAlign w:val="bottom"/>
          </w:tcPr>
          <w:p>
            <w:pPr>
              <w:spacing w:after="0"/>
              <w:rPr>
                <w:sz w:val="17"/>
                <w:szCs w:val="17"/>
                <w:color w:val="auto"/>
              </w:rPr>
            </w:pPr>
          </w:p>
        </w:tc>
        <w:tc>
          <w:tcPr>
            <w:tcW w:w="1000" w:type="dxa"/>
            <w:vAlign w:val="bottom"/>
            <w:gridSpan w:val="6"/>
          </w:tcPr>
          <w:p>
            <w:pPr>
              <w:ind w:left="40"/>
              <w:spacing w:after="0" w:line="190" w:lineRule="exact"/>
              <w:rPr>
                <w:sz w:val="20"/>
                <w:szCs w:val="20"/>
                <w:color w:val="auto"/>
              </w:rPr>
            </w:pPr>
            <w:r>
              <w:rPr>
                <w:rFonts w:ascii="Arial" w:cs="Arial" w:eastAsia="Arial" w:hAnsi="Arial"/>
                <w:sz w:val="22"/>
                <w:szCs w:val="22"/>
                <w:color w:val="auto"/>
                <w:vertAlign w:val="subscript"/>
              </w:rPr>
              <w:t>​ ​​</w:t>
            </w:r>
            <w:r>
              <w:rPr>
                <w:rFonts w:ascii="Arial" w:cs="Arial" w:eastAsia="Arial" w:hAnsi="Arial"/>
                <w:sz w:val="12"/>
                <w:szCs w:val="12"/>
                <w:u w:val="single" w:color="auto"/>
                <w:color w:val="auto"/>
              </w:rPr>
              <w:t>$</w:t>
            </w:r>
            <w:r>
              <w:rPr>
                <w:rFonts w:ascii="Arial" w:cs="Arial" w:eastAsia="Arial" w:hAnsi="Arial"/>
                <w:sz w:val="12"/>
                <w:szCs w:val="12"/>
                <w:color w:val="auto"/>
              </w:rPr>
              <w:t>55,482</w:t>
            </w:r>
            <w:r>
              <w:rPr>
                <w:rFonts w:ascii="Arial" w:cs="Arial" w:eastAsia="Arial" w:hAnsi="Arial"/>
                <w:sz w:val="22"/>
                <w:szCs w:val="22"/>
                <w:color w:val="auto"/>
                <w:vertAlign w:val="subscript"/>
              </w:rPr>
              <w:t>​​ ​</w:t>
            </w:r>
          </w:p>
        </w:tc>
        <w:tc>
          <w:tcPr>
            <w:tcW w:w="540" w:type="dxa"/>
            <w:vAlign w:val="bottom"/>
            <w:gridSpan w:val="2"/>
          </w:tcPr>
          <w:p>
            <w:pPr>
              <w:spacing w:after="0" w:line="190"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u w:val="single" w:color="auto"/>
                <w:color w:val="auto"/>
              </w:rPr>
              <w:t>$</w:t>
            </w:r>
            <w:r>
              <w:rPr>
                <w:rFonts w:ascii="Arial" w:cs="Arial" w:eastAsia="Arial" w:hAnsi="Arial"/>
                <w:sz w:val="12"/>
                <w:szCs w:val="12"/>
                <w:color w:val="auto"/>
              </w:rPr>
              <w:t>56,475</w:t>
            </w: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vMerge w:val="restart"/>
          </w:tcPr>
          <w:p>
            <w:pPr>
              <w:ind w:left="3160"/>
              <w:spacing w:after="0"/>
              <w:rPr>
                <w:sz w:val="20"/>
                <w:szCs w:val="20"/>
                <w:color w:val="auto"/>
              </w:rPr>
            </w:pPr>
            <w:r>
              <w:rPr>
                <w:rFonts w:ascii="Arial" w:cs="Arial" w:eastAsia="Arial" w:hAnsi="Arial"/>
                <w:sz w:val="15"/>
                <w:szCs w:val="15"/>
                <w:color w:val="auto"/>
              </w:rPr>
              <w:t>S-10</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10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-840740</wp:posOffset>
            </wp:positionV>
            <wp:extent cx="426212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-4829175</wp:posOffset>
            </wp:positionV>
            <wp:extent cx="11239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 w:name="page15"/>
    <w:bookmarkEnd w:id="14"/>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452120</wp:posOffset>
            </wp:positionV>
            <wp:extent cx="100965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440" w:right="1199" w:hanging="292"/>
        <w:spacing w:after="0" w:line="251" w:lineRule="auto"/>
        <w:tabs>
          <w:tab w:leader="none" w:pos="1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 Overnight Financing Rate plus approximately 3.33%. The fixed-to-floating interest rate swaps are accounted for as fair value hedges, and as a result, the carrying values of our 4.185% senior notes due 2027 reflect adjustments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 w:name="page16"/>
    <w:bookmarkEnd w:id="1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DESCRIPTION OF THE NOTES</w:t>
      </w:r>
    </w:p>
    <w:p>
      <w:pPr>
        <w:spacing w:after="0" w:line="132" w:lineRule="exact"/>
        <w:rPr>
          <w:sz w:val="20"/>
          <w:szCs w:val="20"/>
          <w:color w:val="auto"/>
        </w:rPr>
      </w:pPr>
    </w:p>
    <w:p>
      <w:pPr>
        <w:ind w:left="1140" w:right="1199"/>
        <w:spacing w:after="0"/>
        <w:rPr>
          <w:sz w:val="20"/>
          <w:szCs w:val="20"/>
          <w:color w:val="auto"/>
        </w:rPr>
      </w:pPr>
      <w:r>
        <w:rPr>
          <w:rFonts w:ascii="Arial" w:cs="Arial" w:eastAsia="Arial" w:hAnsi="Arial"/>
          <w:sz w:val="15"/>
          <w:szCs w:val="15"/>
          <w:i w:val="1"/>
          <w:iCs w:val="1"/>
          <w:color w:val="auto"/>
        </w:rPr>
        <w:t>The notes will be issued under a base indenture (the “Base Indenture)”, dated as of February 6, 2019, between Micron Technology, Inc. and U.S. Bank Trust Company, National Association (as successor in interest to U.S. Bank National Association), as trustee (the “Trustee)”, as supplemented by a supplemental indenture, to be dated January 12, 2024, with respect to the notes (the “Supplemental Indenture” and, together with the Base Indenture, the “Indenture)”.</w:t>
      </w:r>
    </w:p>
    <w:p>
      <w:pPr>
        <w:spacing w:after="0" w:line="98" w:lineRule="exact"/>
        <w:rPr>
          <w:sz w:val="20"/>
          <w:szCs w:val="20"/>
          <w:color w:val="auto"/>
        </w:rPr>
      </w:pPr>
    </w:p>
    <w:p>
      <w:pPr>
        <w:ind w:left="1140" w:right="1159"/>
        <w:spacing w:after="0" w:line="244" w:lineRule="auto"/>
        <w:rPr>
          <w:sz w:val="20"/>
          <w:szCs w:val="20"/>
          <w:color w:val="auto"/>
        </w:rPr>
      </w:pPr>
      <w:r>
        <w:rPr>
          <w:rFonts w:ascii="Arial" w:cs="Arial" w:eastAsia="Arial" w:hAnsi="Arial"/>
          <w:sz w:val="15"/>
          <w:szCs w:val="15"/>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93" w:lineRule="exact"/>
        <w:rPr>
          <w:sz w:val="20"/>
          <w:szCs w:val="20"/>
          <w:color w:val="auto"/>
        </w:rPr>
      </w:pPr>
    </w:p>
    <w:p>
      <w:pPr>
        <w:ind w:left="1140" w:right="1759"/>
        <w:spacing w:after="0" w:line="271" w:lineRule="auto"/>
        <w:rPr>
          <w:sz w:val="20"/>
          <w:szCs w:val="20"/>
          <w:color w:val="auto"/>
        </w:rPr>
      </w:pPr>
      <w:r>
        <w:rPr>
          <w:rFonts w:ascii="Arial" w:cs="Arial" w:eastAsia="Arial" w:hAnsi="Arial"/>
          <w:sz w:val="15"/>
          <w:szCs w:val="15"/>
          <w:i w:val="1"/>
          <w:iCs w:val="1"/>
          <w:color w:val="auto"/>
        </w:rPr>
        <w:t>The registered holder of a note will be treated as the owner of such note for all purposes. Only registered holders will have rights under the Indenture.</w:t>
      </w:r>
    </w:p>
    <w:p>
      <w:pPr>
        <w:spacing w:after="0" w:line="74"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The definition of certain terms used in this description are summarized under the subheading</w:t>
      </w:r>
    </w:p>
    <w:p>
      <w:pPr>
        <w:spacing w:after="0" w:line="5" w:lineRule="exact"/>
        <w:rPr>
          <w:sz w:val="20"/>
          <w:szCs w:val="20"/>
          <w:color w:val="auto"/>
        </w:rPr>
      </w:pPr>
    </w:p>
    <w:p>
      <w:pPr>
        <w:ind w:left="1140" w:right="1359"/>
        <w:spacing w:after="0" w:line="239" w:lineRule="auto"/>
        <w:rPr>
          <w:sz w:val="20"/>
          <w:szCs w:val="20"/>
          <w:color w:val="auto"/>
        </w:rPr>
      </w:pPr>
      <w:r>
        <w:rPr>
          <w:rFonts w:ascii="Arial" w:cs="Arial" w:eastAsia="Arial" w:hAnsi="Arial"/>
          <w:sz w:val="15"/>
          <w:szCs w:val="15"/>
          <w:i w:val="1"/>
          <w:iCs w:val="1"/>
          <w:color w:val="auto"/>
        </w:rPr>
        <w:t>“— Certain Definitions.” In this description, references to “Micron,” “us,” “we,” “our” or the “Company” refer only to Micron Technology, Inc. and not to any of its subsidiaries.</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General</w:t>
      </w:r>
    </w:p>
    <w:p>
      <w:pPr>
        <w:spacing w:after="0" w:line="122" w:lineRule="exact"/>
        <w:rPr>
          <w:sz w:val="20"/>
          <w:szCs w:val="20"/>
          <w:color w:val="auto"/>
        </w:rPr>
      </w:pPr>
    </w:p>
    <w:p>
      <w:pPr>
        <w:ind w:left="1140" w:right="1919"/>
        <w:spacing w:after="0" w:line="259" w:lineRule="auto"/>
        <w:rPr>
          <w:sz w:val="20"/>
          <w:szCs w:val="20"/>
          <w:color w:val="auto"/>
        </w:rPr>
      </w:pPr>
      <w:r>
        <w:rPr>
          <w:rFonts w:ascii="Arial" w:cs="Arial" w:eastAsia="Arial" w:hAnsi="Arial"/>
          <w:sz w:val="15"/>
          <w:szCs w:val="15"/>
          <w:color w:val="auto"/>
        </w:rPr>
        <w:t>We will issue $1,000,000,000 aggregate principal amount of notes. The notes will mature on January 15, 2031. Interest on the notes will accrue at the rate of 5.30% per annum.</w:t>
      </w:r>
    </w:p>
    <w:p>
      <w:pPr>
        <w:spacing w:after="0" w:line="80"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color w:val="auto"/>
        </w:rPr>
        <w:t>The notes will be senior unsecured obligations and will rank on the same basis with all of our other senior unsecured indebtedness from time to time outstanding. The Indenture does not limit the aggregate principal amount of securities that may be issued under the Indenture. Without the consent of the holders, we may increase the aggregate principal amount of the notes in the future on the same terms and conditions (except for issuance date, price and, in some cases, the initial interest payment date) as the notes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00" w:lineRule="exact"/>
        <w:rPr>
          <w:sz w:val="20"/>
          <w:szCs w:val="20"/>
          <w:color w:val="auto"/>
        </w:rPr>
      </w:pPr>
    </w:p>
    <w:p>
      <w:pPr>
        <w:ind w:left="1140" w:right="1159"/>
        <w:spacing w:after="0" w:line="242" w:lineRule="auto"/>
        <w:rPr>
          <w:sz w:val="20"/>
          <w:szCs w:val="20"/>
          <w:color w:val="auto"/>
        </w:rPr>
      </w:pPr>
      <w:r>
        <w:rPr>
          <w:rFonts w:ascii="Arial" w:cs="Arial" w:eastAsia="Arial" w:hAnsi="Arial"/>
          <w:sz w:val="15"/>
          <w:szCs w:val="15"/>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The notes will be issued in the form of one or more fully registered global securities in minimum denominations of $2,000 and integral multiples of $1,000 in excess thereof.</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Interest</w:t>
      </w:r>
    </w:p>
    <w:p>
      <w:pPr>
        <w:spacing w:after="0" w:line="122" w:lineRule="exact"/>
        <w:rPr>
          <w:sz w:val="20"/>
          <w:szCs w:val="20"/>
          <w:color w:val="auto"/>
        </w:rPr>
      </w:pPr>
    </w:p>
    <w:p>
      <w:pPr>
        <w:ind w:left="1140" w:right="1279"/>
        <w:spacing w:after="0" w:line="242" w:lineRule="auto"/>
        <w:rPr>
          <w:sz w:val="20"/>
          <w:szCs w:val="20"/>
          <w:color w:val="auto"/>
        </w:rPr>
      </w:pPr>
      <w:r>
        <w:rPr>
          <w:rFonts w:ascii="Arial" w:cs="Arial" w:eastAsia="Arial" w:hAnsi="Arial"/>
          <w:sz w:val="15"/>
          <w:szCs w:val="15"/>
          <w:color w:val="auto"/>
        </w:rPr>
        <w:t>The notes will accrue interest at a rate of 5.30% per annum. Interest on the notes will accrue from January 12, 2024, or from the most recent interest payment date to which interest has been paid or provided for, to, but excluding, the relevant interest payment date. The Company will make interest payments on the notes semi-annually in arrears on January 15 and July 15 of each year, beginning on July 15, 2024, to the Person in whose name such notes are registered at the close of business on the immediately preceding January 1 or July 1, as applicable.</w:t>
      </w:r>
    </w:p>
    <w:p>
      <w:pPr>
        <w:spacing w:after="0" w:line="9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Interest on the notes will be computed on the basis of a 360-day year of twelve 30-day months.</w:t>
      </w:r>
    </w:p>
    <w:p>
      <w:pPr>
        <w:spacing w:after="0" w:line="126" w:lineRule="exact"/>
        <w:rPr>
          <w:sz w:val="20"/>
          <w:szCs w:val="20"/>
          <w:color w:val="auto"/>
        </w:rPr>
      </w:pPr>
    </w:p>
    <w:p>
      <w:pPr>
        <w:ind w:left="1140" w:right="1259"/>
        <w:spacing w:after="0" w:line="245" w:lineRule="auto"/>
        <w:rPr>
          <w:sz w:val="20"/>
          <w:szCs w:val="20"/>
          <w:color w:val="auto"/>
        </w:rPr>
      </w:pPr>
      <w:r>
        <w:rPr>
          <w:rFonts w:ascii="Arial" w:cs="Arial" w:eastAsia="Arial" w:hAnsi="Arial"/>
          <w:sz w:val="15"/>
          <w:szCs w:val="15"/>
          <w:color w:val="auto"/>
        </w:rPr>
        <w:t>If an interest payment date for the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 w:name="page17"/>
    <w:bookmarkEnd w:id="1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Optional Redemption</w:t>
      </w:r>
    </w:p>
    <w:p>
      <w:pPr>
        <w:spacing w:after="0" w:line="133" w:lineRule="exact"/>
        <w:rPr>
          <w:sz w:val="20"/>
          <w:szCs w:val="20"/>
          <w:color w:val="auto"/>
        </w:rPr>
      </w:pPr>
    </w:p>
    <w:p>
      <w:pPr>
        <w:jc w:val="both"/>
        <w:ind w:left="1140" w:right="1299"/>
        <w:spacing w:after="0" w:line="260" w:lineRule="auto"/>
        <w:rPr>
          <w:sz w:val="20"/>
          <w:szCs w:val="20"/>
          <w:color w:val="auto"/>
        </w:rPr>
      </w:pPr>
      <w:r>
        <w:rPr>
          <w:rFonts w:ascii="Arial" w:cs="Arial" w:eastAsia="Arial" w:hAnsi="Arial"/>
          <w:sz w:val="15"/>
          <w:szCs w:val="15"/>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58" w:lineRule="exact"/>
        <w:rPr>
          <w:sz w:val="20"/>
          <w:szCs w:val="20"/>
          <w:color w:val="auto"/>
        </w:rPr>
      </w:pPr>
    </w:p>
    <w:p>
      <w:pPr>
        <w:ind w:left="1580" w:right="1319" w:hanging="138"/>
        <w:spacing w:after="0" w:line="279" w:lineRule="auto"/>
        <w:tabs>
          <w:tab w:leader="none" w:pos="1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(ii) interest accrued to the date of redemption, and</w:t>
      </w:r>
    </w:p>
    <w:p>
      <w:pPr>
        <w:spacing w:after="0" w:line="46" w:lineRule="exact"/>
        <w:rPr>
          <w:rFonts w:ascii="Arial" w:cs="Arial" w:eastAsia="Arial" w:hAnsi="Arial"/>
          <w:sz w:val="14"/>
          <w:szCs w:val="14"/>
          <w:color w:val="auto"/>
        </w:rPr>
      </w:pPr>
    </w:p>
    <w:p>
      <w:pPr>
        <w:ind w:left="1580" w:hanging="138"/>
        <w:spacing w:after="0"/>
        <w:tabs>
          <w:tab w:leader="none" w:pos="1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100% of the principal amount of the notes to be redeemed,</w:t>
      </w:r>
    </w:p>
    <w:p>
      <w:pPr>
        <w:spacing w:after="0" w:line="126" w:lineRule="exact"/>
        <w:rPr>
          <w:sz w:val="20"/>
          <w:szCs w:val="20"/>
          <w:color w:val="auto"/>
        </w:rPr>
      </w:pPr>
    </w:p>
    <w:p>
      <w:pPr>
        <w:ind w:left="1140" w:right="1339"/>
        <w:spacing w:after="0" w:line="274" w:lineRule="auto"/>
        <w:rPr>
          <w:sz w:val="20"/>
          <w:szCs w:val="20"/>
          <w:color w:val="auto"/>
        </w:rPr>
      </w:pPr>
      <w:r>
        <w:rPr>
          <w:rFonts w:ascii="Arial" w:cs="Arial" w:eastAsia="Arial" w:hAnsi="Arial"/>
          <w:sz w:val="15"/>
          <w:szCs w:val="15"/>
          <w:color w:val="auto"/>
        </w:rPr>
        <w:t>plus accrued and unpaid interest, if any, on the amount being redeemed to, but excluding, the date of redemption. We will calculate the redemption price.</w:t>
      </w:r>
    </w:p>
    <w:p>
      <w:pPr>
        <w:spacing w:after="0" w:line="70" w:lineRule="exact"/>
        <w:rPr>
          <w:sz w:val="20"/>
          <w:szCs w:val="20"/>
          <w:color w:val="auto"/>
        </w:rPr>
      </w:pPr>
    </w:p>
    <w:p>
      <w:pPr>
        <w:ind w:left="1140" w:right="1279"/>
        <w:spacing w:after="0" w:line="255" w:lineRule="auto"/>
        <w:rPr>
          <w:sz w:val="20"/>
          <w:szCs w:val="20"/>
          <w:color w:val="auto"/>
        </w:rPr>
      </w:pPr>
      <w:r>
        <w:rPr>
          <w:rFonts w:ascii="Arial" w:cs="Arial" w:eastAsia="Arial" w:hAnsi="Arial"/>
          <w:sz w:val="15"/>
          <w:szCs w:val="15"/>
          <w:color w:val="auto"/>
        </w:rPr>
        <w:t>On or after the Par Call Date, the Company may, at its option, redeem the notes, in whole or in part, at any time and from time to time, at a redemption price equal to 100% of the principal amount of the notes redeemed, plus accrued and unpaid interest thereon, if any, to, but excluding, the date of redemption.</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“Par Call Date” means November 15, 2030 (two months prior to the maturity date of the notes).</w:t>
      </w:r>
    </w:p>
    <w:p>
      <w:pPr>
        <w:spacing w:after="0" w:line="126" w:lineRule="exact"/>
        <w:rPr>
          <w:sz w:val="20"/>
          <w:szCs w:val="20"/>
          <w:color w:val="auto"/>
        </w:rPr>
      </w:pPr>
    </w:p>
    <w:p>
      <w:pPr>
        <w:ind w:left="1140" w:right="1179"/>
        <w:spacing w:after="0" w:line="247" w:lineRule="auto"/>
        <w:rPr>
          <w:sz w:val="20"/>
          <w:szCs w:val="20"/>
          <w:color w:val="auto"/>
        </w:rPr>
      </w:pPr>
      <w:r>
        <w:rPr>
          <w:rFonts w:ascii="Arial" w:cs="Arial" w:eastAsia="Arial" w:hAnsi="Arial"/>
          <w:sz w:val="15"/>
          <w:szCs w:val="15"/>
          <w:color w:val="auto"/>
        </w:rPr>
        <w:t>Notice of any redemption will be mailed or electronically delivered (or otherwise transmitted in accordance with the depositary’s procedures) at least 10 days but not more than 60 days before the redemption date to each holder of notes to be redeemed (with a copy to the Trustee). Unless the Company defaults in payment of the redemption price, on and after the redemption date, interest will cease to accrue on the notes or portions thereof called for redemption. On or before a redemption date, the Company will deposit with a paying agent (or the Trustee) money sufficient to pay the redemption price of and accrued interest on the notes to be redeemed on that date. In the case of a partial redemption of the notes, selection of the notes for redemption will be made pro rata, by lot or by such other method as the Trustee deems fair and appropriate.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(“DTC”), Euroclear or Clearstream (or another depositary), the redemption of the notes shall be done in accordance with the policies and procedures of the depositary. Any redemption or notice of redemption may, at the Company’s discretion, be subject to one or more conditions precedent.</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Mandatory Redemption; Offers to Purchase; Open Market Purchases</w:t>
      </w:r>
    </w:p>
    <w:p>
      <w:pPr>
        <w:spacing w:after="0" w:line="122" w:lineRule="exact"/>
        <w:rPr>
          <w:sz w:val="20"/>
          <w:szCs w:val="20"/>
          <w:color w:val="auto"/>
        </w:rPr>
      </w:pPr>
    </w:p>
    <w:p>
      <w:pPr>
        <w:ind w:left="1140" w:right="1219"/>
        <w:spacing w:after="0" w:line="252" w:lineRule="auto"/>
        <w:rPr>
          <w:sz w:val="20"/>
          <w:szCs w:val="20"/>
          <w:color w:val="auto"/>
        </w:rPr>
      </w:pPr>
      <w:r>
        <w:rPr>
          <w:rFonts w:ascii="Arial" w:cs="Arial" w:eastAsia="Arial" w:hAnsi="Arial"/>
          <w:sz w:val="15"/>
          <w:szCs w:val="15"/>
          <w:color w:val="auto"/>
        </w:rPr>
        <w:t>The Company is not required to make any mandatory redemption or sinking fund payments with respect to the notes. However, under certain circumstances, the Company may be required to offer to purchase the notes as described under the caption “— Repurchase of Notes upon a Change of Control Triggering Event.” The Company may at any time, and from time to time, purchase notes in the open market or otherwise.</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Ranking</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notes are general unsecured obligations of the Company. As a result, the notes rank:</w:t>
      </w:r>
    </w:p>
    <w:p>
      <w:pPr>
        <w:spacing w:after="0" w:line="92" w:lineRule="exact"/>
        <w:rPr>
          <w:sz w:val="20"/>
          <w:szCs w:val="20"/>
          <w:color w:val="auto"/>
        </w:rPr>
      </w:pPr>
    </w:p>
    <w:p>
      <w:pPr>
        <w:ind w:left="1580" w:right="1999" w:hanging="138"/>
        <w:spacing w:after="0" w:line="274" w:lineRule="auto"/>
        <w:tabs>
          <w:tab w:leader="none" w:pos="158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pari passu </w:t>
      </w:r>
      <w:r>
        <w:rPr>
          <w:rFonts w:ascii="Arial" w:cs="Arial" w:eastAsia="Arial" w:hAnsi="Arial"/>
          <w:sz w:val="15"/>
          <w:szCs w:val="15"/>
          <w:color w:val="auto"/>
        </w:rPr>
        <w:t>in right of payment with all existing and future unsecured unsubordinated</w:t>
      </w:r>
      <w:r>
        <w:rPr>
          <w:rFonts w:ascii="Arial" w:cs="Arial" w:eastAsia="Arial" w:hAnsi="Arial"/>
          <w:sz w:val="15"/>
          <w:szCs w:val="15"/>
          <w:i w:val="1"/>
          <w:iCs w:val="1"/>
          <w:color w:val="auto"/>
        </w:rPr>
        <w:t xml:space="preserve"> </w:t>
      </w:r>
      <w:r>
        <w:rPr>
          <w:rFonts w:ascii="Arial" w:cs="Arial" w:eastAsia="Arial" w:hAnsi="Arial"/>
          <w:sz w:val="15"/>
          <w:szCs w:val="15"/>
          <w:color w:val="auto"/>
        </w:rPr>
        <w:t>indebtedness of the Company;</w:t>
      </w:r>
    </w:p>
    <w:p>
      <w:pPr>
        <w:spacing w:after="0" w:line="47" w:lineRule="exact"/>
        <w:rPr>
          <w:rFonts w:ascii="Arial" w:cs="Arial" w:eastAsia="Arial" w:hAnsi="Arial"/>
          <w:sz w:val="15"/>
          <w:szCs w:val="15"/>
          <w:color w:val="auto"/>
        </w:rPr>
      </w:pPr>
    </w:p>
    <w:p>
      <w:pPr>
        <w:ind w:left="1580" w:right="1359" w:hanging="138"/>
        <w:spacing w:after="0" w:line="260" w:lineRule="auto"/>
        <w:tabs>
          <w:tab w:leader="none" w:pos="1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 structurally subordinated to any indebtedness and other liabilities of the Company’s Subsidiaries.</w:t>
      </w:r>
    </w:p>
    <w:p>
      <w:pPr>
        <w:spacing w:after="0" w:line="137" w:lineRule="exact"/>
        <w:rPr>
          <w:sz w:val="20"/>
          <w:szCs w:val="20"/>
          <w:color w:val="auto"/>
        </w:rPr>
      </w:pPr>
    </w:p>
    <w:p>
      <w:pPr>
        <w:ind w:left="1140" w:right="1219"/>
        <w:spacing w:after="0" w:line="249" w:lineRule="auto"/>
        <w:rPr>
          <w:sz w:val="20"/>
          <w:szCs w:val="20"/>
          <w:color w:val="auto"/>
        </w:rPr>
      </w:pPr>
      <w:r>
        <w:rPr>
          <w:rFonts w:ascii="Arial" w:cs="Arial" w:eastAsia="Arial" w:hAnsi="Arial"/>
          <w:sz w:val="15"/>
          <w:szCs w:val="15"/>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Repurchase of Notes upon a Change of Control Triggering Event</w:t>
      </w:r>
    </w:p>
    <w:p>
      <w:pPr>
        <w:spacing w:after="0" w:line="122" w:lineRule="exact"/>
        <w:rPr>
          <w:sz w:val="20"/>
          <w:szCs w:val="20"/>
          <w:color w:val="auto"/>
        </w:rPr>
      </w:pPr>
    </w:p>
    <w:p>
      <w:pPr>
        <w:ind w:left="1140" w:right="1159"/>
        <w:spacing w:after="0" w:line="252" w:lineRule="auto"/>
        <w:rPr>
          <w:sz w:val="20"/>
          <w:szCs w:val="20"/>
          <w:color w:val="auto"/>
        </w:rPr>
      </w:pPr>
      <w:r>
        <w:rPr>
          <w:rFonts w:ascii="Arial" w:cs="Arial" w:eastAsia="Arial" w:hAnsi="Arial"/>
          <w:sz w:val="15"/>
          <w:szCs w:val="15"/>
          <w:color w:val="auto"/>
        </w:rPr>
        <w:t>Not later than 60 days following a Change of Control Triggering Event, unless the Company has exercised its right to redeem all of the notes as described under “— Optional Redemption,” the Company will make an Offer to Purchase all of the outstanding notes at a purchase price equal to 101% of the principal amount thereof plus accrued and unpaid interest, if any, to, but excluding, the date of purchase.</w:t>
      </w:r>
    </w:p>
    <w:p>
      <w:pPr>
        <w:spacing w:after="0" w:line="99" w:lineRule="exact"/>
        <w:rPr>
          <w:sz w:val="20"/>
          <w:szCs w:val="20"/>
          <w:color w:val="auto"/>
        </w:rPr>
      </w:pPr>
    </w:p>
    <w:p>
      <w:pPr>
        <w:ind w:left="1140" w:right="1239"/>
        <w:spacing w:after="0" w:line="249" w:lineRule="auto"/>
        <w:rPr>
          <w:sz w:val="20"/>
          <w:szCs w:val="20"/>
          <w:color w:val="auto"/>
        </w:rPr>
      </w:pPr>
      <w:r>
        <w:rPr>
          <w:rFonts w:ascii="Arial" w:cs="Arial" w:eastAsia="Arial" w:hAnsi="Arial"/>
          <w:sz w:val="15"/>
          <w:szCs w:val="15"/>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03" w:lineRule="exact"/>
        <w:rPr>
          <w:sz w:val="20"/>
          <w:szCs w:val="20"/>
          <w:color w:val="auto"/>
        </w:rPr>
      </w:pPr>
    </w:p>
    <w:p>
      <w:pPr>
        <w:ind w:left="1140" w:right="1199"/>
        <w:spacing w:after="0" w:line="250" w:lineRule="auto"/>
        <w:rPr>
          <w:sz w:val="20"/>
          <w:szCs w:val="20"/>
          <w:color w:val="auto"/>
        </w:rPr>
      </w:pPr>
      <w:r>
        <w:rPr>
          <w:rFonts w:ascii="Arial" w:cs="Arial" w:eastAsia="Arial" w:hAnsi="Arial"/>
          <w:sz w:val="15"/>
          <w:szCs w:val="15"/>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89" w:lineRule="exact"/>
        <w:rPr>
          <w:sz w:val="20"/>
          <w:szCs w:val="20"/>
          <w:color w:val="auto"/>
        </w:rPr>
      </w:pPr>
    </w:p>
    <w:p>
      <w:pPr>
        <w:jc w:val="both"/>
        <w:ind w:left="1140" w:right="1479"/>
        <w:spacing w:after="0" w:line="260" w:lineRule="auto"/>
        <w:rPr>
          <w:sz w:val="20"/>
          <w:szCs w:val="20"/>
          <w:color w:val="auto"/>
        </w:rPr>
      </w:pPr>
      <w:r>
        <w:rPr>
          <w:rFonts w:ascii="Arial" w:cs="Arial" w:eastAsia="Arial" w:hAnsi="Arial"/>
          <w:sz w:val="15"/>
          <w:szCs w:val="15"/>
          <w:color w:val="auto"/>
        </w:rPr>
        <w:t>The Company will comply with Rule 14e-1 under the Exchange Act and all other applicable laws in making any Offer to Purchase, and the above procedures will be deemed modified as necessary to permit such compliance.</w:t>
      </w:r>
    </w:p>
    <w:p>
      <w:pPr>
        <w:spacing w:after="0" w:line="91" w:lineRule="exact"/>
        <w:rPr>
          <w:sz w:val="20"/>
          <w:szCs w:val="20"/>
          <w:color w:val="auto"/>
        </w:rPr>
      </w:pPr>
    </w:p>
    <w:p>
      <w:pPr>
        <w:ind w:left="1140" w:right="1159"/>
        <w:spacing w:after="0" w:line="249" w:lineRule="auto"/>
        <w:rPr>
          <w:sz w:val="20"/>
          <w:szCs w:val="20"/>
          <w:color w:val="auto"/>
        </w:rPr>
      </w:pPr>
      <w:r>
        <w:rPr>
          <w:rFonts w:ascii="Arial" w:cs="Arial" w:eastAsia="Arial" w:hAnsi="Arial"/>
          <w:sz w:val="15"/>
          <w:szCs w:val="15"/>
          <w:color w:val="auto"/>
        </w:rPr>
        <w:t>The Company will not be required to make an Offer to Purchase following a Change of Control Triggering Event with respect to the notes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01" w:lineRule="exact"/>
        <w:rPr>
          <w:sz w:val="20"/>
          <w:szCs w:val="20"/>
          <w:color w:val="auto"/>
        </w:rPr>
      </w:pPr>
    </w:p>
    <w:p>
      <w:pPr>
        <w:ind w:left="1140" w:right="1319"/>
        <w:spacing w:after="0" w:line="249" w:lineRule="auto"/>
        <w:rPr>
          <w:sz w:val="20"/>
          <w:szCs w:val="20"/>
          <w:color w:val="auto"/>
        </w:rPr>
      </w:pPr>
      <w:r>
        <w:rPr>
          <w:rFonts w:ascii="Arial" w:cs="Arial" w:eastAsia="Arial" w:hAnsi="Arial"/>
          <w:sz w:val="15"/>
          <w:szCs w:val="15"/>
          <w:color w:val="auto"/>
        </w:rPr>
        <w:t>If holders of not less than 90% in aggregate principal amount of the outstanding notes validly tender and do not withdraw such notes in a change of control offer and the Company, or any third party approved in writing by the Company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“second change of control payment date”) at a purchase price</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 w:name="page19"/>
    <w:bookmarkEnd w:id="1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859"/>
        <w:spacing w:after="0" w:line="274" w:lineRule="auto"/>
        <w:rPr>
          <w:sz w:val="20"/>
          <w:szCs w:val="20"/>
          <w:color w:val="auto"/>
        </w:rPr>
      </w:pPr>
      <w:r>
        <w:rPr>
          <w:rFonts w:ascii="Arial" w:cs="Arial" w:eastAsia="Arial" w:hAnsi="Arial"/>
          <w:sz w:val="15"/>
          <w:szCs w:val="15"/>
          <w:color w:val="auto"/>
        </w:rPr>
        <w:t>equal to 101% of the principal amount thereof plus accrued and unpaid interest, if any, to, but excluding, the second change of control payment date.</w:t>
      </w:r>
    </w:p>
    <w:p>
      <w:pPr>
        <w:spacing w:after="0" w:line="70" w:lineRule="exact"/>
        <w:rPr>
          <w:sz w:val="20"/>
          <w:szCs w:val="20"/>
          <w:color w:val="auto"/>
        </w:rPr>
      </w:pPr>
    </w:p>
    <w:p>
      <w:pPr>
        <w:ind w:left="1140" w:right="1159"/>
        <w:spacing w:after="0" w:line="238" w:lineRule="auto"/>
        <w:rPr>
          <w:sz w:val="20"/>
          <w:szCs w:val="20"/>
          <w:color w:val="auto"/>
        </w:rPr>
      </w:pPr>
      <w:r>
        <w:rPr>
          <w:rFonts w:ascii="Arial" w:cs="Arial" w:eastAsia="Arial" w:hAnsi="Arial"/>
          <w:sz w:val="15"/>
          <w:szCs w:val="15"/>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the notes, which would violate the terms of the indenture.”</w:t>
      </w:r>
    </w:p>
    <w:p>
      <w:pPr>
        <w:spacing w:after="0" w:line="100"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94" w:lineRule="exact"/>
        <w:rPr>
          <w:sz w:val="20"/>
          <w:szCs w:val="20"/>
          <w:color w:val="auto"/>
        </w:rPr>
      </w:pPr>
    </w:p>
    <w:p>
      <w:pPr>
        <w:ind w:left="1140" w:right="1179"/>
        <w:spacing w:after="0" w:line="237" w:lineRule="auto"/>
        <w:rPr>
          <w:sz w:val="20"/>
          <w:szCs w:val="20"/>
          <w:color w:val="auto"/>
        </w:rPr>
      </w:pPr>
      <w:r>
        <w:rPr>
          <w:rFonts w:ascii="Arial" w:cs="Arial" w:eastAsia="Arial" w:hAnsi="Arial"/>
          <w:sz w:val="15"/>
          <w:szCs w:val="15"/>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 be waived with respect to the notes only with the consent of the holders of a majority in principal amount of the notes then outstanding. Except for the limitations contained in such covenants, however, the Indenture will not contain any covenants or provisions that may afford holders of the notes protection in the event of a highly leveraged transaction.</w:t>
      </w:r>
    </w:p>
    <w:p>
      <w:pPr>
        <w:spacing w:after="0" w:line="99" w:lineRule="exact"/>
        <w:rPr>
          <w:sz w:val="20"/>
          <w:szCs w:val="20"/>
          <w:color w:val="auto"/>
        </w:rPr>
      </w:pPr>
    </w:p>
    <w:p>
      <w:pPr>
        <w:ind w:left="1140" w:right="1199"/>
        <w:spacing w:after="0" w:line="252" w:lineRule="auto"/>
        <w:rPr>
          <w:sz w:val="20"/>
          <w:szCs w:val="20"/>
          <w:color w:val="auto"/>
        </w:rPr>
      </w:pPr>
      <w:r>
        <w:rPr>
          <w:rFonts w:ascii="Arial" w:cs="Arial" w:eastAsia="Arial" w:hAnsi="Arial"/>
          <w:sz w:val="15"/>
          <w:szCs w:val="15"/>
          <w:color w:val="auto"/>
        </w:rPr>
        <w:t>The provisions under the Indenture relating to the Company’s obligation to make an offer to repurchase the notes as a result of a Change of Control Triggering Event may be waived or modified with the written consent of the holders of a majority in principal amount of the notes.</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Exchange and Transfer</w:t>
      </w:r>
    </w:p>
    <w:p>
      <w:pPr>
        <w:spacing w:after="0" w:line="122" w:lineRule="exact"/>
        <w:rPr>
          <w:sz w:val="20"/>
          <w:szCs w:val="20"/>
          <w:color w:val="auto"/>
        </w:rPr>
      </w:pPr>
    </w:p>
    <w:p>
      <w:pPr>
        <w:ind w:left="1140" w:right="1359"/>
        <w:spacing w:after="0" w:line="274" w:lineRule="auto"/>
        <w:rPr>
          <w:sz w:val="20"/>
          <w:szCs w:val="20"/>
          <w:color w:val="auto"/>
        </w:rPr>
      </w:pPr>
      <w:r>
        <w:rPr>
          <w:rFonts w:ascii="Arial" w:cs="Arial" w:eastAsia="Arial" w:hAnsi="Arial"/>
          <w:sz w:val="15"/>
          <w:szCs w:val="15"/>
          <w:color w:val="auto"/>
        </w:rPr>
        <w:t>Holders of the notes generally will be able to exchange their notes for other notes with the same total principal amount and the same terms.</w:t>
      </w:r>
    </w:p>
    <w:p>
      <w:pPr>
        <w:spacing w:after="0" w:line="70" w:lineRule="exact"/>
        <w:rPr>
          <w:sz w:val="20"/>
          <w:szCs w:val="20"/>
          <w:color w:val="auto"/>
        </w:rPr>
      </w:pPr>
    </w:p>
    <w:p>
      <w:pPr>
        <w:ind w:left="1140" w:right="1259"/>
        <w:spacing w:after="0" w:line="239" w:lineRule="auto"/>
        <w:rPr>
          <w:sz w:val="20"/>
          <w:szCs w:val="20"/>
          <w:color w:val="auto"/>
        </w:rPr>
      </w:pPr>
      <w:r>
        <w:rPr>
          <w:rFonts w:ascii="Arial" w:cs="Arial" w:eastAsia="Arial" w:hAnsi="Arial"/>
          <w:sz w:val="15"/>
          <w:szCs w:val="15"/>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61" w:lineRule="exact"/>
        <w:rPr>
          <w:sz w:val="20"/>
          <w:szCs w:val="20"/>
          <w:color w:val="auto"/>
        </w:rPr>
      </w:pPr>
    </w:p>
    <w:p>
      <w:pPr>
        <w:ind w:left="1580" w:hanging="138"/>
        <w:spacing w:after="0"/>
        <w:tabs>
          <w:tab w:leader="none" w:pos="1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designate additional transfer agents;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rescind the designation of any transfer agent; or</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 w:name="page20"/>
    <w:bookmarkEnd w:id="1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approve a change in the office of any transfer agent.</w:t>
      </w:r>
    </w:p>
    <w:p>
      <w:pPr>
        <w:spacing w:after="0" w:line="126" w:lineRule="exact"/>
        <w:rPr>
          <w:sz w:val="20"/>
          <w:szCs w:val="20"/>
          <w:color w:val="auto"/>
        </w:rPr>
      </w:pPr>
    </w:p>
    <w:p>
      <w:pPr>
        <w:ind w:left="1140" w:right="1279"/>
        <w:spacing w:after="0" w:line="259" w:lineRule="auto"/>
        <w:rPr>
          <w:sz w:val="20"/>
          <w:szCs w:val="20"/>
          <w:color w:val="auto"/>
        </w:rPr>
      </w:pPr>
      <w:r>
        <w:rPr>
          <w:rFonts w:ascii="Arial" w:cs="Arial" w:eastAsia="Arial" w:hAnsi="Arial"/>
          <w:sz w:val="15"/>
          <w:szCs w:val="15"/>
          <w:color w:val="auto"/>
        </w:rPr>
        <w:t>However, the Company is required to maintain a transfer agent in each place of payment for the notes at all times.</w:t>
      </w:r>
    </w:p>
    <w:p>
      <w:pPr>
        <w:spacing w:after="0" w:line="80" w:lineRule="exact"/>
        <w:rPr>
          <w:sz w:val="20"/>
          <w:szCs w:val="20"/>
          <w:color w:val="auto"/>
        </w:rPr>
      </w:pPr>
    </w:p>
    <w:p>
      <w:pPr>
        <w:ind w:left="1140" w:right="1399"/>
        <w:spacing w:after="0" w:line="274" w:lineRule="auto"/>
        <w:rPr>
          <w:sz w:val="20"/>
          <w:szCs w:val="20"/>
          <w:color w:val="auto"/>
        </w:rPr>
      </w:pPr>
      <w:r>
        <w:rPr>
          <w:rFonts w:ascii="Arial" w:cs="Arial" w:eastAsia="Arial" w:hAnsi="Arial"/>
          <w:sz w:val="15"/>
          <w:szCs w:val="15"/>
          <w:color w:val="auto"/>
        </w:rPr>
        <w:t>If the Company elects to redeem the notes or makes an Offer to Purchase, neither the Company nor the Trustee will be required to:</w:t>
      </w:r>
    </w:p>
    <w:p>
      <w:pPr>
        <w:spacing w:after="0" w:line="37" w:lineRule="exact"/>
        <w:rPr>
          <w:sz w:val="20"/>
          <w:szCs w:val="20"/>
          <w:color w:val="auto"/>
        </w:rPr>
      </w:pPr>
    </w:p>
    <w:p>
      <w:pPr>
        <w:jc w:val="both"/>
        <w:ind w:left="1580" w:right="1279" w:hanging="138"/>
        <w:spacing w:after="0" w:line="255" w:lineRule="auto"/>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issue, register the transfer of or exchange any notes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61" w:lineRule="exact"/>
        <w:rPr>
          <w:rFonts w:ascii="Arial" w:cs="Arial" w:eastAsia="Arial" w:hAnsi="Arial"/>
          <w:sz w:val="15"/>
          <w:szCs w:val="15"/>
          <w:color w:val="auto"/>
        </w:rPr>
      </w:pPr>
    </w:p>
    <w:p>
      <w:pPr>
        <w:jc w:val="both"/>
        <w:ind w:left="1580" w:right="1299" w:hanging="138"/>
        <w:spacing w:after="0" w:line="311" w:lineRule="auto"/>
        <w:tabs>
          <w:tab w:leader="none" w:pos="1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register the transfer or exchange of any note so selected for redemption or subject to purchase in such Offer to Purchase, except for any portion not to be redeemed or subject to purchase; or</w:t>
      </w:r>
    </w:p>
    <w:p>
      <w:pPr>
        <w:spacing w:after="0" w:line="24" w:lineRule="exact"/>
        <w:rPr>
          <w:rFonts w:ascii="Arial" w:cs="Arial" w:eastAsia="Arial" w:hAnsi="Arial"/>
          <w:sz w:val="14"/>
          <w:szCs w:val="14"/>
          <w:color w:val="auto"/>
        </w:rPr>
      </w:pPr>
    </w:p>
    <w:p>
      <w:pPr>
        <w:ind w:left="1580" w:right="1259" w:hanging="138"/>
        <w:spacing w:after="0" w:line="255" w:lineRule="auto"/>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Payment and Paying Agents</w:t>
      </w:r>
    </w:p>
    <w:p>
      <w:pPr>
        <w:spacing w:after="0" w:line="122" w:lineRule="exact"/>
        <w:rPr>
          <w:sz w:val="20"/>
          <w:szCs w:val="20"/>
          <w:color w:val="auto"/>
        </w:rPr>
      </w:pPr>
    </w:p>
    <w:p>
      <w:pPr>
        <w:ind w:left="1140" w:right="1199"/>
        <w:spacing w:after="0" w:line="255" w:lineRule="auto"/>
        <w:rPr>
          <w:sz w:val="20"/>
          <w:szCs w:val="20"/>
          <w:color w:val="auto"/>
        </w:rPr>
      </w:pPr>
      <w:r>
        <w:rPr>
          <w:rFonts w:ascii="Arial" w:cs="Arial" w:eastAsia="Arial" w:hAnsi="Arial"/>
          <w:sz w:val="15"/>
          <w:szCs w:val="15"/>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95" w:lineRule="exact"/>
        <w:rPr>
          <w:sz w:val="20"/>
          <w:szCs w:val="20"/>
          <w:color w:val="auto"/>
        </w:rPr>
      </w:pPr>
    </w:p>
    <w:p>
      <w:pPr>
        <w:ind w:left="1140" w:right="1579"/>
        <w:spacing w:after="0" w:line="260" w:lineRule="auto"/>
        <w:rPr>
          <w:sz w:val="20"/>
          <w:szCs w:val="20"/>
          <w:color w:val="auto"/>
        </w:rPr>
      </w:pPr>
      <w:r>
        <w:rPr>
          <w:rFonts w:ascii="Arial" w:cs="Arial" w:eastAsia="Arial" w:hAnsi="Arial"/>
          <w:sz w:val="15"/>
          <w:szCs w:val="15"/>
          <w:color w:val="auto"/>
        </w:rPr>
        <w:t>The Company will pay principal, premium, if any, and interest on the notes at the offices of the designated paying agents. However, except in the case of a global security, the Company will pay interest by:</w:t>
      </w:r>
    </w:p>
    <w:p>
      <w:pPr>
        <w:spacing w:after="0" w:line="58" w:lineRule="exact"/>
        <w:rPr>
          <w:sz w:val="20"/>
          <w:szCs w:val="20"/>
          <w:color w:val="auto"/>
        </w:rPr>
      </w:pPr>
    </w:p>
    <w:p>
      <w:pPr>
        <w:ind w:left="1580" w:right="1359" w:hanging="138"/>
        <w:spacing w:after="0" w:line="274" w:lineRule="auto"/>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check mailed to the address of the Person entitled to the payment as it appears in the security register; or</w:t>
      </w:r>
    </w:p>
    <w:p>
      <w:pPr>
        <w:spacing w:after="0" w:line="47" w:lineRule="exact"/>
        <w:rPr>
          <w:rFonts w:ascii="Arial" w:cs="Arial" w:eastAsia="Arial" w:hAnsi="Arial"/>
          <w:sz w:val="15"/>
          <w:szCs w:val="15"/>
          <w:color w:val="auto"/>
        </w:rPr>
      </w:pPr>
    </w:p>
    <w:p>
      <w:pPr>
        <w:ind w:left="1580" w:right="1259" w:hanging="138"/>
        <w:spacing w:after="0" w:line="255" w:lineRule="auto"/>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84" w:lineRule="exact"/>
        <w:rPr>
          <w:sz w:val="20"/>
          <w:szCs w:val="20"/>
          <w:color w:val="auto"/>
        </w:rPr>
      </w:pPr>
    </w:p>
    <w:p>
      <w:pPr>
        <w:ind w:left="1140" w:right="1179"/>
        <w:spacing w:after="0" w:line="255" w:lineRule="auto"/>
        <w:rPr>
          <w:sz w:val="20"/>
          <w:szCs w:val="20"/>
          <w:color w:val="auto"/>
        </w:rPr>
      </w:pPr>
      <w:r>
        <w:rPr>
          <w:rFonts w:ascii="Arial" w:cs="Arial" w:eastAsia="Arial" w:hAnsi="Arial"/>
          <w:sz w:val="15"/>
          <w:szCs w:val="15"/>
          <w:color w:val="auto"/>
        </w:rPr>
        <w:t>The Company will initially designate the Trustee as the sole paying agent for the notes. At any time, the Company may designate additional paying agents or rescind the designation of any paying agents. However, the Company is required to maintain a paying agent in each place of payment for the notes at all times.</w:t>
      </w:r>
    </w:p>
    <w:p>
      <w:pPr>
        <w:spacing w:after="0" w:line="95" w:lineRule="exact"/>
        <w:rPr>
          <w:sz w:val="20"/>
          <w:szCs w:val="20"/>
          <w:color w:val="auto"/>
        </w:rPr>
      </w:pPr>
    </w:p>
    <w:p>
      <w:pPr>
        <w:ind w:left="1140" w:right="1179"/>
        <w:spacing w:after="0" w:line="251" w:lineRule="auto"/>
        <w:rPr>
          <w:sz w:val="20"/>
          <w:szCs w:val="20"/>
          <w:color w:val="auto"/>
        </w:rPr>
      </w:pPr>
      <w:r>
        <w:rPr>
          <w:rFonts w:ascii="Arial" w:cs="Arial" w:eastAsia="Arial" w:hAnsi="Arial"/>
          <w:sz w:val="15"/>
          <w:szCs w:val="15"/>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Certain Covenants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Limitation on Liens</w:t>
      </w:r>
    </w:p>
    <w:p>
      <w:pPr>
        <w:spacing w:after="0" w:line="113" w:lineRule="exact"/>
        <w:rPr>
          <w:sz w:val="20"/>
          <w:szCs w:val="20"/>
          <w:color w:val="auto"/>
        </w:rPr>
      </w:pPr>
    </w:p>
    <w:p>
      <w:pPr>
        <w:ind w:left="1140" w:right="1179"/>
        <w:spacing w:after="0" w:line="251" w:lineRule="auto"/>
        <w:rPr>
          <w:sz w:val="20"/>
          <w:szCs w:val="20"/>
          <w:color w:val="auto"/>
        </w:rPr>
      </w:pPr>
      <w:r>
        <w:rPr>
          <w:rFonts w:ascii="Arial" w:cs="Arial" w:eastAsia="Arial" w:hAnsi="Arial"/>
          <w:sz w:val="15"/>
          <w:szCs w:val="15"/>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 w:name="page21"/>
    <w:bookmarkEnd w:id="2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86" w:lineRule="exact"/>
        <w:rPr>
          <w:sz w:val="20"/>
          <w:szCs w:val="20"/>
          <w:color w:val="auto"/>
        </w:rPr>
      </w:pPr>
    </w:p>
    <w:p>
      <w:pPr>
        <w:ind w:left="1140" w:right="1159"/>
        <w:spacing w:after="0" w:line="256" w:lineRule="auto"/>
        <w:rPr>
          <w:sz w:val="20"/>
          <w:szCs w:val="20"/>
          <w:color w:val="auto"/>
        </w:rPr>
      </w:pPr>
      <w:r>
        <w:rPr>
          <w:rFonts w:ascii="Arial" w:cs="Arial" w:eastAsia="Arial" w:hAnsi="Arial"/>
          <w:sz w:val="14"/>
          <w:szCs w:val="14"/>
          <w:color w:val="auto"/>
        </w:rPr>
        <w:t>Notwithstanding the foregoing,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85" w:lineRule="exact"/>
        <w:rPr>
          <w:sz w:val="20"/>
          <w:szCs w:val="20"/>
          <w:color w:val="auto"/>
        </w:rPr>
      </w:pPr>
    </w:p>
    <w:p>
      <w:pPr>
        <w:ind w:left="1140" w:right="1199"/>
        <w:spacing w:after="0" w:line="236" w:lineRule="auto"/>
        <w:rPr>
          <w:sz w:val="20"/>
          <w:szCs w:val="20"/>
          <w:color w:val="auto"/>
        </w:rPr>
      </w:pPr>
      <w:r>
        <w:rPr>
          <w:rFonts w:ascii="Arial" w:cs="Arial" w:eastAsia="Arial" w:hAnsi="Arial"/>
          <w:sz w:val="15"/>
          <w:szCs w:val="15"/>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01" w:lineRule="exact"/>
        <w:rPr>
          <w:sz w:val="20"/>
          <w:szCs w:val="20"/>
          <w:color w:val="auto"/>
        </w:rPr>
      </w:pPr>
    </w:p>
    <w:p>
      <w:pPr>
        <w:ind w:left="1140" w:right="1179"/>
        <w:spacing w:after="0" w:line="245" w:lineRule="auto"/>
        <w:rPr>
          <w:sz w:val="20"/>
          <w:szCs w:val="20"/>
          <w:color w:val="auto"/>
        </w:rPr>
      </w:pPr>
      <w:r>
        <w:rPr>
          <w:rFonts w:ascii="Arial" w:cs="Arial" w:eastAsia="Arial" w:hAnsi="Arial"/>
          <w:sz w:val="15"/>
          <w:szCs w:val="15"/>
          <w:color w:val="auto"/>
        </w:rPr>
        <w:t>Any Lien created for the benefit of the holders of the notes pursuant to the first paragraph under this covenant may provide by its terms that such Lien shall be automatically and unconditionally released and discharged upon the release and discharge of the Lien that gave rise to the obligation to secure the notes.</w:t>
      </w:r>
    </w:p>
    <w:p>
      <w:pPr>
        <w:spacing w:after="0" w:line="159"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Limitation on Sale and Lease-Back Transactions</w:t>
      </w:r>
    </w:p>
    <w:p>
      <w:pPr>
        <w:spacing w:after="0" w:line="113" w:lineRule="exact"/>
        <w:rPr>
          <w:sz w:val="20"/>
          <w:szCs w:val="20"/>
          <w:color w:val="auto"/>
        </w:rPr>
      </w:pPr>
    </w:p>
    <w:p>
      <w:pPr>
        <w:ind w:left="1140" w:right="1299"/>
        <w:spacing w:after="0" w:line="252" w:lineRule="auto"/>
        <w:rPr>
          <w:sz w:val="20"/>
          <w:szCs w:val="20"/>
          <w:color w:val="auto"/>
        </w:rPr>
      </w:pPr>
      <w:r>
        <w:rPr>
          <w:rFonts w:ascii="Arial" w:cs="Arial" w:eastAsia="Arial" w:hAnsi="Arial"/>
          <w:sz w:val="15"/>
          <w:szCs w:val="15"/>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42" w:lineRule="exact"/>
        <w:rPr>
          <w:sz w:val="20"/>
          <w:szCs w:val="20"/>
          <w:color w:val="auto"/>
        </w:rPr>
      </w:pPr>
    </w:p>
    <w:p>
      <w:pPr>
        <w:ind w:left="1580" w:hanging="138"/>
        <w:spacing w:after="0"/>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such transaction was entered into prior to the Issue Date;</w:t>
      </w:r>
    </w:p>
    <w:p>
      <w:pPr>
        <w:spacing w:after="0" w:line="92" w:lineRule="exact"/>
        <w:rPr>
          <w:rFonts w:ascii="Arial" w:cs="Arial" w:eastAsia="Arial" w:hAnsi="Arial"/>
          <w:sz w:val="15"/>
          <w:szCs w:val="15"/>
          <w:color w:val="auto"/>
        </w:rPr>
      </w:pPr>
    </w:p>
    <w:p>
      <w:pPr>
        <w:ind w:left="1580" w:right="1179" w:hanging="138"/>
        <w:spacing w:after="0" w:line="274" w:lineRule="auto"/>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such transaction was for the sale and leasing back to the Company or a Restricted Subsidiary by the Company or any Subsidiary of any Principal Property;</w:t>
      </w:r>
    </w:p>
    <w:p>
      <w:pPr>
        <w:spacing w:after="0" w:line="36" w:lineRule="exact"/>
        <w:rPr>
          <w:rFonts w:ascii="Arial" w:cs="Arial" w:eastAsia="Arial" w:hAnsi="Arial"/>
          <w:sz w:val="15"/>
          <w:szCs w:val="15"/>
          <w:color w:val="auto"/>
        </w:rPr>
      </w:pPr>
    </w:p>
    <w:p>
      <w:pPr>
        <w:ind w:left="1580" w:hanging="138"/>
        <w:spacing w:after="0"/>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such transaction involves a lease of a Principal Property executed by the time of or within</w:t>
      </w:r>
    </w:p>
    <w:p>
      <w:pPr>
        <w:spacing w:after="0" w:line="18" w:lineRule="exact"/>
        <w:rPr>
          <w:rFonts w:ascii="Arial" w:cs="Arial" w:eastAsia="Arial" w:hAnsi="Arial"/>
          <w:sz w:val="15"/>
          <w:szCs w:val="15"/>
          <w:color w:val="auto"/>
        </w:rPr>
      </w:pPr>
    </w:p>
    <w:p>
      <w:pPr>
        <w:ind w:left="1580" w:right="1259"/>
        <w:spacing w:after="0" w:line="272" w:lineRule="auto"/>
        <w:rPr>
          <w:rFonts w:ascii="Arial" w:cs="Arial" w:eastAsia="Arial" w:hAnsi="Arial"/>
          <w:sz w:val="15"/>
          <w:szCs w:val="15"/>
          <w:color w:val="auto"/>
        </w:rPr>
      </w:pPr>
      <w:r>
        <w:rPr>
          <w:rFonts w:ascii="Arial" w:cs="Arial" w:eastAsia="Arial" w:hAnsi="Arial"/>
          <w:sz w:val="14"/>
          <w:szCs w:val="14"/>
          <w:color w:val="auto"/>
        </w:rPr>
        <w:t>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39" w:lineRule="exact"/>
        <w:rPr>
          <w:rFonts w:ascii="Arial" w:cs="Arial" w:eastAsia="Arial" w:hAnsi="Arial"/>
          <w:sz w:val="15"/>
          <w:szCs w:val="15"/>
          <w:color w:val="auto"/>
        </w:rPr>
      </w:pPr>
    </w:p>
    <w:p>
      <w:pPr>
        <w:ind w:left="1580" w:right="1279" w:hanging="138"/>
        <w:spacing w:after="0" w:line="255" w:lineRule="auto"/>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such transaction involves a lease for not more than three years (or which may be terminated by the Company or the applicable Restricted Subsidiary within a period of not more than</w:t>
      </w:r>
    </w:p>
    <w:p>
      <w:pPr>
        <w:ind w:left="1580"/>
        <w:spacing w:after="0"/>
        <w:rPr>
          <w:rFonts w:ascii="Arial" w:cs="Arial" w:eastAsia="Arial" w:hAnsi="Arial"/>
          <w:sz w:val="15"/>
          <w:szCs w:val="15"/>
          <w:color w:val="auto"/>
        </w:rPr>
      </w:pPr>
      <w:r>
        <w:rPr>
          <w:rFonts w:ascii="Arial" w:cs="Arial" w:eastAsia="Arial" w:hAnsi="Arial"/>
          <w:sz w:val="15"/>
          <w:szCs w:val="15"/>
          <w:color w:val="auto"/>
        </w:rPr>
        <w:t>three years);</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 w:name="page22"/>
    <w:bookmarkEnd w:id="2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199" w:hanging="138"/>
        <w:spacing w:after="0" w:line="255"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61" w:lineRule="exact"/>
        <w:rPr>
          <w:rFonts w:ascii="Arial" w:cs="Arial" w:eastAsia="Arial" w:hAnsi="Arial"/>
          <w:sz w:val="15"/>
          <w:szCs w:val="15"/>
          <w:color w:val="auto"/>
        </w:rPr>
      </w:pPr>
    </w:p>
    <w:p>
      <w:pPr>
        <w:ind w:left="1580" w:right="1219" w:hanging="138"/>
        <w:spacing w:after="0" w:line="249"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03" w:lineRule="exact"/>
        <w:rPr>
          <w:sz w:val="20"/>
          <w:szCs w:val="20"/>
          <w:color w:val="auto"/>
        </w:rPr>
      </w:pPr>
    </w:p>
    <w:p>
      <w:pPr>
        <w:ind w:left="1140" w:right="1399"/>
        <w:spacing w:after="0" w:line="241" w:lineRule="auto"/>
        <w:rPr>
          <w:sz w:val="20"/>
          <w:szCs w:val="20"/>
          <w:color w:val="auto"/>
        </w:rPr>
      </w:pPr>
      <w:r>
        <w:rPr>
          <w:rFonts w:ascii="Arial" w:cs="Arial" w:eastAsia="Arial" w:hAnsi="Arial"/>
          <w:sz w:val="15"/>
          <w:szCs w:val="15"/>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52" w:lineRule="exact"/>
        <w:rPr>
          <w:sz w:val="20"/>
          <w:szCs w:val="20"/>
          <w:color w:val="auto"/>
        </w:rPr>
      </w:pPr>
    </w:p>
    <w:p>
      <w:pPr>
        <w:ind w:left="1440" w:right="1599"/>
        <w:spacing w:after="0" w:line="282" w:lineRule="auto"/>
        <w:rPr>
          <w:sz w:val="20"/>
          <w:szCs w:val="20"/>
          <w:color w:val="auto"/>
        </w:rPr>
      </w:pPr>
      <w:r>
        <w:rPr>
          <w:rFonts w:ascii="Arial" w:cs="Arial" w:eastAsia="Arial" w:hAnsi="Arial"/>
          <w:sz w:val="15"/>
          <w:szCs w:val="15"/>
          <w:b w:val="1"/>
          <w:bCs w:val="1"/>
          <w:i w:val="1"/>
          <w:iCs w:val="1"/>
          <w:color w:val="auto"/>
        </w:rPr>
        <w:t>Consolidation, Merger and Conveyance, Transfer and Lease of All or Substantially All Assets</w:t>
      </w:r>
    </w:p>
    <w:p>
      <w:pPr>
        <w:spacing w:after="0" w:line="56" w:lineRule="exact"/>
        <w:rPr>
          <w:sz w:val="20"/>
          <w:szCs w:val="20"/>
          <w:color w:val="auto"/>
        </w:rPr>
      </w:pPr>
    </w:p>
    <w:p>
      <w:pPr>
        <w:ind w:left="1140" w:right="1739"/>
        <w:spacing w:after="0" w:line="259" w:lineRule="auto"/>
        <w:rPr>
          <w:sz w:val="20"/>
          <w:szCs w:val="20"/>
          <w:color w:val="auto"/>
        </w:rPr>
      </w:pPr>
      <w:r>
        <w:rPr>
          <w:rFonts w:ascii="Arial" w:cs="Arial" w:eastAsia="Arial" w:hAnsi="Arial"/>
          <w:sz w:val="15"/>
          <w:szCs w:val="15"/>
          <w:color w:val="auto"/>
        </w:rPr>
        <w:t>The Company may not consolidate with or merge with or into, or convey, transfer or lease all or substantially all of its properties and assets to, any person (a “successor person”) unless:</w:t>
      </w:r>
    </w:p>
    <w:p>
      <w:pPr>
        <w:spacing w:after="0" w:line="80" w:lineRule="exact"/>
        <w:rPr>
          <w:sz w:val="20"/>
          <w:szCs w:val="20"/>
          <w:color w:val="auto"/>
        </w:rPr>
      </w:pPr>
    </w:p>
    <w:p>
      <w:pPr>
        <w:ind w:left="1740" w:right="1199" w:hanging="298"/>
        <w:spacing w:after="0" w:line="255" w:lineRule="auto"/>
        <w:tabs>
          <w:tab w:leader="none" w:pos="1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83" w:lineRule="exact"/>
        <w:rPr>
          <w:rFonts w:ascii="Arial" w:cs="Arial" w:eastAsia="Arial" w:hAnsi="Arial"/>
          <w:sz w:val="15"/>
          <w:szCs w:val="15"/>
          <w:color w:val="auto"/>
        </w:rPr>
      </w:pPr>
    </w:p>
    <w:p>
      <w:pPr>
        <w:jc w:val="both"/>
        <w:ind w:left="1740" w:right="1179" w:hanging="298"/>
        <w:spacing w:after="0" w:line="260" w:lineRule="auto"/>
        <w:tabs>
          <w:tab w:leader="none" w:pos="1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90" w:lineRule="exact"/>
        <w:rPr>
          <w:rFonts w:ascii="Arial" w:cs="Arial" w:eastAsia="Arial" w:hAnsi="Arial"/>
          <w:sz w:val="15"/>
          <w:szCs w:val="15"/>
          <w:color w:val="auto"/>
        </w:rPr>
      </w:pPr>
    </w:p>
    <w:p>
      <w:pPr>
        <w:ind w:left="1740" w:hanging="298"/>
        <w:spacing w:after="0"/>
        <w:tabs>
          <w:tab w:leader="none" w:pos="1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certain other conditions are met.</w:t>
      </w:r>
    </w:p>
    <w:p>
      <w:pPr>
        <w:spacing w:after="0" w:line="115" w:lineRule="exact"/>
        <w:rPr>
          <w:sz w:val="20"/>
          <w:szCs w:val="20"/>
          <w:color w:val="auto"/>
        </w:rPr>
      </w:pPr>
    </w:p>
    <w:p>
      <w:pPr>
        <w:ind w:left="1140" w:right="1219"/>
        <w:spacing w:after="0" w:line="252" w:lineRule="auto"/>
        <w:rPr>
          <w:sz w:val="20"/>
          <w:szCs w:val="20"/>
          <w:color w:val="auto"/>
        </w:rPr>
      </w:pPr>
      <w:r>
        <w:rPr>
          <w:rFonts w:ascii="Arial" w:cs="Arial" w:eastAsia="Arial" w:hAnsi="Arial"/>
          <w:sz w:val="15"/>
          <w:szCs w:val="15"/>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Provision of Financial Information</w:t>
      </w:r>
    </w:p>
    <w:p>
      <w:pPr>
        <w:spacing w:after="0" w:line="122" w:lineRule="exact"/>
        <w:rPr>
          <w:sz w:val="20"/>
          <w:szCs w:val="20"/>
          <w:color w:val="auto"/>
        </w:rPr>
      </w:pPr>
    </w:p>
    <w:p>
      <w:pPr>
        <w:ind w:left="1140" w:right="1159"/>
        <w:spacing w:after="0" w:line="258" w:lineRule="auto"/>
        <w:rPr>
          <w:sz w:val="20"/>
          <w:szCs w:val="20"/>
          <w:color w:val="auto"/>
        </w:rPr>
      </w:pPr>
      <w:r>
        <w:rPr>
          <w:rFonts w:ascii="Arial" w:cs="Arial" w:eastAsia="Arial" w:hAnsi="Arial"/>
          <w:sz w:val="14"/>
          <w:szCs w:val="14"/>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Certain Definitions</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As used in this section, the following terms have the meanings set forth below.</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 w:name="page23"/>
    <w:bookmarkEnd w:id="2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54" w:lineRule="auto"/>
        <w:rPr>
          <w:sz w:val="20"/>
          <w:szCs w:val="20"/>
          <w:color w:val="auto"/>
        </w:rPr>
      </w:pPr>
      <w:r>
        <w:rPr>
          <w:rFonts w:ascii="Arial" w:cs="Arial" w:eastAsia="Arial" w:hAnsi="Arial"/>
          <w:sz w:val="14"/>
          <w:szCs w:val="14"/>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258" w:lineRule="exact"/>
        <w:rPr>
          <w:sz w:val="20"/>
          <w:szCs w:val="20"/>
          <w:color w:val="auto"/>
        </w:rPr>
      </w:pPr>
    </w:p>
    <w:p>
      <w:pPr>
        <w:ind w:left="1140" w:right="1279"/>
        <w:spacing w:after="0" w:line="251" w:lineRule="auto"/>
        <w:rPr>
          <w:sz w:val="20"/>
          <w:szCs w:val="20"/>
          <w:color w:val="auto"/>
        </w:rPr>
      </w:pPr>
      <w:r>
        <w:rPr>
          <w:rFonts w:ascii="Arial" w:cs="Arial" w:eastAsia="Arial" w:hAnsi="Arial"/>
          <w:sz w:val="15"/>
          <w:szCs w:val="15"/>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88"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“Below Investment Grade Rating Event”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are rated Investment Grade by two or more of the Rating Agencies.</w:t>
      </w:r>
    </w:p>
    <w:p>
      <w:pPr>
        <w:spacing w:after="0" w:line="87" w:lineRule="exact"/>
        <w:rPr>
          <w:sz w:val="20"/>
          <w:szCs w:val="20"/>
          <w:color w:val="auto"/>
        </w:rPr>
      </w:pPr>
    </w:p>
    <w:p>
      <w:pPr>
        <w:ind w:left="1140" w:right="1639"/>
        <w:spacing w:after="0" w:line="274" w:lineRule="auto"/>
        <w:rPr>
          <w:sz w:val="20"/>
          <w:szCs w:val="20"/>
          <w:color w:val="auto"/>
        </w:rPr>
      </w:pPr>
      <w:r>
        <w:rPr>
          <w:rFonts w:ascii="Arial" w:cs="Arial" w:eastAsia="Arial" w:hAnsi="Arial"/>
          <w:sz w:val="15"/>
          <w:szCs w:val="15"/>
          <w:color w:val="auto"/>
        </w:rPr>
        <w:t>“Board of Directors” means the board of directors of the Company or any committee thereof duly authorized to act on behalf of such board.</w:t>
      </w:r>
    </w:p>
    <w:p>
      <w:pPr>
        <w:spacing w:after="0" w:line="8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“Business Day” means each day that is not a Legal Holiday.</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 w:name="page24"/>
    <w:bookmarkEnd w:id="2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55" w:lineRule="auto"/>
        <w:rPr>
          <w:sz w:val="20"/>
          <w:szCs w:val="20"/>
          <w:color w:val="auto"/>
        </w:rPr>
      </w:pPr>
      <w:r>
        <w:rPr>
          <w:rFonts w:ascii="Arial" w:cs="Arial" w:eastAsia="Arial" w:hAnsi="Arial"/>
          <w:sz w:val="15"/>
          <w:szCs w:val="15"/>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“Change of Control” means:</w:t>
      </w:r>
    </w:p>
    <w:p>
      <w:pPr>
        <w:spacing w:after="0" w:line="126" w:lineRule="exact"/>
        <w:rPr>
          <w:sz w:val="20"/>
          <w:szCs w:val="20"/>
          <w:color w:val="auto"/>
        </w:rPr>
      </w:pPr>
    </w:p>
    <w:p>
      <w:pPr>
        <w:ind w:left="1740" w:right="1159" w:hanging="298"/>
        <w:spacing w:after="0" w:line="265" w:lineRule="auto"/>
        <w:tabs>
          <w:tab w:leader="none" w:pos="1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276" w:lineRule="exact"/>
        <w:rPr>
          <w:rFonts w:ascii="Arial" w:cs="Arial" w:eastAsia="Arial" w:hAnsi="Arial"/>
          <w:sz w:val="14"/>
          <w:szCs w:val="14"/>
          <w:color w:val="auto"/>
        </w:rPr>
      </w:pPr>
    </w:p>
    <w:p>
      <w:pPr>
        <w:ind w:left="1740" w:right="1159" w:hanging="298"/>
        <w:spacing w:after="0" w:line="250" w:lineRule="auto"/>
        <w:tabs>
          <w:tab w:leader="none" w:pos="1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00" w:lineRule="exact"/>
        <w:rPr>
          <w:rFonts w:ascii="Arial" w:cs="Arial" w:eastAsia="Arial" w:hAnsi="Arial"/>
          <w:sz w:val="15"/>
          <w:szCs w:val="15"/>
          <w:color w:val="auto"/>
        </w:rPr>
      </w:pPr>
    </w:p>
    <w:p>
      <w:pPr>
        <w:ind w:left="1740" w:hanging="298"/>
        <w:spacing w:after="0"/>
        <w:tabs>
          <w:tab w:leader="none" w:pos="1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adoption of a plan relating to the Company’s liquidation or dissolution.</w:t>
      </w:r>
    </w:p>
    <w:p>
      <w:pPr>
        <w:spacing w:after="0" w:line="115" w:lineRule="exact"/>
        <w:rPr>
          <w:sz w:val="20"/>
          <w:szCs w:val="20"/>
          <w:color w:val="auto"/>
        </w:rPr>
      </w:pPr>
    </w:p>
    <w:p>
      <w:pPr>
        <w:ind w:left="1140" w:right="1299"/>
        <w:spacing w:after="0" w:line="274" w:lineRule="auto"/>
        <w:rPr>
          <w:sz w:val="20"/>
          <w:szCs w:val="20"/>
          <w:color w:val="auto"/>
        </w:rPr>
      </w:pPr>
      <w:r>
        <w:rPr>
          <w:rFonts w:ascii="Arial" w:cs="Arial" w:eastAsia="Arial" w:hAnsi="Arial"/>
          <w:sz w:val="15"/>
          <w:szCs w:val="15"/>
          <w:color w:val="auto"/>
        </w:rPr>
        <w:t>“Change of Control Triggering Event” means the occurrence of both a Change of Control and a Below Investment Grade Rating Event.</w:t>
      </w:r>
    </w:p>
    <w:p>
      <w:pPr>
        <w:spacing w:after="0" w:line="81"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92" w:lineRule="exact"/>
        <w:rPr>
          <w:sz w:val="20"/>
          <w:szCs w:val="20"/>
          <w:color w:val="auto"/>
        </w:rPr>
      </w:pPr>
    </w:p>
    <w:p>
      <w:pPr>
        <w:jc w:val="both"/>
        <w:ind w:left="1140" w:right="1419"/>
        <w:spacing w:after="0" w:line="260" w:lineRule="auto"/>
        <w:rPr>
          <w:sz w:val="20"/>
          <w:szCs w:val="20"/>
          <w:color w:val="auto"/>
        </w:rPr>
      </w:pPr>
      <w:r>
        <w:rPr>
          <w:rFonts w:ascii="Arial" w:cs="Arial" w:eastAsia="Arial" w:hAnsi="Arial"/>
          <w:sz w:val="15"/>
          <w:szCs w:val="15"/>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 w:name="page25"/>
    <w:bookmarkEnd w:id="2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19"/>
        <w:spacing w:after="0" w:line="311" w:lineRule="auto"/>
        <w:rPr>
          <w:sz w:val="20"/>
          <w:szCs w:val="20"/>
          <w:color w:val="auto"/>
        </w:rPr>
      </w:pPr>
      <w:r>
        <w:rPr>
          <w:rFonts w:ascii="Arial" w:cs="Arial" w:eastAsia="Arial" w:hAnsi="Arial"/>
          <w:sz w:val="14"/>
          <w:szCs w:val="14"/>
          <w:color w:val="auto"/>
        </w:rPr>
        <w:t>“Equity Interests” means all Capital Stock and all warrants or options with respect to, or other rights to purchase, Capital Stock, but excluding Indebtedness convertible into or exchangeable for equity.</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“Fitch” means Fitch Ratings Inc. and any successor to its rating agency business.</w:t>
      </w:r>
    </w:p>
    <w:p>
      <w:pPr>
        <w:spacing w:after="0" w:line="115" w:lineRule="exact"/>
        <w:rPr>
          <w:sz w:val="20"/>
          <w:szCs w:val="20"/>
          <w:color w:val="auto"/>
        </w:rPr>
      </w:pPr>
    </w:p>
    <w:p>
      <w:pPr>
        <w:ind w:left="1140" w:right="1219"/>
        <w:spacing w:after="0" w:line="252" w:lineRule="auto"/>
        <w:rPr>
          <w:sz w:val="20"/>
          <w:szCs w:val="20"/>
          <w:color w:val="auto"/>
        </w:rPr>
      </w:pPr>
      <w:r>
        <w:rPr>
          <w:rFonts w:ascii="Arial" w:cs="Arial" w:eastAsia="Arial" w:hAnsi="Arial"/>
          <w:sz w:val="15"/>
          <w:szCs w:val="15"/>
          <w:color w:val="auto"/>
        </w:rPr>
        <w:t>“Foreign Subsidiary” means, with respect to any Person, any Subsidiary of such Person other than one that is organized or existing under the laws of the United States, any state thereof or the District of Columbia.</w:t>
      </w:r>
    </w:p>
    <w:p>
      <w:pPr>
        <w:spacing w:after="0" w:line="86" w:lineRule="exact"/>
        <w:rPr>
          <w:sz w:val="20"/>
          <w:szCs w:val="20"/>
          <w:color w:val="auto"/>
        </w:rPr>
      </w:pPr>
    </w:p>
    <w:p>
      <w:pPr>
        <w:jc w:val="both"/>
        <w:ind w:left="1140" w:right="1159"/>
        <w:spacing w:after="0" w:line="245" w:lineRule="auto"/>
        <w:rPr>
          <w:sz w:val="20"/>
          <w:szCs w:val="20"/>
          <w:color w:val="auto"/>
        </w:rPr>
      </w:pPr>
      <w:r>
        <w:rPr>
          <w:rFonts w:ascii="Arial" w:cs="Arial" w:eastAsia="Arial" w:hAnsi="Arial"/>
          <w:sz w:val="15"/>
          <w:szCs w:val="15"/>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91" w:lineRule="exact"/>
        <w:rPr>
          <w:sz w:val="20"/>
          <w:szCs w:val="20"/>
          <w:color w:val="auto"/>
        </w:rPr>
      </w:pPr>
    </w:p>
    <w:p>
      <w:pPr>
        <w:ind w:left="1140" w:right="1219"/>
        <w:spacing w:after="0"/>
        <w:rPr>
          <w:sz w:val="20"/>
          <w:szCs w:val="20"/>
          <w:color w:val="auto"/>
        </w:rPr>
      </w:pPr>
      <w:r>
        <w:rPr>
          <w:rFonts w:ascii="Arial" w:cs="Arial" w:eastAsia="Arial" w:hAnsi="Arial"/>
          <w:sz w:val="15"/>
          <w:szCs w:val="15"/>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amount of any Indebtedness outstanding as of any date will be:</w:t>
      </w:r>
    </w:p>
    <w:p>
      <w:pPr>
        <w:spacing w:after="0" w:line="115" w:lineRule="exact"/>
        <w:rPr>
          <w:sz w:val="20"/>
          <w:szCs w:val="20"/>
          <w:color w:val="auto"/>
        </w:rPr>
      </w:pPr>
    </w:p>
    <w:p>
      <w:pPr>
        <w:ind w:left="1740" w:right="1239" w:hanging="298"/>
        <w:spacing w:after="0" w:line="274" w:lineRule="auto"/>
        <w:tabs>
          <w:tab w:leader="none" w:pos="1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accreted value of the Indebtedness, in the case of any Indebtedness that does not require the current payment of interest;</w:t>
      </w:r>
    </w:p>
    <w:p>
      <w:pPr>
        <w:spacing w:after="0" w:line="80" w:lineRule="exact"/>
        <w:rPr>
          <w:rFonts w:ascii="Arial" w:cs="Arial" w:eastAsia="Arial" w:hAnsi="Arial"/>
          <w:sz w:val="15"/>
          <w:szCs w:val="15"/>
          <w:color w:val="auto"/>
        </w:rPr>
      </w:pPr>
    </w:p>
    <w:p>
      <w:pPr>
        <w:ind w:left="1740" w:hanging="298"/>
        <w:spacing w:after="0"/>
        <w:tabs>
          <w:tab w:leader="none" w:pos="1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principal amount of the Indebtedness, in the case of any other Indebtedness; and</w:t>
      </w:r>
    </w:p>
    <w:p>
      <w:pPr>
        <w:spacing w:after="0" w:line="114" w:lineRule="exact"/>
        <w:rPr>
          <w:rFonts w:ascii="Arial" w:cs="Arial" w:eastAsia="Arial" w:hAnsi="Arial"/>
          <w:sz w:val="15"/>
          <w:szCs w:val="15"/>
          <w:color w:val="auto"/>
        </w:rPr>
      </w:pPr>
    </w:p>
    <w:p>
      <w:pPr>
        <w:ind w:left="1740" w:right="1239" w:hanging="298"/>
        <w:spacing w:after="0" w:line="255" w:lineRule="auto"/>
        <w:tabs>
          <w:tab w:leader="none" w:pos="1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95" w:lineRule="exact"/>
        <w:rPr>
          <w:sz w:val="20"/>
          <w:szCs w:val="20"/>
          <w:color w:val="auto"/>
        </w:rPr>
      </w:pPr>
    </w:p>
    <w:p>
      <w:pPr>
        <w:ind w:left="1140" w:right="1699"/>
        <w:spacing w:after="0" w:line="259" w:lineRule="auto"/>
        <w:rPr>
          <w:sz w:val="20"/>
          <w:szCs w:val="20"/>
          <w:color w:val="auto"/>
        </w:rPr>
      </w:pPr>
      <w:r>
        <w:rPr>
          <w:rFonts w:ascii="Arial" w:cs="Arial" w:eastAsia="Arial" w:hAnsi="Arial"/>
          <w:sz w:val="15"/>
          <w:szCs w:val="15"/>
          <w:color w:val="auto"/>
        </w:rPr>
        <w:t>In addition, accrual of interest and accretion or amortization of original issue discount will not be deemed to be an incurrence of Indebtedness for any purpose under the Indenture.</w:t>
      </w:r>
    </w:p>
    <w:p>
      <w:pPr>
        <w:spacing w:after="0" w:line="80" w:lineRule="exact"/>
        <w:rPr>
          <w:sz w:val="20"/>
          <w:szCs w:val="20"/>
          <w:color w:val="auto"/>
        </w:rPr>
      </w:pPr>
    </w:p>
    <w:p>
      <w:pPr>
        <w:ind w:left="1140" w:right="1419"/>
        <w:spacing w:after="0" w:line="245" w:lineRule="auto"/>
        <w:rPr>
          <w:sz w:val="20"/>
          <w:szCs w:val="20"/>
          <w:color w:val="auto"/>
        </w:rPr>
      </w:pPr>
      <w:r>
        <w:rPr>
          <w:rFonts w:ascii="Arial" w:cs="Arial" w:eastAsia="Arial" w:hAnsi="Arial"/>
          <w:sz w:val="15"/>
          <w:szCs w:val="15"/>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“Issue Date” means the date of original issuance of the notes under the Indenture.</w:t>
      </w:r>
    </w:p>
    <w:p>
      <w:pPr>
        <w:spacing w:after="0" w:line="115" w:lineRule="exact"/>
        <w:rPr>
          <w:sz w:val="20"/>
          <w:szCs w:val="20"/>
          <w:color w:val="auto"/>
        </w:rPr>
      </w:pPr>
    </w:p>
    <w:p>
      <w:pPr>
        <w:ind w:left="1140" w:right="1219"/>
        <w:spacing w:after="0" w:line="260" w:lineRule="auto"/>
        <w:rPr>
          <w:sz w:val="20"/>
          <w:szCs w:val="20"/>
          <w:color w:val="auto"/>
        </w:rPr>
      </w:pPr>
      <w:r>
        <w:rPr>
          <w:rFonts w:ascii="Arial" w:cs="Arial" w:eastAsia="Arial" w:hAnsi="Arial"/>
          <w:sz w:val="15"/>
          <w:szCs w:val="15"/>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91" w:lineRule="exact"/>
        <w:rPr>
          <w:sz w:val="20"/>
          <w:szCs w:val="20"/>
          <w:color w:val="auto"/>
        </w:rPr>
      </w:pPr>
    </w:p>
    <w:p>
      <w:pPr>
        <w:ind w:left="1140" w:right="1299"/>
        <w:spacing w:after="0" w:line="311" w:lineRule="auto"/>
        <w:rPr>
          <w:sz w:val="20"/>
          <w:szCs w:val="20"/>
          <w:color w:val="auto"/>
        </w:rPr>
      </w:pPr>
      <w:r>
        <w:rPr>
          <w:rFonts w:ascii="Arial" w:cs="Arial" w:eastAsia="Arial" w:hAnsi="Arial"/>
          <w:sz w:val="14"/>
          <w:szCs w:val="14"/>
          <w:color w:val="auto"/>
        </w:rPr>
        <w:t>“Legal Holiday” means a Saturday, a Sunday or a day on which commercial banking institutions or the corporate trust office are not required to be open in the State of New York or the place of payment.</w:t>
      </w:r>
    </w:p>
    <w:p>
      <w:pPr>
        <w:spacing w:after="0" w:line="57" w:lineRule="exact"/>
        <w:rPr>
          <w:sz w:val="20"/>
          <w:szCs w:val="20"/>
          <w:color w:val="auto"/>
        </w:rPr>
      </w:pPr>
    </w:p>
    <w:p>
      <w:pPr>
        <w:ind w:left="1140" w:right="1259"/>
        <w:spacing w:after="0" w:line="287" w:lineRule="auto"/>
        <w:rPr>
          <w:sz w:val="20"/>
          <w:szCs w:val="20"/>
          <w:color w:val="auto"/>
        </w:rPr>
      </w:pPr>
      <w:r>
        <w:rPr>
          <w:rFonts w:ascii="Arial" w:cs="Arial" w:eastAsia="Arial" w:hAnsi="Arial"/>
          <w:sz w:val="14"/>
          <w:szCs w:val="14"/>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“Moody’s” means Moody’s Investors Service, Inc. and any successor to its rating agency business.</w:t>
      </w:r>
    </w:p>
    <w:p>
      <w:pPr>
        <w:spacing w:after="0" w:line="126" w:lineRule="exact"/>
        <w:rPr>
          <w:sz w:val="20"/>
          <w:szCs w:val="20"/>
          <w:color w:val="auto"/>
        </w:rPr>
      </w:pPr>
    </w:p>
    <w:p>
      <w:pPr>
        <w:ind w:left="1140" w:right="1279"/>
        <w:spacing w:after="0" w:line="255" w:lineRule="auto"/>
        <w:rPr>
          <w:sz w:val="20"/>
          <w:szCs w:val="20"/>
          <w:color w:val="auto"/>
        </w:rPr>
      </w:pPr>
      <w:r>
        <w:rPr>
          <w:rFonts w:ascii="Arial" w:cs="Arial" w:eastAsia="Arial" w:hAnsi="Arial"/>
          <w:sz w:val="15"/>
          <w:szCs w:val="15"/>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 w:name="page26"/>
    <w:bookmarkEnd w:id="2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99"/>
        <w:spacing w:after="0" w:line="255" w:lineRule="auto"/>
        <w:rPr>
          <w:sz w:val="20"/>
          <w:szCs w:val="20"/>
          <w:color w:val="auto"/>
        </w:rPr>
      </w:pPr>
      <w:r>
        <w:rPr>
          <w:rFonts w:ascii="Arial" w:cs="Arial" w:eastAsia="Arial" w:hAnsi="Arial"/>
          <w:sz w:val="15"/>
          <w:szCs w:val="15"/>
          <w:color w:val="auto"/>
        </w:rPr>
        <w:t>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“Permitted Liens” means:</w:t>
      </w:r>
    </w:p>
    <w:p>
      <w:pPr>
        <w:spacing w:after="0" w:line="92" w:lineRule="exact"/>
        <w:rPr>
          <w:sz w:val="20"/>
          <w:szCs w:val="20"/>
          <w:color w:val="auto"/>
        </w:rPr>
      </w:pPr>
    </w:p>
    <w:p>
      <w:pPr>
        <w:ind w:left="1580" w:right="1279" w:hanging="138"/>
        <w:spacing w:after="0" w:line="274" w:lineRule="auto"/>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Liens existing as of the Issue Date or arising thereafter pursuant to related agreements existing as of the Issue Date;</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Liens granted after the Issue Date created in favor of the holders of the notes;</w:t>
      </w:r>
    </w:p>
    <w:p>
      <w:pPr>
        <w:spacing w:after="0" w:line="92" w:lineRule="exact"/>
        <w:rPr>
          <w:rFonts w:ascii="Arial" w:cs="Arial" w:eastAsia="Arial" w:hAnsi="Arial"/>
          <w:sz w:val="15"/>
          <w:szCs w:val="15"/>
          <w:color w:val="auto"/>
        </w:rPr>
      </w:pPr>
    </w:p>
    <w:p>
      <w:pPr>
        <w:ind w:left="1580" w:right="1199" w:hanging="138"/>
        <w:spacing w:after="0" w:line="249" w:lineRule="auto"/>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67" w:lineRule="exact"/>
        <w:rPr>
          <w:rFonts w:ascii="Arial" w:cs="Arial" w:eastAsia="Arial" w:hAnsi="Arial"/>
          <w:sz w:val="15"/>
          <w:szCs w:val="15"/>
          <w:color w:val="auto"/>
        </w:rPr>
      </w:pPr>
    </w:p>
    <w:p>
      <w:pPr>
        <w:ind w:left="1580" w:right="1199" w:hanging="138"/>
        <w:spacing w:after="0" w:line="248" w:lineRule="auto"/>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83" w:lineRule="exact"/>
        <w:rPr>
          <w:rFonts w:ascii="Arial" w:cs="Arial" w:eastAsia="Arial" w:hAnsi="Arial"/>
          <w:sz w:val="15"/>
          <w:szCs w:val="15"/>
          <w:color w:val="auto"/>
        </w:rPr>
      </w:pPr>
    </w:p>
    <w:p>
      <w:pPr>
        <w:ind w:left="1580" w:right="1159" w:hanging="138"/>
        <w:spacing w:after="0" w:line="265" w:lineRule="auto"/>
        <w:tabs>
          <w:tab w:leader="none" w:pos="1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w:t>
      </w:r>
    </w:p>
    <w:p>
      <w:pPr>
        <w:spacing w:after="0" w:line="4" w:lineRule="exact"/>
        <w:rPr>
          <w:rFonts w:ascii="Arial" w:cs="Arial" w:eastAsia="Arial" w:hAnsi="Arial"/>
          <w:sz w:val="14"/>
          <w:szCs w:val="14"/>
          <w:color w:val="auto"/>
        </w:rPr>
      </w:pPr>
    </w:p>
    <w:p>
      <w:pPr>
        <w:ind w:left="1580" w:right="1279"/>
        <w:spacing w:after="0" w:line="250" w:lineRule="auto"/>
        <w:rPr>
          <w:rFonts w:ascii="Arial" w:cs="Arial" w:eastAsia="Arial" w:hAnsi="Arial"/>
          <w:sz w:val="14"/>
          <w:szCs w:val="14"/>
          <w:color w:val="auto"/>
        </w:rPr>
      </w:pPr>
      <w:r>
        <w:rPr>
          <w:rFonts w:ascii="Arial" w:cs="Arial" w:eastAsia="Arial" w:hAnsi="Arial"/>
          <w:sz w:val="15"/>
          <w:szCs w:val="15"/>
          <w:color w:val="auto"/>
        </w:rPr>
        <w:t>(a) and (b), such Liens do not extend to other Principal Property owned by the Company or any Restricted Subsidiary or shares of Capital Stock of a Restricted Subsidiary that, in each case, were not previously encumbered by such Liens;</w:t>
      </w:r>
    </w:p>
    <w:p>
      <w:pPr>
        <w:spacing w:after="0" w:line="65" w:lineRule="exact"/>
        <w:rPr>
          <w:rFonts w:ascii="Arial" w:cs="Arial" w:eastAsia="Arial" w:hAnsi="Arial"/>
          <w:sz w:val="14"/>
          <w:szCs w:val="14"/>
          <w:color w:val="auto"/>
        </w:rPr>
      </w:pPr>
    </w:p>
    <w:p>
      <w:pPr>
        <w:ind w:left="1580" w:right="1199" w:hanging="138"/>
        <w:spacing w:after="0" w:line="255" w:lineRule="auto"/>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61" w:lineRule="exact"/>
        <w:rPr>
          <w:rFonts w:ascii="Arial" w:cs="Arial" w:eastAsia="Arial" w:hAnsi="Arial"/>
          <w:sz w:val="15"/>
          <w:szCs w:val="15"/>
          <w:color w:val="auto"/>
        </w:rPr>
      </w:pPr>
    </w:p>
    <w:p>
      <w:pPr>
        <w:ind w:left="1580" w:hanging="138"/>
        <w:spacing w:after="0"/>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Liens in favor of the Company or a Restricted Subsidiary of the Company;</w:t>
      </w:r>
    </w:p>
    <w:p>
      <w:pPr>
        <w:spacing w:after="0" w:line="92" w:lineRule="exact"/>
        <w:rPr>
          <w:rFonts w:ascii="Arial" w:cs="Arial" w:eastAsia="Arial" w:hAnsi="Arial"/>
          <w:sz w:val="15"/>
          <w:szCs w:val="15"/>
          <w:color w:val="auto"/>
        </w:rPr>
      </w:pPr>
    </w:p>
    <w:p>
      <w:pPr>
        <w:ind w:left="1580" w:right="1339" w:hanging="138"/>
        <w:spacing w:after="0" w:line="255" w:lineRule="auto"/>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61" w:lineRule="exact"/>
        <w:rPr>
          <w:rFonts w:ascii="Arial" w:cs="Arial" w:eastAsia="Arial" w:hAnsi="Arial"/>
          <w:sz w:val="15"/>
          <w:szCs w:val="15"/>
          <w:color w:val="auto"/>
        </w:rPr>
      </w:pPr>
    </w:p>
    <w:p>
      <w:pPr>
        <w:ind w:left="1580" w:right="1219" w:hanging="138"/>
        <w:spacing w:after="0" w:line="260" w:lineRule="auto"/>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Liens for taxes, assessments or other governmental charges not yet overdue for a period of more than 30 days or subject to penalties for non-payment or which are being contested in good faith by appropriate proceedings;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39" w:hanging="138"/>
        <w:spacing w:after="0" w:line="270" w:lineRule="auto"/>
        <w:tabs>
          <w:tab w:leader="none" w:pos="1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52" w:lineRule="exact"/>
        <w:rPr>
          <w:rFonts w:ascii="Arial" w:cs="Arial" w:eastAsia="Arial" w:hAnsi="Arial"/>
          <w:sz w:val="14"/>
          <w:szCs w:val="14"/>
          <w:color w:val="auto"/>
        </w:rPr>
      </w:pPr>
    </w:p>
    <w:p>
      <w:pPr>
        <w:ind w:left="1580" w:right="1219" w:hanging="138"/>
        <w:spacing w:after="0" w:line="251" w:lineRule="auto"/>
        <w:tabs>
          <w:tab w:leader="none" w:pos="1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65" w:lineRule="exact"/>
        <w:rPr>
          <w:rFonts w:ascii="Arial" w:cs="Arial" w:eastAsia="Arial" w:hAnsi="Arial"/>
          <w:sz w:val="15"/>
          <w:szCs w:val="15"/>
          <w:color w:val="auto"/>
        </w:rPr>
      </w:pPr>
    </w:p>
    <w:p>
      <w:pPr>
        <w:ind w:left="1580" w:right="1179" w:hanging="138"/>
        <w:spacing w:after="0" w:line="287" w:lineRule="auto"/>
        <w:tabs>
          <w:tab w:leader="none" w:pos="1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29" w:lineRule="exact"/>
        <w:rPr>
          <w:rFonts w:ascii="Arial" w:cs="Arial" w:eastAsia="Arial" w:hAnsi="Arial"/>
          <w:sz w:val="14"/>
          <w:szCs w:val="14"/>
          <w:color w:val="auto"/>
        </w:rPr>
      </w:pPr>
    </w:p>
    <w:p>
      <w:pPr>
        <w:ind w:left="1580" w:right="1219" w:hanging="138"/>
        <w:spacing w:after="0" w:line="274" w:lineRule="auto"/>
        <w:tabs>
          <w:tab w:leader="none" w:pos="1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Liens created in connection with the acquisition of assets or a project financed with, and created to secure a Nonrecourse Obligation; and</w:t>
      </w:r>
    </w:p>
    <w:p>
      <w:pPr>
        <w:spacing w:after="0" w:line="47" w:lineRule="exact"/>
        <w:rPr>
          <w:rFonts w:ascii="Arial" w:cs="Arial" w:eastAsia="Arial" w:hAnsi="Arial"/>
          <w:sz w:val="15"/>
          <w:szCs w:val="15"/>
          <w:color w:val="auto"/>
        </w:rPr>
      </w:pPr>
    </w:p>
    <w:p>
      <w:pPr>
        <w:ind w:left="1580" w:right="1179" w:hanging="138"/>
        <w:spacing w:after="0" w:line="248" w:lineRule="auto"/>
        <w:tabs>
          <w:tab w:leader="none" w:pos="1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05" w:lineRule="exact"/>
        <w:rPr>
          <w:sz w:val="20"/>
          <w:szCs w:val="20"/>
          <w:color w:val="auto"/>
        </w:rPr>
      </w:pPr>
    </w:p>
    <w:p>
      <w:pPr>
        <w:ind w:left="1140" w:right="1319"/>
        <w:spacing w:after="0" w:line="259" w:lineRule="auto"/>
        <w:rPr>
          <w:sz w:val="20"/>
          <w:szCs w:val="20"/>
          <w:color w:val="auto"/>
        </w:rPr>
      </w:pPr>
      <w:r>
        <w:rPr>
          <w:rFonts w:ascii="Arial" w:cs="Arial" w:eastAsia="Arial" w:hAnsi="Arial"/>
          <w:sz w:val="15"/>
          <w:szCs w:val="15"/>
          <w:color w:val="auto"/>
        </w:rPr>
        <w:t>For the avoidance of doubt, the inclusion of specific Liens in the definition of Permitted Liens shall not create any implication that the obligations secured by such Liens constitute Indebtedness.</w:t>
      </w:r>
    </w:p>
    <w:p>
      <w:pPr>
        <w:spacing w:after="0" w:line="80" w:lineRule="exact"/>
        <w:rPr>
          <w:sz w:val="20"/>
          <w:szCs w:val="20"/>
          <w:color w:val="auto"/>
        </w:rPr>
      </w:pPr>
    </w:p>
    <w:p>
      <w:pPr>
        <w:jc w:val="both"/>
        <w:ind w:left="1140" w:right="1539"/>
        <w:spacing w:after="0" w:line="252" w:lineRule="auto"/>
        <w:rPr>
          <w:sz w:val="20"/>
          <w:szCs w:val="20"/>
          <w:color w:val="auto"/>
        </w:rPr>
      </w:pPr>
      <w:r>
        <w:rPr>
          <w:rFonts w:ascii="Arial" w:cs="Arial" w:eastAsia="Arial" w:hAnsi="Arial"/>
          <w:sz w:val="15"/>
          <w:szCs w:val="15"/>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86" w:lineRule="exact"/>
        <w:rPr>
          <w:sz w:val="20"/>
          <w:szCs w:val="20"/>
          <w:color w:val="auto"/>
        </w:rPr>
      </w:pPr>
    </w:p>
    <w:p>
      <w:pPr>
        <w:ind w:left="1140" w:right="1259"/>
        <w:spacing w:after="0" w:line="256" w:lineRule="auto"/>
        <w:rPr>
          <w:sz w:val="20"/>
          <w:szCs w:val="20"/>
          <w:color w:val="auto"/>
        </w:rPr>
      </w:pPr>
      <w:r>
        <w:rPr>
          <w:rFonts w:ascii="Arial" w:cs="Arial" w:eastAsia="Arial" w:hAnsi="Arial"/>
          <w:sz w:val="14"/>
          <w:szCs w:val="14"/>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w:t>
      </w:r>
    </w:p>
    <w:p>
      <w:pPr>
        <w:spacing w:after="0" w:line="1" w:lineRule="exact"/>
        <w:rPr>
          <w:sz w:val="20"/>
          <w:szCs w:val="20"/>
          <w:color w:val="auto"/>
        </w:rPr>
      </w:pPr>
    </w:p>
    <w:p>
      <w:pPr>
        <w:ind w:left="1140" w:right="1259" w:firstLine="8"/>
        <w:spacing w:after="0" w:line="238" w:lineRule="auto"/>
        <w:tabs>
          <w:tab w:leader="none" w:pos="1359" w:val="left"/>
        </w:tabs>
        <w:numPr>
          <w:ilvl w:val="0"/>
          <w:numId w:val="19"/>
        </w:numPr>
        <w:rPr>
          <w:rFonts w:ascii="Arial" w:cs="Arial" w:eastAsia="Arial" w:hAnsi="Arial"/>
          <w:sz w:val="15"/>
          <w:szCs w:val="15"/>
          <w:color w:val="auto"/>
        </w:rPr>
      </w:pPr>
      <w:r>
        <w:rPr>
          <w:rFonts w:ascii="Arial" w:cs="Arial" w:eastAsia="Arial" w:hAnsi="Arial"/>
          <w:sz w:val="15"/>
          <w:szCs w:val="15"/>
          <w:color w:val="auto"/>
        </w:rPr>
        <w:t>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97" w:lineRule="exact"/>
        <w:rPr>
          <w:sz w:val="20"/>
          <w:szCs w:val="20"/>
          <w:color w:val="auto"/>
        </w:rPr>
      </w:pPr>
    </w:p>
    <w:p>
      <w:pPr>
        <w:ind w:left="1140" w:right="1359"/>
        <w:spacing w:after="0" w:line="241" w:lineRule="auto"/>
        <w:rPr>
          <w:sz w:val="20"/>
          <w:szCs w:val="20"/>
          <w:color w:val="auto"/>
        </w:rPr>
      </w:pPr>
      <w:r>
        <w:rPr>
          <w:rFonts w:ascii="Arial" w:cs="Arial" w:eastAsia="Arial" w:hAnsi="Arial"/>
          <w:sz w:val="15"/>
          <w:szCs w:val="15"/>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94" w:lineRule="exact"/>
        <w:rPr>
          <w:sz w:val="20"/>
          <w:szCs w:val="20"/>
          <w:color w:val="auto"/>
        </w:rPr>
      </w:pPr>
    </w:p>
    <w:p>
      <w:pPr>
        <w:ind w:left="1140" w:right="1379"/>
        <w:spacing w:after="0" w:line="294" w:lineRule="auto"/>
        <w:rPr>
          <w:sz w:val="20"/>
          <w:szCs w:val="20"/>
          <w:color w:val="auto"/>
        </w:rPr>
      </w:pPr>
      <w:r>
        <w:rPr>
          <w:rFonts w:ascii="Arial" w:cs="Arial" w:eastAsia="Arial" w:hAnsi="Arial"/>
          <w:sz w:val="14"/>
          <w:szCs w:val="14"/>
          <w:color w:val="auto"/>
        </w:rPr>
        <w:t>“Restricted Subsidiary” shall mean each Subsidiary of the Company (1) that is organized or existing under the laws of the United States, any state thereof or the District of Columbia other than any such</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 w:name="page28"/>
    <w:bookmarkEnd w:id="2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Subsidiary that is a direct or indirect Subsidiary of one or more Foreign Subsidiaries of the Company,</w:t>
      </w:r>
    </w:p>
    <w:p>
      <w:pPr>
        <w:spacing w:after="0" w:line="18" w:lineRule="exact"/>
        <w:rPr>
          <w:sz w:val="20"/>
          <w:szCs w:val="20"/>
          <w:color w:val="auto"/>
        </w:rPr>
      </w:pPr>
    </w:p>
    <w:p>
      <w:pPr>
        <w:jc w:val="both"/>
        <w:ind w:left="1140" w:right="1339" w:firstLine="8"/>
        <w:spacing w:after="0" w:line="237" w:lineRule="auto"/>
        <w:tabs>
          <w:tab w:leader="none" w:pos="1359"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“S&amp;P” means S&amp;P Global Ratings, and any successor to its rating agency business.</w:t>
      </w:r>
    </w:p>
    <w:p>
      <w:pPr>
        <w:spacing w:after="0" w:line="126" w:lineRule="exact"/>
        <w:rPr>
          <w:sz w:val="20"/>
          <w:szCs w:val="20"/>
          <w:color w:val="auto"/>
        </w:rPr>
      </w:pPr>
    </w:p>
    <w:p>
      <w:pPr>
        <w:ind w:left="1140" w:right="1179"/>
        <w:spacing w:after="0" w:line="239" w:lineRule="auto"/>
        <w:rPr>
          <w:sz w:val="20"/>
          <w:szCs w:val="20"/>
          <w:color w:val="auto"/>
        </w:rPr>
      </w:pPr>
      <w:r>
        <w:rPr>
          <w:rFonts w:ascii="Arial" w:cs="Arial" w:eastAsia="Arial" w:hAnsi="Arial"/>
          <w:sz w:val="15"/>
          <w:szCs w:val="15"/>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94"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“Senior Officer” of any specified Person means the chief executive officer, any president, any vice president, the chief financial officer, the treasurer, any assistant treasurer, the secretary or any assistant secretary.</w:t>
      </w:r>
    </w:p>
    <w:p>
      <w:pPr>
        <w:spacing w:after="0" w:line="86" w:lineRule="exact"/>
        <w:rPr>
          <w:sz w:val="20"/>
          <w:szCs w:val="20"/>
          <w:color w:val="auto"/>
        </w:rPr>
      </w:pPr>
    </w:p>
    <w:p>
      <w:pPr>
        <w:ind w:left="1140" w:right="1339"/>
        <w:spacing w:after="0" w:line="245" w:lineRule="auto"/>
        <w:rPr>
          <w:sz w:val="20"/>
          <w:szCs w:val="20"/>
          <w:color w:val="auto"/>
        </w:rPr>
      </w:pPr>
      <w:r>
        <w:rPr>
          <w:rFonts w:ascii="Arial" w:cs="Arial" w:eastAsia="Arial" w:hAnsi="Arial"/>
          <w:sz w:val="15"/>
          <w:szCs w:val="15"/>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80" w:lineRule="exact"/>
        <w:rPr>
          <w:sz w:val="20"/>
          <w:szCs w:val="20"/>
          <w:color w:val="auto"/>
        </w:rPr>
      </w:pPr>
    </w:p>
    <w:p>
      <w:pPr>
        <w:ind w:left="1140" w:right="1319"/>
        <w:spacing w:after="0" w:line="274" w:lineRule="auto"/>
        <w:rPr>
          <w:sz w:val="20"/>
          <w:szCs w:val="20"/>
          <w:color w:val="auto"/>
        </w:rPr>
      </w:pPr>
      <w:r>
        <w:rPr>
          <w:rFonts w:ascii="Arial" w:cs="Arial" w:eastAsia="Arial" w:hAnsi="Arial"/>
          <w:sz w:val="15"/>
          <w:szCs w:val="15"/>
          <w:color w:val="auto"/>
        </w:rPr>
        <w:t>“Treasury Rate” means, with respect to any redemption date, the yield determined by the Company in the manner set forth below:</w:t>
      </w:r>
    </w:p>
    <w:p>
      <w:pPr>
        <w:spacing w:after="0" w:line="70" w:lineRule="exact"/>
        <w:rPr>
          <w:sz w:val="20"/>
          <w:szCs w:val="20"/>
          <w:color w:val="auto"/>
        </w:rPr>
      </w:pPr>
    </w:p>
    <w:p>
      <w:pPr>
        <w:ind w:left="1140" w:right="1179"/>
        <w:spacing w:after="0" w:line="265" w:lineRule="auto"/>
        <w:rPr>
          <w:sz w:val="20"/>
          <w:szCs w:val="20"/>
          <w:color w:val="auto"/>
        </w:rPr>
      </w:pPr>
      <w:r>
        <w:rPr>
          <w:rFonts w:ascii="Arial" w:cs="Arial" w:eastAsia="Arial" w:hAnsi="Arial"/>
          <w:sz w:val="14"/>
          <w:szCs w:val="14"/>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89" w:lineRule="exact"/>
        <w:rPr>
          <w:sz w:val="20"/>
          <w:szCs w:val="20"/>
          <w:color w:val="auto"/>
        </w:rPr>
      </w:pPr>
    </w:p>
    <w:p>
      <w:pPr>
        <w:ind w:left="1140" w:right="1319"/>
        <w:spacing w:after="0" w:line="249" w:lineRule="auto"/>
        <w:rPr>
          <w:sz w:val="20"/>
          <w:szCs w:val="20"/>
          <w:color w:val="auto"/>
        </w:rPr>
      </w:pPr>
      <w:r>
        <w:rPr>
          <w:rFonts w:ascii="Arial" w:cs="Arial" w:eastAsia="Arial" w:hAnsi="Arial"/>
          <w:sz w:val="15"/>
          <w:szCs w:val="15"/>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8" w:name="page29"/>
    <w:bookmarkEnd w:id="2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69" w:lineRule="auto"/>
        <w:rPr>
          <w:sz w:val="20"/>
          <w:szCs w:val="20"/>
          <w:color w:val="auto"/>
        </w:rPr>
      </w:pPr>
      <w:r>
        <w:rPr>
          <w:rFonts w:ascii="Arial" w:cs="Arial" w:eastAsia="Arial" w:hAnsi="Arial"/>
          <w:sz w:val="14"/>
          <w:szCs w:val="14"/>
          <w:color w:val="auto"/>
        </w:rPr>
        <w:t>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87" w:lineRule="exact"/>
        <w:rPr>
          <w:sz w:val="20"/>
          <w:szCs w:val="20"/>
          <w:color w:val="auto"/>
        </w:rPr>
      </w:pPr>
    </w:p>
    <w:p>
      <w:pPr>
        <w:jc w:val="both"/>
        <w:ind w:left="1140" w:right="1379"/>
        <w:spacing w:after="0" w:line="260" w:lineRule="auto"/>
        <w:rPr>
          <w:sz w:val="20"/>
          <w:szCs w:val="20"/>
          <w:color w:val="auto"/>
        </w:rPr>
      </w:pPr>
      <w:r>
        <w:rPr>
          <w:rFonts w:ascii="Arial" w:cs="Arial" w:eastAsia="Arial" w:hAnsi="Arial"/>
          <w:sz w:val="15"/>
          <w:szCs w:val="15"/>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Events of Default</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Each of the following will be an event of default under the Indenture for the notes:</w:t>
      </w:r>
    </w:p>
    <w:p>
      <w:pPr>
        <w:spacing w:after="0" w:line="115" w:lineRule="exact"/>
        <w:rPr>
          <w:sz w:val="20"/>
          <w:szCs w:val="20"/>
          <w:color w:val="auto"/>
        </w:rPr>
      </w:pPr>
    </w:p>
    <w:p>
      <w:pPr>
        <w:ind w:left="1580" w:right="1479" w:hanging="138"/>
        <w:spacing w:after="0" w:line="274" w:lineRule="auto"/>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default in the payment of any interest upon any note when it becomes due and payable, and continuance of that default for a period of 30 days;</w:t>
      </w:r>
    </w:p>
    <w:p>
      <w:pPr>
        <w:spacing w:after="0" w:line="58" w:lineRule="exact"/>
        <w:rPr>
          <w:rFonts w:ascii="Arial" w:cs="Arial" w:eastAsia="Arial" w:hAnsi="Arial"/>
          <w:sz w:val="15"/>
          <w:szCs w:val="15"/>
          <w:color w:val="auto"/>
        </w:rPr>
      </w:pPr>
    </w:p>
    <w:p>
      <w:pPr>
        <w:ind w:left="1580" w:hanging="138"/>
        <w:spacing w:after="0"/>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default in the payment of principal of or premium on any note when due and payable;</w:t>
      </w:r>
    </w:p>
    <w:p>
      <w:pPr>
        <w:spacing w:after="0" w:line="103" w:lineRule="exact"/>
        <w:rPr>
          <w:rFonts w:ascii="Arial" w:cs="Arial" w:eastAsia="Arial" w:hAnsi="Arial"/>
          <w:sz w:val="15"/>
          <w:szCs w:val="15"/>
          <w:color w:val="auto"/>
        </w:rPr>
      </w:pPr>
    </w:p>
    <w:p>
      <w:pPr>
        <w:ind w:left="1580" w:right="1779" w:hanging="138"/>
        <w:spacing w:after="0" w:line="274" w:lineRule="auto"/>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failure by the Company to comply with the requirement to make an Offer to Purchase in connection with a Change of Control Triggering Event for 30 calendar days;</w:t>
      </w:r>
    </w:p>
    <w:p>
      <w:pPr>
        <w:spacing w:after="0" w:line="69" w:lineRule="exact"/>
        <w:rPr>
          <w:rFonts w:ascii="Arial" w:cs="Arial" w:eastAsia="Arial" w:hAnsi="Arial"/>
          <w:sz w:val="15"/>
          <w:szCs w:val="15"/>
          <w:color w:val="auto"/>
        </w:rPr>
      </w:pPr>
    </w:p>
    <w:p>
      <w:pPr>
        <w:ind w:left="1580" w:right="1319" w:hanging="138"/>
        <w:spacing w:after="0" w:line="252" w:lineRule="auto"/>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as provided in the Indenture; and</w:t>
      </w:r>
    </w:p>
    <w:p>
      <w:pPr>
        <w:spacing w:after="0" w:line="76" w:lineRule="exact"/>
        <w:rPr>
          <w:rFonts w:ascii="Arial" w:cs="Arial" w:eastAsia="Arial" w:hAnsi="Arial"/>
          <w:sz w:val="15"/>
          <w:szCs w:val="15"/>
          <w:color w:val="auto"/>
        </w:rPr>
      </w:pPr>
    </w:p>
    <w:p>
      <w:pPr>
        <w:ind w:left="1580" w:right="1639" w:hanging="138"/>
        <w:spacing w:after="0" w:line="274" w:lineRule="auto"/>
        <w:tabs>
          <w:tab w:leader="none" w:pos="1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certain voluntary and involuntary events of bankruptcy, insolvency or reorganization of the Company.</w:t>
      </w:r>
    </w:p>
    <w:p>
      <w:pPr>
        <w:spacing w:after="0" w:line="81" w:lineRule="exact"/>
        <w:rPr>
          <w:sz w:val="20"/>
          <w:szCs w:val="20"/>
          <w:color w:val="auto"/>
        </w:rPr>
      </w:pPr>
    </w:p>
    <w:p>
      <w:pPr>
        <w:ind w:left="1140" w:right="1379"/>
        <w:spacing w:after="0" w:line="274" w:lineRule="auto"/>
        <w:rPr>
          <w:sz w:val="20"/>
          <w:szCs w:val="20"/>
          <w:color w:val="auto"/>
        </w:rPr>
      </w:pPr>
      <w:r>
        <w:rPr>
          <w:rFonts w:ascii="Arial" w:cs="Arial" w:eastAsia="Arial" w:hAnsi="Arial"/>
          <w:sz w:val="15"/>
          <w:szCs w:val="15"/>
          <w:color w:val="auto"/>
        </w:rPr>
        <w:t>The occurrence of certain events of default or an acceleration under the Indenture may constitute an event of default under certain of our other indebtedness outstanding from time to time.</w:t>
      </w:r>
    </w:p>
    <w:p>
      <w:pPr>
        <w:spacing w:after="0" w:line="70" w:lineRule="exact"/>
        <w:rPr>
          <w:sz w:val="20"/>
          <w:szCs w:val="20"/>
          <w:color w:val="auto"/>
        </w:rPr>
      </w:pPr>
    </w:p>
    <w:p>
      <w:pPr>
        <w:ind w:left="1140" w:right="1179"/>
        <w:spacing w:after="0" w:line="247" w:lineRule="auto"/>
        <w:rPr>
          <w:sz w:val="20"/>
          <w:szCs w:val="20"/>
          <w:color w:val="auto"/>
        </w:rPr>
      </w:pPr>
      <w:r>
        <w:rPr>
          <w:rFonts w:ascii="Arial" w:cs="Arial" w:eastAsia="Arial" w:hAnsi="Arial"/>
          <w:sz w:val="15"/>
          <w:szCs w:val="15"/>
          <w:color w:val="auto"/>
        </w:rPr>
        <w:t>If an event of default with respect to the notes at the time outstanding occurs and is continuing, then the Trustee or the holders of not less than 25% in principal amount of the outstanding notes may, by a notice in writing to the Company (and to the Trustee if given by the holders), declare to be due and payable immediately the principal of and accrued and unpaid interest, if any, on all notes. In the case of an event of default resulting from certain events of bankruptcy, insolvency or reorganization, the principal of and accrued and unpaid interest, if any, on all outstanding notes will become and be immediately due and payable without any declaration or other act on the part of the Trustee or any holder of the outstanding notes. At any time after a declaration of acceleration with respect to the notes has been made, but before a judgment or decree for payment of the money due has been obtained by the Trustee, the holders of a majority in principal amount of the outstanding notes may rescind and annul the acceleration if all events of default, other than the nonpayment of the principal and interest with respect to the notes which have become due solely by such declaration of acceleration, have been cured or waived as provided in the Indenture and the Trustee’s fees and expenses have been paid in full.</w:t>
      </w:r>
    </w:p>
    <w:p>
      <w:pPr>
        <w:spacing w:after="0" w:line="109" w:lineRule="exact"/>
        <w:rPr>
          <w:sz w:val="20"/>
          <w:szCs w:val="20"/>
          <w:color w:val="auto"/>
        </w:rPr>
      </w:pPr>
    </w:p>
    <w:p>
      <w:pPr>
        <w:ind w:left="1140" w:right="1299"/>
        <w:spacing w:after="0" w:line="251" w:lineRule="auto"/>
        <w:rPr>
          <w:sz w:val="20"/>
          <w:szCs w:val="20"/>
          <w:color w:val="auto"/>
        </w:rPr>
      </w:pPr>
      <w:r>
        <w:rPr>
          <w:rFonts w:ascii="Arial" w:cs="Arial" w:eastAsia="Arial" w:hAnsi="Arial"/>
          <w:sz w:val="15"/>
          <w:szCs w:val="15"/>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9" w:name="page30"/>
    <w:bookmarkEnd w:id="2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79"/>
        <w:spacing w:after="0" w:line="260" w:lineRule="auto"/>
        <w:rPr>
          <w:sz w:val="20"/>
          <w:szCs w:val="20"/>
          <w:color w:val="auto"/>
        </w:rPr>
      </w:pPr>
      <w:r>
        <w:rPr>
          <w:rFonts w:ascii="Arial" w:cs="Arial" w:eastAsia="Arial" w:hAnsi="Arial"/>
          <w:sz w:val="15"/>
          <w:szCs w:val="15"/>
          <w:color w:val="auto"/>
        </w:rPr>
        <w:t>No holder of any note will have any right to institute any proceeding, judicial or otherwise, with respect to the Indenture or for the appointment of a receiver or trustee, or for any remedy under the Indenture, unless:</w:t>
      </w:r>
    </w:p>
    <w:p>
      <w:pPr>
        <w:spacing w:after="0" w:line="91" w:lineRule="exact"/>
        <w:rPr>
          <w:sz w:val="20"/>
          <w:szCs w:val="20"/>
          <w:color w:val="auto"/>
        </w:rPr>
      </w:pPr>
    </w:p>
    <w:p>
      <w:pPr>
        <w:ind w:left="1740" w:right="1359" w:hanging="298"/>
        <w:spacing w:after="0" w:line="274" w:lineRule="auto"/>
        <w:tabs>
          <w:tab w:leader="none" w:pos="17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that holder has previously given to the Trustee written notice of a continuing event of default with respect to the notes; and</w:t>
      </w:r>
    </w:p>
    <w:p>
      <w:pPr>
        <w:spacing w:after="0" w:line="80" w:lineRule="exact"/>
        <w:rPr>
          <w:rFonts w:ascii="Arial" w:cs="Arial" w:eastAsia="Arial" w:hAnsi="Arial"/>
          <w:sz w:val="15"/>
          <w:szCs w:val="15"/>
          <w:color w:val="auto"/>
        </w:rPr>
      </w:pPr>
    </w:p>
    <w:p>
      <w:pPr>
        <w:ind w:left="1740" w:right="1199" w:hanging="298"/>
        <w:spacing w:after="0" w:line="252" w:lineRule="auto"/>
        <w:tabs>
          <w:tab w:leader="none" w:pos="17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holders of not less than 25% in principal amount of the outstanding notes have made written request, and offered reasonable indemnity, to the Trustee to institute the proceeding as Trustee, and after receipt of such request the Trustee has not received from the holders of a majority in principal amount of the outstanding notes a direction inconsistent with that request and has failed to institute the proceeding within 60 days.</w:t>
      </w:r>
    </w:p>
    <w:p>
      <w:pPr>
        <w:spacing w:after="0" w:line="99"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99" w:lineRule="exact"/>
        <w:rPr>
          <w:sz w:val="20"/>
          <w:szCs w:val="20"/>
          <w:color w:val="auto"/>
        </w:rPr>
      </w:pPr>
    </w:p>
    <w:p>
      <w:pPr>
        <w:ind w:left="1140" w:right="1199"/>
        <w:spacing w:after="0" w:line="269" w:lineRule="auto"/>
        <w:rPr>
          <w:sz w:val="20"/>
          <w:szCs w:val="20"/>
          <w:color w:val="auto"/>
        </w:rPr>
      </w:pPr>
      <w:r>
        <w:rPr>
          <w:rFonts w:ascii="Arial" w:cs="Arial" w:eastAsia="Arial" w:hAnsi="Arial"/>
          <w:sz w:val="14"/>
          <w:szCs w:val="14"/>
          <w:color w:val="auto"/>
        </w:rPr>
        <w:t>The Indenture requires us, within 120 days after the end of our fiscal year, to furnish to the Trustee a statement as to compliance with the Indenture. The Indenture provides that the Trustee may withhold notice to the holders of the notes of any default or event of default (except in payment on any notes) with respect to the notes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Modification and Waiver</w:t>
      </w:r>
    </w:p>
    <w:p>
      <w:pPr>
        <w:spacing w:after="0" w:line="122" w:lineRule="exact"/>
        <w:rPr>
          <w:sz w:val="20"/>
          <w:szCs w:val="20"/>
          <w:color w:val="auto"/>
        </w:rPr>
      </w:pPr>
    </w:p>
    <w:p>
      <w:pPr>
        <w:ind w:left="1140" w:right="1219"/>
        <w:spacing w:after="0" w:line="274" w:lineRule="auto"/>
        <w:rPr>
          <w:sz w:val="20"/>
          <w:szCs w:val="20"/>
          <w:color w:val="auto"/>
        </w:rPr>
      </w:pPr>
      <w:r>
        <w:rPr>
          <w:rFonts w:ascii="Arial" w:cs="Arial" w:eastAsia="Arial" w:hAnsi="Arial"/>
          <w:sz w:val="15"/>
          <w:szCs w:val="15"/>
          <w:color w:val="auto"/>
        </w:rPr>
        <w:t>The Company or the Trustee may amend or supplement the Indenture or the notes without the consent of the holders of the outstanding notes under the Indenture:</w:t>
      </w:r>
    </w:p>
    <w:p>
      <w:pPr>
        <w:spacing w:after="0" w:line="48" w:lineRule="exact"/>
        <w:rPr>
          <w:sz w:val="20"/>
          <w:szCs w:val="20"/>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cure any ambiguity, defect or inconsistency under the Indenture or the notes;</w:t>
      </w:r>
    </w:p>
    <w:p>
      <w:pPr>
        <w:spacing w:after="0" w:line="103" w:lineRule="exact"/>
        <w:rPr>
          <w:rFonts w:ascii="Arial" w:cs="Arial" w:eastAsia="Arial" w:hAnsi="Arial"/>
          <w:sz w:val="15"/>
          <w:szCs w:val="15"/>
          <w:color w:val="auto"/>
        </w:rPr>
      </w:pPr>
    </w:p>
    <w:p>
      <w:pPr>
        <w:ind w:left="1580" w:right="1359" w:hanging="138"/>
        <w:spacing w:after="0" w:line="260"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evidence the succession of another corporation to the Company or successive successions and the assumption of the covenants, agreements and obligations of the Company by a successor;</w:t>
      </w:r>
    </w:p>
    <w:p>
      <w:pPr>
        <w:spacing w:after="0" w:line="57"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provide for uncertificated notes in addition to or in place of certificated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add guarantees with respect to the notes or secure the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surrender any of the Company’s rights or powers under the Indenture;</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add covenants or events of default for the benefit of the holders of the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make any change that does not adversely affect the rights of any holder of the notes;</w:t>
      </w:r>
    </w:p>
    <w:p>
      <w:pPr>
        <w:spacing w:after="0" w:line="92" w:lineRule="exact"/>
        <w:rPr>
          <w:rFonts w:ascii="Arial" w:cs="Arial" w:eastAsia="Arial" w:hAnsi="Arial"/>
          <w:sz w:val="15"/>
          <w:szCs w:val="15"/>
          <w:color w:val="auto"/>
        </w:rPr>
      </w:pPr>
    </w:p>
    <w:p>
      <w:pPr>
        <w:ind w:left="1580" w:right="1399" w:hanging="138"/>
        <w:spacing w:after="0" w:line="274"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provide for the issuance of and establish the form and terms and conditions of the notes as permitted by the Indenture;</w:t>
      </w:r>
    </w:p>
    <w:p>
      <w:pPr>
        <w:spacing w:after="0" w:line="47" w:lineRule="exact"/>
        <w:rPr>
          <w:rFonts w:ascii="Arial" w:cs="Arial" w:eastAsia="Arial" w:hAnsi="Arial"/>
          <w:sz w:val="15"/>
          <w:szCs w:val="15"/>
          <w:color w:val="auto"/>
        </w:rPr>
      </w:pPr>
    </w:p>
    <w:p>
      <w:pPr>
        <w:ind w:left="1580" w:right="1199" w:hanging="138"/>
        <w:spacing w:after="0" w:line="255"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evidence and provide for the acceptance of an appointment hereunder by a successor trustee with respect to the notes and to add to or change any of the provisions of the Indenture as shall be necessary to provide for or facilitate the administration of the trusts under the Indenture by more than one trustee;</w:t>
      </w:r>
    </w:p>
    <w:p>
      <w:pPr>
        <w:spacing w:after="0" w:line="72" w:lineRule="exact"/>
        <w:rPr>
          <w:rFonts w:ascii="Arial" w:cs="Arial" w:eastAsia="Arial" w:hAnsi="Arial"/>
          <w:sz w:val="15"/>
          <w:szCs w:val="15"/>
          <w:color w:val="auto"/>
        </w:rPr>
      </w:pPr>
    </w:p>
    <w:p>
      <w:pPr>
        <w:ind w:left="1580" w:right="1159" w:hanging="138"/>
        <w:spacing w:after="0" w:line="255"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0" w:name="page31"/>
    <w:bookmarkEnd w:id="3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99" w:hanging="138"/>
        <w:spacing w:after="0" w:line="274" w:lineRule="auto"/>
        <w:tabs>
          <w:tab w:leader="none" w:pos="1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to conform any provision of the Indenture, insofar as it relates to the notes, to the description of the notes in this “Description of the Notes.”</w:t>
      </w:r>
    </w:p>
    <w:p>
      <w:pPr>
        <w:spacing w:after="0" w:line="81" w:lineRule="exact"/>
        <w:rPr>
          <w:sz w:val="20"/>
          <w:szCs w:val="20"/>
          <w:color w:val="auto"/>
        </w:rPr>
      </w:pPr>
    </w:p>
    <w:p>
      <w:pPr>
        <w:ind w:left="1140" w:right="1239"/>
        <w:spacing w:after="0" w:line="241" w:lineRule="auto"/>
        <w:rPr>
          <w:sz w:val="20"/>
          <w:szCs w:val="20"/>
          <w:color w:val="auto"/>
        </w:rPr>
      </w:pPr>
      <w:r>
        <w:rPr>
          <w:rFonts w:ascii="Arial" w:cs="Arial" w:eastAsia="Arial" w:hAnsi="Arial"/>
          <w:sz w:val="15"/>
          <w:szCs w:val="15"/>
          <w:color w:val="auto"/>
        </w:rPr>
        <w:t>In addition, the Company may modify and amend the Indenture as to all other matters with the consent of the holders of at least a majority in principal amount of the outstanding notes affected by the modifications or amendments, provided however that the Company may not make any modification or amendment without the consent of the holders of each affected note then outstanding if that amendment:</w:t>
      </w:r>
    </w:p>
    <w:p>
      <w:pPr>
        <w:spacing w:after="0" w:line="61" w:lineRule="exact"/>
        <w:rPr>
          <w:sz w:val="20"/>
          <w:szCs w:val="20"/>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reduces the rates of or extends the time for payment of interest on any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reduces the principal amount of, or changes the stated maturity of, any notes;</w:t>
      </w:r>
    </w:p>
    <w:p>
      <w:pPr>
        <w:spacing w:after="0" w:line="81" w:lineRule="exact"/>
        <w:rPr>
          <w:rFonts w:ascii="Arial" w:cs="Arial" w:eastAsia="Arial" w:hAnsi="Arial"/>
          <w:sz w:val="15"/>
          <w:szCs w:val="15"/>
          <w:color w:val="auto"/>
        </w:rPr>
      </w:pPr>
    </w:p>
    <w:p>
      <w:pPr>
        <w:jc w:val="both"/>
        <w:ind w:left="1580" w:right="1179" w:hanging="138"/>
        <w:spacing w:after="0" w:line="260"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reduces the redemption price, including upon a Change of Control Triggering Event, of any notes or amends or modifies in any manner adverse to the holders thereof the Company’s obligation to make such payments;</w:t>
      </w:r>
    </w:p>
    <w:p>
      <w:pPr>
        <w:spacing w:after="0" w:line="57"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the currency of payment of principal, premium, if any, or interest;</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reduces the quorum requirements under the Indenture;</w:t>
      </w:r>
    </w:p>
    <w:p>
      <w:pPr>
        <w:spacing w:after="0" w:line="81" w:lineRule="exact"/>
        <w:rPr>
          <w:rFonts w:ascii="Arial" w:cs="Arial" w:eastAsia="Arial" w:hAnsi="Arial"/>
          <w:sz w:val="15"/>
          <w:szCs w:val="15"/>
          <w:color w:val="auto"/>
        </w:rPr>
      </w:pPr>
    </w:p>
    <w:p>
      <w:pPr>
        <w:ind w:left="1580" w:right="1879" w:hanging="138"/>
        <w:spacing w:after="0" w:line="274"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reduces the principal amount of notes whose holders must consent to an amendment, supplement or waiver;</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adversely affects the ranking of the notes;</w:t>
      </w:r>
    </w:p>
    <w:p>
      <w:pPr>
        <w:spacing w:after="0" w:line="81" w:lineRule="exact"/>
        <w:rPr>
          <w:rFonts w:ascii="Arial" w:cs="Arial" w:eastAsia="Arial" w:hAnsi="Arial"/>
          <w:sz w:val="15"/>
          <w:szCs w:val="15"/>
          <w:color w:val="auto"/>
        </w:rPr>
      </w:pPr>
    </w:p>
    <w:p>
      <w:pPr>
        <w:ind w:left="1580" w:right="1299" w:hanging="138"/>
        <w:spacing w:after="0" w:line="255"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waives any default or event of default in the payment of principal, premium, if any, or interest (except a rescission of acceleration of the notes by the holders of at least a majority in principal amount of the outstanding notes and a waiver of the payment default that resulted from such acceleration); or</w:t>
      </w:r>
    </w:p>
    <w:p>
      <w:pPr>
        <w:spacing w:after="0" w:line="61"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impairs the right to institute suit for the enforcement of any payment on the notes.</w:t>
      </w:r>
    </w:p>
    <w:p>
      <w:pPr>
        <w:spacing w:after="0" w:line="126" w:lineRule="exact"/>
        <w:rPr>
          <w:sz w:val="20"/>
          <w:szCs w:val="20"/>
          <w:color w:val="auto"/>
        </w:rPr>
      </w:pPr>
    </w:p>
    <w:p>
      <w:pPr>
        <w:ind w:left="1140" w:right="1259"/>
        <w:spacing w:after="0" w:line="239" w:lineRule="auto"/>
        <w:rPr>
          <w:sz w:val="20"/>
          <w:szCs w:val="20"/>
          <w:color w:val="auto"/>
        </w:rPr>
      </w:pPr>
      <w:r>
        <w:rPr>
          <w:rFonts w:ascii="Arial" w:cs="Arial" w:eastAsia="Arial" w:hAnsi="Arial"/>
          <w:sz w:val="15"/>
          <w:szCs w:val="15"/>
          <w:color w:val="auto"/>
        </w:rPr>
        <w:t>Except for certain specified provisions, the holders of at least a majority in principal amount of the outstanding notes may on behalf of the holders of all notes waive the Company’s compliance with provisions of the Indenture. The holders of a majority in principal amount of the outstanding notes may on behalf of the holders of all the notes waive any past default under the Indenture with respect to the notes and its consequences, except a default in the payment of the principal of, any premium or any interest on any note; provided, however, that the holders of a majority in principal amount of the outstanding notes may rescind an acceleration and its consequences, including any related payment default that resulted from the acceleration.</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Defeasance of Notes and Certain Covenants in Certain Circumstances</w:t>
      </w:r>
    </w:p>
    <w:p>
      <w:pPr>
        <w:spacing w:after="0" w:line="133"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i w:val="1"/>
          <w:iCs w:val="1"/>
          <w:color w:val="auto"/>
        </w:rPr>
        <w:t>Legal Defeasance</w:t>
      </w:r>
      <w:r>
        <w:rPr>
          <w:rFonts w:ascii="Arial" w:cs="Arial" w:eastAsia="Arial" w:hAnsi="Arial"/>
          <w:sz w:val="15"/>
          <w:szCs w:val="15"/>
          <w:color w:val="auto"/>
        </w:rPr>
        <w:t>. The Indenture provides that the Company may be discharged from any and all</w:t>
      </w:r>
      <w:r>
        <w:rPr>
          <w:rFonts w:ascii="Arial" w:cs="Arial" w:eastAsia="Arial" w:hAnsi="Arial"/>
          <w:sz w:val="15"/>
          <w:szCs w:val="15"/>
          <w:i w:val="1"/>
          <w:iCs w:val="1"/>
          <w:color w:val="auto"/>
        </w:rPr>
        <w:t xml:space="preserve"> </w:t>
      </w:r>
      <w:r>
        <w:rPr>
          <w:rFonts w:ascii="Arial" w:cs="Arial" w:eastAsia="Arial" w:hAnsi="Arial"/>
          <w:sz w:val="15"/>
          <w:szCs w:val="15"/>
          <w:color w:val="auto"/>
        </w:rPr>
        <w:t>obligations in respect of the notes (except for certain obligations, including to register the transfer or exchange of notes, to replace stolen, lost or mutilated notes,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on the stated maturity of those payments in accordance with the terms of the Indenture and those notes.</w:t>
      </w:r>
    </w:p>
    <w:p>
      <w:pPr>
        <w:spacing w:after="0" w:line="94" w:lineRule="exact"/>
        <w:rPr>
          <w:sz w:val="20"/>
          <w:szCs w:val="20"/>
          <w:color w:val="auto"/>
        </w:rPr>
      </w:pPr>
    </w:p>
    <w:p>
      <w:pPr>
        <w:ind w:left="1140" w:right="1279"/>
        <w:spacing w:after="0" w:line="239" w:lineRule="auto"/>
        <w:rPr>
          <w:sz w:val="20"/>
          <w:szCs w:val="20"/>
          <w:color w:val="auto"/>
        </w:rPr>
      </w:pPr>
      <w:r>
        <w:rPr>
          <w:rFonts w:ascii="Arial" w:cs="Arial" w:eastAsia="Arial" w:hAnsi="Arial"/>
          <w:sz w:val="15"/>
          <w:szCs w:val="15"/>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1" w:name="page32"/>
    <w:bookmarkEnd w:id="3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739"/>
        <w:spacing w:after="0" w:line="274" w:lineRule="auto"/>
        <w:rPr>
          <w:sz w:val="20"/>
          <w:szCs w:val="20"/>
          <w:color w:val="auto"/>
        </w:rPr>
      </w:pPr>
      <w:r>
        <w:rPr>
          <w:rFonts w:ascii="Arial" w:cs="Arial" w:eastAsia="Arial" w:hAnsi="Arial"/>
          <w:sz w:val="15"/>
          <w:szCs w:val="15"/>
          <w:i w:val="1"/>
          <w:iCs w:val="1"/>
          <w:color w:val="auto"/>
        </w:rPr>
        <w:t>Defeasance of Certain Covenants</w:t>
      </w:r>
      <w:r>
        <w:rPr>
          <w:rFonts w:ascii="Arial" w:cs="Arial" w:eastAsia="Arial" w:hAnsi="Arial"/>
          <w:sz w:val="15"/>
          <w:szCs w:val="15"/>
          <w:color w:val="auto"/>
        </w:rPr>
        <w:t>. The Indenture provides that, upon compliance with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w:t>
      </w:r>
    </w:p>
    <w:p>
      <w:pPr>
        <w:spacing w:after="0" w:line="81" w:lineRule="exact"/>
        <w:rPr>
          <w:sz w:val="20"/>
          <w:szCs w:val="20"/>
          <w:color w:val="auto"/>
        </w:rPr>
      </w:pPr>
    </w:p>
    <w:p>
      <w:pPr>
        <w:ind w:left="1740" w:right="1219" w:hanging="298"/>
        <w:spacing w:after="0" w:line="260" w:lineRule="auto"/>
        <w:tabs>
          <w:tab w:leader="none" w:pos="1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Company may omit to comply with the covenants described under the heading “— Certain Covenants” and “— Repurchase of Notes upon a Change of Control Triggering Event” and certain other covenants set forth in the Indenture; and</w:t>
      </w:r>
    </w:p>
    <w:p>
      <w:pPr>
        <w:spacing w:after="0" w:line="90" w:lineRule="exact"/>
        <w:rPr>
          <w:rFonts w:ascii="Arial" w:cs="Arial" w:eastAsia="Arial" w:hAnsi="Arial"/>
          <w:sz w:val="15"/>
          <w:szCs w:val="15"/>
          <w:color w:val="auto"/>
        </w:rPr>
      </w:pPr>
    </w:p>
    <w:p>
      <w:pPr>
        <w:ind w:left="1740" w:right="1179" w:hanging="298"/>
        <w:spacing w:after="0" w:line="274" w:lineRule="auto"/>
        <w:tabs>
          <w:tab w:leader="none" w:pos="1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omission to comply with those covenants will not constitute a default or an event of default with respect to the notes (“covenant defeasance”).</w:t>
      </w:r>
    </w:p>
    <w:p>
      <w:pPr>
        <w:spacing w:after="0" w:line="8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conditions include:</w:t>
      </w:r>
    </w:p>
    <w:p>
      <w:pPr>
        <w:spacing w:after="0" w:line="115" w:lineRule="exact"/>
        <w:rPr>
          <w:sz w:val="20"/>
          <w:szCs w:val="20"/>
          <w:color w:val="auto"/>
        </w:rPr>
      </w:pPr>
    </w:p>
    <w:p>
      <w:pPr>
        <w:ind w:left="1740" w:right="1179" w:hanging="298"/>
        <w:spacing w:after="0" w:line="251" w:lineRule="auto"/>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on the stated maturity of those payments in accordance with the terms of the Indenture and those notes; and</w:t>
      </w:r>
    </w:p>
    <w:p>
      <w:pPr>
        <w:spacing w:after="0" w:line="98" w:lineRule="exact"/>
        <w:rPr>
          <w:rFonts w:ascii="Arial" w:cs="Arial" w:eastAsia="Arial" w:hAnsi="Arial"/>
          <w:sz w:val="15"/>
          <w:szCs w:val="15"/>
          <w:color w:val="auto"/>
        </w:rPr>
      </w:pPr>
    </w:p>
    <w:p>
      <w:pPr>
        <w:ind w:left="1740" w:right="1179" w:hanging="298"/>
        <w:spacing w:after="0" w:line="252" w:lineRule="auto"/>
        <w:tabs>
          <w:tab w:leader="none" w:pos="1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delivering to the Trustee an opinion of counsel stating that the holders of the notes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99" w:lineRule="exact"/>
        <w:rPr>
          <w:sz w:val="20"/>
          <w:szCs w:val="20"/>
          <w:color w:val="auto"/>
        </w:rPr>
      </w:pPr>
    </w:p>
    <w:p>
      <w:pPr>
        <w:ind w:left="1140" w:right="1199"/>
        <w:spacing w:after="0" w:line="272" w:lineRule="auto"/>
        <w:rPr>
          <w:sz w:val="20"/>
          <w:szCs w:val="20"/>
          <w:color w:val="auto"/>
        </w:rPr>
      </w:pPr>
      <w:r>
        <w:rPr>
          <w:rFonts w:ascii="Arial" w:cs="Arial" w:eastAsia="Arial" w:hAnsi="Arial"/>
          <w:sz w:val="14"/>
          <w:szCs w:val="14"/>
          <w:i w:val="1"/>
          <w:iCs w:val="1"/>
          <w:color w:val="auto"/>
        </w:rPr>
        <w:t>Covenant Defeasance and Events of Default</w:t>
      </w:r>
      <w:r>
        <w:rPr>
          <w:rFonts w:ascii="Arial" w:cs="Arial" w:eastAsia="Arial" w:hAnsi="Arial"/>
          <w:sz w:val="14"/>
          <w:szCs w:val="14"/>
          <w:color w:val="auto"/>
        </w:rPr>
        <w:t>. In the event the Company exercises its option to effect</w:t>
      </w:r>
      <w:r>
        <w:rPr>
          <w:rFonts w:ascii="Arial" w:cs="Arial" w:eastAsia="Arial" w:hAnsi="Arial"/>
          <w:sz w:val="14"/>
          <w:szCs w:val="14"/>
          <w:i w:val="1"/>
          <w:iCs w:val="1"/>
          <w:color w:val="auto"/>
        </w:rPr>
        <w:t xml:space="preserve"> </w:t>
      </w:r>
      <w:r>
        <w:rPr>
          <w:rFonts w:ascii="Arial" w:cs="Arial" w:eastAsia="Arial" w:hAnsi="Arial"/>
          <w:sz w:val="14"/>
          <w:szCs w:val="14"/>
          <w:color w:val="auto"/>
        </w:rPr>
        <w:t>covenant defeasance with respect to the notes and the notes are declared due and payable because of the occurrence of any event of default, the amount of money and/or U.S. Government Obligations on deposit with the Trustee should be sufficient to pay amounts due on the notes at the time of their stated maturity but may not be sufficient to pay amounts due on the notes at the time of the acceleration resulting from the event of default. However, the Company shall remain liable for those payments.</w:t>
      </w:r>
    </w:p>
    <w:p>
      <w:pPr>
        <w:spacing w:after="0" w:line="75" w:lineRule="exact"/>
        <w:rPr>
          <w:sz w:val="20"/>
          <w:szCs w:val="20"/>
          <w:color w:val="auto"/>
        </w:rPr>
      </w:pPr>
    </w:p>
    <w:p>
      <w:pPr>
        <w:ind w:left="1140" w:right="1259"/>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Government Obligations</w:t>
      </w:r>
      <w:r>
        <w:rPr>
          <w:rFonts w:ascii="Arial" w:cs="Arial" w:eastAsia="Arial" w:hAnsi="Arial"/>
          <w:sz w:val="15"/>
          <w:szCs w:val="15"/>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Satisfaction and Discharge</w:t>
      </w:r>
    </w:p>
    <w:p>
      <w:pPr>
        <w:spacing w:after="0" w:line="133" w:lineRule="exact"/>
        <w:rPr>
          <w:sz w:val="20"/>
          <w:szCs w:val="20"/>
          <w:color w:val="auto"/>
        </w:rPr>
      </w:pPr>
    </w:p>
    <w:p>
      <w:pPr>
        <w:ind w:left="1140" w:right="1159"/>
        <w:spacing w:after="0" w:line="249" w:lineRule="auto"/>
        <w:rPr>
          <w:sz w:val="20"/>
          <w:szCs w:val="20"/>
          <w:color w:val="auto"/>
        </w:rPr>
      </w:pPr>
      <w:r>
        <w:rPr>
          <w:rFonts w:ascii="Arial" w:cs="Arial" w:eastAsia="Arial" w:hAnsi="Arial"/>
          <w:sz w:val="15"/>
          <w:szCs w:val="15"/>
          <w:color w:val="auto"/>
        </w:rPr>
        <w:t>The Company has the right at any time to satisfy and discharge its obligations, other than certain specified obligations, under all notes under the Indenture by depositing in trust with the Trustee money and/or U.S. Government Obligations. The Company’s exercise of this right is subject to certain conditions including that either (1) all notes under the Indenture (subject to certain exceptions) have been delivered to the Trustee for cancellation or (2) all notes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90" w:lineRule="exact"/>
        <w:rPr>
          <w:sz w:val="20"/>
          <w:szCs w:val="20"/>
          <w:color w:val="auto"/>
        </w:rPr>
      </w:pPr>
    </w:p>
    <w:p>
      <w:pPr>
        <w:ind w:left="1140" w:right="1219"/>
        <w:spacing w:after="0" w:line="279" w:lineRule="auto"/>
        <w:rPr>
          <w:sz w:val="20"/>
          <w:szCs w:val="20"/>
          <w:color w:val="auto"/>
        </w:rPr>
      </w:pPr>
      <w:r>
        <w:rPr>
          <w:rFonts w:ascii="Arial" w:cs="Arial" w:eastAsia="Arial" w:hAnsi="Arial"/>
          <w:sz w:val="14"/>
          <w:szCs w:val="14"/>
          <w:color w:val="auto"/>
        </w:rPr>
        <w:t>If such deposit is sufficient (as determined by the Company), for the purpose of paying and discharging each installment of principal of and interest on all the notes on the dates such installments of principal or interest are due, all the obligations of the Company under the Indenture with respect to such notes will be discharged and terminated except as otherwise provided in the Indenture.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2" w:name="page33"/>
    <w:bookmarkEnd w:id="3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Book-Entry, Form, Denomination and Delivery of Notes</w:t>
      </w:r>
    </w:p>
    <w:p>
      <w:pPr>
        <w:spacing w:after="0" w:line="133" w:lineRule="exact"/>
        <w:rPr>
          <w:sz w:val="20"/>
          <w:szCs w:val="20"/>
          <w:color w:val="auto"/>
        </w:rPr>
      </w:pPr>
    </w:p>
    <w:p>
      <w:pPr>
        <w:ind w:left="1140" w:right="1179"/>
        <w:spacing w:after="0" w:line="270" w:lineRule="auto"/>
        <w:rPr>
          <w:sz w:val="20"/>
          <w:szCs w:val="20"/>
          <w:color w:val="auto"/>
        </w:rPr>
      </w:pPr>
      <w:r>
        <w:rPr>
          <w:rFonts w:ascii="Arial" w:cs="Arial" w:eastAsia="Arial" w:hAnsi="Arial"/>
          <w:sz w:val="14"/>
          <w:szCs w:val="14"/>
          <w:color w:val="auto"/>
        </w:rPr>
        <w:t>The notes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75" w:lineRule="exact"/>
        <w:rPr>
          <w:sz w:val="20"/>
          <w:szCs w:val="20"/>
          <w:color w:val="auto"/>
        </w:rPr>
      </w:pPr>
    </w:p>
    <w:p>
      <w:pPr>
        <w:ind w:left="1140" w:right="1279"/>
        <w:spacing w:after="0" w:line="257" w:lineRule="auto"/>
        <w:rPr>
          <w:sz w:val="20"/>
          <w:szCs w:val="20"/>
          <w:color w:val="auto"/>
        </w:rPr>
      </w:pPr>
      <w:r>
        <w:rPr>
          <w:rFonts w:ascii="Arial" w:cs="Arial" w:eastAsia="Arial" w:hAnsi="Arial"/>
          <w:sz w:val="14"/>
          <w:szCs w:val="14"/>
          <w:color w:val="auto"/>
        </w:rPr>
        <w:t>Neither the Trustee nor the Company is required (i) to issue, register the transfer of or exchange any note for a period of 15 days before the sending of a notice of redemption of notes to be redeemed or the making of an Offer to Purchase, (ii) to register the transfer of or exchange any note so selected for redemption or subject to purchase in an Offer to Purchase in whole or in part, except, in the case of a partial redemption or purchase, that portion of any of the notes not being redeemed or purchased, or</w:t>
      </w:r>
    </w:p>
    <w:p>
      <w:pPr>
        <w:spacing w:after="0" w:line="2" w:lineRule="exact"/>
        <w:rPr>
          <w:sz w:val="20"/>
          <w:szCs w:val="20"/>
          <w:color w:val="auto"/>
        </w:rPr>
      </w:pPr>
    </w:p>
    <w:p>
      <w:pPr>
        <w:ind w:left="1140" w:right="1179" w:firstLine="8"/>
        <w:spacing w:after="0" w:line="238" w:lineRule="auto"/>
        <w:tabs>
          <w:tab w:leader="none" w:pos="1375"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a redemption or a purchase pursuant to an Offer to Purchase with respect to the notes is to occur after a regular record date but on or before the corresponding interest payment date applicable to the notes, to register the transfer or exchange of any note on or after the regular record date and before the date of such redemption or purchase.</w:t>
      </w:r>
    </w:p>
    <w:p>
      <w:pPr>
        <w:spacing w:after="0" w:line="97" w:lineRule="exact"/>
        <w:rPr>
          <w:sz w:val="20"/>
          <w:szCs w:val="20"/>
          <w:color w:val="auto"/>
        </w:rPr>
      </w:pPr>
    </w:p>
    <w:p>
      <w:pPr>
        <w:ind w:left="1140" w:right="1499"/>
        <w:spacing w:after="0" w:line="252" w:lineRule="auto"/>
        <w:rPr>
          <w:sz w:val="20"/>
          <w:szCs w:val="20"/>
          <w:color w:val="auto"/>
        </w:rPr>
      </w:pPr>
      <w:r>
        <w:rPr>
          <w:rFonts w:ascii="Arial" w:cs="Arial" w:eastAsia="Arial" w:hAnsi="Arial"/>
          <w:sz w:val="15"/>
          <w:szCs w:val="15"/>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43"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Depository Procedures</w:t>
      </w:r>
    </w:p>
    <w:p>
      <w:pPr>
        <w:spacing w:after="0" w:line="124" w:lineRule="exact"/>
        <w:rPr>
          <w:sz w:val="20"/>
          <w:szCs w:val="20"/>
          <w:color w:val="auto"/>
        </w:rPr>
      </w:pPr>
    </w:p>
    <w:p>
      <w:pPr>
        <w:ind w:left="1140" w:right="1179"/>
        <w:spacing w:after="0" w:line="241" w:lineRule="auto"/>
        <w:rPr>
          <w:sz w:val="20"/>
          <w:szCs w:val="20"/>
          <w:color w:val="auto"/>
        </w:rPr>
      </w:pPr>
      <w:r>
        <w:rPr>
          <w:rFonts w:ascii="Arial" w:cs="Arial" w:eastAsia="Arial" w:hAnsi="Arial"/>
          <w:sz w:val="15"/>
          <w:szCs w:val="15"/>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94" w:lineRule="exact"/>
        <w:rPr>
          <w:sz w:val="20"/>
          <w:szCs w:val="20"/>
          <w:color w:val="auto"/>
        </w:rPr>
      </w:pPr>
    </w:p>
    <w:p>
      <w:pPr>
        <w:ind w:left="1140" w:right="1179"/>
        <w:spacing w:after="0" w:line="237" w:lineRule="auto"/>
        <w:rPr>
          <w:sz w:val="20"/>
          <w:szCs w:val="20"/>
          <w:color w:val="auto"/>
        </w:rPr>
      </w:pPr>
      <w:r>
        <w:rPr>
          <w:rFonts w:ascii="Arial" w:cs="Arial" w:eastAsia="Arial" w:hAnsi="Arial"/>
          <w:sz w:val="15"/>
          <w:szCs w:val="15"/>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DTC has also advised the Company that, pursuant to procedures established by it:</w:t>
      </w:r>
    </w:p>
    <w:p>
      <w:pPr>
        <w:spacing w:after="0" w:line="92" w:lineRule="exact"/>
        <w:rPr>
          <w:sz w:val="20"/>
          <w:szCs w:val="20"/>
          <w:color w:val="auto"/>
        </w:rPr>
      </w:pPr>
    </w:p>
    <w:p>
      <w:pPr>
        <w:ind w:left="1580" w:right="1299" w:hanging="138"/>
        <w:spacing w:after="0" w:line="274" w:lineRule="auto"/>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upon deposit of the global notes, DTC will credit the accounts of the Participants designated by the underwriters with portions of the principal amount of the global notes; and</w:t>
      </w:r>
    </w:p>
    <w:p>
      <w:pPr>
        <w:spacing w:after="0" w:line="47" w:lineRule="exact"/>
        <w:rPr>
          <w:rFonts w:ascii="Arial" w:cs="Arial" w:eastAsia="Arial" w:hAnsi="Arial"/>
          <w:sz w:val="15"/>
          <w:szCs w:val="15"/>
          <w:color w:val="auto"/>
        </w:rPr>
      </w:pPr>
    </w:p>
    <w:p>
      <w:pPr>
        <w:ind w:left="1580" w:right="1259" w:hanging="138"/>
        <w:spacing w:after="0" w:line="255" w:lineRule="auto"/>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95" w:lineRule="exact"/>
        <w:rPr>
          <w:sz w:val="20"/>
          <w:szCs w:val="20"/>
          <w:color w:val="auto"/>
        </w:rPr>
      </w:pPr>
    </w:p>
    <w:p>
      <w:pPr>
        <w:ind w:left="1140" w:right="1179"/>
        <w:spacing w:after="0" w:line="262" w:lineRule="auto"/>
        <w:rPr>
          <w:sz w:val="20"/>
          <w:szCs w:val="20"/>
          <w:color w:val="auto"/>
        </w:rPr>
      </w:pPr>
      <w:r>
        <w:rPr>
          <w:rFonts w:ascii="Arial" w:cs="Arial" w:eastAsia="Arial" w:hAnsi="Arial"/>
          <w:sz w:val="14"/>
          <w:szCs w:val="14"/>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3" w:name="page34"/>
    <w:bookmarkEnd w:id="3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58" w:lineRule="auto"/>
        <w:rPr>
          <w:sz w:val="20"/>
          <w:szCs w:val="20"/>
          <w:color w:val="auto"/>
        </w:rPr>
      </w:pPr>
      <w:r>
        <w:rPr>
          <w:rFonts w:ascii="Arial" w:cs="Arial" w:eastAsia="Arial" w:hAnsi="Arial"/>
          <w:sz w:val="14"/>
          <w:szCs w:val="14"/>
          <w:color w:val="auto"/>
        </w:rPr>
        <w:t>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83" w:lineRule="exact"/>
        <w:rPr>
          <w:sz w:val="20"/>
          <w:szCs w:val="20"/>
          <w:color w:val="auto"/>
        </w:rPr>
      </w:pPr>
    </w:p>
    <w:p>
      <w:pPr>
        <w:ind w:left="1140" w:right="1239"/>
        <w:spacing w:after="0" w:line="24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82" w:lineRule="exact"/>
        <w:rPr>
          <w:sz w:val="20"/>
          <w:szCs w:val="20"/>
          <w:color w:val="auto"/>
        </w:rPr>
      </w:pPr>
    </w:p>
    <w:p>
      <w:pPr>
        <w:ind w:left="1140" w:right="1259"/>
        <w:spacing w:after="0" w:line="244" w:lineRule="auto"/>
        <w:rPr>
          <w:sz w:val="20"/>
          <w:szCs w:val="20"/>
          <w:color w:val="auto"/>
        </w:rPr>
      </w:pPr>
      <w:r>
        <w:rPr>
          <w:rFonts w:ascii="Arial" w:cs="Arial" w:eastAsia="Arial" w:hAnsi="Arial"/>
          <w:sz w:val="15"/>
          <w:szCs w:val="15"/>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92" w:lineRule="exact"/>
        <w:rPr>
          <w:sz w:val="20"/>
          <w:szCs w:val="20"/>
          <w:color w:val="auto"/>
        </w:rPr>
      </w:pPr>
    </w:p>
    <w:p>
      <w:pPr>
        <w:ind w:left="1140" w:right="1259"/>
        <w:spacing w:after="0" w:line="245" w:lineRule="auto"/>
        <w:rPr>
          <w:sz w:val="20"/>
          <w:szCs w:val="20"/>
          <w:color w:val="auto"/>
        </w:rPr>
      </w:pPr>
      <w:r>
        <w:rPr>
          <w:rFonts w:ascii="Arial" w:cs="Arial" w:eastAsia="Arial" w:hAnsi="Arial"/>
          <w:sz w:val="15"/>
          <w:szCs w:val="15"/>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58" w:lineRule="exact"/>
        <w:rPr>
          <w:sz w:val="20"/>
          <w:szCs w:val="20"/>
          <w:color w:val="auto"/>
        </w:rPr>
      </w:pPr>
    </w:p>
    <w:p>
      <w:pPr>
        <w:ind w:left="1580" w:right="1359" w:hanging="138"/>
        <w:spacing w:after="0" w:line="260" w:lineRule="auto"/>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57" w:lineRule="exact"/>
        <w:rPr>
          <w:rFonts w:ascii="Arial" w:cs="Arial" w:eastAsia="Arial" w:hAnsi="Arial"/>
          <w:sz w:val="15"/>
          <w:szCs w:val="15"/>
          <w:color w:val="auto"/>
        </w:rPr>
      </w:pPr>
    </w:p>
    <w:p>
      <w:pPr>
        <w:ind w:left="1580" w:right="1219" w:hanging="138"/>
        <w:spacing w:after="0" w:line="274" w:lineRule="auto"/>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other matter relating to the actions and practices of DTC or any of its Participants or Indirect Participants.</w:t>
      </w:r>
    </w:p>
    <w:p>
      <w:pPr>
        <w:spacing w:after="0" w:line="70"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00" w:lineRule="exact"/>
        <w:rPr>
          <w:sz w:val="20"/>
          <w:szCs w:val="20"/>
          <w:color w:val="auto"/>
        </w:rPr>
      </w:pPr>
    </w:p>
    <w:p>
      <w:pPr>
        <w:ind w:left="1140" w:right="1399"/>
        <w:spacing w:after="0" w:line="244" w:lineRule="auto"/>
        <w:rPr>
          <w:sz w:val="20"/>
          <w:szCs w:val="20"/>
          <w:color w:val="auto"/>
        </w:rPr>
      </w:pPr>
      <w:r>
        <w:rPr>
          <w:rFonts w:ascii="Arial" w:cs="Arial" w:eastAsia="Arial" w:hAnsi="Arial"/>
          <w:sz w:val="15"/>
          <w:szCs w:val="15"/>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92" w:lineRule="exact"/>
        <w:rPr>
          <w:sz w:val="20"/>
          <w:szCs w:val="20"/>
          <w:color w:val="auto"/>
        </w:rPr>
      </w:pPr>
    </w:p>
    <w:p>
      <w:pPr>
        <w:ind w:left="1140" w:right="1259"/>
        <w:spacing w:after="0" w:line="259" w:lineRule="auto"/>
        <w:rPr>
          <w:sz w:val="20"/>
          <w:szCs w:val="20"/>
          <w:color w:val="auto"/>
        </w:rPr>
      </w:pPr>
      <w:r>
        <w:rPr>
          <w:rFonts w:ascii="Arial" w:cs="Arial" w:eastAsia="Arial" w:hAnsi="Arial"/>
          <w:sz w:val="14"/>
          <w:szCs w:val="14"/>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4" w:name="page35"/>
    <w:bookmarkEnd w:id="3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619"/>
        <w:spacing w:after="0" w:line="274" w:lineRule="auto"/>
        <w:rPr>
          <w:sz w:val="20"/>
          <w:szCs w:val="20"/>
          <w:color w:val="auto"/>
        </w:rPr>
      </w:pPr>
      <w:r>
        <w:rPr>
          <w:rFonts w:ascii="Arial" w:cs="Arial" w:eastAsia="Arial" w:hAnsi="Arial"/>
          <w:sz w:val="15"/>
          <w:szCs w:val="15"/>
          <w:color w:val="auto"/>
        </w:rPr>
        <w:t>funds settlement applicable to DTC. Euroclear participants and Clearstream participants may not deliver instructions directly to the depositories for Euroclear or Clearstream.</w:t>
      </w:r>
    </w:p>
    <w:p>
      <w:pPr>
        <w:spacing w:after="0" w:line="70" w:lineRule="exact"/>
        <w:rPr>
          <w:sz w:val="20"/>
          <w:szCs w:val="20"/>
          <w:color w:val="auto"/>
        </w:rPr>
      </w:pPr>
    </w:p>
    <w:p>
      <w:pPr>
        <w:ind w:left="1140" w:right="1219"/>
        <w:spacing w:after="0" w:line="239" w:lineRule="auto"/>
        <w:rPr>
          <w:sz w:val="20"/>
          <w:szCs w:val="20"/>
          <w:color w:val="auto"/>
        </w:rPr>
      </w:pPr>
      <w:r>
        <w:rPr>
          <w:rFonts w:ascii="Arial" w:cs="Arial" w:eastAsia="Arial" w:hAnsi="Arial"/>
          <w:sz w:val="15"/>
          <w:szCs w:val="15"/>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95" w:lineRule="exact"/>
        <w:rPr>
          <w:sz w:val="20"/>
          <w:szCs w:val="20"/>
          <w:color w:val="auto"/>
        </w:rPr>
      </w:pPr>
    </w:p>
    <w:p>
      <w:pPr>
        <w:ind w:left="1140" w:right="1199"/>
        <w:spacing w:after="0"/>
        <w:rPr>
          <w:sz w:val="20"/>
          <w:szCs w:val="20"/>
          <w:color w:val="auto"/>
        </w:rPr>
      </w:pPr>
      <w:r>
        <w:rPr>
          <w:rFonts w:ascii="Arial" w:cs="Arial" w:eastAsia="Arial" w:hAnsi="Arial"/>
          <w:sz w:val="15"/>
          <w:szCs w:val="15"/>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Global Notes</w:t>
      </w:r>
    </w:p>
    <w:p>
      <w:pPr>
        <w:spacing w:after="0" w:line="113" w:lineRule="exact"/>
        <w:rPr>
          <w:sz w:val="20"/>
          <w:szCs w:val="20"/>
          <w:color w:val="auto"/>
        </w:rPr>
      </w:pPr>
    </w:p>
    <w:p>
      <w:pPr>
        <w:ind w:left="1140" w:right="1419"/>
        <w:spacing w:after="0" w:line="274" w:lineRule="auto"/>
        <w:rPr>
          <w:sz w:val="20"/>
          <w:szCs w:val="20"/>
          <w:color w:val="auto"/>
        </w:rPr>
      </w:pPr>
      <w:r>
        <w:rPr>
          <w:rFonts w:ascii="Arial" w:cs="Arial" w:eastAsia="Arial" w:hAnsi="Arial"/>
          <w:sz w:val="15"/>
          <w:szCs w:val="15"/>
          <w:color w:val="auto"/>
        </w:rPr>
        <w:t>Global notes will be deposited with a custodian for DTC, and registered in the name of a nominee of DTC.</w:t>
      </w:r>
    </w:p>
    <w:p>
      <w:pPr>
        <w:spacing w:after="0" w:line="70" w:lineRule="exact"/>
        <w:rPr>
          <w:sz w:val="20"/>
          <w:szCs w:val="20"/>
          <w:color w:val="auto"/>
        </w:rPr>
      </w:pPr>
    </w:p>
    <w:p>
      <w:pPr>
        <w:ind w:left="1140" w:right="1179"/>
        <w:spacing w:after="0" w:line="239" w:lineRule="auto"/>
        <w:rPr>
          <w:sz w:val="20"/>
          <w:szCs w:val="20"/>
          <w:color w:val="auto"/>
        </w:rPr>
      </w:pPr>
      <w:r>
        <w:rPr>
          <w:rFonts w:ascii="Arial" w:cs="Arial" w:eastAsia="Arial" w:hAnsi="Arial"/>
          <w:sz w:val="15"/>
          <w:szCs w:val="15"/>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95" w:lineRule="exact"/>
        <w:rPr>
          <w:sz w:val="20"/>
          <w:szCs w:val="20"/>
          <w:color w:val="auto"/>
        </w:rPr>
      </w:pPr>
    </w:p>
    <w:p>
      <w:pPr>
        <w:ind w:left="1140" w:right="1239"/>
        <w:spacing w:after="0" w:line="252" w:lineRule="auto"/>
        <w:rPr>
          <w:sz w:val="20"/>
          <w:szCs w:val="20"/>
          <w:color w:val="auto"/>
        </w:rPr>
      </w:pPr>
      <w:r>
        <w:rPr>
          <w:rFonts w:ascii="Arial" w:cs="Arial" w:eastAsia="Arial" w:hAnsi="Arial"/>
          <w:sz w:val="15"/>
          <w:szCs w:val="15"/>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86" w:lineRule="exact"/>
        <w:rPr>
          <w:sz w:val="20"/>
          <w:szCs w:val="20"/>
          <w:color w:val="auto"/>
        </w:rPr>
      </w:pPr>
    </w:p>
    <w:p>
      <w:pPr>
        <w:ind w:left="1140" w:right="1159"/>
        <w:spacing w:after="0" w:line="238" w:lineRule="auto"/>
        <w:rPr>
          <w:sz w:val="20"/>
          <w:szCs w:val="20"/>
          <w:color w:val="auto"/>
        </w:rPr>
      </w:pPr>
      <w:r>
        <w:rPr>
          <w:rFonts w:ascii="Arial" w:cs="Arial" w:eastAsia="Arial" w:hAnsi="Arial"/>
          <w:sz w:val="15"/>
          <w:szCs w:val="15"/>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52"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Certificated Notes</w:t>
      </w:r>
    </w:p>
    <w:p>
      <w:pPr>
        <w:spacing w:after="0" w:line="124" w:lineRule="exact"/>
        <w:rPr>
          <w:sz w:val="20"/>
          <w:szCs w:val="20"/>
          <w:color w:val="auto"/>
        </w:rPr>
      </w:pPr>
    </w:p>
    <w:p>
      <w:pPr>
        <w:ind w:left="1140" w:right="1199"/>
        <w:spacing w:after="0" w:line="241" w:lineRule="auto"/>
        <w:rPr>
          <w:sz w:val="20"/>
          <w:szCs w:val="20"/>
          <w:color w:val="auto"/>
        </w:rPr>
      </w:pPr>
      <w:r>
        <w:rPr>
          <w:rFonts w:ascii="Arial" w:cs="Arial" w:eastAsia="Arial" w:hAnsi="Arial"/>
          <w:sz w:val="15"/>
          <w:szCs w:val="15"/>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63"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Same Day Settlement and Payment</w:t>
      </w:r>
    </w:p>
    <w:p>
      <w:pPr>
        <w:spacing w:after="0" w:line="113"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359" w:hanging="138"/>
        <w:spacing w:after="0" w:line="274" w:lineRule="auto"/>
        <w:tabs>
          <w:tab w:leader="none" w:pos="1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check mailed to the address of the Person entitled to the payment as it appears in the security register; or</w:t>
      </w:r>
    </w:p>
    <w:p>
      <w:pPr>
        <w:spacing w:after="0" w:line="47" w:lineRule="exact"/>
        <w:rPr>
          <w:rFonts w:ascii="Arial" w:cs="Arial" w:eastAsia="Arial" w:hAnsi="Arial"/>
          <w:sz w:val="15"/>
          <w:szCs w:val="15"/>
          <w:color w:val="auto"/>
        </w:rPr>
      </w:pPr>
    </w:p>
    <w:p>
      <w:pPr>
        <w:ind w:left="1580" w:right="1259" w:hanging="138"/>
        <w:spacing w:after="0" w:line="255" w:lineRule="auto"/>
        <w:tabs>
          <w:tab w:leader="none" w:pos="1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95" w:lineRule="exact"/>
        <w:rPr>
          <w:sz w:val="20"/>
          <w:szCs w:val="20"/>
          <w:color w:val="auto"/>
        </w:rPr>
      </w:pPr>
    </w:p>
    <w:p>
      <w:pPr>
        <w:ind w:left="1140" w:right="1179"/>
        <w:spacing w:after="0" w:line="245" w:lineRule="auto"/>
        <w:rPr>
          <w:sz w:val="20"/>
          <w:szCs w:val="20"/>
          <w:color w:val="auto"/>
        </w:rPr>
      </w:pPr>
      <w:r>
        <w:rPr>
          <w:rFonts w:ascii="Arial" w:cs="Arial" w:eastAsia="Arial" w:hAnsi="Arial"/>
          <w:sz w:val="15"/>
          <w:szCs w:val="15"/>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91" w:lineRule="exact"/>
        <w:rPr>
          <w:sz w:val="20"/>
          <w:szCs w:val="20"/>
          <w:color w:val="auto"/>
        </w:rPr>
      </w:pPr>
    </w:p>
    <w:p>
      <w:pPr>
        <w:ind w:left="1140" w:right="1219"/>
        <w:spacing w:after="0" w:line="249" w:lineRule="auto"/>
        <w:rPr>
          <w:sz w:val="20"/>
          <w:szCs w:val="20"/>
          <w:color w:val="auto"/>
        </w:rPr>
      </w:pPr>
      <w:r>
        <w:rPr>
          <w:rFonts w:ascii="Arial" w:cs="Arial" w:eastAsia="Arial" w:hAnsi="Arial"/>
          <w:sz w:val="15"/>
          <w:szCs w:val="15"/>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Notices</w:t>
      </w:r>
    </w:p>
    <w:p>
      <w:pPr>
        <w:spacing w:after="0" w:line="122" w:lineRule="exact"/>
        <w:rPr>
          <w:sz w:val="20"/>
          <w:szCs w:val="20"/>
          <w:color w:val="auto"/>
        </w:rPr>
      </w:pPr>
    </w:p>
    <w:p>
      <w:pPr>
        <w:ind w:left="1140" w:right="1299"/>
        <w:spacing w:after="0" w:line="274" w:lineRule="auto"/>
        <w:rPr>
          <w:sz w:val="20"/>
          <w:szCs w:val="20"/>
          <w:color w:val="auto"/>
        </w:rPr>
      </w:pPr>
      <w:r>
        <w:rPr>
          <w:rFonts w:ascii="Arial" w:cs="Arial" w:eastAsia="Arial" w:hAnsi="Arial"/>
          <w:sz w:val="15"/>
          <w:szCs w:val="15"/>
          <w:color w:val="auto"/>
        </w:rPr>
        <w:t>Holders will receive notices at their addresses as they appear in the security register or in accordance with DTC’s applicable procedures.</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Title</w:t>
      </w:r>
    </w:p>
    <w:p>
      <w:pPr>
        <w:spacing w:after="0" w:line="122" w:lineRule="exact"/>
        <w:rPr>
          <w:sz w:val="20"/>
          <w:szCs w:val="20"/>
          <w:color w:val="auto"/>
        </w:rPr>
      </w:pPr>
    </w:p>
    <w:p>
      <w:pPr>
        <w:ind w:left="1140" w:right="1319"/>
        <w:spacing w:after="0" w:line="274" w:lineRule="auto"/>
        <w:rPr>
          <w:sz w:val="20"/>
          <w:szCs w:val="20"/>
          <w:color w:val="auto"/>
        </w:rPr>
      </w:pPr>
      <w:r>
        <w:rPr>
          <w:rFonts w:ascii="Arial" w:cs="Arial" w:eastAsia="Arial" w:hAnsi="Arial"/>
          <w:sz w:val="15"/>
          <w:szCs w:val="15"/>
          <w:color w:val="auto"/>
        </w:rPr>
        <w:t>The Company may treat the Person in whose name a note is registered on the applicable record date as the owner of the note for all purposes, whether or not it is overdue.</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 Personal Liability of Directors, Officers, Employees or Stockholders</w:t>
      </w:r>
    </w:p>
    <w:p>
      <w:pPr>
        <w:spacing w:after="0" w:line="133" w:lineRule="exact"/>
        <w:rPr>
          <w:sz w:val="20"/>
          <w:szCs w:val="20"/>
          <w:color w:val="auto"/>
        </w:rPr>
      </w:pPr>
    </w:p>
    <w:p>
      <w:pPr>
        <w:ind w:left="1140" w:right="1279"/>
        <w:spacing w:after="0" w:line="250" w:lineRule="auto"/>
        <w:rPr>
          <w:sz w:val="20"/>
          <w:szCs w:val="20"/>
          <w:color w:val="auto"/>
        </w:rPr>
      </w:pPr>
      <w:r>
        <w:rPr>
          <w:rFonts w:ascii="Arial" w:cs="Arial" w:eastAsia="Arial" w:hAnsi="Arial"/>
          <w:sz w:val="15"/>
          <w:szCs w:val="15"/>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 However, this waiver and release may not be effective to waive liabilities under U.S. federal securities laws, and it is the view of the SEC that such a waiver is against public policy.</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Governing Law</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New York law will govern the Indenture and the notes.</w:t>
      </w:r>
    </w:p>
    <w:p>
      <w:pPr>
        <w:spacing w:after="0" w:line="126" w:lineRule="exact"/>
        <w:rPr>
          <w:sz w:val="20"/>
          <w:szCs w:val="20"/>
          <w:color w:val="auto"/>
        </w:rPr>
      </w:pPr>
    </w:p>
    <w:p>
      <w:pPr>
        <w:ind w:left="1140" w:right="1219"/>
        <w:spacing w:after="0" w:line="255" w:lineRule="auto"/>
        <w:rPr>
          <w:sz w:val="20"/>
          <w:szCs w:val="20"/>
          <w:color w:val="auto"/>
        </w:rPr>
      </w:pPr>
      <w:r>
        <w:rPr>
          <w:rFonts w:ascii="Arial" w:cs="Arial" w:eastAsia="Arial" w:hAnsi="Arial"/>
          <w:sz w:val="15"/>
          <w:szCs w:val="15"/>
          <w:color w:val="auto"/>
        </w:rPr>
        <w:t>The Indenture provides that the Company, the Trustee and the holders of the notes (by their acceptance of the notes) irrevocably waive, to the fullest extent permitted by applicable law, any and all right to trial by jury in any legal proceeding arising out of or relating to the Indenture, the notes or the transactions contemplated thereby.</w:t>
      </w:r>
    </w:p>
    <w:p>
      <w:pPr>
        <w:spacing w:after="0" w:line="84" w:lineRule="exact"/>
        <w:rPr>
          <w:sz w:val="20"/>
          <w:szCs w:val="20"/>
          <w:color w:val="auto"/>
        </w:rPr>
      </w:pPr>
    </w:p>
    <w:p>
      <w:pPr>
        <w:ind w:left="1140" w:right="1219"/>
        <w:spacing w:after="0" w:line="271" w:lineRule="auto"/>
        <w:rPr>
          <w:sz w:val="20"/>
          <w:szCs w:val="20"/>
          <w:color w:val="auto"/>
        </w:rPr>
      </w:pPr>
      <w:r>
        <w:rPr>
          <w:rFonts w:ascii="Arial" w:cs="Arial" w:eastAsia="Arial" w:hAnsi="Arial"/>
          <w:sz w:val="14"/>
          <w:szCs w:val="14"/>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(by their acceptance of the notes) irrevocably submit to the non-exclusive jurisdiction of such courts in any such suit, action or proceeding. The Indenture further provides that service of any process, summons, notice or document by mail (to the extent allowed under any applicable statute or rule of court) to such</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51" w:lineRule="auto"/>
        <w:rPr>
          <w:sz w:val="20"/>
          <w:szCs w:val="20"/>
          <w:color w:val="auto"/>
        </w:rPr>
      </w:pPr>
      <w:r>
        <w:rPr>
          <w:rFonts w:ascii="Arial" w:cs="Arial" w:eastAsia="Arial" w:hAnsi="Arial"/>
          <w:sz w:val="15"/>
          <w:szCs w:val="15"/>
          <w:color w:val="auto"/>
        </w:rPr>
        <w:t>party’s address set forth in the Indenture will be effective service of process for any suit, action or other proceeding brought in any such court. The Indenture further provides that the Company, the Trustee and the holders of the notes (by their acceptance of the notes)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Regarding the Trustee</w:t>
      </w:r>
    </w:p>
    <w:p>
      <w:pPr>
        <w:spacing w:after="0" w:line="133" w:lineRule="exact"/>
        <w:rPr>
          <w:sz w:val="20"/>
          <w:szCs w:val="20"/>
          <w:color w:val="auto"/>
        </w:rPr>
      </w:pPr>
    </w:p>
    <w:p>
      <w:pPr>
        <w:ind w:left="1140" w:right="1199"/>
        <w:spacing w:after="0" w:line="255" w:lineRule="auto"/>
        <w:rPr>
          <w:sz w:val="20"/>
          <w:szCs w:val="20"/>
          <w:color w:val="auto"/>
        </w:rPr>
      </w:pPr>
      <w:r>
        <w:rPr>
          <w:rFonts w:ascii="Arial" w:cs="Arial" w:eastAsia="Arial" w:hAnsi="Arial"/>
          <w:sz w:val="15"/>
          <w:szCs w:val="15"/>
          <w:color w:val="auto"/>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84"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If an event of default occurs under the Indenture with respect to the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only after those holders have offered (and, if requested, provided) the Trustee indemnity or security satisfactory to it.</w:t>
      </w:r>
    </w:p>
    <w:p>
      <w:pPr>
        <w:spacing w:after="0" w:line="99" w:lineRule="exact"/>
        <w:rPr>
          <w:sz w:val="20"/>
          <w:szCs w:val="20"/>
          <w:color w:val="auto"/>
        </w:rPr>
      </w:pPr>
    </w:p>
    <w:p>
      <w:pPr>
        <w:ind w:left="1140" w:right="1199"/>
        <w:spacing w:after="0" w:line="275" w:lineRule="auto"/>
        <w:rPr>
          <w:sz w:val="20"/>
          <w:szCs w:val="20"/>
          <w:color w:val="auto"/>
        </w:rPr>
      </w:pPr>
      <w:r>
        <w:rPr>
          <w:rFonts w:ascii="Arial" w:cs="Arial" w:eastAsia="Arial" w:hAnsi="Arial"/>
          <w:sz w:val="14"/>
          <w:szCs w:val="14"/>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right="2019"/>
        <w:spacing w:after="0" w:line="280" w:lineRule="auto"/>
        <w:rPr>
          <w:sz w:val="20"/>
          <w:szCs w:val="20"/>
          <w:color w:val="auto"/>
        </w:rPr>
      </w:pPr>
      <w:r>
        <w:rPr>
          <w:rFonts w:ascii="Arial" w:cs="Arial" w:eastAsia="Arial" w:hAnsi="Arial"/>
          <w:sz w:val="32"/>
          <w:szCs w:val="32"/>
          <w:b w:val="1"/>
          <w:bCs w:val="1"/>
          <w:color w:val="auto"/>
        </w:rPr>
        <w:t>MATERIAL U.S. FEDERAL INCOME TAX CONSEQUENCES</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 General</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Nature and Scope of Discussion</w:t>
      </w:r>
    </w:p>
    <w:p>
      <w:pPr>
        <w:spacing w:after="0" w:line="113"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This section provides a summary of certain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99" w:lineRule="exact"/>
        <w:rPr>
          <w:sz w:val="20"/>
          <w:szCs w:val="20"/>
          <w:color w:val="auto"/>
        </w:rPr>
      </w:pPr>
    </w:p>
    <w:p>
      <w:pPr>
        <w:ind w:left="1140" w:right="1199"/>
        <w:spacing w:after="0" w:line="265" w:lineRule="auto"/>
        <w:rPr>
          <w:sz w:val="20"/>
          <w:szCs w:val="20"/>
          <w:color w:val="auto"/>
        </w:rPr>
      </w:pPr>
      <w:r>
        <w:rPr>
          <w:rFonts w:ascii="Arial" w:cs="Arial" w:eastAsia="Arial" w:hAnsi="Arial"/>
          <w:sz w:val="14"/>
          <w:szCs w:val="14"/>
          <w:color w:val="auto"/>
        </w:rPr>
        <w:t>The following summary generally applies only to beneficial owners of the notes that purchase their notes in this offering for an amount equal to their issue price,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following summary does not describe the effects of any other U.S. federal tax laws, such as the Medicare contribution tax on net investment income or estate and gift tax laws, or the effects of any applicable non-U.S., state or local laws.</w:t>
      </w:r>
    </w:p>
    <w:p>
      <w:pPr>
        <w:spacing w:after="0" w:line="275" w:lineRule="exact"/>
        <w:rPr>
          <w:sz w:val="20"/>
          <w:szCs w:val="20"/>
          <w:color w:val="auto"/>
        </w:rPr>
      </w:pPr>
    </w:p>
    <w:p>
      <w:pPr>
        <w:ind w:left="1140" w:right="1279"/>
        <w:spacing w:after="0" w:line="255" w:lineRule="auto"/>
        <w:rPr>
          <w:sz w:val="20"/>
          <w:szCs w:val="20"/>
          <w:color w:val="auto"/>
        </w:rPr>
      </w:pPr>
      <w:r>
        <w:rPr>
          <w:rFonts w:ascii="Arial" w:cs="Arial" w:eastAsia="Arial" w:hAnsi="Arial"/>
          <w:sz w:val="15"/>
          <w:szCs w:val="15"/>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84" w:lineRule="exact"/>
        <w:rPr>
          <w:sz w:val="20"/>
          <w:szCs w:val="20"/>
          <w:color w:val="auto"/>
        </w:rPr>
      </w:pPr>
    </w:p>
    <w:p>
      <w:pPr>
        <w:ind w:left="1140" w:right="1239"/>
        <w:spacing w:after="0" w:line="267" w:lineRule="auto"/>
        <w:rPr>
          <w:sz w:val="20"/>
          <w:szCs w:val="20"/>
          <w:color w:val="auto"/>
        </w:rPr>
      </w:pPr>
      <w:r>
        <w:rPr>
          <w:rFonts w:ascii="Arial" w:cs="Arial" w:eastAsia="Arial" w:hAnsi="Arial"/>
          <w:sz w:val="14"/>
          <w:szCs w:val="14"/>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w:t>
      </w:r>
    </w:p>
    <w:p>
      <w:pPr>
        <w:spacing w:after="0" w:line="2" w:lineRule="exact"/>
        <w:rPr>
          <w:sz w:val="20"/>
          <w:szCs w:val="20"/>
          <w:color w:val="auto"/>
        </w:rPr>
      </w:pPr>
    </w:p>
    <w:p>
      <w:pPr>
        <w:ind w:left="1140" w:right="1239" w:firstLine="8"/>
        <w:spacing w:after="0" w:line="250" w:lineRule="auto"/>
        <w:tabs>
          <w:tab w:leader="none" w:pos="1351" w:val="left"/>
        </w:tabs>
        <w:numPr>
          <w:ilvl w:val="0"/>
          <w:numId w:val="32"/>
        </w:numPr>
        <w:rPr>
          <w:rFonts w:ascii="Arial" w:cs="Arial" w:eastAsia="Arial" w:hAnsi="Arial"/>
          <w:sz w:val="15"/>
          <w:szCs w:val="15"/>
          <w:color w:val="auto"/>
        </w:rPr>
      </w:pPr>
      <w:r>
        <w:rPr>
          <w:rFonts w:ascii="Arial" w:cs="Arial" w:eastAsia="Arial" w:hAnsi="Arial"/>
          <w:sz w:val="15"/>
          <w:szCs w:val="15"/>
          <w:color w:val="auto"/>
        </w:rPr>
        <w:t>is subject to the primary supervision of a U.S. court and one or more U.S. persons has the authority to control all substantial decisions of the trust or (y) has a valid election in effect under applicable U.S. Treasury regulations to be treated as a U.S. person.</w:t>
      </w:r>
    </w:p>
    <w:p>
      <w:pPr>
        <w:spacing w:after="0" w:line="98" w:lineRule="exact"/>
        <w:rPr>
          <w:sz w:val="20"/>
          <w:szCs w:val="20"/>
          <w:color w:val="auto"/>
        </w:rPr>
      </w:pPr>
    </w:p>
    <w:p>
      <w:pPr>
        <w:ind w:left="1140" w:right="1179"/>
        <w:spacing w:after="0" w:line="311" w:lineRule="auto"/>
        <w:rPr>
          <w:sz w:val="20"/>
          <w:szCs w:val="20"/>
          <w:color w:val="auto"/>
        </w:rPr>
      </w:pPr>
      <w:r>
        <w:rPr>
          <w:rFonts w:ascii="Arial" w:cs="Arial" w:eastAsia="Arial" w:hAnsi="Arial"/>
          <w:sz w:val="14"/>
          <w:szCs w:val="14"/>
          <w:color w:val="auto"/>
        </w:rPr>
        <w:t>A “non-U.S. holder” is a beneficial owner of a note (other than a partnership or an entity or arrangement (domestic or foreign) that is treated as a partnership for U.S. federal income tax purposes) that is not</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42" w:lineRule="auto"/>
        <w:rPr>
          <w:sz w:val="20"/>
          <w:szCs w:val="20"/>
          <w:color w:val="auto"/>
        </w:rPr>
      </w:pPr>
      <w:r>
        <w:rPr>
          <w:rFonts w:ascii="Arial" w:cs="Arial" w:eastAsia="Arial" w:hAnsi="Arial"/>
          <w:sz w:val="15"/>
          <w:szCs w:val="15"/>
          <w:color w:val="auto"/>
        </w:rPr>
        <w:t>a U.S. holder. 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Additional Payments</w:t>
      </w:r>
    </w:p>
    <w:p>
      <w:pPr>
        <w:spacing w:after="0" w:line="124"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color w:val="auto"/>
        </w:rPr>
        <w:t>We may be required in certain circumstances to make payments on the notes that are in excess of payments of principal and stated interest. We believe there is only a remote possibility that we would be required to make any of these additional payments, that any such additional payments, if made, would be an incidental amount, or that the possibility of such payments is otherwise disregarded for purposes of the rules governing contingent payment debt instruments. Therefore, we do not intend to treat the notes as subject to the special rules governing contingent payment debt instruments. Our determination in this regard, while not binding on the IRS, is binding on holders unless they disclose their contrary position. If the IRS successfully asserted that the notes are subject to the rules governing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 In the event we pay additional amounts on the notes, holders should consult their tax advisors regarding the treatment of such amounts.</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U.S. Holders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Taxation of Interest</w:t>
      </w:r>
    </w:p>
    <w:p>
      <w:pPr>
        <w:spacing w:after="0" w:line="124" w:lineRule="exact"/>
        <w:rPr>
          <w:sz w:val="20"/>
          <w:szCs w:val="20"/>
          <w:color w:val="auto"/>
        </w:rPr>
      </w:pPr>
    </w:p>
    <w:p>
      <w:pPr>
        <w:ind w:left="1140" w:right="1379"/>
        <w:spacing w:after="0" w:line="259" w:lineRule="auto"/>
        <w:rPr>
          <w:sz w:val="20"/>
          <w:szCs w:val="20"/>
          <w:color w:val="auto"/>
        </w:rPr>
      </w:pPr>
      <w:r>
        <w:rPr>
          <w:rFonts w:ascii="Arial" w:cs="Arial" w:eastAsia="Arial" w:hAnsi="Arial"/>
          <w:sz w:val="15"/>
          <w:szCs w:val="15"/>
          <w:color w:val="auto"/>
        </w:rPr>
        <w:t>A U.S. holder will be required to recognize as ordinary income any stated interest paid or accrued on the notes, in accordance with such holder’s regular method of tax accounting.</w:t>
      </w:r>
    </w:p>
    <w:p>
      <w:pPr>
        <w:spacing w:after="0" w:line="138" w:lineRule="exact"/>
        <w:rPr>
          <w:sz w:val="20"/>
          <w:szCs w:val="20"/>
          <w:color w:val="auto"/>
        </w:rPr>
      </w:pPr>
    </w:p>
    <w:p>
      <w:pPr>
        <w:jc w:val="center"/>
        <w:ind w:right="339"/>
        <w:spacing w:after="0"/>
        <w:rPr>
          <w:sz w:val="20"/>
          <w:szCs w:val="20"/>
          <w:color w:val="auto"/>
        </w:rPr>
      </w:pPr>
      <w:r>
        <w:rPr>
          <w:rFonts w:ascii="Arial" w:cs="Arial" w:eastAsia="Arial" w:hAnsi="Arial"/>
          <w:sz w:val="15"/>
          <w:szCs w:val="15"/>
          <w:b w:val="1"/>
          <w:bCs w:val="1"/>
          <w:i w:val="1"/>
          <w:iCs w:val="1"/>
          <w:color w:val="auto"/>
        </w:rPr>
        <w:t>Sale, Exchange, Redemption, Retirement or Other Taxable Disposition of the Notes</w:t>
      </w:r>
    </w:p>
    <w:p>
      <w:pPr>
        <w:spacing w:after="0" w:line="124" w:lineRule="exact"/>
        <w:rPr>
          <w:sz w:val="20"/>
          <w:szCs w:val="20"/>
          <w:color w:val="auto"/>
        </w:rPr>
      </w:pPr>
    </w:p>
    <w:p>
      <w:pPr>
        <w:ind w:left="1140" w:right="1159"/>
        <w:spacing w:after="0" w:line="254" w:lineRule="auto"/>
        <w:rPr>
          <w:sz w:val="20"/>
          <w:szCs w:val="20"/>
          <w:color w:val="auto"/>
        </w:rPr>
      </w:pPr>
      <w:r>
        <w:rPr>
          <w:rFonts w:ascii="Arial" w:cs="Arial" w:eastAsia="Arial" w:hAnsi="Arial"/>
          <w:sz w:val="14"/>
          <w:szCs w:val="14"/>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Non-U.S. Holders</w:t>
      </w:r>
    </w:p>
    <w:p>
      <w:pPr>
        <w:spacing w:after="0" w:line="179"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Taxation of Interest</w:t>
      </w:r>
    </w:p>
    <w:p>
      <w:pPr>
        <w:spacing w:after="0" w:line="124" w:lineRule="exact"/>
        <w:rPr>
          <w:sz w:val="20"/>
          <w:szCs w:val="20"/>
          <w:color w:val="auto"/>
        </w:rPr>
      </w:pPr>
    </w:p>
    <w:p>
      <w:pPr>
        <w:jc w:val="both"/>
        <w:ind w:left="1140" w:right="1179"/>
        <w:spacing w:after="0" w:line="262" w:lineRule="auto"/>
        <w:rPr>
          <w:sz w:val="20"/>
          <w:szCs w:val="20"/>
          <w:color w:val="auto"/>
        </w:rPr>
      </w:pPr>
      <w:r>
        <w:rPr>
          <w:rFonts w:ascii="Arial" w:cs="Arial" w:eastAsia="Arial" w:hAnsi="Arial"/>
          <w:sz w:val="14"/>
          <w:szCs w:val="14"/>
          <w:color w:val="auto"/>
        </w:rPr>
        <w:t>Subject to the discussion below under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non-U.S. holders, however, are generally expected to</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9" w:name="page40"/>
    <w:bookmarkEnd w:id="3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45" w:lineRule="auto"/>
        <w:rPr>
          <w:sz w:val="20"/>
          <w:szCs w:val="20"/>
          <w:color w:val="auto"/>
        </w:rPr>
      </w:pPr>
      <w:r>
        <w:rPr>
          <w:rFonts w:ascii="Arial" w:cs="Arial" w:eastAsia="Arial" w:hAnsi="Arial"/>
          <w:sz w:val="15"/>
          <w:szCs w:val="15"/>
          <w:color w:val="auto"/>
        </w:rPr>
        <w:t>qualify as “portfolio interest,” and thus be exempt from U.S. federal income tax, including withholding of such tax, if non-U.S. holders satisfy certain requirements and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p>
    <w:p>
      <w:pPr>
        <w:spacing w:after="0" w:line="58" w:lineRule="exact"/>
        <w:rPr>
          <w:sz w:val="20"/>
          <w:szCs w:val="20"/>
          <w:color w:val="auto"/>
        </w:rPr>
      </w:pPr>
    </w:p>
    <w:p>
      <w:pPr>
        <w:ind w:left="1580" w:right="1319" w:hanging="138"/>
        <w:spacing w:after="0" w:line="260" w:lineRule="auto"/>
        <w:tabs>
          <w:tab w:leader="none" w:pos="1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owns, actually or constructively (applying certain attribution rules), shares of our stock representing at least 10% of the total combined voting power of all classes of our stock entitled to vote;</w:t>
      </w:r>
    </w:p>
    <w:p>
      <w:pPr>
        <w:spacing w:after="0" w:line="46" w:lineRule="exact"/>
        <w:rPr>
          <w:rFonts w:ascii="Arial" w:cs="Arial" w:eastAsia="Arial" w:hAnsi="Arial"/>
          <w:sz w:val="15"/>
          <w:szCs w:val="15"/>
          <w:color w:val="auto"/>
        </w:rPr>
      </w:pPr>
    </w:p>
    <w:p>
      <w:pPr>
        <w:ind w:left="1580" w:right="1519" w:hanging="138"/>
        <w:spacing w:after="0" w:line="274" w:lineRule="auto"/>
        <w:tabs>
          <w:tab w:leader="none" w:pos="1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is a “controlled foreign corporation” within the meaning of Section 957(a) of the Code that is related, directly or indirectly, to us through sufficient stock ownership; or</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is a bank whose receipt of interest on the notes is described in Section 881(c)(3)(A) of the Code.</w:t>
      </w:r>
    </w:p>
    <w:p>
      <w:pPr>
        <w:spacing w:after="0" w:line="137" w:lineRule="exact"/>
        <w:rPr>
          <w:sz w:val="20"/>
          <w:szCs w:val="20"/>
          <w:color w:val="auto"/>
        </w:rPr>
      </w:pPr>
    </w:p>
    <w:p>
      <w:pPr>
        <w:ind w:left="1140" w:right="1479"/>
        <w:spacing w:after="0" w:line="270" w:lineRule="auto"/>
        <w:rPr>
          <w:sz w:val="20"/>
          <w:szCs w:val="20"/>
          <w:color w:val="auto"/>
        </w:rPr>
      </w:pPr>
      <w:r>
        <w:rPr>
          <w:rFonts w:ascii="Arial" w:cs="Arial" w:eastAsia="Arial" w:hAnsi="Arial"/>
          <w:sz w:val="14"/>
          <w:szCs w:val="14"/>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75" w:lineRule="exact"/>
        <w:rPr>
          <w:sz w:val="20"/>
          <w:szCs w:val="20"/>
          <w:color w:val="auto"/>
        </w:rPr>
      </w:pPr>
    </w:p>
    <w:p>
      <w:pPr>
        <w:ind w:left="1140" w:right="1199"/>
        <w:spacing w:after="0" w:line="241" w:lineRule="auto"/>
        <w:rPr>
          <w:sz w:val="20"/>
          <w:szCs w:val="20"/>
          <w:color w:val="auto"/>
        </w:rPr>
      </w:pPr>
      <w:r>
        <w:rPr>
          <w:rFonts w:ascii="Arial" w:cs="Arial" w:eastAsia="Arial" w:hAnsi="Arial"/>
          <w:sz w:val="15"/>
          <w:szCs w:val="15"/>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or successor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Sale, Exchange, Redemption, Retirement or Other Taxable Disposition of the Notes</w:t>
      </w:r>
    </w:p>
    <w:p>
      <w:pPr>
        <w:spacing w:after="0" w:line="124" w:lineRule="exact"/>
        <w:rPr>
          <w:sz w:val="20"/>
          <w:szCs w:val="20"/>
          <w:color w:val="auto"/>
        </w:rPr>
      </w:pPr>
    </w:p>
    <w:p>
      <w:pPr>
        <w:ind w:left="1140" w:right="1179"/>
        <w:spacing w:after="0" w:line="239" w:lineRule="auto"/>
        <w:rPr>
          <w:sz w:val="20"/>
          <w:szCs w:val="20"/>
          <w:color w:val="auto"/>
        </w:rPr>
      </w:pPr>
      <w:r>
        <w:rPr>
          <w:rFonts w:ascii="Arial" w:cs="Arial" w:eastAsia="Arial" w:hAnsi="Arial"/>
          <w:sz w:val="15"/>
          <w:szCs w:val="15"/>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p>
    <w:p>
      <w:pPr>
        <w:spacing w:after="0" w:line="62" w:lineRule="exact"/>
        <w:rPr>
          <w:sz w:val="20"/>
          <w:szCs w:val="20"/>
          <w:color w:val="auto"/>
        </w:rPr>
      </w:pPr>
    </w:p>
    <w:p>
      <w:pPr>
        <w:ind w:left="1580" w:right="1239" w:hanging="138"/>
        <w:spacing w:after="0" w:line="252" w:lineRule="auto"/>
        <w:tabs>
          <w:tab w:leader="none" w:pos="1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p>
    <w:p>
      <w:pPr>
        <w:spacing w:after="0" w:line="65" w:lineRule="exact"/>
        <w:rPr>
          <w:rFonts w:ascii="Arial" w:cs="Arial" w:eastAsia="Arial" w:hAnsi="Arial"/>
          <w:sz w:val="15"/>
          <w:szCs w:val="15"/>
          <w:color w:val="auto"/>
        </w:rPr>
      </w:pPr>
    </w:p>
    <w:p>
      <w:pPr>
        <w:ind w:left="1580" w:right="1199" w:hanging="138"/>
        <w:spacing w:after="0" w:line="251" w:lineRule="auto"/>
        <w:tabs>
          <w:tab w:leader="none" w:pos="1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(provided that such non-U.S. holder timely files tax returns with respect to such losses), would be subject to a flat 30% tax, even though the individual is not considered a resident of the United States.</w:t>
      </w:r>
    </w:p>
    <w:p>
      <w:pPr>
        <w:spacing w:after="0" w:line="156"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Income or Gains Effectively Connected With a U.S. Trade or Business</w:t>
      </w:r>
    </w:p>
    <w:p>
      <w:pPr>
        <w:spacing w:after="0" w:line="124" w:lineRule="exact"/>
        <w:rPr>
          <w:sz w:val="20"/>
          <w:szCs w:val="20"/>
          <w:color w:val="auto"/>
        </w:rPr>
      </w:pPr>
    </w:p>
    <w:p>
      <w:pPr>
        <w:ind w:left="1140" w:right="1359"/>
        <w:spacing w:after="0" w:line="239" w:lineRule="auto"/>
        <w:rPr>
          <w:sz w:val="20"/>
          <w:szCs w:val="20"/>
          <w:color w:val="auto"/>
        </w:rPr>
      </w:pPr>
      <w:r>
        <w:rPr>
          <w:rFonts w:ascii="Arial" w:cs="Arial" w:eastAsia="Arial" w:hAnsi="Arial"/>
          <w:sz w:val="15"/>
          <w:szCs w:val="15"/>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0" w:name="page41"/>
    <w:bookmarkEnd w:id="4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39" w:lineRule="auto"/>
        <w:rPr>
          <w:sz w:val="20"/>
          <w:szCs w:val="20"/>
          <w:color w:val="auto"/>
        </w:rPr>
      </w:pPr>
      <w:r>
        <w:rPr>
          <w:rFonts w:ascii="Arial" w:cs="Arial" w:eastAsia="Arial" w:hAnsi="Arial"/>
          <w:sz w:val="15"/>
          <w:szCs w:val="15"/>
          <w:color w:val="auto"/>
        </w:rPr>
        <w:t>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55"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Legislation and Guidance Relating to Foreign Accounts</w:t>
      </w:r>
    </w:p>
    <w:p>
      <w:pPr>
        <w:spacing w:after="0" w:line="124" w:lineRule="exact"/>
        <w:rPr>
          <w:sz w:val="20"/>
          <w:szCs w:val="20"/>
          <w:color w:val="auto"/>
        </w:rPr>
      </w:pPr>
    </w:p>
    <w:p>
      <w:pPr>
        <w:jc w:val="both"/>
        <w:ind w:left="1140" w:right="1199"/>
        <w:spacing w:after="0" w:line="254" w:lineRule="auto"/>
        <w:rPr>
          <w:sz w:val="20"/>
          <w:szCs w:val="20"/>
          <w:color w:val="auto"/>
        </w:rPr>
      </w:pPr>
      <w:r>
        <w:rPr>
          <w:rFonts w:ascii="Arial" w:cs="Arial" w:eastAsia="Arial" w:hAnsi="Arial"/>
          <w:sz w:val="14"/>
          <w:szCs w:val="14"/>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w:t>
      </w:r>
    </w:p>
    <w:p>
      <w:pPr>
        <w:spacing w:after="0" w:line="1" w:lineRule="exact"/>
        <w:rPr>
          <w:sz w:val="20"/>
          <w:szCs w:val="20"/>
          <w:color w:val="auto"/>
        </w:rPr>
      </w:pPr>
    </w:p>
    <w:p>
      <w:pPr>
        <w:ind w:left="1140" w:right="1159"/>
        <w:spacing w:after="0" w:line="236" w:lineRule="auto"/>
        <w:rPr>
          <w:sz w:val="20"/>
          <w:szCs w:val="20"/>
          <w:color w:val="auto"/>
        </w:rPr>
      </w:pPr>
      <w:r>
        <w:rPr>
          <w:rFonts w:ascii="Arial" w:cs="Arial" w:eastAsia="Arial" w:hAnsi="Arial"/>
          <w:sz w:val="15"/>
          <w:szCs w:val="15"/>
          <w:color w:val="auto"/>
        </w:rPr>
        <w:t>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an exemption is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Backup Withholding and Information Reporting</w:t>
      </w:r>
    </w:p>
    <w:p>
      <w:pPr>
        <w:spacing w:after="0" w:line="122" w:lineRule="exact"/>
        <w:rPr>
          <w:sz w:val="20"/>
          <w:szCs w:val="20"/>
          <w:color w:val="auto"/>
        </w:rPr>
      </w:pPr>
    </w:p>
    <w:p>
      <w:pPr>
        <w:ind w:left="1140" w:right="1259"/>
        <w:spacing w:after="0" w:line="263" w:lineRule="auto"/>
        <w:rPr>
          <w:sz w:val="20"/>
          <w:szCs w:val="20"/>
          <w:color w:val="auto"/>
        </w:rPr>
      </w:pPr>
      <w:r>
        <w:rPr>
          <w:rFonts w:ascii="Arial" w:cs="Arial" w:eastAsia="Arial" w:hAnsi="Arial"/>
          <w:sz w:val="14"/>
          <w:szCs w:val="14"/>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79" w:lineRule="exact"/>
        <w:rPr>
          <w:sz w:val="20"/>
          <w:szCs w:val="20"/>
          <w:color w:val="auto"/>
        </w:rPr>
      </w:pPr>
    </w:p>
    <w:p>
      <w:pPr>
        <w:ind w:left="1140" w:right="1419"/>
        <w:spacing w:after="0" w:line="241" w:lineRule="auto"/>
        <w:rPr>
          <w:sz w:val="20"/>
          <w:szCs w:val="20"/>
          <w:color w:val="auto"/>
        </w:rPr>
      </w:pPr>
      <w:r>
        <w:rPr>
          <w:rFonts w:ascii="Arial" w:cs="Arial" w:eastAsia="Arial" w:hAnsi="Arial"/>
          <w:sz w:val="15"/>
          <w:szCs w:val="15"/>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pacing w:after="0" w:line="94" w:lineRule="exact"/>
        <w:rPr>
          <w:sz w:val="20"/>
          <w:szCs w:val="20"/>
          <w:color w:val="auto"/>
        </w:rPr>
      </w:pPr>
    </w:p>
    <w:p>
      <w:pPr>
        <w:ind w:left="1140" w:right="1199"/>
        <w:spacing w:after="0" w:line="311" w:lineRule="auto"/>
        <w:rPr>
          <w:sz w:val="20"/>
          <w:szCs w:val="20"/>
          <w:color w:val="auto"/>
        </w:rPr>
      </w:pPr>
      <w:r>
        <w:rPr>
          <w:rFonts w:ascii="Arial" w:cs="Arial" w:eastAsia="Arial" w:hAnsi="Arial"/>
          <w:sz w:val="14"/>
          <w:szCs w:val="14"/>
          <w:color w:val="auto"/>
        </w:rPr>
        <w:t>Payors must report annually to the IRS the interest paid to each non-U.S. holder and the tax withheld, if any, with respect to such interest, including any tax withheld pursuant to the rules described under</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1" w:name="page42"/>
    <w:bookmarkEnd w:id="4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71" w:lineRule="auto"/>
        <w:rPr>
          <w:sz w:val="20"/>
          <w:szCs w:val="20"/>
          <w:color w:val="auto"/>
        </w:rPr>
      </w:pPr>
      <w:r>
        <w:rPr>
          <w:rFonts w:ascii="Arial" w:cs="Arial" w:eastAsia="Arial" w:hAnsi="Arial"/>
          <w:sz w:val="14"/>
          <w:szCs w:val="14"/>
          <w:color w:val="auto"/>
        </w:rPr>
        <w:t>“Non-U.S.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or successor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85" w:lineRule="exact"/>
        <w:rPr>
          <w:sz w:val="20"/>
          <w:szCs w:val="20"/>
          <w:color w:val="auto"/>
        </w:rPr>
      </w:pPr>
    </w:p>
    <w:p>
      <w:pPr>
        <w:ind w:left="1140" w:right="1319"/>
        <w:spacing w:after="0" w:line="255" w:lineRule="auto"/>
        <w:rPr>
          <w:sz w:val="20"/>
          <w:szCs w:val="20"/>
          <w:color w:val="auto"/>
        </w:rPr>
      </w:pPr>
      <w:r>
        <w:rPr>
          <w:rFonts w:ascii="Arial" w:cs="Arial" w:eastAsia="Arial" w:hAnsi="Arial"/>
          <w:sz w:val="15"/>
          <w:szCs w:val="15"/>
          <w:color w:val="auto"/>
        </w:rPr>
        <w:t>Backup withholding is not an additional tax. Any amounts withheld from a payment to a U.S. holder or non-U.S. holder of notes under the backup withholding rules generally may be credited against any U.S. federal income tax liability of the holder, which may entitle the holder to a refund,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2" w:name="page43"/>
    <w:bookmarkEnd w:id="4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1"/>
          <w:szCs w:val="31"/>
          <w:b w:val="1"/>
          <w:bCs w:val="1"/>
          <w:color w:val="auto"/>
        </w:rPr>
        <w:t>UNDERWRITING (CONFLICTS OF INTEREST)</w:t>
      </w:r>
    </w:p>
    <w:p>
      <w:pPr>
        <w:spacing w:after="0" w:line="142" w:lineRule="exact"/>
        <w:rPr>
          <w:sz w:val="20"/>
          <w:szCs w:val="20"/>
          <w:color w:val="auto"/>
        </w:rPr>
      </w:pPr>
    </w:p>
    <w:p>
      <w:pPr>
        <w:ind w:left="1140" w:right="1339"/>
        <w:spacing w:after="0" w:line="264" w:lineRule="auto"/>
        <w:rPr>
          <w:sz w:val="20"/>
          <w:szCs w:val="20"/>
          <w:color w:val="auto"/>
        </w:rPr>
      </w:pPr>
      <w:r>
        <w:rPr>
          <w:rFonts w:ascii="Arial" w:cs="Arial" w:eastAsia="Arial" w:hAnsi="Arial"/>
          <w:sz w:val="15"/>
          <w:szCs w:val="15"/>
          <w:color w:val="auto"/>
        </w:rPr>
        <w:t>Subject to the terms and conditions stated in the underwriting agreement dated the date of this prospectus supplement, each underwriter named below, for whom Morgan Stanley &amp; Co. LLC, Credit Agricole Securities (USA) Inc. and Scotia Capital (USA) Inc. are acting as representatives, has severally agreed to purchase, and we have agreed to sell to that underwriter, the aggregate principal amount of notes set forth opposite the underwriter’s name in the following table:</w:t>
      </w:r>
    </w:p>
    <w:p>
      <w:pPr>
        <w:sectPr>
          <w:pgSz w:w="11900" w:h="16838" w:orient="portrait"/>
          <w:cols w:equalWidth="0" w:num="1">
            <w:col w:w="9019"/>
          </w:cols>
          <w:pgMar w:left="1440" w:top="98"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15875</wp:posOffset>
            </wp:positionV>
            <wp:extent cx="4262120" cy="140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Morgan Stanley &amp; Co. LLC .</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Credit Agricole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33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Scotia Capital (USA) Inc.</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CIBC World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HSBC Securities (USA) Inc.</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MUFG Securities Americas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TD Securities (USA) LLC</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Wells Fargo Securities, LLC</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Siebert Williams Shank &amp; Co., LLC</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ANZ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BNP Paribas Securities Corp.</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Barclays Capital Inc.</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Commerz Markets LLC</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ICBC Standard Bank Plc</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Mizuho Securities USA LLC</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RBC Capital Markets, LLC</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U.S. Bancorp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68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62120" cy="168275"/>
                    </a:xfrm>
                    <a:prstGeom prst="rect">
                      <a:avLst/>
                    </a:prstGeom>
                    <a:noFill/>
                  </pic:spPr>
                </pic:pic>
              </a:graphicData>
            </a:graphic>
          </wp:anchor>
        </w:drawing>
      </w:r>
    </w:p>
    <w:p>
      <w:pPr>
        <w:spacing w:after="0" w:line="6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1019"/>
        <w:spacing w:after="0"/>
        <w:rPr>
          <w:sz w:val="20"/>
          <w:szCs w:val="20"/>
          <w:color w:val="auto"/>
        </w:rPr>
      </w:pPr>
      <w:r>
        <w:rPr>
          <w:rFonts w:ascii="Arial" w:cs="Arial" w:eastAsia="Arial" w:hAnsi="Arial"/>
          <w:sz w:val="12"/>
          <w:szCs w:val="12"/>
          <w:b w:val="1"/>
          <w:bCs w:val="1"/>
          <w:color w:val="auto"/>
        </w:rPr>
        <w:t>Principal</w:t>
      </w:r>
    </w:p>
    <w:p>
      <w:pPr>
        <w:spacing w:after="0" w:line="1" w:lineRule="exact"/>
        <w:rPr>
          <w:sz w:val="20"/>
          <w:szCs w:val="20"/>
          <w:color w:val="auto"/>
        </w:rPr>
      </w:pPr>
    </w:p>
    <w:p>
      <w:pPr>
        <w:jc w:val="center"/>
        <w:ind w:right="1019"/>
        <w:spacing w:after="0"/>
        <w:rPr>
          <w:sz w:val="20"/>
          <w:szCs w:val="20"/>
          <w:color w:val="auto"/>
        </w:rPr>
      </w:pPr>
      <w:r>
        <w:rPr>
          <w:rFonts w:ascii="Arial" w:cs="Arial" w:eastAsia="Arial" w:hAnsi="Arial"/>
          <w:sz w:val="12"/>
          <w:szCs w:val="12"/>
          <w:b w:val="1"/>
          <w:bCs w:val="1"/>
          <w:color w:val="auto"/>
        </w:rPr>
        <w:t>Amount</w:t>
      </w:r>
    </w:p>
    <w:p>
      <w:pPr>
        <w:jc w:val="center"/>
        <w:ind w:right="1019"/>
        <w:spacing w:after="0" w:line="230" w:lineRule="auto"/>
        <w:rPr>
          <w:sz w:val="20"/>
          <w:szCs w:val="20"/>
          <w:color w:val="auto"/>
        </w:rPr>
      </w:pPr>
      <w:r>
        <w:rPr>
          <w:rFonts w:ascii="Arial" w:cs="Arial" w:eastAsia="Arial" w:hAnsi="Arial"/>
          <w:sz w:val="12"/>
          <w:szCs w:val="12"/>
          <w:b w:val="1"/>
          <w:bCs w:val="1"/>
          <w:color w:val="auto"/>
        </w:rPr>
        <w:t>of Securities</w:t>
      </w:r>
    </w:p>
    <w:p>
      <w:pPr>
        <w:spacing w:after="0" w:line="180" w:lineRule="auto"/>
        <w:tabs>
          <w:tab w:leader="none" w:pos="220" w:val="left"/>
        </w:tabs>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1"/>
          <w:szCs w:val="11"/>
          <w:b w:val="1"/>
          <w:bCs w:val="1"/>
          <w:color w:val="auto"/>
        </w:rPr>
        <w:tab/>
        <w:t xml:space="preserve">to be Purchased </w:t>
      </w:r>
      <w:r>
        <w:rPr>
          <w:rFonts w:ascii="Arial" w:cs="Arial" w:eastAsia="Arial" w:hAnsi="Arial"/>
          <w:sz w:val="20"/>
          <w:szCs w:val="20"/>
          <w:b w:val="1"/>
          <w:bCs w:val="1"/>
          <w:color w:val="auto"/>
          <w:vertAlign w:val="subscript"/>
        </w:rPr>
        <w:t>​</w:t>
      </w:r>
    </w:p>
    <w:p>
      <w:pPr>
        <w:spacing w:after="0" w:line="8"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5"/>
          <w:szCs w:val="15"/>
          <w:color w:val="auto"/>
        </w:rPr>
        <w:t>​ ​​$</w:t>
        <w:tab/>
        <w:t>130,000,000​</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 ​ 130,000,000​</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 ​ 130,000,000​</w:t>
      </w:r>
    </w:p>
    <w:p>
      <w:pPr>
        <w:spacing w:after="0" w:line="3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50,000,000​</w:t>
      </w:r>
    </w:p>
    <w:p>
      <w:pPr>
        <w:spacing w:after="0" w:line="3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50,000,000​</w:t>
      </w:r>
    </w:p>
    <w:p>
      <w:pPr>
        <w:spacing w:after="0" w:line="3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50,000,000​</w:t>
      </w:r>
    </w:p>
    <w:p>
      <w:pPr>
        <w:spacing w:after="0" w:line="3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50,000,000​</w:t>
      </w:r>
    </w:p>
    <w:p>
      <w:pPr>
        <w:spacing w:after="0" w:line="3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50,000,000​</w:t>
      </w:r>
    </w:p>
    <w:p>
      <w:pPr>
        <w:spacing w:after="0" w:line="3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50,000,000​</w:t>
      </w:r>
    </w:p>
    <w:p>
      <w:pPr>
        <w:spacing w:after="0" w:line="37"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25,000,000​</w:t>
      </w:r>
    </w:p>
    <w:p>
      <w:pPr>
        <w:spacing w:after="0" w:line="43"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25,000,000​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spacing w:after="0" w:line="48"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color w:val="auto"/>
        </w:rPr>
        <w:t>​ ​​ ​</w:t>
        <w:tab/>
        <w:t>20,000,000​</w:t>
      </w:r>
    </w:p>
    <w:p>
      <w:pPr>
        <w:ind w:left="40"/>
        <w:spacing w:after="0" w:line="197" w:lineRule="auto"/>
        <w:tabs>
          <w:tab w:leader="none" w:pos="460" w:val="left"/>
        </w:tabs>
        <w:rPr>
          <w:sz w:val="20"/>
          <w:szCs w:val="20"/>
          <w:color w:val="auto"/>
        </w:rPr>
      </w:pPr>
      <w:r>
        <w:rPr>
          <w:rFonts w:ascii="Arial" w:cs="Arial" w:eastAsia="Arial" w:hAnsi="Arial"/>
          <w:sz w:val="29"/>
          <w:szCs w:val="29"/>
          <w:color w:val="auto"/>
          <w:vertAlign w:val="subscript"/>
        </w:rPr>
        <w:t>​ ​</w:t>
      </w:r>
      <w:r>
        <w:rPr>
          <w:rFonts w:ascii="Arial" w:cs="Arial" w:eastAsia="Arial" w:hAnsi="Arial"/>
          <w:sz w:val="29"/>
          <w:szCs w:val="29"/>
          <w:u w:val="single" w:color="auto"/>
          <w:color w:val="auto"/>
          <w:vertAlign w:val="subscript"/>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w:t>
      </w:r>
      <w:r>
        <w:rPr>
          <w:sz w:val="20"/>
          <w:szCs w:val="20"/>
          <w:color w:val="auto"/>
        </w:rPr>
        <w:tab/>
      </w:r>
      <w:r>
        <w:rPr>
          <w:rFonts w:ascii="Arial" w:cs="Arial" w:eastAsia="Arial" w:hAnsi="Arial"/>
          <w:sz w:val="15"/>
          <w:szCs w:val="15"/>
          <w:u w:val="single" w:color="auto"/>
          <w:color w:val="auto"/>
        </w:rPr>
        <w:t>20,000,000</w:t>
      </w:r>
      <w:r>
        <w:rPr>
          <w:rFonts w:ascii="Arial" w:cs="Arial" w:eastAsia="Arial" w:hAnsi="Arial"/>
          <w:sz w:val="29"/>
          <w:szCs w:val="29"/>
          <w:color w:val="auto"/>
          <w:vertAlign w:val="subscript"/>
        </w:rPr>
        <w:t>​</w:t>
      </w:r>
    </w:p>
    <w:p>
      <w:pPr>
        <w:ind w:left="40"/>
        <w:spacing w:after="0" w:line="191" w:lineRule="auto"/>
        <w:rPr>
          <w:sz w:val="20"/>
          <w:szCs w:val="20"/>
          <w:color w:val="auto"/>
        </w:rPr>
      </w:pPr>
      <w:r>
        <w:rPr>
          <w:rFonts w:ascii="Arial" w:cs="Arial" w:eastAsia="Arial" w:hAnsi="Arial"/>
          <w:sz w:val="29"/>
          <w:szCs w:val="29"/>
          <w:color w:val="auto"/>
          <w:vertAlign w:val="subscript"/>
        </w:rPr>
        <w:t>​ ​</w:t>
      </w:r>
      <w:r>
        <w:rPr>
          <w:rFonts w:ascii="Arial" w:cs="Arial" w:eastAsia="Arial" w:hAnsi="Arial"/>
          <w:sz w:val="29"/>
          <w:szCs w:val="29"/>
          <w:u w:val="single" w:color="auto"/>
          <w:color w:val="auto"/>
          <w:vertAlign w:val="subscript"/>
        </w:rPr>
        <w:t>​</w:t>
      </w:r>
      <w:r>
        <w:rPr>
          <w:rFonts w:ascii="Arial" w:cs="Arial" w:eastAsia="Arial" w:hAnsi="Arial"/>
          <w:sz w:val="15"/>
          <w:szCs w:val="15"/>
          <w:u w:val="single" w:color="auto"/>
          <w:color w:val="auto"/>
        </w:rPr>
        <w:t>$1,000,000,000</w:t>
      </w:r>
      <w:r>
        <w:rPr>
          <w:rFonts w:ascii="Arial" w:cs="Arial" w:eastAsia="Arial" w:hAnsi="Arial"/>
          <w:sz w:val="29"/>
          <w:szCs w:val="2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-6985</wp:posOffset>
            </wp:positionV>
            <wp:extent cx="6591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9130" cy="698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5920" w:space="720"/>
            <w:col w:w="2379"/>
          </w:cols>
          <w:pgMar w:left="1440" w:top="98" w:right="1440" w:bottom="1440" w:gutter="0" w:footer="0" w:header="0"/>
          <w:type w:val="continuous"/>
        </w:sectPr>
      </w:pPr>
    </w:p>
    <w:p>
      <w:pPr>
        <w:ind w:left="1140" w:right="1219"/>
        <w:spacing w:after="0" w:line="260" w:lineRule="auto"/>
        <w:rPr>
          <w:sz w:val="20"/>
          <w:szCs w:val="20"/>
          <w:color w:val="auto"/>
        </w:rPr>
      </w:pPr>
      <w:r>
        <w:rPr>
          <w:rFonts w:ascii="Arial" w:cs="Arial" w:eastAsia="Arial" w:hAnsi="Arial"/>
          <w:sz w:val="15"/>
          <w:szCs w:val="15"/>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05" w:lineRule="exact"/>
        <w:rPr>
          <w:sz w:val="20"/>
          <w:szCs w:val="20"/>
          <w:color w:val="auto"/>
        </w:rPr>
      </w:pPr>
    </w:p>
    <w:p>
      <w:pPr>
        <w:jc w:val="both"/>
        <w:ind w:left="1140" w:right="1319"/>
        <w:spacing w:after="0" w:line="267" w:lineRule="auto"/>
        <w:rPr>
          <w:sz w:val="20"/>
          <w:szCs w:val="20"/>
          <w:color w:val="auto"/>
        </w:rPr>
      </w:pPr>
      <w:r>
        <w:rPr>
          <w:rFonts w:ascii="Arial" w:cs="Arial" w:eastAsia="Arial" w:hAnsi="Arial"/>
          <w:sz w:val="15"/>
          <w:szCs w:val="15"/>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43" w:name="page44"/>
    <w:bookmarkEnd w:id="4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Commissions and Discounts</w:t>
      </w:r>
    </w:p>
    <w:p>
      <w:pPr>
        <w:spacing w:after="0" w:line="133"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The underwriters propose to offer the notes directly to the public at the public offering prices set forth on the cover page of this prospectus supplement and some of the notes to dealers at the public offering price less a concession not to exceed 0.20% of the principal amount of the notes. The underwriters may allow, and any such dealer may reallow, a concession not to exceed 0.10% of the principal amount of the notes. After the initial offering of the notes to the public, the representatives may change the public offering price and other selling terms.</w:t>
      </w:r>
    </w:p>
    <w:p>
      <w:pPr>
        <w:spacing w:after="0" w:line="95" w:lineRule="exact"/>
        <w:rPr>
          <w:sz w:val="20"/>
          <w:szCs w:val="20"/>
          <w:color w:val="auto"/>
        </w:rPr>
      </w:pPr>
    </w:p>
    <w:p>
      <w:pPr>
        <w:ind w:left="1140" w:right="1439"/>
        <w:spacing w:after="0" w:line="252" w:lineRule="auto"/>
        <w:rPr>
          <w:sz w:val="20"/>
          <w:szCs w:val="20"/>
          <w:color w:val="auto"/>
        </w:rPr>
      </w:pPr>
      <w:r>
        <w:rPr>
          <w:rFonts w:ascii="Arial" w:cs="Arial" w:eastAsia="Arial" w:hAnsi="Arial"/>
          <w:sz w:val="15"/>
          <w:szCs w:val="15"/>
          <w:color w:val="auto"/>
        </w:rPr>
        <w:t>The following table shows the underwriting discounts that we are to pay to the underwriters in connection with this offering (expressed as a percentage of the principal amount of the notes and in total).</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3580" w:type="dxa"/>
            <w:vAlign w:val="bottom"/>
            <w:gridSpan w:val="4"/>
          </w:tcPr>
          <w:p>
            <w:pPr>
              <w:jc w:val="center"/>
              <w:ind w:left="2654"/>
              <w:spacing w:after="0"/>
              <w:rPr>
                <w:sz w:val="20"/>
                <w:szCs w:val="20"/>
                <w:color w:val="auto"/>
              </w:rPr>
            </w:pPr>
            <w:r>
              <w:rPr>
                <w:rFonts w:ascii="Arial" w:cs="Arial" w:eastAsia="Arial" w:hAnsi="Arial"/>
                <w:sz w:val="12"/>
                <w:szCs w:val="12"/>
                <w:b w:val="1"/>
                <w:bCs w:val="1"/>
                <w:color w:val="auto"/>
                <w:w w:val="96"/>
              </w:rPr>
              <w:t>Paid by Micron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4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3"/>
              </w:rPr>
              <w:t>Technology,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120" w:type="dxa"/>
            <w:vAlign w:val="bottom"/>
          </w:tcPr>
          <w:p>
            <w:pPr>
              <w:spacing w:after="0"/>
              <w:rPr>
                <w:sz w:val="20"/>
                <w:szCs w:val="20"/>
                <w:color w:val="auto"/>
              </w:rPr>
            </w:pPr>
            <w:r>
              <w:rPr>
                <w:rFonts w:ascii="Arial" w:cs="Arial" w:eastAsia="Arial" w:hAnsi="Arial"/>
                <w:sz w:val="12"/>
                <w:szCs w:val="12"/>
                <w:b w:val="1"/>
                <w:bCs w:val="1"/>
                <w:color w:val="auto"/>
              </w:rPr>
              <w:t>​</w:t>
            </w:r>
          </w:p>
        </w:tc>
        <w:tc>
          <w:tcPr>
            <w:tcW w:w="2740" w:type="dxa"/>
            <w:vAlign w:val="bottom"/>
          </w:tcPr>
          <w:p>
            <w:pPr>
              <w:ind w:left="2560"/>
              <w:spacing w:after="0"/>
              <w:rPr>
                <w:sz w:val="20"/>
                <w:szCs w:val="20"/>
                <w:color w:val="auto"/>
              </w:rPr>
            </w:pPr>
            <w:r>
              <w:rPr>
                <w:rFonts w:ascii="Arial" w:cs="Arial" w:eastAsia="Arial" w:hAnsi="Arial"/>
                <w:sz w:val="12"/>
                <w:szCs w:val="12"/>
                <w:b w:val="1"/>
                <w:bCs w:val="1"/>
                <w:color w:val="auto"/>
              </w:rPr>
              <w:t>​ ​</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4"/>
              <w:spacing w:after="0"/>
              <w:rPr>
                <w:sz w:val="20"/>
                <w:szCs w:val="20"/>
                <w:color w:val="auto"/>
              </w:rPr>
            </w:pPr>
            <w:r>
              <w:rPr>
                <w:rFonts w:ascii="Arial" w:cs="Arial" w:eastAsia="Arial" w:hAnsi="Arial"/>
                <w:sz w:val="12"/>
                <w:szCs w:val="12"/>
                <w:b w:val="1"/>
                <w:bCs w:val="1"/>
                <w:color w:val="auto"/>
                <w:w w:val="96"/>
              </w:rPr>
              <w:t>Inc.</w:t>
            </w:r>
          </w:p>
        </w:tc>
        <w:tc>
          <w:tcPr>
            <w:tcW w:w="20" w:type="dxa"/>
            <w:vAlign w:val="bottom"/>
            <w:tcBorders>
              <w:bottom w:val="single" w:sz="8" w:color="auto"/>
            </w:tcBorders>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7"/>
        </w:trPr>
        <w:tc>
          <w:tcPr>
            <w:tcW w:w="3120" w:type="dxa"/>
            <w:vAlign w:val="bottom"/>
          </w:tcPr>
          <w:p>
            <w:pPr>
              <w:ind w:left="20"/>
              <w:spacing w:after="0" w:line="156" w:lineRule="exact"/>
              <w:rPr>
                <w:sz w:val="20"/>
                <w:szCs w:val="20"/>
                <w:color w:val="auto"/>
              </w:rPr>
            </w:pPr>
            <w:r>
              <w:rPr>
                <w:rFonts w:ascii="Arial" w:cs="Arial" w:eastAsia="Arial" w:hAnsi="Arial"/>
                <w:sz w:val="15"/>
                <w:szCs w:val="15"/>
                <w:color w:val="auto"/>
              </w:rPr>
              <w:t>Per Note</w:t>
            </w:r>
          </w:p>
        </w:tc>
        <w:tc>
          <w:tcPr>
            <w:tcW w:w="2840" w:type="dxa"/>
            <w:vAlign w:val="bottom"/>
            <w:gridSpan w:val="2"/>
            <w:vMerge w:val="restart"/>
          </w:tcPr>
          <w:p>
            <w:pPr>
              <w:ind w:left="2600"/>
              <w:spacing w:after="0"/>
              <w:rPr>
                <w:sz w:val="20"/>
                <w:szCs w:val="20"/>
                <w:color w:val="auto"/>
              </w:rPr>
            </w:pPr>
            <w:r>
              <w:rPr>
                <w:rFonts w:ascii="Arial" w:cs="Arial" w:eastAsia="Arial" w:hAnsi="Arial"/>
                <w:sz w:val="15"/>
                <w:szCs w:val="15"/>
                <w:color w:val="auto"/>
              </w:rPr>
              <w:t>​ ​ ​</w:t>
            </w:r>
          </w:p>
        </w:tc>
        <w:tc>
          <w:tcPr>
            <w:tcW w:w="140" w:type="dxa"/>
            <w:vAlign w:val="bottom"/>
          </w:tcPr>
          <w:p>
            <w:pPr>
              <w:ind w:left="40"/>
              <w:spacing w:after="0" w:line="156"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0.350%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3120" w:type="dxa"/>
            <w:vAlign w:val="bottom"/>
          </w:tcPr>
          <w:p>
            <w:pPr>
              <w:spacing w:after="0"/>
              <w:rPr>
                <w:sz w:val="3"/>
                <w:szCs w:val="3"/>
                <w:color w:val="auto"/>
              </w:rPr>
            </w:pPr>
          </w:p>
        </w:tc>
        <w:tc>
          <w:tcPr>
            <w:tcW w:w="28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gridSpan w:val="2"/>
          </w:tcPr>
          <w:p>
            <w:pPr>
              <w:jc w:val="right"/>
              <w:spacing w:after="0" w:line="45" w:lineRule="exact"/>
              <w:rPr>
                <w:sz w:val="20"/>
                <w:szCs w:val="20"/>
                <w:color w:val="auto"/>
              </w:rPr>
            </w:pPr>
            <w:r>
              <w:rPr>
                <w:rFonts w:ascii="Arial" w:cs="Arial" w:eastAsia="Arial" w:hAnsi="Arial"/>
                <w:sz w:val="5"/>
                <w:szCs w:val="5"/>
                <w:b w:val="1"/>
                <w:bCs w:val="1"/>
                <w:color w:val="auto"/>
              </w:rPr>
              <w:t>​</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5"/>
                <w:szCs w:val="15"/>
                <w:color w:val="auto"/>
              </w:rPr>
              <w:t>Total</w:t>
            </w:r>
          </w:p>
        </w:tc>
        <w:tc>
          <w:tcPr>
            <w:tcW w:w="3660" w:type="dxa"/>
            <w:vAlign w:val="bottom"/>
            <w:gridSpan w:val="6"/>
          </w:tcPr>
          <w:p>
            <w:pPr>
              <w:jc w:val="right"/>
              <w:spacing w:after="0"/>
              <w:rPr>
                <w:sz w:val="20"/>
                <w:szCs w:val="20"/>
                <w:color w:val="auto"/>
              </w:rPr>
            </w:pPr>
            <w:r>
              <w:rPr>
                <w:rFonts w:ascii="Arial" w:cs="Arial" w:eastAsia="Arial" w:hAnsi="Arial"/>
                <w:sz w:val="15"/>
                <w:szCs w:val="15"/>
                <w:color w:val="auto"/>
              </w:rPr>
              <w:t xml:space="preserve">​ ​ ​$3,500,000 </w:t>
            </w: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-287655</wp:posOffset>
            </wp:positionV>
            <wp:extent cx="4262120" cy="140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30" w:lineRule="exact"/>
        <w:rPr>
          <w:sz w:val="20"/>
          <w:szCs w:val="20"/>
          <w:color w:val="auto"/>
        </w:rPr>
      </w:pPr>
    </w:p>
    <w:p>
      <w:pPr>
        <w:ind w:left="1140" w:right="1299"/>
        <w:spacing w:after="0" w:line="252" w:lineRule="auto"/>
        <w:rPr>
          <w:sz w:val="20"/>
          <w:szCs w:val="20"/>
          <w:color w:val="auto"/>
        </w:rPr>
      </w:pPr>
      <w:r>
        <w:rPr>
          <w:rFonts w:ascii="Arial" w:cs="Arial" w:eastAsia="Arial" w:hAnsi="Arial"/>
          <w:sz w:val="15"/>
          <w:szCs w:val="15"/>
          <w:color w:val="auto"/>
        </w:rPr>
        <w:t>We estimate that our total expenses for this offering, other than underwriting discounts, will be approximately $3 million. The underwriters have agreed to reimburse us for certain expenses incurred in connection with this offering.</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New Issue of Notes</w:t>
      </w:r>
    </w:p>
    <w:p>
      <w:pPr>
        <w:spacing w:after="0" w:line="122"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Price Stabilization and Short Positions</w:t>
      </w:r>
    </w:p>
    <w:p>
      <w:pPr>
        <w:spacing w:after="0" w:line="122" w:lineRule="exact"/>
        <w:rPr>
          <w:sz w:val="20"/>
          <w:szCs w:val="20"/>
          <w:color w:val="auto"/>
        </w:rPr>
      </w:pPr>
    </w:p>
    <w:p>
      <w:pPr>
        <w:ind w:left="1140" w:right="1219"/>
        <w:spacing w:after="0" w:line="260" w:lineRule="auto"/>
        <w:rPr>
          <w:sz w:val="20"/>
          <w:szCs w:val="20"/>
          <w:color w:val="auto"/>
        </w:rPr>
      </w:pPr>
      <w:r>
        <w:rPr>
          <w:rFonts w:ascii="Arial" w:cs="Arial" w:eastAsia="Arial" w:hAnsi="Arial"/>
          <w:sz w:val="14"/>
          <w:szCs w:val="14"/>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82" w:lineRule="exact"/>
        <w:rPr>
          <w:sz w:val="20"/>
          <w:szCs w:val="20"/>
          <w:color w:val="auto"/>
        </w:rPr>
      </w:pPr>
    </w:p>
    <w:p>
      <w:pPr>
        <w:jc w:val="both"/>
        <w:ind w:left="1140" w:right="1239"/>
        <w:spacing w:after="0" w:line="245" w:lineRule="auto"/>
        <w:rPr>
          <w:sz w:val="20"/>
          <w:szCs w:val="20"/>
          <w:color w:val="auto"/>
        </w:rPr>
      </w:pPr>
      <w:r>
        <w:rPr>
          <w:rFonts w:ascii="Arial" w:cs="Arial" w:eastAsia="Arial" w:hAnsi="Arial"/>
          <w:sz w:val="15"/>
          <w:szCs w:val="15"/>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91" w:lineRule="exact"/>
        <w:rPr>
          <w:sz w:val="20"/>
          <w:szCs w:val="20"/>
          <w:color w:val="auto"/>
        </w:rPr>
      </w:pPr>
    </w:p>
    <w:p>
      <w:pPr>
        <w:ind w:left="1140" w:right="1359"/>
        <w:spacing w:after="0" w:line="245" w:lineRule="auto"/>
        <w:rPr>
          <w:sz w:val="20"/>
          <w:szCs w:val="20"/>
          <w:color w:val="auto"/>
        </w:rPr>
      </w:pPr>
      <w:r>
        <w:rPr>
          <w:rFonts w:ascii="Arial" w:cs="Arial" w:eastAsia="Arial" w:hAnsi="Arial"/>
          <w:sz w:val="15"/>
          <w:szCs w:val="15"/>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3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 Sales of Similar Securities</w:t>
      </w:r>
    </w:p>
    <w:p>
      <w:pPr>
        <w:spacing w:after="0" w:line="122" w:lineRule="exact"/>
        <w:rPr>
          <w:sz w:val="20"/>
          <w:szCs w:val="20"/>
          <w:color w:val="auto"/>
        </w:rPr>
      </w:pPr>
    </w:p>
    <w:p>
      <w:pPr>
        <w:ind w:left="1140" w:right="1159"/>
        <w:spacing w:after="0" w:line="259" w:lineRule="auto"/>
        <w:rPr>
          <w:sz w:val="20"/>
          <w:szCs w:val="20"/>
          <w:color w:val="auto"/>
        </w:rPr>
      </w:pPr>
      <w:r>
        <w:rPr>
          <w:rFonts w:ascii="Arial" w:cs="Arial" w:eastAsia="Arial" w:hAnsi="Arial"/>
          <w:sz w:val="15"/>
          <w:szCs w:val="15"/>
          <w:color w:val="auto"/>
        </w:rPr>
        <w:t>We have agreed that we will not, until the closing date, without first obtaining the prior written consent of the representatives, offer, sell, contract to sell or otherwise dispose of any debt securities of the</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4" w:name="page45"/>
    <w:bookmarkEnd w:id="4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539"/>
        <w:spacing w:after="0" w:line="274" w:lineRule="auto"/>
        <w:rPr>
          <w:sz w:val="20"/>
          <w:szCs w:val="20"/>
          <w:color w:val="auto"/>
        </w:rPr>
      </w:pPr>
      <w:r>
        <w:rPr>
          <w:rFonts w:ascii="Arial" w:cs="Arial" w:eastAsia="Arial" w:hAnsi="Arial"/>
          <w:sz w:val="15"/>
          <w:szCs w:val="15"/>
          <w:color w:val="auto"/>
        </w:rPr>
        <w:t>Company or warrants to purchase debt securities of the Company, except for the notes sold to the underwriters pursuant to the underwriting agreement.</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Other Relationships</w:t>
      </w:r>
    </w:p>
    <w:p>
      <w:pPr>
        <w:spacing w:after="0" w:line="133" w:lineRule="exact"/>
        <w:rPr>
          <w:sz w:val="20"/>
          <w:szCs w:val="20"/>
          <w:color w:val="auto"/>
        </w:rPr>
      </w:pPr>
    </w:p>
    <w:p>
      <w:pPr>
        <w:ind w:left="1140" w:right="1239"/>
        <w:spacing w:after="0" w:line="255" w:lineRule="auto"/>
        <w:rPr>
          <w:sz w:val="20"/>
          <w:szCs w:val="20"/>
          <w:color w:val="auto"/>
        </w:rPr>
      </w:pPr>
      <w:r>
        <w:rPr>
          <w:rFonts w:ascii="Arial" w:cs="Arial" w:eastAsia="Arial" w:hAnsi="Arial"/>
          <w:sz w:val="15"/>
          <w:szCs w:val="15"/>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84" w:lineRule="exact"/>
        <w:rPr>
          <w:sz w:val="20"/>
          <w:szCs w:val="20"/>
          <w:color w:val="auto"/>
        </w:rPr>
      </w:pPr>
    </w:p>
    <w:p>
      <w:pPr>
        <w:ind w:left="1140" w:right="1219"/>
        <w:spacing w:after="0" w:line="267" w:lineRule="auto"/>
        <w:rPr>
          <w:sz w:val="20"/>
          <w:szCs w:val="20"/>
          <w:color w:val="auto"/>
        </w:rPr>
      </w:pPr>
      <w:r>
        <w:rPr>
          <w:rFonts w:ascii="Arial" w:cs="Arial" w:eastAsia="Arial" w:hAnsi="Arial"/>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87" w:lineRule="exact"/>
        <w:rPr>
          <w:sz w:val="20"/>
          <w:szCs w:val="20"/>
          <w:color w:val="auto"/>
        </w:rPr>
      </w:pPr>
    </w:p>
    <w:p>
      <w:pPr>
        <w:jc w:val="both"/>
        <w:ind w:left="1140" w:right="1159"/>
        <w:spacing w:after="0" w:line="270" w:lineRule="auto"/>
        <w:rPr>
          <w:sz w:val="20"/>
          <w:szCs w:val="20"/>
          <w:color w:val="auto"/>
        </w:rPr>
      </w:pPr>
      <w:r>
        <w:rPr>
          <w:rFonts w:ascii="Arial" w:cs="Arial" w:eastAsia="Arial" w:hAnsi="Arial"/>
          <w:sz w:val="14"/>
          <w:szCs w:val="14"/>
          <w:color w:val="auto"/>
        </w:rPr>
        <w:t>Affiliates of certain underwriters will receive at least 5% of the net proceeds of this offering in connection with the repayment of the outstanding borrowings under our 2024 Term Loan A. See “Use of Proceeds.” Accordingly, this offering is being made in compliance with the requirements of Rule 5121 of FINRA.</w:t>
      </w:r>
    </w:p>
    <w:p>
      <w:pPr>
        <w:spacing w:after="0" w:line="1"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color w:val="auto"/>
        </w:rPr>
        <w:t>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w:t>
      </w:r>
    </w:p>
    <w:p>
      <w:pPr>
        <w:spacing w:after="0" w:line="101" w:lineRule="exact"/>
        <w:rPr>
          <w:sz w:val="20"/>
          <w:szCs w:val="20"/>
          <w:color w:val="auto"/>
        </w:rPr>
      </w:pPr>
    </w:p>
    <w:p>
      <w:pPr>
        <w:ind w:left="1140" w:right="1459"/>
        <w:spacing w:after="0" w:line="274" w:lineRule="auto"/>
        <w:rPr>
          <w:sz w:val="20"/>
          <w:szCs w:val="20"/>
          <w:color w:val="auto"/>
        </w:rPr>
      </w:pPr>
      <w:r>
        <w:rPr>
          <w:rFonts w:ascii="Arial" w:cs="Arial" w:eastAsia="Arial" w:hAnsi="Arial"/>
          <w:sz w:val="15"/>
          <w:szCs w:val="15"/>
          <w:color w:val="auto"/>
        </w:rPr>
        <w:t>U.S. Bancorp Investments, Inc., one of the underwriters, is an affiliate of the Trustee, Registrar, and Paying Agent.</w:t>
      </w:r>
    </w:p>
    <w:p>
      <w:pPr>
        <w:spacing w:after="0" w:line="70" w:lineRule="exact"/>
        <w:rPr>
          <w:sz w:val="20"/>
          <w:szCs w:val="20"/>
          <w:color w:val="auto"/>
        </w:rPr>
      </w:pPr>
    </w:p>
    <w:p>
      <w:pPr>
        <w:ind w:left="1140" w:right="1199"/>
        <w:spacing w:after="0" w:line="272" w:lineRule="auto"/>
        <w:rPr>
          <w:sz w:val="20"/>
          <w:szCs w:val="20"/>
          <w:color w:val="auto"/>
        </w:rPr>
      </w:pPr>
      <w:r>
        <w:rPr>
          <w:rFonts w:ascii="Arial" w:cs="Arial" w:eastAsia="Arial" w:hAnsi="Arial"/>
          <w:sz w:val="14"/>
          <w:szCs w:val="14"/>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Canada</w:t>
      </w:r>
    </w:p>
    <w:p>
      <w:pPr>
        <w:spacing w:after="0" w:line="133" w:lineRule="exact"/>
        <w:rPr>
          <w:sz w:val="20"/>
          <w:szCs w:val="20"/>
          <w:color w:val="auto"/>
        </w:rPr>
      </w:pPr>
    </w:p>
    <w:p>
      <w:pPr>
        <w:ind w:left="1140" w:right="1179"/>
        <w:spacing w:after="0" w:line="251" w:lineRule="auto"/>
        <w:rPr>
          <w:sz w:val="20"/>
          <w:szCs w:val="20"/>
          <w:color w:val="auto"/>
        </w:rPr>
      </w:pPr>
      <w:r>
        <w:rPr>
          <w:rFonts w:ascii="Arial" w:cs="Arial" w:eastAsia="Arial" w:hAnsi="Arial"/>
          <w:sz w:val="15"/>
          <w:szCs w:val="15"/>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88" w:lineRule="exact"/>
        <w:rPr>
          <w:sz w:val="20"/>
          <w:szCs w:val="20"/>
          <w:color w:val="auto"/>
        </w:rPr>
      </w:pPr>
    </w:p>
    <w:p>
      <w:pPr>
        <w:ind w:left="1140" w:right="1259"/>
        <w:spacing w:after="0" w:line="251"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5" w:name="page46"/>
    <w:bookmarkEnd w:id="4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599"/>
        <w:spacing w:after="0" w:line="274" w:lineRule="auto"/>
        <w:rPr>
          <w:sz w:val="20"/>
          <w:szCs w:val="20"/>
          <w:color w:val="auto"/>
        </w:rPr>
      </w:pPr>
      <w:r>
        <w:rPr>
          <w:rFonts w:ascii="Arial" w:cs="Arial" w:eastAsia="Arial" w:hAnsi="Arial"/>
          <w:sz w:val="15"/>
          <w:szCs w:val="15"/>
          <w:color w:val="auto"/>
        </w:rPr>
        <w:t>of the securities legislation of the purchaser’s province or territory for particulars of these rights or consult with a legal advisor.</w:t>
      </w:r>
    </w:p>
    <w:p>
      <w:pPr>
        <w:spacing w:after="0" w:line="70" w:lineRule="exact"/>
        <w:rPr>
          <w:sz w:val="20"/>
          <w:szCs w:val="20"/>
          <w:color w:val="auto"/>
        </w:rPr>
      </w:pPr>
    </w:p>
    <w:p>
      <w:pPr>
        <w:ind w:left="1140" w:right="1679"/>
        <w:spacing w:after="0" w:line="244"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Prohibition of Sales to EEA Retail Investors</w:t>
      </w:r>
    </w:p>
    <w:p>
      <w:pPr>
        <w:spacing w:after="0" w:line="122" w:lineRule="exact"/>
        <w:rPr>
          <w:sz w:val="20"/>
          <w:szCs w:val="20"/>
          <w:color w:val="auto"/>
        </w:rPr>
      </w:pPr>
    </w:p>
    <w:p>
      <w:pPr>
        <w:ind w:left="1140" w:right="1199"/>
        <w:spacing w:after="0" w:line="255" w:lineRule="auto"/>
        <w:rPr>
          <w:sz w:val="20"/>
          <w:szCs w:val="20"/>
          <w:color w:val="auto"/>
        </w:rPr>
      </w:pPr>
      <w:r>
        <w:rPr>
          <w:rFonts w:ascii="Arial" w:cs="Arial" w:eastAsia="Arial" w:hAnsi="Arial"/>
          <w:sz w:val="14"/>
          <w:szCs w:val="14"/>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89" w:lineRule="exact"/>
        <w:rPr>
          <w:sz w:val="20"/>
          <w:szCs w:val="20"/>
          <w:color w:val="auto"/>
        </w:rPr>
      </w:pPr>
    </w:p>
    <w:p>
      <w:pPr>
        <w:ind w:left="1140" w:right="1399"/>
        <w:spacing w:after="0" w:line="259" w:lineRule="auto"/>
        <w:rPr>
          <w:sz w:val="20"/>
          <w:szCs w:val="20"/>
          <w:color w:val="auto"/>
        </w:rPr>
      </w:pPr>
      <w:r>
        <w:rPr>
          <w:rFonts w:ascii="Arial" w:cs="Arial" w:eastAsia="Arial" w:hAnsi="Arial"/>
          <w:sz w:val="15"/>
          <w:szCs w:val="15"/>
          <w:color w:val="auto"/>
        </w:rPr>
        <w:t>This European Economic Area selling restriction is in addition to any other selling restrictions set out below.</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Prohibition of Sales to UK Retail Investors</w:t>
      </w:r>
    </w:p>
    <w:p>
      <w:pPr>
        <w:spacing w:after="0" w:line="133" w:lineRule="exact"/>
        <w:rPr>
          <w:sz w:val="20"/>
          <w:szCs w:val="20"/>
          <w:color w:val="auto"/>
        </w:rPr>
      </w:pPr>
    </w:p>
    <w:p>
      <w:pPr>
        <w:ind w:left="1140" w:right="1159"/>
        <w:spacing w:after="0" w:line="254" w:lineRule="auto"/>
        <w:rPr>
          <w:sz w:val="20"/>
          <w:szCs w:val="20"/>
          <w:color w:val="auto"/>
        </w:rPr>
      </w:pPr>
      <w:r>
        <w:rPr>
          <w:rFonts w:ascii="Arial" w:cs="Arial" w:eastAsia="Arial" w:hAnsi="Arial"/>
          <w:sz w:val="14"/>
          <w:szCs w:val="14"/>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Hong Kong</w:t>
      </w:r>
    </w:p>
    <w:p>
      <w:pPr>
        <w:spacing w:after="0" w:line="122" w:lineRule="exact"/>
        <w:rPr>
          <w:sz w:val="20"/>
          <w:szCs w:val="20"/>
          <w:color w:val="auto"/>
        </w:rPr>
      </w:pPr>
    </w:p>
    <w:p>
      <w:pPr>
        <w:ind w:left="1140" w:right="1359"/>
        <w:spacing w:after="0" w:line="242" w:lineRule="auto"/>
        <w:rPr>
          <w:sz w:val="20"/>
          <w:szCs w:val="20"/>
          <w:color w:val="auto"/>
        </w:rPr>
      </w:pPr>
      <w:r>
        <w:rPr>
          <w:rFonts w:ascii="Arial" w:cs="Arial" w:eastAsia="Arial" w:hAnsi="Arial"/>
          <w:sz w:val="15"/>
          <w:szCs w:val="15"/>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6" w:name="page47"/>
    <w:bookmarkEnd w:id="4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72" w:lineRule="auto"/>
        <w:rPr>
          <w:sz w:val="20"/>
          <w:szCs w:val="20"/>
          <w:color w:val="auto"/>
        </w:rPr>
      </w:pPr>
      <w:r>
        <w:rPr>
          <w:rFonts w:ascii="Arial" w:cs="Arial" w:eastAsia="Arial" w:hAnsi="Arial"/>
          <w:sz w:val="14"/>
          <w:szCs w:val="14"/>
          <w:color w:val="auto"/>
        </w:rPr>
        <w:t>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Japan</w:t>
      </w:r>
    </w:p>
    <w:p>
      <w:pPr>
        <w:spacing w:after="0" w:line="133"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94" w:lineRule="exact"/>
        <w:rPr>
          <w:sz w:val="20"/>
          <w:szCs w:val="20"/>
          <w:color w:val="auto"/>
        </w:rPr>
      </w:pPr>
    </w:p>
    <w:p>
      <w:pPr>
        <w:ind w:left="1140" w:right="1259"/>
        <w:spacing w:after="0" w:line="274" w:lineRule="auto"/>
        <w:rPr>
          <w:sz w:val="20"/>
          <w:szCs w:val="20"/>
          <w:color w:val="auto"/>
        </w:rPr>
      </w:pPr>
      <w:r>
        <w:rPr>
          <w:rFonts w:ascii="Arial" w:cs="Arial" w:eastAsia="Arial" w:hAnsi="Arial"/>
          <w:sz w:val="15"/>
          <w:szCs w:val="15"/>
          <w:color w:val="auto"/>
        </w:rPr>
        <w:t>Any investor desiring to acquire the notes must be aware that the notes may not be Transferred to any other person unless such person is a QII.</w:t>
      </w:r>
    </w:p>
    <w:p>
      <w:pPr>
        <w:spacing w:after="0" w:line="8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 this section:</w:t>
      </w:r>
    </w:p>
    <w:p>
      <w:pPr>
        <w:spacing w:after="0" w:line="126" w:lineRule="exact"/>
        <w:rPr>
          <w:sz w:val="20"/>
          <w:szCs w:val="20"/>
          <w:color w:val="auto"/>
        </w:rPr>
      </w:pPr>
    </w:p>
    <w:p>
      <w:pPr>
        <w:ind w:left="1140" w:right="1179"/>
        <w:spacing w:after="0" w:line="260" w:lineRule="auto"/>
        <w:rPr>
          <w:sz w:val="20"/>
          <w:szCs w:val="20"/>
          <w:color w:val="auto"/>
        </w:rPr>
      </w:pPr>
      <w:r>
        <w:rPr>
          <w:rFonts w:ascii="Arial" w:cs="Arial" w:eastAsia="Arial" w:hAnsi="Arial"/>
          <w:sz w:val="15"/>
          <w:szCs w:val="15"/>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80" w:lineRule="exact"/>
        <w:rPr>
          <w:sz w:val="20"/>
          <w:szCs w:val="20"/>
          <w:color w:val="auto"/>
        </w:rPr>
      </w:pPr>
    </w:p>
    <w:p>
      <w:pPr>
        <w:jc w:val="both"/>
        <w:ind w:left="1140" w:right="1179"/>
        <w:spacing w:after="0" w:line="260" w:lineRule="auto"/>
        <w:rPr>
          <w:sz w:val="20"/>
          <w:szCs w:val="20"/>
          <w:color w:val="auto"/>
        </w:rPr>
      </w:pPr>
      <w:r>
        <w:rPr>
          <w:rFonts w:ascii="Arial" w:cs="Arial" w:eastAsia="Arial" w:hAnsi="Arial"/>
          <w:sz w:val="15"/>
          <w:szCs w:val="15"/>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91" w:lineRule="exact"/>
        <w:rPr>
          <w:sz w:val="20"/>
          <w:szCs w:val="20"/>
          <w:color w:val="auto"/>
        </w:rPr>
      </w:pPr>
    </w:p>
    <w:p>
      <w:pPr>
        <w:ind w:left="1140" w:right="1559"/>
        <w:spacing w:after="0" w:line="274" w:lineRule="auto"/>
        <w:rPr>
          <w:sz w:val="20"/>
          <w:szCs w:val="20"/>
          <w:color w:val="auto"/>
        </w:rPr>
      </w:pPr>
      <w:r>
        <w:rPr>
          <w:rFonts w:ascii="Arial" w:cs="Arial" w:eastAsia="Arial" w:hAnsi="Arial"/>
          <w:sz w:val="15"/>
          <w:szCs w:val="15"/>
          <w:color w:val="auto"/>
        </w:rPr>
        <w:t>“Resident of Japan” means any person resident in Japan, including any corporation or other entity organized under the laws of Japan.</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Singapore</w:t>
      </w:r>
    </w:p>
    <w:p>
      <w:pPr>
        <w:spacing w:after="0" w:line="122" w:lineRule="exact"/>
        <w:rPr>
          <w:sz w:val="20"/>
          <w:szCs w:val="20"/>
          <w:color w:val="auto"/>
        </w:rPr>
      </w:pPr>
    </w:p>
    <w:p>
      <w:pPr>
        <w:ind w:left="1140" w:right="1419"/>
        <w:spacing w:after="0" w:line="275" w:lineRule="auto"/>
        <w:rPr>
          <w:sz w:val="20"/>
          <w:szCs w:val="20"/>
          <w:color w:val="auto"/>
        </w:rPr>
      </w:pPr>
      <w:r>
        <w:rPr>
          <w:rFonts w:ascii="Arial" w:cs="Arial" w:eastAsia="Arial" w:hAnsi="Arial"/>
          <w:sz w:val="14"/>
          <w:szCs w:val="14"/>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82" w:lineRule="exact"/>
        <w:rPr>
          <w:sz w:val="20"/>
          <w:szCs w:val="20"/>
          <w:color w:val="auto"/>
        </w:rPr>
      </w:pPr>
    </w:p>
    <w:p>
      <w:pPr>
        <w:ind w:left="1740" w:right="1319" w:hanging="298"/>
        <w:spacing w:after="0" w:line="260" w:lineRule="auto"/>
        <w:tabs>
          <w:tab w:leader="none" w:pos="17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to an institutional investor (as defined in Section 4A of the Securities and Futures Act (Chapter 289) of Singapore, as modified or amended from time to time (the “SFA”)) pursuant to Section 274 of the SFA;</w:t>
      </w:r>
    </w:p>
    <w:p>
      <w:pPr>
        <w:spacing w:after="0" w:line="90" w:lineRule="exact"/>
        <w:rPr>
          <w:rFonts w:ascii="Arial" w:cs="Arial" w:eastAsia="Arial" w:hAnsi="Arial"/>
          <w:sz w:val="15"/>
          <w:szCs w:val="15"/>
          <w:color w:val="auto"/>
        </w:rPr>
      </w:pPr>
    </w:p>
    <w:p>
      <w:pPr>
        <w:jc w:val="both"/>
        <w:ind w:left="1740" w:right="1379" w:hanging="298"/>
        <w:spacing w:after="0" w:line="260" w:lineRule="auto"/>
        <w:tabs>
          <w:tab w:leader="none" w:pos="17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79" w:lineRule="exact"/>
        <w:rPr>
          <w:rFonts w:ascii="Arial" w:cs="Arial" w:eastAsia="Arial" w:hAnsi="Arial"/>
          <w:sz w:val="15"/>
          <w:szCs w:val="15"/>
          <w:color w:val="auto"/>
        </w:rPr>
      </w:pPr>
    </w:p>
    <w:p>
      <w:pPr>
        <w:ind w:left="1740" w:right="1179" w:hanging="298"/>
        <w:spacing w:after="0" w:line="274" w:lineRule="auto"/>
        <w:tabs>
          <w:tab w:leader="none" w:pos="17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otherwise pursuant to, and in accordance with the conditions of, any other applicable provision of the SFA.</w:t>
      </w:r>
    </w:p>
    <w:p>
      <w:pPr>
        <w:spacing w:after="0" w:line="81" w:lineRule="exact"/>
        <w:rPr>
          <w:sz w:val="20"/>
          <w:szCs w:val="20"/>
          <w:color w:val="auto"/>
        </w:rPr>
      </w:pPr>
    </w:p>
    <w:p>
      <w:pPr>
        <w:ind w:left="1140" w:right="1159"/>
        <w:spacing w:after="0" w:line="274" w:lineRule="auto"/>
        <w:rPr>
          <w:sz w:val="20"/>
          <w:szCs w:val="20"/>
          <w:color w:val="auto"/>
        </w:rPr>
      </w:pPr>
      <w:r>
        <w:rPr>
          <w:rFonts w:ascii="Arial" w:cs="Arial" w:eastAsia="Arial" w:hAnsi="Arial"/>
          <w:sz w:val="15"/>
          <w:szCs w:val="15"/>
          <w:color w:val="auto"/>
        </w:rPr>
        <w:t>Where the notes are subscribed or purchased under Section 275 of the SFA by a relevant person which is:</w:t>
      </w:r>
    </w:p>
    <w:p>
      <w:pPr>
        <w:spacing w:after="0" w:line="81" w:lineRule="exact"/>
        <w:rPr>
          <w:sz w:val="20"/>
          <w:szCs w:val="20"/>
          <w:color w:val="auto"/>
        </w:rPr>
      </w:pPr>
    </w:p>
    <w:p>
      <w:pPr>
        <w:ind w:left="4320" w:right="1379" w:hanging="2878"/>
        <w:spacing w:after="0" w:line="720" w:lineRule="auto"/>
        <w:tabs>
          <w:tab w:leader="none" w:pos="1728"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-29210</wp:posOffset>
            </wp:positionV>
            <wp:extent cx="558419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7" w:name="page48"/>
    <w:bookmarkEnd w:id="4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740" w:right="1179"/>
        <w:spacing w:after="0" w:line="274" w:lineRule="auto"/>
        <w:rPr>
          <w:sz w:val="20"/>
          <w:szCs w:val="20"/>
          <w:color w:val="auto"/>
        </w:rPr>
      </w:pPr>
      <w:r>
        <w:rPr>
          <w:rFonts w:ascii="Arial" w:cs="Arial" w:eastAsia="Arial" w:hAnsi="Arial"/>
          <w:sz w:val="15"/>
          <w:szCs w:val="15"/>
          <w:color w:val="auto"/>
        </w:rPr>
        <w:t>sole business of which is to hold investments and the entire share capital of which is owned by one or more individuals, each of whom is an accredited investor; or</w:t>
      </w:r>
    </w:p>
    <w:p>
      <w:pPr>
        <w:spacing w:after="0" w:line="81" w:lineRule="exact"/>
        <w:rPr>
          <w:sz w:val="20"/>
          <w:szCs w:val="20"/>
          <w:color w:val="auto"/>
        </w:rPr>
      </w:pPr>
    </w:p>
    <w:p>
      <w:pPr>
        <w:ind w:left="1740" w:right="1419" w:hanging="298"/>
        <w:spacing w:after="0" w:line="311" w:lineRule="auto"/>
        <w:tabs>
          <w:tab w:leader="none" w:pos="1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w:t>
      </w:r>
    </w:p>
    <w:p>
      <w:pPr>
        <w:spacing w:after="0" w:line="57" w:lineRule="exact"/>
        <w:rPr>
          <w:rFonts w:ascii="Arial" w:cs="Arial" w:eastAsia="Arial" w:hAnsi="Arial"/>
          <w:sz w:val="14"/>
          <w:szCs w:val="14"/>
          <w:color w:val="auto"/>
        </w:rPr>
      </w:pPr>
    </w:p>
    <w:p>
      <w:pPr>
        <w:ind w:left="1740" w:right="1159" w:hanging="298"/>
        <w:spacing w:after="0" w:line="255" w:lineRule="auto"/>
        <w:tabs>
          <w:tab w:leader="none" w:pos="17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3" w:lineRule="exact"/>
        <w:rPr>
          <w:rFonts w:ascii="Arial" w:cs="Arial" w:eastAsia="Arial" w:hAnsi="Arial"/>
          <w:sz w:val="15"/>
          <w:szCs w:val="15"/>
          <w:color w:val="auto"/>
        </w:rPr>
      </w:pPr>
    </w:p>
    <w:p>
      <w:pPr>
        <w:ind w:left="2040" w:right="1359" w:hanging="303"/>
        <w:spacing w:after="0" w:line="274" w:lineRule="auto"/>
        <w:tabs>
          <w:tab w:leader="none" w:pos="2040" w:val="left"/>
        </w:tabs>
        <w:numPr>
          <w:ilvl w:val="1"/>
          <w:numId w:val="37"/>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arising from an offer referred to in Section 275(1A) or Section 276(4)(i)(B) of the SFA;</w:t>
      </w:r>
    </w:p>
    <w:p>
      <w:pPr>
        <w:spacing w:after="0" w:line="80" w:lineRule="exact"/>
        <w:rPr>
          <w:rFonts w:ascii="Arial" w:cs="Arial" w:eastAsia="Arial" w:hAnsi="Arial"/>
          <w:sz w:val="15"/>
          <w:szCs w:val="15"/>
          <w:color w:val="auto"/>
        </w:rPr>
      </w:pPr>
    </w:p>
    <w:p>
      <w:pPr>
        <w:ind w:left="2040" w:hanging="303"/>
        <w:spacing w:after="0"/>
        <w:tabs>
          <w:tab w:leader="none" w:pos="2040" w:val="left"/>
        </w:tabs>
        <w:numPr>
          <w:ilvl w:val="1"/>
          <w:numId w:val="37"/>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125" w:lineRule="exact"/>
        <w:rPr>
          <w:rFonts w:ascii="Arial" w:cs="Arial" w:eastAsia="Arial" w:hAnsi="Arial"/>
          <w:sz w:val="15"/>
          <w:szCs w:val="15"/>
          <w:color w:val="auto"/>
        </w:rPr>
      </w:pPr>
    </w:p>
    <w:p>
      <w:pPr>
        <w:ind w:left="2040" w:hanging="303"/>
        <w:spacing w:after="0"/>
        <w:tabs>
          <w:tab w:leader="none" w:pos="2040" w:val="left"/>
        </w:tabs>
        <w:numPr>
          <w:ilvl w:val="1"/>
          <w:numId w:val="37"/>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14" w:lineRule="exact"/>
        <w:rPr>
          <w:rFonts w:ascii="Arial" w:cs="Arial" w:eastAsia="Arial" w:hAnsi="Arial"/>
          <w:sz w:val="15"/>
          <w:szCs w:val="15"/>
          <w:color w:val="auto"/>
        </w:rPr>
      </w:pPr>
    </w:p>
    <w:p>
      <w:pPr>
        <w:ind w:left="2040" w:hanging="303"/>
        <w:spacing w:after="0"/>
        <w:tabs>
          <w:tab w:leader="none" w:pos="204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as specified in Section 276(7) of the SFA; or</w:t>
      </w:r>
    </w:p>
    <w:p>
      <w:pPr>
        <w:spacing w:after="0" w:line="125" w:lineRule="exact"/>
        <w:rPr>
          <w:rFonts w:ascii="Arial" w:cs="Arial" w:eastAsia="Arial" w:hAnsi="Arial"/>
          <w:sz w:val="15"/>
          <w:szCs w:val="15"/>
          <w:color w:val="auto"/>
        </w:rPr>
      </w:pPr>
    </w:p>
    <w:p>
      <w:pPr>
        <w:ind w:left="2040" w:right="1579" w:hanging="303"/>
        <w:spacing w:after="0" w:line="311" w:lineRule="auto"/>
        <w:tabs>
          <w:tab w:leader="none" w:pos="204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10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Singapore Securities and Futures Act Product Classification</w:t>
      </w:r>
    </w:p>
    <w:p>
      <w:pPr>
        <w:spacing w:after="0" w:line="122" w:lineRule="exact"/>
        <w:rPr>
          <w:sz w:val="20"/>
          <w:szCs w:val="20"/>
          <w:color w:val="auto"/>
        </w:rPr>
      </w:pPr>
    </w:p>
    <w:p>
      <w:pPr>
        <w:ind w:left="1140" w:right="1199"/>
        <w:spacing w:after="0" w:line="251" w:lineRule="auto"/>
        <w:rPr>
          <w:sz w:val="20"/>
          <w:szCs w:val="20"/>
          <w:color w:val="auto"/>
        </w:rPr>
      </w:pPr>
      <w:r>
        <w:rPr>
          <w:rFonts w:ascii="Arial" w:cs="Arial" w:eastAsia="Arial" w:hAnsi="Arial"/>
          <w:sz w:val="15"/>
          <w:szCs w:val="15"/>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Switzerland</w:t>
      </w:r>
    </w:p>
    <w:p>
      <w:pPr>
        <w:spacing w:after="0" w:line="133" w:lineRule="exact"/>
        <w:rPr>
          <w:sz w:val="20"/>
          <w:szCs w:val="20"/>
          <w:color w:val="auto"/>
        </w:rPr>
      </w:pPr>
    </w:p>
    <w:p>
      <w:pPr>
        <w:ind w:left="1140" w:right="1159"/>
        <w:spacing w:after="0" w:line="250" w:lineRule="auto"/>
        <w:rPr>
          <w:sz w:val="20"/>
          <w:szCs w:val="20"/>
          <w:color w:val="auto"/>
        </w:rPr>
      </w:pPr>
      <w:r>
        <w:rPr>
          <w:rFonts w:ascii="Arial" w:cs="Arial" w:eastAsia="Arial" w:hAnsi="Arial"/>
          <w:sz w:val="15"/>
          <w:szCs w:val="15"/>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Taiwan</w:t>
      </w:r>
    </w:p>
    <w:p>
      <w:pPr>
        <w:spacing w:after="0" w:line="122" w:lineRule="exact"/>
        <w:rPr>
          <w:sz w:val="20"/>
          <w:szCs w:val="20"/>
          <w:color w:val="auto"/>
        </w:rPr>
      </w:pPr>
    </w:p>
    <w:p>
      <w:pPr>
        <w:ind w:left="1140" w:right="1219"/>
        <w:spacing w:after="0" w:line="248" w:lineRule="auto"/>
        <w:rPr>
          <w:sz w:val="20"/>
          <w:szCs w:val="20"/>
          <w:color w:val="auto"/>
        </w:rPr>
      </w:pPr>
      <w:r>
        <w:rPr>
          <w:rFonts w:ascii="Arial" w:cs="Arial" w:eastAsia="Arial" w:hAnsi="Arial"/>
          <w:sz w:val="15"/>
          <w:szCs w:val="15"/>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8" w:name="page49"/>
    <w:bookmarkEnd w:id="4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VALIDITY OF SECURITIES</w:t>
      </w:r>
    </w:p>
    <w:p>
      <w:pPr>
        <w:spacing w:after="0" w:line="130" w:lineRule="exact"/>
        <w:rPr>
          <w:sz w:val="20"/>
          <w:szCs w:val="20"/>
          <w:color w:val="auto"/>
        </w:rPr>
      </w:pPr>
    </w:p>
    <w:p>
      <w:pPr>
        <w:ind w:left="1140" w:right="1359"/>
        <w:spacing w:after="0" w:line="260" w:lineRule="auto"/>
        <w:rPr>
          <w:sz w:val="20"/>
          <w:szCs w:val="20"/>
          <w:color w:val="auto"/>
        </w:rPr>
      </w:pPr>
      <w:r>
        <w:rPr>
          <w:rFonts w:ascii="Arial" w:cs="Arial" w:eastAsia="Arial" w:hAnsi="Arial"/>
          <w:sz w:val="15"/>
          <w:szCs w:val="15"/>
          <w:color w:val="auto"/>
        </w:rPr>
        <w:t>The legality of the notes offered hereby will be passed upon for Micron by Wilson Sonsini Goodrich &amp; Rosati, Professional Corporation, Palo Alto, California. The underwriters have been represented by Simpson Thacher &amp; Bartlett LLP, Palo Alto, California.</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EXPERTS</w:t>
      </w:r>
    </w:p>
    <w:p>
      <w:pPr>
        <w:spacing w:after="0" w:line="130" w:lineRule="exact"/>
        <w:rPr>
          <w:sz w:val="20"/>
          <w:szCs w:val="20"/>
          <w:color w:val="auto"/>
        </w:rPr>
      </w:pPr>
    </w:p>
    <w:p>
      <w:pPr>
        <w:ind w:left="1140" w:right="1159"/>
        <w:spacing w:after="0" w:line="251" w:lineRule="auto"/>
        <w:rPr>
          <w:sz w:val="20"/>
          <w:szCs w:val="20"/>
          <w:color w:val="auto"/>
        </w:rPr>
      </w:pPr>
      <w:r>
        <w:rPr>
          <w:rFonts w:ascii="Arial" w:cs="Arial" w:eastAsia="Arial" w:hAnsi="Arial"/>
          <w:sz w:val="15"/>
          <w:szCs w:val="15"/>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31, 2023 have been so incorporated in reliance on the report of PricewaterhouseCoopers LLP, an independent registered public accounting firm, given on the authority of said firm as experts in auditing and accounting.</w:t>
      </w:r>
    </w:p>
    <w:p>
      <w:pPr>
        <w:spacing w:after="0" w:line="131" w:lineRule="exact"/>
        <w:rPr>
          <w:sz w:val="20"/>
          <w:szCs w:val="20"/>
          <w:color w:val="auto"/>
        </w:rPr>
      </w:pPr>
    </w:p>
    <w:p>
      <w:pPr>
        <w:ind w:left="1140" w:right="3339"/>
        <w:spacing w:after="0" w:line="274" w:lineRule="auto"/>
        <w:rPr>
          <w:sz w:val="20"/>
          <w:szCs w:val="20"/>
          <w:color w:val="auto"/>
        </w:rPr>
      </w:pPr>
      <w:r>
        <w:rPr>
          <w:rFonts w:ascii="Arial" w:cs="Arial" w:eastAsia="Arial" w:hAnsi="Arial"/>
          <w:sz w:val="32"/>
          <w:szCs w:val="32"/>
          <w:b w:val="1"/>
          <w:bCs w:val="1"/>
          <w:color w:val="auto"/>
        </w:rPr>
        <w:t>WHERE YOU CAN FIND MORE INFORMATION</w:t>
      </w:r>
    </w:p>
    <w:p>
      <w:pPr>
        <w:ind w:left="1140" w:right="1179"/>
        <w:spacing w:after="0" w:line="252" w:lineRule="auto"/>
        <w:rPr>
          <w:sz w:val="20"/>
          <w:szCs w:val="20"/>
          <w:color w:val="auto"/>
        </w:rPr>
      </w:pPr>
      <w:r>
        <w:rPr>
          <w:rFonts w:ascii="Arial" w:cs="Arial" w:eastAsia="Arial" w:hAnsi="Arial"/>
          <w:sz w:val="15"/>
          <w:szCs w:val="15"/>
          <w:color w:val="auto"/>
        </w:rPr>
        <w:t xml:space="preserve">We file annual, quarterly and current reports, proxy statements and other information with the SEC. The SEC maintains an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99"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provided, however, that nothing contained herein shall be deemed to incorporate information furnished to, but not filed with, the SEC, including under Item 2.02 or Item 7.01 of any Current Report on Form 8-K:</w:t>
      </w:r>
    </w:p>
    <w:p>
      <w:pPr>
        <w:spacing w:after="0" w:line="71" w:lineRule="exact"/>
        <w:rPr>
          <w:sz w:val="20"/>
          <w:szCs w:val="20"/>
          <w:color w:val="auto"/>
        </w:rPr>
      </w:pPr>
    </w:p>
    <w:p>
      <w:pPr>
        <w:ind w:left="1580" w:hanging="138"/>
        <w:spacing w:after="0"/>
        <w:tabs>
          <w:tab w:leader="none" w:pos="1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 xml:space="preserve">our </w:t>
      </w:r>
      <w:hyperlink r:id="rId97">
        <w:r>
          <w:rPr>
            <w:rFonts w:ascii="Arial" w:cs="Arial" w:eastAsia="Arial" w:hAnsi="Arial"/>
            <w:sz w:val="15"/>
            <w:szCs w:val="15"/>
            <w:u w:val="single" w:color="auto"/>
            <w:color w:val="0000EE"/>
          </w:rPr>
          <w:t>Annual Report on Form 10-K for the fiscal year ended August 31, 2023;</w:t>
        </w:r>
      </w:hyperlink>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 xml:space="preserve">our </w:t>
      </w:r>
      <w:hyperlink r:id="rId98">
        <w:r>
          <w:rPr>
            <w:rFonts w:ascii="Arial" w:cs="Arial" w:eastAsia="Arial" w:hAnsi="Arial"/>
            <w:sz w:val="15"/>
            <w:szCs w:val="15"/>
            <w:u w:val="single" w:color="auto"/>
            <w:color w:val="0000EE"/>
          </w:rPr>
          <w:t>Quarterly Report on Form 10-Q for the fiscal quarter ended November 30, 2023;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and</w:t>
      </w:r>
    </w:p>
    <w:p>
      <w:pPr>
        <w:spacing w:after="0" w:line="92" w:lineRule="exact"/>
        <w:rPr>
          <w:rFonts w:ascii="Arial" w:cs="Arial" w:eastAsia="Arial" w:hAnsi="Arial"/>
          <w:sz w:val="15"/>
          <w:szCs w:val="15"/>
          <w:color w:val="auto"/>
        </w:rPr>
      </w:pPr>
    </w:p>
    <w:p>
      <w:pPr>
        <w:jc w:val="both"/>
        <w:ind w:left="1580" w:right="1359" w:hanging="138"/>
        <w:spacing w:after="0" w:line="260" w:lineRule="auto"/>
        <w:tabs>
          <w:tab w:leader="none" w:pos="1580" w:val="left"/>
        </w:tabs>
        <w:numPr>
          <w:ilvl w:val="0"/>
          <w:numId w:val="38"/>
        </w:numPr>
        <w:rPr>
          <w:rFonts w:ascii="Arial" w:cs="Arial" w:eastAsia="Arial" w:hAnsi="Arial"/>
          <w:sz w:val="15"/>
          <w:szCs w:val="15"/>
          <w:u w:val="single" w:color="auto"/>
          <w:color w:val="0000EE"/>
        </w:rPr>
      </w:pPr>
      <w:hyperlink r:id="rId97">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w:t>
        </w:r>
      </w:hyperlink>
      <w:r>
        <w:rPr>
          <w:rFonts w:ascii="Arial" w:cs="Arial" w:eastAsia="Arial" w:hAnsi="Arial"/>
          <w:sz w:val="15"/>
          <w:szCs w:val="15"/>
          <w:color w:val="auto"/>
        </w:rPr>
        <w:t xml:space="preserve"> </w:t>
      </w:r>
      <w:hyperlink r:id="rId99">
        <w:r>
          <w:rPr>
            <w:rFonts w:ascii="Arial" w:cs="Arial" w:eastAsia="Arial" w:hAnsi="Arial"/>
            <w:sz w:val="15"/>
            <w:szCs w:val="15"/>
            <w:u w:val="single" w:color="auto"/>
            <w:color w:val="0000EE"/>
          </w:rPr>
          <w:t>fiscal year ended August 31, 2023</w:t>
        </w:r>
        <w:r>
          <w:rPr>
            <w:rFonts w:ascii="Arial" w:cs="Arial" w:eastAsia="Arial" w:hAnsi="Arial"/>
            <w:sz w:val="15"/>
            <w:szCs w:val="15"/>
            <w:color w:val="0000EE"/>
          </w:rPr>
          <w:t xml:space="preserve"> </w:t>
        </w:r>
        <w:r>
          <w:rPr>
            <w:rFonts w:ascii="Arial" w:cs="Arial" w:eastAsia="Arial" w:hAnsi="Arial"/>
            <w:sz w:val="15"/>
            <w:szCs w:val="15"/>
            <w:color w:val="000000"/>
          </w:rPr>
          <w:t>from our</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Definitive Proxy Statement on Schedule 14A, filed</w:t>
        </w:r>
      </w:hyperlink>
      <w:r>
        <w:rPr>
          <w:rFonts w:ascii="Arial" w:cs="Arial" w:eastAsia="Arial" w:hAnsi="Arial"/>
          <w:sz w:val="15"/>
          <w:szCs w:val="15"/>
          <w:color w:val="0000EE"/>
        </w:rPr>
        <w:t xml:space="preserve"> </w:t>
      </w:r>
      <w:hyperlink r:id="rId99">
        <w:r>
          <w:rPr>
            <w:rFonts w:ascii="Arial" w:cs="Arial" w:eastAsia="Arial" w:hAnsi="Arial"/>
            <w:sz w:val="15"/>
            <w:szCs w:val="15"/>
            <w:u w:val="single" w:color="auto"/>
            <w:color w:val="0000EE"/>
          </w:rPr>
          <w:t>with the SEC on November 29, 2023.</w:t>
        </w:r>
      </w:hyperlink>
    </w:p>
    <w:p>
      <w:pPr>
        <w:spacing w:after="0" w:line="91" w:lineRule="exact"/>
        <w:rPr>
          <w:rFonts w:ascii="Arial" w:cs="Arial" w:eastAsia="Arial" w:hAnsi="Arial"/>
          <w:sz w:val="15"/>
          <w:szCs w:val="15"/>
          <w:color w:val="auto"/>
        </w:rPr>
      </w:pPr>
    </w:p>
    <w:p>
      <w:pPr>
        <w:ind w:left="1140" w:right="1259"/>
        <w:spacing w:after="0" w:line="279" w:lineRule="auto"/>
        <w:rPr>
          <w:sz w:val="20"/>
          <w:szCs w:val="20"/>
          <w:color w:val="auto"/>
        </w:rPr>
      </w:pPr>
      <w:r>
        <w:rPr>
          <w:rFonts w:ascii="Arial" w:cs="Arial" w:eastAsia="Arial" w:hAnsi="Arial"/>
          <w:sz w:val="14"/>
          <w:szCs w:val="14"/>
          <w:color w:val="auto"/>
        </w:rPr>
        <w:t xml:space="preserve">You may request a copy of these filings at no cost by contacting our Investor Relations department by visiting our Web site at </w:t>
      </w:r>
      <w:r>
        <w:rPr>
          <w:rFonts w:ascii="Arial" w:cs="Arial" w:eastAsia="Arial" w:hAnsi="Arial"/>
          <w:sz w:val="14"/>
          <w:szCs w:val="14"/>
          <w:i w:val="1"/>
          <w:iCs w:val="1"/>
          <w:color w:val="auto"/>
        </w:rPr>
        <w:t>www.micron.com</w:t>
      </w:r>
      <w:r>
        <w:rPr>
          <w:rFonts w:ascii="Arial" w:cs="Arial" w:eastAsia="Arial" w:hAnsi="Arial"/>
          <w:sz w:val="14"/>
          <w:szCs w:val="14"/>
          <w:color w:val="auto"/>
        </w:rPr>
        <w:t>, by calling (208) 368-4000, by writing to Investor Relations, Micron Technology, Inc., 8000 South Federal Way, Boise, ID 83716. The information contained or incorporated in our website is not part of this prospectus supplement or the accompanying prospectus.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72" w:lineRule="exact"/>
        <w:rPr>
          <w:rFonts w:ascii="Arial" w:cs="Arial" w:eastAsia="Arial" w:hAnsi="Arial"/>
          <w:sz w:val="15"/>
          <w:szCs w:val="15"/>
          <w:color w:val="auto"/>
        </w:rPr>
      </w:pPr>
    </w:p>
    <w:p>
      <w:pPr>
        <w:jc w:val="center"/>
        <w:ind w:right="59"/>
        <w:spacing w:after="0"/>
        <w:rPr>
          <w:sz w:val="20"/>
          <w:szCs w:val="20"/>
          <w:color w:val="auto"/>
        </w:rPr>
      </w:pPr>
      <w:r>
        <w:rPr>
          <w:rFonts w:ascii="Arial" w:cs="Arial" w:eastAsia="Arial" w:hAnsi="Arial"/>
          <w:sz w:val="15"/>
          <w:szCs w:val="15"/>
          <w:color w:val="auto"/>
        </w:rPr>
        <w:t>S-45</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9" w:name="page50"/>
    <w:bookmarkEnd w:id="4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6"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105410</wp:posOffset>
            </wp:positionV>
            <wp:extent cx="1395095" cy="3854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39509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20"/>
        <w:spacing w:after="0"/>
        <w:rPr>
          <w:sz w:val="20"/>
          <w:szCs w:val="20"/>
          <w:color w:val="auto"/>
        </w:rPr>
      </w:pPr>
      <w:r>
        <w:rPr>
          <w:rFonts w:ascii="Arial" w:cs="Arial" w:eastAsia="Arial" w:hAnsi="Arial"/>
          <w:sz w:val="32"/>
          <w:szCs w:val="32"/>
          <w:b w:val="1"/>
          <w:bCs w:val="1"/>
          <w:color w:val="auto"/>
        </w:rPr>
        <w:t>MICRON TECHNOLOGY, INC.</w:t>
      </w:r>
    </w:p>
    <w:p>
      <w:pPr>
        <w:spacing w:after="0" w:line="183"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Common Stock</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Debt Securities</w:t>
      </w:r>
    </w:p>
    <w:p>
      <w:pPr>
        <w:spacing w:after="0" w:line="2"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Warrants</w:t>
      </w:r>
    </w:p>
    <w:p>
      <w:pPr>
        <w:spacing w:after="0" w:line="2"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Purchase Contracts</w:t>
      </w:r>
    </w:p>
    <w:p>
      <w:pPr>
        <w:spacing w:after="0" w:line="2" w:lineRule="exact"/>
        <w:rPr>
          <w:sz w:val="20"/>
          <w:szCs w:val="20"/>
          <w:color w:val="auto"/>
        </w:rPr>
      </w:pPr>
    </w:p>
    <w:p>
      <w:pPr>
        <w:jc w:val="center"/>
        <w:ind w:right="-500"/>
        <w:spacing w:after="0"/>
        <w:rPr>
          <w:sz w:val="20"/>
          <w:szCs w:val="20"/>
          <w:color w:val="auto"/>
        </w:rPr>
      </w:pPr>
      <w:r>
        <w:rPr>
          <w:rFonts w:ascii="Arial" w:cs="Arial" w:eastAsia="Arial" w:hAnsi="Arial"/>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83185</wp:posOffset>
            </wp:positionV>
            <wp:extent cx="10096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84" w:lineRule="exact"/>
        <w:rPr>
          <w:sz w:val="20"/>
          <w:szCs w:val="20"/>
          <w:color w:val="auto"/>
        </w:rPr>
      </w:pPr>
    </w:p>
    <w:p>
      <w:pPr>
        <w:ind w:left="1420" w:right="1159"/>
        <w:spacing w:after="0" w:line="274" w:lineRule="auto"/>
        <w:rPr>
          <w:sz w:val="20"/>
          <w:szCs w:val="20"/>
          <w:color w:val="auto"/>
        </w:rPr>
      </w:pPr>
      <w:r>
        <w:rPr>
          <w:rFonts w:ascii="Arial" w:cs="Arial" w:eastAsia="Arial" w:hAnsi="Arial"/>
          <w:sz w:val="15"/>
          <w:szCs w:val="15"/>
          <w:color w:val="auto"/>
        </w:rPr>
        <w:t>We may offer and sell the securities identified above from time to time in one or more offerings. This prospectus provides you with a general description of the securities.</w:t>
      </w:r>
    </w:p>
    <w:p>
      <w:pPr>
        <w:spacing w:after="0" w:line="81" w:lineRule="exact"/>
        <w:rPr>
          <w:sz w:val="20"/>
          <w:szCs w:val="20"/>
          <w:color w:val="auto"/>
        </w:rPr>
      </w:pPr>
    </w:p>
    <w:p>
      <w:pPr>
        <w:ind w:left="1420" w:right="1059"/>
        <w:spacing w:after="0" w:line="275" w:lineRule="auto"/>
        <w:rPr>
          <w:sz w:val="20"/>
          <w:szCs w:val="20"/>
          <w:color w:val="auto"/>
        </w:rPr>
      </w:pPr>
      <w:r>
        <w:rPr>
          <w:rFonts w:ascii="Arial" w:cs="Arial" w:eastAsia="Arial" w:hAnsi="Arial"/>
          <w:sz w:val="14"/>
          <w:szCs w:val="14"/>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82" w:lineRule="exact"/>
        <w:rPr>
          <w:sz w:val="20"/>
          <w:szCs w:val="20"/>
          <w:color w:val="auto"/>
        </w:rPr>
      </w:pPr>
    </w:p>
    <w:p>
      <w:pPr>
        <w:ind w:left="1420" w:right="979"/>
        <w:spacing w:after="0" w:line="249" w:lineRule="auto"/>
        <w:rPr>
          <w:sz w:val="20"/>
          <w:szCs w:val="20"/>
          <w:color w:val="auto"/>
        </w:rPr>
      </w:pPr>
      <w:r>
        <w:rPr>
          <w:rFonts w:ascii="Arial" w:cs="Arial" w:eastAsia="Arial" w:hAnsi="Arial"/>
          <w:sz w:val="15"/>
          <w:szCs w:val="15"/>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73025</wp:posOffset>
            </wp:positionV>
            <wp:extent cx="100965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8" w:lineRule="exact"/>
        <w:rPr>
          <w:sz w:val="20"/>
          <w:szCs w:val="20"/>
          <w:color w:val="auto"/>
        </w:rPr>
      </w:pPr>
    </w:p>
    <w:p>
      <w:pPr>
        <w:ind w:left="1420" w:right="1019"/>
        <w:spacing w:after="0" w:line="259" w:lineRule="auto"/>
        <w:rPr>
          <w:sz w:val="20"/>
          <w:szCs w:val="20"/>
          <w:color w:val="auto"/>
        </w:rPr>
      </w:pPr>
      <w:r>
        <w:rPr>
          <w:rFonts w:ascii="Arial" w:cs="Arial" w:eastAsia="Arial" w:hAnsi="Arial"/>
          <w:sz w:val="15"/>
          <w:szCs w:val="15"/>
          <w:b w:val="1"/>
          <w:bCs w:val="1"/>
          <w:color w:val="auto"/>
        </w:rPr>
        <w:t xml:space="preserve">INVESTING IN OUR SECURITIES INVOLVES RISKS. SEE “RISK FACTORS” ON PAGE </w:t>
      </w:r>
      <w:r>
        <w:rPr>
          <w:rFonts w:ascii="Arial" w:cs="Arial" w:eastAsia="Arial" w:hAnsi="Arial"/>
          <w:sz w:val="15"/>
          <w:szCs w:val="15"/>
          <w:b w:val="1"/>
          <w:bCs w:val="1"/>
          <w:u w:val="single" w:color="auto"/>
          <w:color w:val="0000EE"/>
        </w:rPr>
        <w:t>5</w:t>
      </w:r>
      <w:r>
        <w:rPr>
          <w:rFonts w:ascii="Arial" w:cs="Arial" w:eastAsia="Arial" w:hAnsi="Arial"/>
          <w:sz w:val="15"/>
          <w:szCs w:val="15"/>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69215</wp:posOffset>
            </wp:positionV>
            <wp:extent cx="100965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2" w:lineRule="exact"/>
        <w:rPr>
          <w:sz w:val="20"/>
          <w:szCs w:val="20"/>
          <w:color w:val="auto"/>
        </w:rPr>
      </w:pPr>
    </w:p>
    <w:p>
      <w:pPr>
        <w:jc w:val="both"/>
        <w:ind w:left="1420" w:right="1099"/>
        <w:spacing w:after="0" w:line="260" w:lineRule="auto"/>
        <w:rPr>
          <w:sz w:val="20"/>
          <w:szCs w:val="20"/>
          <w:color w:val="auto"/>
        </w:rPr>
      </w:pPr>
      <w:r>
        <w:rPr>
          <w:rFonts w:ascii="Arial" w:cs="Arial" w:eastAsia="Arial" w:hAnsi="Arial"/>
          <w:sz w:val="15"/>
          <w:szCs w:val="15"/>
          <w:color w:val="auto"/>
        </w:rPr>
        <w:t>Our common stock is listed on The Nasdaq Global Select Market (“Nasdaq”) under the symbol “MU.” On November 1, 2023, the last reported sale price of our common stock on Nasdaq was $69.40 per share.</w:t>
      </w:r>
    </w:p>
    <w:p>
      <w:pPr>
        <w:spacing w:after="0" w:line="80" w:lineRule="exact"/>
        <w:rPr>
          <w:sz w:val="20"/>
          <w:szCs w:val="20"/>
          <w:color w:val="auto"/>
        </w:rPr>
      </w:pPr>
    </w:p>
    <w:p>
      <w:pPr>
        <w:ind w:left="1420" w:right="1079"/>
        <w:spacing w:after="0" w:line="265"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80"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The date of this prospectus is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1002030</wp:posOffset>
            </wp:positionV>
            <wp:extent cx="558419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0" w:name="page51"/>
    <w:bookmarkEnd w:id="50"/>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TABLE OF CONTENTS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About</w:t>
      </w:r>
      <w:r>
        <w:rPr>
          <w:rFonts w:ascii="Arial" w:cs="Arial" w:eastAsia="Arial" w:hAnsi="Arial"/>
          <w:sz w:val="15"/>
          <w:szCs w:val="15"/>
          <w:color w:val="000000"/>
        </w:rPr>
        <w:t>​</w:t>
      </w:r>
      <w:r>
        <w:rPr>
          <w:rFonts w:ascii="Arial" w:cs="Arial" w:eastAsia="Arial" w:hAnsi="Arial"/>
          <w:sz w:val="15"/>
          <w:szCs w:val="15"/>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-92710</wp:posOffset>
            </wp:positionV>
            <wp:extent cx="4265295" cy="984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4265295" cy="9842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4"/>
          <w:szCs w:val="14"/>
          <w:color w:val="0000EE"/>
        </w:rPr>
        <w:t>Where</w:t>
      </w:r>
      <w:r>
        <w:rPr>
          <w:rFonts w:ascii="Arial" w:cs="Arial" w:eastAsia="Arial" w:hAnsi="Arial"/>
          <w:sz w:val="14"/>
          <w:szCs w:val="14"/>
          <w:color w:val="000000"/>
        </w:rPr>
        <w:t>​</w:t>
      </w:r>
      <w:r>
        <w:rPr>
          <w:rFonts w:ascii="Arial" w:cs="Arial" w:eastAsia="Arial" w:hAnsi="Arial"/>
          <w:sz w:val="14"/>
          <w:szCs w:val="14"/>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-4445</wp:posOffset>
            </wp:positionV>
            <wp:extent cx="4265295" cy="161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The</w:t>
      </w:r>
      <w:r>
        <w:rPr>
          <w:rFonts w:ascii="Arial" w:cs="Arial" w:eastAsia="Arial" w:hAnsi="Arial"/>
          <w:sz w:val="15"/>
          <w:szCs w:val="15"/>
          <w:color w:val="000000"/>
        </w:rPr>
        <w:t>​</w:t>
      </w:r>
      <w:r>
        <w:rPr>
          <w:rFonts w:ascii="Arial" w:cs="Arial" w:eastAsia="Arial" w:hAnsi="Arial"/>
          <w:sz w:val="15"/>
          <w:szCs w:val="15"/>
          <w:color w:val="0000EE"/>
        </w:rPr>
        <w:t xml:space="preserve"> Company</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Risk</w:t>
      </w:r>
      <w:r>
        <w:rPr>
          <w:rFonts w:ascii="Arial" w:cs="Arial" w:eastAsia="Arial" w:hAnsi="Arial"/>
          <w:sz w:val="15"/>
          <w:szCs w:val="15"/>
          <w:color w:val="000000"/>
        </w:rPr>
        <w:t>​</w:t>
      </w:r>
      <w:r>
        <w:rPr>
          <w:rFonts w:ascii="Arial" w:cs="Arial" w:eastAsia="Arial" w:hAnsi="Arial"/>
          <w:sz w:val="15"/>
          <w:szCs w:val="15"/>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Use</w:t>
      </w:r>
      <w:r>
        <w:rPr>
          <w:rFonts w:ascii="Arial" w:cs="Arial" w:eastAsia="Arial" w:hAnsi="Arial"/>
          <w:sz w:val="15"/>
          <w:szCs w:val="15"/>
          <w:color w:val="000000"/>
        </w:rPr>
        <w:t>​</w:t>
      </w:r>
      <w:r>
        <w:rPr>
          <w:rFonts w:ascii="Arial" w:cs="Arial" w:eastAsia="Arial" w:hAnsi="Arial"/>
          <w:sz w:val="15"/>
          <w:szCs w:val="15"/>
          <w:color w:val="0000EE"/>
        </w:rPr>
        <w:t xml:space="preserv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Description</w:t>
      </w:r>
      <w:r>
        <w:rPr>
          <w:rFonts w:ascii="Arial" w:cs="Arial" w:eastAsia="Arial" w:hAnsi="Arial"/>
          <w:sz w:val="15"/>
          <w:szCs w:val="15"/>
          <w:color w:val="000000"/>
        </w:rPr>
        <w:t>​</w:t>
      </w:r>
      <w:r>
        <w:rPr>
          <w:rFonts w:ascii="Arial" w:cs="Arial" w:eastAsia="Arial" w:hAnsi="Arial"/>
          <w:sz w:val="15"/>
          <w:szCs w:val="15"/>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Plan</w:t>
      </w:r>
      <w:r>
        <w:rPr>
          <w:rFonts w:ascii="Arial" w:cs="Arial" w:eastAsia="Arial" w:hAnsi="Arial"/>
          <w:sz w:val="15"/>
          <w:szCs w:val="15"/>
          <w:color w:val="000000"/>
        </w:rPr>
        <w:t>​</w:t>
      </w:r>
      <w:r>
        <w:rPr>
          <w:rFonts w:ascii="Arial" w:cs="Arial" w:eastAsia="Arial" w:hAnsi="Arial"/>
          <w:sz w:val="15"/>
          <w:szCs w:val="15"/>
          <w:color w:val="0000EE"/>
        </w:rPr>
        <w:t xml:space="preserve"> of Distribution</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Legal</w:t>
      </w:r>
      <w:r>
        <w:rPr>
          <w:rFonts w:ascii="Arial" w:cs="Arial" w:eastAsia="Arial" w:hAnsi="Arial"/>
          <w:sz w:val="15"/>
          <w:szCs w:val="15"/>
          <w:color w:val="000000"/>
        </w:rPr>
        <w:t>​</w:t>
      </w:r>
      <w:r>
        <w:rPr>
          <w:rFonts w:ascii="Arial" w:cs="Arial" w:eastAsia="Arial" w:hAnsi="Arial"/>
          <w:sz w:val="15"/>
          <w:szCs w:val="15"/>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r>
        <w:rPr>
          <w:rFonts w:ascii="Arial" w:cs="Arial" w:eastAsia="Arial" w:hAnsi="Arial"/>
          <w:sz w:val="15"/>
          <w:szCs w:val="15"/>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w:t>
      </w:r>
      <w:r>
        <w:rPr>
          <w:rFonts w:ascii="Arial" w:cs="Arial" w:eastAsia="Arial" w:hAnsi="Arial"/>
          <w:sz w:val="15"/>
          <w:szCs w:val="15"/>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2</w:t>
      </w:r>
      <w:r>
        <w:rPr>
          <w:rFonts w:ascii="Arial" w:cs="Arial" w:eastAsia="Arial" w:hAnsi="Arial"/>
          <w:sz w:val="15"/>
          <w:szCs w:val="15"/>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4</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5</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6</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7</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8</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w:t>
      </w:r>
    </w:p>
    <w:p>
      <w:pPr>
        <w:sectPr>
          <w:pgSz w:w="11900" w:h="16838" w:orient="portrait"/>
          <w:cols w:equalWidth="0" w:num="2">
            <w:col w:w="6860" w:space="720"/>
            <w:col w:w="1439"/>
          </w:cols>
          <w:pgMar w:left="1440" w:top="98" w:right="1440" w:bottom="1440" w:gutter="0" w:footer="0" w:header="0"/>
        </w:sectPr>
      </w:pPr>
    </w:p>
    <w:bookmarkStart w:id="51" w:name="page52"/>
    <w:bookmarkEnd w:id="5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ABOUT THIS PROSPECTUS</w:t>
      </w:r>
    </w:p>
    <w:p>
      <w:pPr>
        <w:spacing w:after="0" w:line="130" w:lineRule="exact"/>
        <w:rPr>
          <w:sz w:val="20"/>
          <w:szCs w:val="20"/>
          <w:color w:val="auto"/>
        </w:rPr>
      </w:pPr>
    </w:p>
    <w:p>
      <w:pPr>
        <w:ind w:left="1140" w:right="1159"/>
        <w:spacing w:after="0" w:line="247" w:lineRule="auto"/>
        <w:rPr>
          <w:sz w:val="20"/>
          <w:szCs w:val="20"/>
          <w:color w:val="auto"/>
        </w:rPr>
      </w:pPr>
      <w:r>
        <w:rPr>
          <w:rFonts w:ascii="Arial" w:cs="Arial" w:eastAsia="Arial" w:hAnsi="Arial"/>
          <w:sz w:val="15"/>
          <w:szCs w:val="15"/>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09" w:lineRule="exact"/>
        <w:rPr>
          <w:sz w:val="20"/>
          <w:szCs w:val="20"/>
          <w:color w:val="auto"/>
        </w:rPr>
      </w:pPr>
    </w:p>
    <w:p>
      <w:pPr>
        <w:ind w:left="1140" w:right="1199"/>
        <w:spacing w:after="0" w:line="247" w:lineRule="auto"/>
        <w:rPr>
          <w:sz w:val="20"/>
          <w:szCs w:val="20"/>
          <w:color w:val="auto"/>
        </w:rPr>
      </w:pPr>
      <w:r>
        <w:rPr>
          <w:rFonts w:ascii="Arial" w:cs="Arial" w:eastAsia="Arial" w:hAnsi="Arial"/>
          <w:sz w:val="15"/>
          <w:szCs w:val="15"/>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91" w:lineRule="exact"/>
        <w:rPr>
          <w:sz w:val="20"/>
          <w:szCs w:val="20"/>
          <w:color w:val="auto"/>
        </w:rPr>
      </w:pPr>
    </w:p>
    <w:p>
      <w:pPr>
        <w:ind w:left="1140" w:right="1219"/>
        <w:spacing w:after="0" w:line="287" w:lineRule="auto"/>
        <w:rPr>
          <w:sz w:val="20"/>
          <w:szCs w:val="20"/>
          <w:color w:val="auto"/>
        </w:rPr>
      </w:pPr>
      <w:r>
        <w:rPr>
          <w:rFonts w:ascii="Arial" w:cs="Arial" w:eastAsia="Arial" w:hAnsi="Arial"/>
          <w:sz w:val="14"/>
          <w:szCs w:val="14"/>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2" w:name="page53"/>
    <w:bookmarkEnd w:id="5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WHERE YOU CAN FIND MORE</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INFORMATION;</w:t>
      </w:r>
    </w:p>
    <w:p>
      <w:pPr>
        <w:ind w:left="1140"/>
        <w:spacing w:after="0"/>
        <w:rPr>
          <w:sz w:val="20"/>
          <w:szCs w:val="20"/>
          <w:color w:val="auto"/>
        </w:rPr>
      </w:pPr>
      <w:r>
        <w:rPr>
          <w:rFonts w:ascii="Arial" w:cs="Arial" w:eastAsia="Arial" w:hAnsi="Arial"/>
          <w:sz w:val="32"/>
          <w:szCs w:val="32"/>
          <w:b w:val="1"/>
          <w:bCs w:val="1"/>
          <w:color w:val="auto"/>
        </w:rPr>
        <w:t>INCORPORATION BY REFERENCE</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Available Information</w:t>
      </w:r>
    </w:p>
    <w:p>
      <w:pPr>
        <w:spacing w:after="0" w:line="133" w:lineRule="exact"/>
        <w:rPr>
          <w:sz w:val="20"/>
          <w:szCs w:val="20"/>
          <w:color w:val="auto"/>
        </w:rPr>
      </w:pPr>
    </w:p>
    <w:p>
      <w:pPr>
        <w:ind w:left="1140" w:right="1219"/>
        <w:spacing w:after="0" w:line="260" w:lineRule="auto"/>
        <w:rPr>
          <w:sz w:val="20"/>
          <w:szCs w:val="20"/>
          <w:color w:val="auto"/>
        </w:rPr>
      </w:pPr>
      <w:r>
        <w:rPr>
          <w:rFonts w:ascii="Arial" w:cs="Arial" w:eastAsia="Arial" w:hAnsi="Arial"/>
          <w:sz w:val="15"/>
          <w:szCs w:val="15"/>
          <w:color w:val="auto"/>
        </w:rPr>
        <w:t xml:space="preserve">We file reports, proxy statements, and other information with the SEC. The SEC maintains a website at </w:t>
      </w:r>
      <w:r>
        <w:rPr>
          <w:rFonts w:ascii="Arial" w:cs="Arial" w:eastAsia="Arial" w:hAnsi="Arial"/>
          <w:sz w:val="15"/>
          <w:szCs w:val="15"/>
          <w:i w:val="1"/>
          <w:iCs w:val="1"/>
          <w:color w:val="auto"/>
        </w:rPr>
        <w:t>www.sec.gov</w:t>
      </w:r>
      <w:r>
        <w:rPr>
          <w:rFonts w:ascii="Arial" w:cs="Arial" w:eastAsia="Arial" w:hAnsi="Arial"/>
          <w:sz w:val="15"/>
          <w:szCs w:val="15"/>
          <w:color w:val="auto"/>
        </w:rPr>
        <w:t>, from which interested persons can electronically access any document we file</w:t>
      </w:r>
      <w:r>
        <w:rPr>
          <w:rFonts w:ascii="Arial" w:cs="Arial" w:eastAsia="Arial" w:hAnsi="Arial"/>
          <w:sz w:val="15"/>
          <w:szCs w:val="15"/>
          <w:i w:val="1"/>
          <w:iCs w:val="1"/>
          <w:color w:val="auto"/>
        </w:rPr>
        <w:t xml:space="preserve"> </w:t>
      </w:r>
      <w:r>
        <w:rPr>
          <w:rFonts w:ascii="Arial" w:cs="Arial" w:eastAsia="Arial" w:hAnsi="Arial"/>
          <w:sz w:val="15"/>
          <w:szCs w:val="15"/>
          <w:color w:val="auto"/>
        </w:rPr>
        <w:t>electronically with the SEC.</w:t>
      </w:r>
    </w:p>
    <w:p>
      <w:pPr>
        <w:spacing w:after="0" w:line="80" w:lineRule="exact"/>
        <w:rPr>
          <w:sz w:val="20"/>
          <w:szCs w:val="20"/>
          <w:color w:val="auto"/>
        </w:rPr>
      </w:pPr>
    </w:p>
    <w:p>
      <w:pPr>
        <w:ind w:left="1140" w:right="1279"/>
        <w:spacing w:after="0" w:line="274" w:lineRule="auto"/>
        <w:rPr>
          <w:sz w:val="20"/>
          <w:szCs w:val="20"/>
          <w:color w:val="auto"/>
        </w:rPr>
      </w:pPr>
      <w:r>
        <w:rPr>
          <w:rFonts w:ascii="Arial" w:cs="Arial" w:eastAsia="Arial" w:hAnsi="Arial"/>
          <w:sz w:val="15"/>
          <w:szCs w:val="15"/>
          <w:color w:val="auto"/>
        </w:rPr>
        <w:t xml:space="preserve">Our website address is </w:t>
      </w:r>
      <w:r>
        <w:rPr>
          <w:rFonts w:ascii="Arial" w:cs="Arial" w:eastAsia="Arial" w:hAnsi="Arial"/>
          <w:sz w:val="15"/>
          <w:szCs w:val="15"/>
          <w:i w:val="1"/>
          <w:iCs w:val="1"/>
          <w:color w:val="auto"/>
        </w:rPr>
        <w:t>www.micron.com</w:t>
      </w:r>
      <w:r>
        <w:rPr>
          <w:rFonts w:ascii="Arial" w:cs="Arial" w:eastAsia="Arial" w:hAnsi="Arial"/>
          <w:sz w:val="15"/>
          <w:szCs w:val="15"/>
          <w:color w:val="auto"/>
        </w:rPr>
        <w:t>. The information on our website, however, is not, and should not be deemed to be, a part of this prospectus.</w:t>
      </w:r>
    </w:p>
    <w:p>
      <w:pPr>
        <w:spacing w:after="0" w:line="81" w:lineRule="exact"/>
        <w:rPr>
          <w:sz w:val="20"/>
          <w:szCs w:val="20"/>
          <w:color w:val="auto"/>
        </w:rPr>
      </w:pPr>
    </w:p>
    <w:p>
      <w:pPr>
        <w:ind w:left="1140" w:right="1159"/>
        <w:spacing w:after="0" w:line="249" w:lineRule="auto"/>
        <w:rPr>
          <w:sz w:val="20"/>
          <w:szCs w:val="20"/>
          <w:color w:val="auto"/>
        </w:rPr>
      </w:pPr>
      <w:r>
        <w:rPr>
          <w:rFonts w:ascii="Arial" w:cs="Arial" w:eastAsia="Arial" w:hAnsi="Arial"/>
          <w:sz w:val="15"/>
          <w:szCs w:val="15"/>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Incorporation by Reference</w:t>
      </w:r>
    </w:p>
    <w:p>
      <w:pPr>
        <w:spacing w:after="0" w:line="122" w:lineRule="exact"/>
        <w:rPr>
          <w:sz w:val="20"/>
          <w:szCs w:val="20"/>
          <w:color w:val="auto"/>
        </w:rPr>
      </w:pPr>
    </w:p>
    <w:p>
      <w:pPr>
        <w:ind w:left="1140" w:right="1239"/>
        <w:spacing w:after="0" w:line="250" w:lineRule="auto"/>
        <w:rPr>
          <w:sz w:val="20"/>
          <w:szCs w:val="20"/>
          <w:color w:val="auto"/>
        </w:rPr>
      </w:pPr>
      <w:r>
        <w:rPr>
          <w:rFonts w:ascii="Arial" w:cs="Arial" w:eastAsia="Arial" w:hAnsi="Arial"/>
          <w:sz w:val="15"/>
          <w:szCs w:val="15"/>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00" w:lineRule="exact"/>
        <w:rPr>
          <w:sz w:val="20"/>
          <w:szCs w:val="20"/>
          <w:color w:val="auto"/>
        </w:rPr>
      </w:pPr>
    </w:p>
    <w:p>
      <w:pPr>
        <w:ind w:left="1140" w:right="1179"/>
        <w:spacing w:after="0" w:line="271" w:lineRule="auto"/>
        <w:rPr>
          <w:sz w:val="20"/>
          <w:szCs w:val="20"/>
          <w:color w:val="auto"/>
        </w:rPr>
      </w:pPr>
      <w:r>
        <w:rPr>
          <w:rFonts w:ascii="Arial" w:cs="Arial" w:eastAsia="Arial" w:hAnsi="Arial"/>
          <w:sz w:val="14"/>
          <w:szCs w:val="14"/>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85" w:lineRule="exact"/>
        <w:rPr>
          <w:sz w:val="20"/>
          <w:szCs w:val="20"/>
          <w:color w:val="auto"/>
        </w:rPr>
      </w:pPr>
    </w:p>
    <w:p>
      <w:pPr>
        <w:ind w:left="1140" w:right="1859"/>
        <w:spacing w:after="0" w:line="274" w:lineRule="auto"/>
        <w:rPr>
          <w:sz w:val="20"/>
          <w:szCs w:val="20"/>
          <w:color w:val="auto"/>
        </w:rPr>
      </w:pPr>
      <w:r>
        <w:rPr>
          <w:rFonts w:ascii="Arial" w:cs="Arial" w:eastAsia="Arial" w:hAnsi="Arial"/>
          <w:sz w:val="15"/>
          <w:szCs w:val="15"/>
          <w:color w:val="auto"/>
        </w:rPr>
        <w:t>This prospectus and any accompanying prospectus supplement incorporate by reference the documents set forth below that have previously been filed with the SEC:</w:t>
      </w:r>
    </w:p>
    <w:p>
      <w:pPr>
        <w:spacing w:after="0" w:line="48" w:lineRule="exact"/>
        <w:rPr>
          <w:sz w:val="20"/>
          <w:szCs w:val="20"/>
          <w:color w:val="auto"/>
        </w:rPr>
      </w:pPr>
    </w:p>
    <w:p>
      <w:pPr>
        <w:ind w:left="1580" w:right="1319" w:hanging="138"/>
        <w:spacing w:after="0" w:line="274" w:lineRule="auto"/>
        <w:tabs>
          <w:tab w:leader="none" w:pos="1580" w:val="left"/>
        </w:tabs>
        <w:numPr>
          <w:ilvl w:val="0"/>
          <w:numId w:val="39"/>
        </w:numPr>
        <w:rPr>
          <w:rFonts w:ascii="Arial" w:cs="Arial" w:eastAsia="Arial" w:hAnsi="Arial"/>
          <w:sz w:val="15"/>
          <w:szCs w:val="15"/>
          <w:u w:val="single" w:color="auto"/>
          <w:color w:val="0000EE"/>
        </w:rPr>
      </w:pPr>
      <w:hyperlink r:id="rId97">
        <w:r>
          <w:rPr>
            <w:rFonts w:ascii="Arial" w:cs="Arial" w:eastAsia="Arial" w:hAnsi="Arial"/>
            <w:sz w:val="15"/>
            <w:szCs w:val="15"/>
            <w:u w:val="single" w:color="auto"/>
            <w:color w:val="0000EE"/>
          </w:rPr>
          <w:t>Our Annual Report on Form 10-K for the fiscal year ended August 31, 2023, filed with the SEC</w:t>
        </w:r>
      </w:hyperlink>
      <w:r>
        <w:rPr>
          <w:rFonts w:ascii="Arial" w:cs="Arial" w:eastAsia="Arial" w:hAnsi="Arial"/>
          <w:sz w:val="15"/>
          <w:szCs w:val="15"/>
          <w:u w:val="single" w:color="auto"/>
          <w:color w:val="0000EE"/>
        </w:rPr>
        <w:t xml:space="preserve"> </w:t>
      </w:r>
      <w:hyperlink r:id="rId97">
        <w:r>
          <w:rPr>
            <w:rFonts w:ascii="Arial" w:cs="Arial" w:eastAsia="Arial" w:hAnsi="Arial"/>
            <w:sz w:val="15"/>
            <w:szCs w:val="15"/>
            <w:u w:val="single" w:color="auto"/>
            <w:color w:val="0000EE"/>
          </w:rPr>
          <w:t>on October 6, 2023.</w:t>
        </w:r>
      </w:hyperlink>
    </w:p>
    <w:p>
      <w:pPr>
        <w:spacing w:after="0" w:line="47" w:lineRule="exact"/>
        <w:rPr>
          <w:rFonts w:ascii="Arial" w:cs="Arial" w:eastAsia="Arial" w:hAnsi="Arial"/>
          <w:sz w:val="15"/>
          <w:szCs w:val="15"/>
          <w:u w:val="single" w:color="auto"/>
          <w:color w:val="0000EE"/>
        </w:rPr>
      </w:pPr>
    </w:p>
    <w:p>
      <w:pPr>
        <w:ind w:left="1580" w:right="1179" w:hanging="138"/>
        <w:spacing w:after="0" w:line="260" w:lineRule="auto"/>
        <w:tabs>
          <w:tab w:leader="none" w:pos="1580" w:val="left"/>
        </w:tabs>
        <w:numPr>
          <w:ilvl w:val="0"/>
          <w:numId w:val="39"/>
        </w:numPr>
        <w:rPr>
          <w:rFonts w:ascii="Arial" w:cs="Arial" w:eastAsia="Arial" w:hAnsi="Arial"/>
          <w:sz w:val="15"/>
          <w:szCs w:val="15"/>
          <w:u w:val="single" w:color="auto"/>
          <w:color w:val="0000EE"/>
        </w:rPr>
      </w:pPr>
      <w:hyperlink r:id="rId113">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w:t>
        </w:r>
      </w:hyperlink>
      <w:r>
        <w:rPr>
          <w:rFonts w:ascii="Arial" w:cs="Arial" w:eastAsia="Arial" w:hAnsi="Arial"/>
          <w:sz w:val="15"/>
          <w:szCs w:val="15"/>
          <w:color w:val="auto"/>
        </w:rPr>
        <w:t xml:space="preserve"> </w:t>
      </w:r>
      <w:hyperlink r:id="rId114">
        <w:r>
          <w:rPr>
            <w:rFonts w:ascii="Arial" w:cs="Arial" w:eastAsia="Arial" w:hAnsi="Arial"/>
            <w:sz w:val="15"/>
            <w:szCs w:val="15"/>
            <w:u w:val="single" w:color="auto"/>
            <w:color w:val="0000EE"/>
          </w:rPr>
          <w:t>fiscal year ended September 1, 2022</w:t>
        </w:r>
        <w:r>
          <w:rPr>
            <w:rFonts w:ascii="Arial" w:cs="Arial" w:eastAsia="Arial" w:hAnsi="Arial"/>
            <w:sz w:val="15"/>
            <w:szCs w:val="15"/>
            <w:color w:val="0000EE"/>
          </w:rPr>
          <w:t xml:space="preserve"> </w:t>
        </w:r>
        <w:r>
          <w:rPr>
            <w:rFonts w:ascii="Arial" w:cs="Arial" w:eastAsia="Arial" w:hAnsi="Arial"/>
            <w:sz w:val="15"/>
            <w:szCs w:val="15"/>
            <w:color w:val="000000"/>
          </w:rPr>
          <w:t>from our</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Definitive Proxy Statement on Schedule 14A, filed</w:t>
        </w:r>
      </w:hyperlink>
      <w:r>
        <w:rPr>
          <w:rFonts w:ascii="Arial" w:cs="Arial" w:eastAsia="Arial" w:hAnsi="Arial"/>
          <w:sz w:val="15"/>
          <w:szCs w:val="15"/>
          <w:color w:val="0000EE"/>
        </w:rPr>
        <w:t xml:space="preserve"> </w:t>
      </w:r>
      <w:hyperlink r:id="rId114">
        <w:r>
          <w:rPr>
            <w:rFonts w:ascii="Arial" w:cs="Arial" w:eastAsia="Arial" w:hAnsi="Arial"/>
            <w:sz w:val="15"/>
            <w:szCs w:val="15"/>
            <w:u w:val="single" w:color="auto"/>
            <w:color w:val="0000EE"/>
          </w:rPr>
          <w:t>with the SEC on December 2, 2022.</w:t>
        </w:r>
      </w:hyperlink>
    </w:p>
    <w:p>
      <w:pPr>
        <w:spacing w:after="0" w:line="57" w:lineRule="exact"/>
        <w:rPr>
          <w:rFonts w:ascii="Arial" w:cs="Arial" w:eastAsia="Arial" w:hAnsi="Arial"/>
          <w:sz w:val="15"/>
          <w:szCs w:val="15"/>
          <w:u w:val="single" w:color="auto"/>
          <w:color w:val="0000EE"/>
        </w:rPr>
      </w:pPr>
    </w:p>
    <w:p>
      <w:pPr>
        <w:ind w:left="1580" w:right="1319" w:hanging="138"/>
        <w:spacing w:after="0" w:line="260" w:lineRule="auto"/>
        <w:tabs>
          <w:tab w:leader="none" w:pos="1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The description of our common stock, par value $0.10 per share, contained in our registration statement on </w:t>
      </w:r>
      <w:hyperlink r:id="rId115">
        <w:r>
          <w:rPr>
            <w:rFonts w:ascii="Arial" w:cs="Arial" w:eastAsia="Arial" w:hAnsi="Arial"/>
            <w:sz w:val="15"/>
            <w:szCs w:val="15"/>
            <w:u w:val="single" w:color="auto"/>
            <w:color w:val="0000EE"/>
          </w:rPr>
          <w:t>Form 8-A, filed with the SEC on December 21, 2009</w:t>
        </w:r>
      </w:hyperlink>
      <w:r>
        <w:rPr>
          <w:rFonts w:ascii="Arial" w:cs="Arial" w:eastAsia="Arial" w:hAnsi="Arial"/>
          <w:sz w:val="15"/>
          <w:szCs w:val="15"/>
          <w:color w:val="auto"/>
        </w:rPr>
        <w:t>, including any subsequently filed amendments and reports updating such description.</w:t>
      </w:r>
    </w:p>
    <w:p>
      <w:pPr>
        <w:spacing w:after="0" w:line="91" w:lineRule="exact"/>
        <w:rPr>
          <w:rFonts w:ascii="Arial" w:cs="Arial" w:eastAsia="Arial" w:hAnsi="Arial"/>
          <w:sz w:val="15"/>
          <w:szCs w:val="15"/>
          <w:color w:val="0000EE"/>
        </w:rPr>
      </w:pPr>
    </w:p>
    <w:p>
      <w:pPr>
        <w:ind w:left="1140" w:right="1379"/>
        <w:spacing w:after="0" w:line="311" w:lineRule="auto"/>
        <w:rPr>
          <w:sz w:val="20"/>
          <w:szCs w:val="20"/>
          <w:color w:val="auto"/>
        </w:rPr>
      </w:pPr>
      <w:r>
        <w:rPr>
          <w:rFonts w:ascii="Arial" w:cs="Arial" w:eastAsia="Arial" w:hAnsi="Arial"/>
          <w:sz w:val="14"/>
          <w:szCs w:val="14"/>
          <w:color w:val="auto"/>
        </w:rPr>
        <w:t>All reports and other documents we subsequently file pursuant to Section 13(a), 13(c), 14 or 15(d) of the Exchange Act prior to the termination of this offering but excluding any information furnished to,</w:t>
      </w:r>
    </w:p>
    <w:p>
      <w:pPr>
        <w:spacing w:after="0" w:line="256" w:lineRule="exact"/>
        <w:rPr>
          <w:rFonts w:ascii="Arial" w:cs="Arial" w:eastAsia="Arial" w:hAnsi="Arial"/>
          <w:sz w:val="15"/>
          <w:szCs w:val="15"/>
          <w:color w:val="0000EE"/>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3" w:name="page54"/>
    <w:bookmarkEnd w:id="5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74" w:lineRule="auto"/>
        <w:rPr>
          <w:sz w:val="20"/>
          <w:szCs w:val="20"/>
          <w:color w:val="auto"/>
        </w:rPr>
      </w:pPr>
      <w:r>
        <w:rPr>
          <w:rFonts w:ascii="Arial" w:cs="Arial" w:eastAsia="Arial" w:hAnsi="Arial"/>
          <w:sz w:val="15"/>
          <w:szCs w:val="15"/>
          <w:color w:val="auto"/>
        </w:rPr>
        <w:t>rather than filed with, the SEC, will also be incorporated by reference into this prospectus and deemed to be part of this prospectus from the date of the filing of such reports and documents.</w:t>
      </w:r>
    </w:p>
    <w:p>
      <w:pPr>
        <w:spacing w:after="0" w:line="81" w:lineRule="exact"/>
        <w:rPr>
          <w:sz w:val="20"/>
          <w:szCs w:val="20"/>
          <w:color w:val="auto"/>
        </w:rPr>
      </w:pPr>
    </w:p>
    <w:p>
      <w:pPr>
        <w:ind w:left="1140" w:right="1239"/>
        <w:spacing w:after="0" w:line="260" w:lineRule="auto"/>
        <w:rPr>
          <w:sz w:val="20"/>
          <w:szCs w:val="20"/>
          <w:color w:val="auto"/>
        </w:rPr>
      </w:pPr>
      <w:r>
        <w:rPr>
          <w:rFonts w:ascii="Arial" w:cs="Arial" w:eastAsia="Arial" w:hAnsi="Arial"/>
          <w:sz w:val="15"/>
          <w:szCs w:val="15"/>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91"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Micron Technology, Inc.</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8000 South Federal Way</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15"/>
          <w:szCs w:val="15"/>
          <w:color w:val="auto"/>
        </w:rPr>
        <w:t>Boise, Idaho 83716-9632</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(208) 368-4000</w:t>
      </w:r>
    </w:p>
    <w:p>
      <w:pPr>
        <w:spacing w:after="0" w:line="101" w:lineRule="exact"/>
        <w:rPr>
          <w:sz w:val="20"/>
          <w:szCs w:val="20"/>
          <w:color w:val="auto"/>
        </w:rPr>
      </w:pPr>
    </w:p>
    <w:p>
      <w:pPr>
        <w:jc w:val="both"/>
        <w:ind w:left="1140" w:right="1999"/>
        <w:spacing w:after="0" w:line="311" w:lineRule="auto"/>
        <w:rPr>
          <w:sz w:val="20"/>
          <w:szCs w:val="20"/>
          <w:color w:val="auto"/>
        </w:rPr>
      </w:pPr>
      <w:r>
        <w:rPr>
          <w:rFonts w:ascii="Arial" w:cs="Arial" w:eastAsia="Arial" w:hAnsi="Arial"/>
          <w:sz w:val="14"/>
          <w:szCs w:val="14"/>
          <w:color w:val="auto"/>
        </w:rPr>
        <w:t>Exhibits to the filings will not be sent, however, unless those exhibits have specifically been incorporated by reference in this prospectus or any accompanying prospectus supplement.</w:t>
      </w:r>
    </w:p>
    <w:p>
      <w:pPr>
        <w:spacing w:after="0" w:line="57" w:lineRule="exact"/>
        <w:rPr>
          <w:sz w:val="20"/>
          <w:szCs w:val="20"/>
          <w:color w:val="auto"/>
        </w:rPr>
      </w:pPr>
    </w:p>
    <w:p>
      <w:pPr>
        <w:ind w:left="1140" w:right="1759"/>
        <w:spacing w:after="0" w:line="311" w:lineRule="auto"/>
        <w:rPr>
          <w:sz w:val="20"/>
          <w:szCs w:val="20"/>
          <w:color w:val="auto"/>
        </w:rPr>
      </w:pPr>
      <w:r>
        <w:rPr>
          <w:rFonts w:ascii="Arial" w:cs="Arial" w:eastAsia="Arial" w:hAnsi="Arial"/>
          <w:sz w:val="14"/>
          <w:szCs w:val="14"/>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4" w:name="page55"/>
    <w:bookmarkEnd w:id="5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THE COMPANY</w:t>
      </w:r>
    </w:p>
    <w:p>
      <w:pPr>
        <w:spacing w:after="0" w:line="130" w:lineRule="exact"/>
        <w:rPr>
          <w:sz w:val="20"/>
          <w:szCs w:val="20"/>
          <w:color w:val="auto"/>
        </w:rPr>
      </w:pPr>
    </w:p>
    <w:p>
      <w:pPr>
        <w:ind w:left="1140" w:right="1159"/>
        <w:spacing w:after="0" w:line="221" w:lineRule="auto"/>
        <w:rPr>
          <w:sz w:val="20"/>
          <w:szCs w:val="20"/>
          <w:color w:val="auto"/>
        </w:rPr>
      </w:pPr>
      <w:r>
        <w:rPr>
          <w:rFonts w:ascii="Arial" w:cs="Arial" w:eastAsia="Arial" w:hAnsi="Arial"/>
          <w:sz w:val="15"/>
          <w:szCs w:val="15"/>
          <w:color w:val="auto"/>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Crucial</w:t>
      </w:r>
      <w:r>
        <w:rPr>
          <w:rFonts w:ascii="Arial" w:cs="Arial" w:eastAsia="Arial" w:hAnsi="Arial"/>
          <w:sz w:val="22"/>
          <w:szCs w:val="22"/>
          <w:color w:val="auto"/>
          <w:vertAlign w:val="superscript"/>
        </w:rPr>
        <w:t>®</w:t>
      </w:r>
      <w:r>
        <w:rPr>
          <w:rFonts w:ascii="Arial" w:cs="Arial" w:eastAsia="Arial" w:hAnsi="Arial"/>
          <w:sz w:val="15"/>
          <w:szCs w:val="15"/>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09"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78" w:lineRule="exact"/>
        <w:rPr>
          <w:sz w:val="20"/>
          <w:szCs w:val="20"/>
          <w:color w:val="auto"/>
        </w:rPr>
      </w:pPr>
    </w:p>
    <w:p>
      <w:pPr>
        <w:jc w:val="both"/>
        <w:ind w:left="1140" w:right="1399"/>
        <w:spacing w:after="0" w:line="287" w:lineRule="auto"/>
        <w:rPr>
          <w:sz w:val="20"/>
          <w:szCs w:val="20"/>
          <w:color w:val="auto"/>
        </w:rPr>
      </w:pPr>
      <w:r>
        <w:rPr>
          <w:rFonts w:ascii="Arial" w:cs="Arial" w:eastAsia="Arial" w:hAnsi="Arial"/>
          <w:sz w:val="14"/>
          <w:szCs w:val="14"/>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5" w:name="page56"/>
    <w:bookmarkEnd w:id="5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RISK FACTORS</w:t>
      </w:r>
    </w:p>
    <w:p>
      <w:pPr>
        <w:spacing w:after="0" w:line="130" w:lineRule="exact"/>
        <w:rPr>
          <w:sz w:val="20"/>
          <w:szCs w:val="20"/>
          <w:color w:val="auto"/>
        </w:rPr>
      </w:pPr>
    </w:p>
    <w:p>
      <w:pPr>
        <w:ind w:left="1140" w:right="1359"/>
        <w:spacing w:after="0" w:line="249"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USE OF PROCEEDS</w:t>
      </w:r>
    </w:p>
    <w:p>
      <w:pPr>
        <w:spacing w:after="0" w:line="130" w:lineRule="exact"/>
        <w:rPr>
          <w:sz w:val="20"/>
          <w:szCs w:val="20"/>
          <w:color w:val="auto"/>
        </w:rPr>
      </w:pPr>
    </w:p>
    <w:p>
      <w:pPr>
        <w:ind w:left="1140" w:right="1839"/>
        <w:spacing w:after="0" w:line="274" w:lineRule="auto"/>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7" w:name="page58"/>
    <w:bookmarkEnd w:id="5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DESCRIPTION OF SECURITIES</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 may issue from time to time, in one or more offerings, the following securities:</w:t>
      </w:r>
    </w:p>
    <w:p>
      <w:pPr>
        <w:spacing w:after="0" w:line="92" w:lineRule="exact"/>
        <w:rPr>
          <w:sz w:val="20"/>
          <w:szCs w:val="20"/>
          <w:color w:val="auto"/>
        </w:rPr>
      </w:pPr>
    </w:p>
    <w:p>
      <w:pPr>
        <w:ind w:left="1580" w:hanging="138"/>
        <w:spacing w:after="0"/>
        <w:tabs>
          <w:tab w:leader="none" w:pos="1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shares of common stock, par value $0.10 per share, of the Company;</w:t>
      </w:r>
    </w:p>
    <w:p>
      <w:pPr>
        <w:spacing w:after="0" w:line="92" w:lineRule="exact"/>
        <w:rPr>
          <w:rFonts w:ascii="Arial" w:cs="Arial" w:eastAsia="Arial" w:hAnsi="Arial"/>
          <w:sz w:val="15"/>
          <w:szCs w:val="15"/>
          <w:color w:val="auto"/>
        </w:rPr>
      </w:pPr>
    </w:p>
    <w:p>
      <w:pPr>
        <w:ind w:left="1580" w:right="1479" w:hanging="138"/>
        <w:spacing w:after="0" w:line="274" w:lineRule="auto"/>
        <w:tabs>
          <w:tab w:leader="none" w:pos="1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debt securities, which may be senior or subordinated, and which may be convertible into our common stock or be non-convertible;</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warrants;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purchase contracts;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units.</w:t>
      </w:r>
    </w:p>
    <w:p>
      <w:pPr>
        <w:spacing w:after="0" w:line="126" w:lineRule="exact"/>
        <w:rPr>
          <w:sz w:val="20"/>
          <w:szCs w:val="20"/>
          <w:color w:val="auto"/>
        </w:rPr>
      </w:pPr>
    </w:p>
    <w:p>
      <w:pPr>
        <w:ind w:left="1140" w:right="1239"/>
        <w:spacing w:after="0" w:line="260" w:lineRule="auto"/>
        <w:rPr>
          <w:sz w:val="20"/>
          <w:szCs w:val="20"/>
          <w:color w:val="auto"/>
        </w:rPr>
      </w:pPr>
      <w:r>
        <w:rPr>
          <w:rFonts w:ascii="Arial" w:cs="Arial" w:eastAsia="Arial" w:hAnsi="Arial"/>
          <w:sz w:val="15"/>
          <w:szCs w:val="15"/>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80"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8" w:name="page59"/>
    <w:bookmarkEnd w:id="5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PLAN OF DISTRIBUTION</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 may sell the offered securities from time to time:</w:t>
      </w:r>
    </w:p>
    <w:p>
      <w:pPr>
        <w:spacing w:after="0" w:line="92" w:lineRule="exact"/>
        <w:rPr>
          <w:sz w:val="20"/>
          <w:szCs w:val="20"/>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through underwriters or dealers;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through agents;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directly to one or more purchasers; or</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through a combination of any of these methods of sale.</w:t>
      </w:r>
    </w:p>
    <w:p>
      <w:pPr>
        <w:spacing w:after="0" w:line="126" w:lineRule="exact"/>
        <w:rPr>
          <w:sz w:val="20"/>
          <w:szCs w:val="20"/>
          <w:color w:val="auto"/>
        </w:rPr>
      </w:pPr>
    </w:p>
    <w:p>
      <w:pPr>
        <w:ind w:left="1140" w:right="1439"/>
        <w:spacing w:after="0" w:line="274" w:lineRule="auto"/>
        <w:rPr>
          <w:sz w:val="20"/>
          <w:szCs w:val="20"/>
          <w:color w:val="auto"/>
        </w:rPr>
      </w:pPr>
      <w:r>
        <w:rPr>
          <w:rFonts w:ascii="Arial" w:cs="Arial" w:eastAsia="Arial" w:hAnsi="Arial"/>
          <w:sz w:val="15"/>
          <w:szCs w:val="15"/>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9" w:name="page60"/>
    <w:bookmarkEnd w:id="5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LEGAL MATTERS</w:t>
      </w:r>
    </w:p>
    <w:p>
      <w:pPr>
        <w:spacing w:after="0" w:line="130" w:lineRule="exact"/>
        <w:rPr>
          <w:sz w:val="20"/>
          <w:szCs w:val="20"/>
          <w:color w:val="auto"/>
        </w:rPr>
      </w:pPr>
    </w:p>
    <w:p>
      <w:pPr>
        <w:jc w:val="both"/>
        <w:ind w:left="1140" w:right="1559"/>
        <w:spacing w:after="0" w:line="279" w:lineRule="auto"/>
        <w:rPr>
          <w:sz w:val="20"/>
          <w:szCs w:val="20"/>
          <w:color w:val="auto"/>
        </w:rPr>
      </w:pPr>
      <w:r>
        <w:rPr>
          <w:rFonts w:ascii="Arial" w:cs="Arial" w:eastAsia="Arial" w:hAnsi="Arial"/>
          <w:sz w:val="14"/>
          <w:szCs w:val="14"/>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11"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EXPERTS</w:t>
      </w:r>
    </w:p>
    <w:p>
      <w:pPr>
        <w:spacing w:after="0" w:line="130" w:lineRule="exact"/>
        <w:rPr>
          <w:sz w:val="20"/>
          <w:szCs w:val="20"/>
          <w:color w:val="auto"/>
        </w:rPr>
      </w:pPr>
    </w:p>
    <w:p>
      <w:pPr>
        <w:ind w:left="1140" w:right="1239"/>
        <w:spacing w:after="0" w:line="251" w:lineRule="auto"/>
        <w:rPr>
          <w:rFonts w:ascii="Arial" w:cs="Arial" w:eastAsia="Arial" w:hAnsi="Arial"/>
          <w:sz w:val="15"/>
          <w:szCs w:val="15"/>
          <w:color w:val="auto"/>
        </w:rPr>
      </w:pPr>
      <w:r>
        <w:rPr>
          <w:rFonts w:ascii="Arial" w:cs="Arial" w:eastAsia="Arial" w:hAnsi="Arial"/>
          <w:sz w:val="15"/>
          <w:szCs w:val="15"/>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97">
        <w:r>
          <w:rPr>
            <w:rFonts w:ascii="Arial" w:cs="Arial" w:eastAsia="Arial" w:hAnsi="Arial"/>
            <w:sz w:val="15"/>
            <w:szCs w:val="15"/>
            <w:u w:val="single" w:color="auto"/>
            <w:color w:val="0000EE"/>
          </w:rPr>
          <w:t>Annual Report on Form 10-K</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Micron Technology, Inc. for the year ended August 31, 2023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0" w:name="page61"/>
    <w:bookmarkEnd w:id="60"/>
    <w:p>
      <w:pPr>
        <w:ind w:left="120"/>
        <w:spacing w:after="0"/>
        <w:rPr>
          <w:sz w:val="20"/>
          <w:szCs w:val="20"/>
          <w:color w:val="auto"/>
        </w:rPr>
      </w:pPr>
      <w:r>
        <w:rPr>
          <w:rFonts w:ascii="Calibri" w:cs="Calibri" w:eastAsia="Calibri" w:hAnsi="Calibri"/>
          <w:sz w:val="12"/>
          <w:szCs w:val="12"/>
          <w:color w:val="003366"/>
        </w:rPr>
        <w:t>TABLE OF CONTENTS</w:t>
      </w:r>
    </w:p>
    <w:p>
      <w:pPr>
        <w:spacing w:after="0" w:line="396" w:lineRule="exact"/>
        <w:rPr>
          <w:sz w:val="20"/>
          <w:szCs w:val="20"/>
          <w:color w:val="auto"/>
        </w:rPr>
      </w:pPr>
    </w:p>
    <w:p>
      <w:pPr>
        <w:ind w:left="1140"/>
        <w:spacing w:after="0"/>
        <w:rPr>
          <w:sz w:val="20"/>
          <w:szCs w:val="20"/>
          <w:color w:val="auto"/>
        </w:rPr>
      </w:pPr>
      <w:r>
        <w:rPr>
          <w:rFonts w:ascii="Arial" w:cs="Arial" w:eastAsia="Arial" w:hAnsi="Arial"/>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-3175</wp:posOffset>
            </wp:positionV>
            <wp:extent cx="4262120"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38100</wp:posOffset>
            </wp:positionV>
            <wp:extent cx="426212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363220</wp:posOffset>
            </wp:positionV>
            <wp:extent cx="1395095" cy="3854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139509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5.30%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565785</wp:posOffset>
            </wp:positionV>
            <wp:extent cx="100965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January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180340</wp:posOffset>
            </wp:positionV>
            <wp:extent cx="100965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Arial" w:cs="Arial" w:eastAsia="Arial" w:hAnsi="Arial"/>
                <w:sz w:val="15"/>
                <w:szCs w:val="15"/>
                <w:i w:val="1"/>
                <w:iCs w:val="1"/>
                <w:color w:val="auto"/>
                <w:w w:val="98"/>
              </w:rPr>
              <w:t>Joint Book-Running Managers</w:t>
            </w: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760" w:type="dxa"/>
            <w:vAlign w:val="bottom"/>
          </w:tcPr>
          <w:p>
            <w:pPr>
              <w:spacing w:after="0"/>
              <w:rPr>
                <w:sz w:val="20"/>
                <w:szCs w:val="20"/>
                <w:color w:val="auto"/>
              </w:rPr>
            </w:pPr>
            <w:r>
              <w:rPr>
                <w:rFonts w:ascii="Arial" w:cs="Arial" w:eastAsia="Arial" w:hAnsi="Arial"/>
                <w:sz w:val="21"/>
                <w:szCs w:val="21"/>
                <w:b w:val="1"/>
                <w:bCs w:val="1"/>
                <w:color w:val="auto"/>
                <w:w w:val="97"/>
              </w:rPr>
              <w:t>Morgan​</w:t>
            </w:r>
          </w:p>
        </w:tc>
        <w:tc>
          <w:tcPr>
            <w:tcW w:w="1320" w:type="dxa"/>
            <w:vAlign w:val="bottom"/>
            <w:gridSpan w:val="2"/>
          </w:tcPr>
          <w:p>
            <w:pPr>
              <w:jc w:val="right"/>
              <w:ind w:right="459"/>
              <w:spacing w:after="0"/>
              <w:rPr>
                <w:sz w:val="20"/>
                <w:szCs w:val="20"/>
                <w:color w:val="auto"/>
              </w:rPr>
            </w:pPr>
            <w:r>
              <w:rPr>
                <w:rFonts w:ascii="Arial" w:cs="Arial" w:eastAsia="Arial" w:hAnsi="Arial"/>
                <w:sz w:val="21"/>
                <w:szCs w:val="21"/>
                <w:b w:val="1"/>
                <w:bCs w:val="1"/>
                <w:color w:val="auto"/>
              </w:rPr>
              <w:t>Stanley</w:t>
            </w:r>
          </w:p>
        </w:tc>
        <w:tc>
          <w:tcPr>
            <w:tcW w:w="240" w:type="dxa"/>
            <w:vAlign w:val="bottom"/>
          </w:tcPr>
          <w:p>
            <w:pPr>
              <w:spacing w:after="0"/>
              <w:rPr>
                <w:sz w:val="20"/>
                <w:szCs w:val="20"/>
                <w:color w:val="auto"/>
              </w:rPr>
            </w:pPr>
            <w:r>
              <w:rPr>
                <w:rFonts w:ascii="Arial" w:cs="Arial" w:eastAsia="Arial" w:hAnsi="Arial"/>
                <w:sz w:val="21"/>
                <w:szCs w:val="21"/>
                <w:b w:val="1"/>
                <w:bCs w:val="1"/>
                <w:color w:val="auto"/>
              </w:rPr>
              <w:t>​ ​</w:t>
            </w:r>
          </w:p>
        </w:tc>
        <w:tc>
          <w:tcPr>
            <w:tcW w:w="2200" w:type="dxa"/>
            <w:vAlign w:val="bottom"/>
            <w:gridSpan w:val="2"/>
          </w:tcPr>
          <w:p>
            <w:pPr>
              <w:jc w:val="right"/>
              <w:spacing w:after="0"/>
              <w:rPr>
                <w:sz w:val="20"/>
                <w:szCs w:val="20"/>
                <w:color w:val="auto"/>
              </w:rPr>
            </w:pPr>
            <w:r>
              <w:rPr>
                <w:rFonts w:ascii="Arial" w:cs="Arial" w:eastAsia="Arial" w:hAnsi="Arial"/>
                <w:sz w:val="21"/>
                <w:szCs w:val="21"/>
                <w:b w:val="1"/>
                <w:bCs w:val="1"/>
                <w:color w:val="auto"/>
              </w:rPr>
              <w:t>Credit Agricole CIB ​ ​</w:t>
            </w:r>
          </w:p>
        </w:tc>
        <w:tc>
          <w:tcPr>
            <w:tcW w:w="2260" w:type="dxa"/>
            <w:vAlign w:val="bottom"/>
            <w:gridSpan w:val="2"/>
          </w:tcPr>
          <w:p>
            <w:pPr>
              <w:jc w:val="right"/>
              <w:spacing w:after="0"/>
              <w:rPr>
                <w:sz w:val="20"/>
                <w:szCs w:val="20"/>
                <w:color w:val="auto"/>
              </w:rPr>
            </w:pPr>
            <w:r>
              <w:rPr>
                <w:rFonts w:ascii="Arial" w:cs="Arial" w:eastAsia="Arial" w:hAnsi="Arial"/>
                <w:sz w:val="21"/>
                <w:szCs w:val="21"/>
                <w:b w:val="1"/>
                <w:bCs w:val="1"/>
                <w:color w:val="auto"/>
              </w:rPr>
              <w:t>Scotiabank​</w:t>
            </w:r>
          </w:p>
        </w:tc>
        <w:tc>
          <w:tcPr>
            <w:tcW w:w="0" w:type="dxa"/>
            <w:vAlign w:val="bottom"/>
          </w:tcPr>
          <w:p>
            <w:pPr>
              <w:spacing w:after="0"/>
              <w:rPr>
                <w:sz w:val="1"/>
                <w:szCs w:val="1"/>
                <w:color w:val="auto"/>
              </w:rPr>
            </w:pPr>
          </w:p>
        </w:tc>
      </w:tr>
      <w:tr>
        <w:trPr>
          <w:trHeight w:val="206"/>
        </w:trPr>
        <w:tc>
          <w:tcPr>
            <w:tcW w:w="760" w:type="dxa"/>
            <w:vAlign w:val="bottom"/>
          </w:tcPr>
          <w:p>
            <w:pPr>
              <w:spacing w:after="0" w:line="207" w:lineRule="exact"/>
              <w:rPr>
                <w:sz w:val="20"/>
                <w:szCs w:val="20"/>
                <w:color w:val="auto"/>
              </w:rPr>
            </w:pPr>
            <w:r>
              <w:rPr>
                <w:rFonts w:ascii="Arial" w:cs="Arial" w:eastAsia="Arial" w:hAnsi="Arial"/>
                <w:sz w:val="21"/>
                <w:szCs w:val="21"/>
                <w:b w:val="1"/>
                <w:bCs w:val="1"/>
                <w:color w:val="auto"/>
              </w:rPr>
              <w:t>​</w:t>
            </w: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line="207" w:lineRule="exact"/>
              <w:rPr>
                <w:sz w:val="20"/>
                <w:szCs w:val="20"/>
                <w:color w:val="auto"/>
              </w:rPr>
            </w:pPr>
            <w:r>
              <w:rPr>
                <w:rFonts w:ascii="Arial" w:cs="Arial" w:eastAsia="Arial" w:hAnsi="Arial"/>
                <w:sz w:val="21"/>
                <w:szCs w:val="21"/>
                <w:b w:val="1"/>
                <w:bCs w:val="1"/>
                <w:color w:val="auto"/>
              </w:rPr>
              <w:t>​ ​</w:t>
            </w:r>
          </w:p>
        </w:tc>
        <w:tc>
          <w:tcPr>
            <w:tcW w:w="190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94"/>
              </w:rPr>
              <w:t>HSBC</w:t>
            </w:r>
          </w:p>
        </w:tc>
        <w:tc>
          <w:tcPr>
            <w:tcW w:w="300" w:type="dxa"/>
            <w:vAlign w:val="bottom"/>
          </w:tcPr>
          <w:p>
            <w:pPr>
              <w:jc w:val="right"/>
              <w:spacing w:after="0" w:line="207" w:lineRule="exact"/>
              <w:rPr>
                <w:sz w:val="20"/>
                <w:szCs w:val="20"/>
                <w:color w:val="auto"/>
              </w:rPr>
            </w:pPr>
            <w:r>
              <w:rPr>
                <w:rFonts w:ascii="Arial" w:cs="Arial" w:eastAsia="Arial" w:hAnsi="Arial"/>
                <w:sz w:val="21"/>
                <w:szCs w:val="21"/>
                <w:b w:val="1"/>
                <w:bCs w:val="1"/>
                <w:color w:val="auto"/>
              </w:rPr>
              <w:t>​ ​</w:t>
            </w:r>
          </w:p>
        </w:tc>
        <w:tc>
          <w:tcPr>
            <w:tcW w:w="2200" w:type="dxa"/>
            <w:vAlign w:val="bottom"/>
            <w:vMerge w:val="restart"/>
          </w:tcPr>
          <w:p>
            <w:pPr>
              <w:jc w:val="right"/>
              <w:spacing w:after="0"/>
              <w:rPr>
                <w:sz w:val="20"/>
                <w:szCs w:val="20"/>
                <w:color w:val="auto"/>
              </w:rPr>
            </w:pPr>
            <w:r>
              <w:rPr>
                <w:rFonts w:ascii="Arial" w:cs="Arial" w:eastAsia="Arial" w:hAnsi="Arial"/>
                <w:sz w:val="21"/>
                <w:szCs w:val="21"/>
                <w:b w:val="1"/>
                <w:bCs w:val="1"/>
                <w:color w:val="auto"/>
              </w:rPr>
              <w:t>MUFG</w:t>
            </w:r>
          </w:p>
        </w:tc>
        <w:tc>
          <w:tcPr>
            <w:tcW w:w="60" w:type="dxa"/>
            <w:vAlign w:val="bottom"/>
          </w:tcPr>
          <w:p>
            <w:pPr>
              <w:jc w:val="right"/>
              <w:spacing w:after="0" w:line="207" w:lineRule="exact"/>
              <w:rPr>
                <w:sz w:val="20"/>
                <w:szCs w:val="20"/>
                <w:color w:val="auto"/>
              </w:rPr>
            </w:pPr>
            <w:r>
              <w:rPr>
                <w:rFonts w:ascii="Arial" w:cs="Arial" w:eastAsia="Arial" w:hAnsi="Arial"/>
                <w:sz w:val="21"/>
                <w:szCs w:val="21"/>
                <w:b w:val="1"/>
                <w:bCs w:val="1"/>
                <w:color w:val="auto"/>
              </w:rPr>
              <w:t>​</w:t>
            </w:r>
          </w:p>
        </w:tc>
        <w:tc>
          <w:tcPr>
            <w:tcW w:w="0" w:type="dxa"/>
            <w:vAlign w:val="bottom"/>
          </w:tcPr>
          <w:p>
            <w:pPr>
              <w:spacing w:after="0"/>
              <w:rPr>
                <w:sz w:val="1"/>
                <w:szCs w:val="1"/>
                <w:color w:val="auto"/>
              </w:rPr>
            </w:pPr>
          </w:p>
        </w:tc>
      </w:tr>
      <w:tr>
        <w:trPr>
          <w:trHeight w:val="47"/>
        </w:trPr>
        <w:tc>
          <w:tcPr>
            <w:tcW w:w="2080" w:type="dxa"/>
            <w:vAlign w:val="bottom"/>
            <w:gridSpan w:val="3"/>
          </w:tcPr>
          <w:p>
            <w:pPr>
              <w:spacing w:after="0" w:line="48" w:lineRule="exact"/>
              <w:rPr>
                <w:sz w:val="20"/>
                <w:szCs w:val="20"/>
                <w:color w:val="auto"/>
              </w:rPr>
            </w:pPr>
            <w:r>
              <w:rPr>
                <w:rFonts w:ascii="Arial" w:cs="Arial" w:eastAsia="Arial" w:hAnsi="Arial"/>
                <w:sz w:val="5"/>
                <w:szCs w:val="5"/>
                <w:b w:val="1"/>
                <w:bCs w:val="1"/>
                <w:color w:val="auto"/>
              </w:rPr>
              <w:t>CIBC Capital Markets</w:t>
            </w:r>
          </w:p>
        </w:tc>
        <w:tc>
          <w:tcPr>
            <w:tcW w:w="240" w:type="dxa"/>
            <w:vAlign w:val="bottom"/>
            <w:vMerge w:val="restart"/>
          </w:tcPr>
          <w:p>
            <w:pPr>
              <w:spacing w:after="0"/>
              <w:rPr>
                <w:sz w:val="20"/>
                <w:szCs w:val="20"/>
                <w:color w:val="auto"/>
              </w:rPr>
            </w:pPr>
            <w:r>
              <w:rPr>
                <w:rFonts w:ascii="Arial" w:cs="Arial" w:eastAsia="Arial" w:hAnsi="Arial"/>
                <w:sz w:val="21"/>
                <w:szCs w:val="21"/>
                <w:b w:val="1"/>
                <w:bCs w:val="1"/>
                <w:color w:val="auto"/>
              </w:rPr>
              <w:t>​ ​</w:t>
            </w:r>
          </w:p>
        </w:tc>
        <w:tc>
          <w:tcPr>
            <w:tcW w:w="1900" w:type="dxa"/>
            <w:vAlign w:val="bottom"/>
            <w:vMerge w:val="continue"/>
          </w:tcPr>
          <w:p>
            <w:pPr>
              <w:spacing w:after="0"/>
              <w:rPr>
                <w:sz w:val="4"/>
                <w:szCs w:val="4"/>
                <w:color w:val="auto"/>
              </w:rPr>
            </w:pPr>
          </w:p>
        </w:tc>
        <w:tc>
          <w:tcPr>
            <w:tcW w:w="300" w:type="dxa"/>
            <w:vAlign w:val="bottom"/>
            <w:vMerge w:val="restart"/>
          </w:tcPr>
          <w:p>
            <w:pPr>
              <w:jc w:val="right"/>
              <w:spacing w:after="0"/>
              <w:rPr>
                <w:sz w:val="20"/>
                <w:szCs w:val="20"/>
                <w:color w:val="auto"/>
              </w:rPr>
            </w:pPr>
            <w:r>
              <w:rPr>
                <w:rFonts w:ascii="Arial" w:cs="Arial" w:eastAsia="Arial" w:hAnsi="Arial"/>
                <w:sz w:val="21"/>
                <w:szCs w:val="21"/>
                <w:b w:val="1"/>
                <w:bCs w:val="1"/>
                <w:color w:val="auto"/>
              </w:rPr>
              <w:t>​ ​</w:t>
            </w:r>
          </w:p>
        </w:tc>
        <w:tc>
          <w:tcPr>
            <w:tcW w:w="2200" w:type="dxa"/>
            <w:vAlign w:val="bottom"/>
            <w:vMerge w:val="continue"/>
          </w:tcPr>
          <w:p>
            <w:pPr>
              <w:spacing w:after="0"/>
              <w:rPr>
                <w:sz w:val="4"/>
                <w:szCs w:val="4"/>
                <w:color w:val="auto"/>
              </w:rPr>
            </w:pPr>
          </w:p>
        </w:tc>
        <w:tc>
          <w:tcPr>
            <w:tcW w:w="60" w:type="dxa"/>
            <w:vAlign w:val="bottom"/>
            <w:vMerge w:val="restart"/>
          </w:tcPr>
          <w:p>
            <w:pPr>
              <w:jc w:val="right"/>
              <w:spacing w:after="0"/>
              <w:rPr>
                <w:sz w:val="20"/>
                <w:szCs w:val="20"/>
                <w:color w:val="auto"/>
              </w:rPr>
            </w:pPr>
            <w:r>
              <w:rPr>
                <w:rFonts w:ascii="Arial" w:cs="Arial" w:eastAsia="Arial" w:hAnsi="Arial"/>
                <w:sz w:val="21"/>
                <w:szCs w:val="21"/>
                <w:b w:val="1"/>
                <w:bCs w:val="1"/>
                <w:color w:val="auto"/>
              </w:rPr>
              <w:t>​</w:t>
            </w:r>
          </w:p>
        </w:tc>
        <w:tc>
          <w:tcPr>
            <w:tcW w:w="0" w:type="dxa"/>
            <w:vAlign w:val="bottom"/>
          </w:tcPr>
          <w:p>
            <w:pPr>
              <w:spacing w:after="0"/>
              <w:rPr>
                <w:sz w:val="1"/>
                <w:szCs w:val="1"/>
                <w:color w:val="auto"/>
              </w:rPr>
            </w:pPr>
          </w:p>
        </w:tc>
      </w:tr>
      <w:tr>
        <w:trPr>
          <w:trHeight w:val="206"/>
        </w:trPr>
        <w:tc>
          <w:tcPr>
            <w:tcW w:w="760" w:type="dxa"/>
            <w:vAlign w:val="bottom"/>
          </w:tcPr>
          <w:p>
            <w:pPr>
              <w:spacing w:after="0" w:line="207" w:lineRule="exact"/>
              <w:rPr>
                <w:sz w:val="20"/>
                <w:szCs w:val="20"/>
                <w:color w:val="auto"/>
              </w:rPr>
            </w:pPr>
            <w:r>
              <w:rPr>
                <w:rFonts w:ascii="Arial" w:cs="Arial" w:eastAsia="Arial" w:hAnsi="Arial"/>
                <w:sz w:val="21"/>
                <w:szCs w:val="21"/>
                <w:b w:val="1"/>
                <w:bCs w:val="1"/>
                <w:color w:val="auto"/>
              </w:rPr>
              <w:t>​</w:t>
            </w: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Arial" w:cs="Arial" w:eastAsia="Arial" w:hAnsi="Arial"/>
                <w:sz w:val="21"/>
                <w:szCs w:val="21"/>
                <w:b w:val="1"/>
                <w:bCs w:val="1"/>
                <w:color w:val="auto"/>
                <w:w w:val="97"/>
              </w:rPr>
              <w:t>Truist Securities</w:t>
            </w:r>
          </w:p>
        </w:tc>
        <w:tc>
          <w:tcPr>
            <w:tcW w:w="300" w:type="dxa"/>
            <w:vAlign w:val="bottom"/>
            <w:vMerge w:val="continue"/>
          </w:tcPr>
          <w:p>
            <w:pPr>
              <w:spacing w:after="0"/>
              <w:rPr>
                <w:sz w:val="17"/>
                <w:szCs w:val="17"/>
                <w:color w:val="auto"/>
              </w:rPr>
            </w:pPr>
          </w:p>
        </w:tc>
        <w:tc>
          <w:tcPr>
            <w:tcW w:w="2200" w:type="dxa"/>
            <w:vAlign w:val="bottom"/>
            <w:vMerge w:val="restart"/>
          </w:tcPr>
          <w:p>
            <w:pPr>
              <w:jc w:val="right"/>
              <w:spacing w:after="0"/>
              <w:rPr>
                <w:sz w:val="20"/>
                <w:szCs w:val="20"/>
                <w:color w:val="auto"/>
              </w:rPr>
            </w:pPr>
            <w:r>
              <w:rPr>
                <w:rFonts w:ascii="Arial" w:cs="Arial" w:eastAsia="Arial" w:hAnsi="Arial"/>
                <w:sz w:val="21"/>
                <w:szCs w:val="21"/>
                <w:b w:val="1"/>
                <w:bCs w:val="1"/>
                <w:color w:val="auto"/>
                <w:w w:val="96"/>
              </w:rPr>
              <w:t>Wells Fargo Securities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320" w:type="dxa"/>
            <w:vAlign w:val="bottom"/>
            <w:gridSpan w:val="2"/>
          </w:tcPr>
          <w:p>
            <w:pPr>
              <w:spacing w:after="0"/>
              <w:rPr>
                <w:sz w:val="20"/>
                <w:szCs w:val="20"/>
                <w:color w:val="auto"/>
              </w:rPr>
            </w:pPr>
            <w:r>
              <w:rPr>
                <w:rFonts w:ascii="Arial" w:cs="Arial" w:eastAsia="Arial" w:hAnsi="Arial"/>
                <w:sz w:val="21"/>
                <w:szCs w:val="21"/>
                <w:b w:val="1"/>
                <w:bCs w:val="1"/>
                <w:color w:val="auto"/>
                <w:w w:val="96"/>
              </w:rPr>
              <w:t>TD Securities</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jc w:val="center"/>
              <w:ind w:left="92"/>
              <w:spacing w:after="0"/>
              <w:rPr>
                <w:sz w:val="20"/>
                <w:szCs w:val="20"/>
                <w:color w:val="auto"/>
              </w:rPr>
            </w:pPr>
            <w:r>
              <w:rPr>
                <w:rFonts w:ascii="Arial" w:cs="Arial" w:eastAsia="Arial" w:hAnsi="Arial"/>
                <w:sz w:val="15"/>
                <w:szCs w:val="15"/>
                <w:i w:val="1"/>
                <w:iCs w:val="1"/>
                <w:color w:val="auto"/>
                <w:w w:val="96"/>
              </w:rPr>
              <w:t>Co-Managers</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60" w:type="dxa"/>
            <w:vAlign w:val="bottom"/>
          </w:tcPr>
          <w:p>
            <w:pPr>
              <w:spacing w:after="0"/>
              <w:rPr>
                <w:sz w:val="20"/>
                <w:szCs w:val="20"/>
                <w:color w:val="auto"/>
              </w:rPr>
            </w:pPr>
            <w:r>
              <w:rPr>
                <w:rFonts w:ascii="Arial" w:cs="Arial" w:eastAsia="Arial" w:hAnsi="Arial"/>
                <w:sz w:val="16"/>
                <w:szCs w:val="16"/>
                <w:b w:val="1"/>
                <w:bCs w:val="1"/>
                <w:color w:val="auto"/>
              </w:rPr>
              <w:t>Academy​</w:t>
            </w:r>
          </w:p>
        </w:tc>
        <w:tc>
          <w:tcPr>
            <w:tcW w:w="13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w w:val="99"/>
              </w:rPr>
              <w:t>Securities</w:t>
            </w:r>
          </w:p>
        </w:tc>
        <w:tc>
          <w:tcPr>
            <w:tcW w:w="240" w:type="dxa"/>
            <w:vAlign w:val="bottom"/>
          </w:tcPr>
          <w:p>
            <w:pPr>
              <w:spacing w:after="0"/>
              <w:rPr>
                <w:sz w:val="19"/>
                <w:szCs w:val="19"/>
                <w:color w:val="auto"/>
              </w:rPr>
            </w:pPr>
          </w:p>
        </w:tc>
        <w:tc>
          <w:tcPr>
            <w:tcW w:w="1900" w:type="dxa"/>
            <w:vAlign w:val="bottom"/>
          </w:tcPr>
          <w:p>
            <w:pPr>
              <w:jc w:val="center"/>
              <w:ind w:left="52"/>
              <w:spacing w:after="0"/>
              <w:rPr>
                <w:sz w:val="20"/>
                <w:szCs w:val="20"/>
                <w:color w:val="auto"/>
              </w:rPr>
            </w:pPr>
            <w:r>
              <w:rPr>
                <w:rFonts w:ascii="Arial" w:cs="Arial" w:eastAsia="Arial" w:hAnsi="Arial"/>
                <w:sz w:val="16"/>
                <w:szCs w:val="16"/>
                <w:b w:val="1"/>
                <w:bCs w:val="1"/>
                <w:color w:val="auto"/>
              </w:rPr>
              <w:t>​ ​</w:t>
            </w:r>
          </w:p>
        </w:tc>
        <w:tc>
          <w:tcPr>
            <w:tcW w:w="30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auto"/>
              </w:rPr>
              <w:t>Siebert Williams Shank​</w:t>
            </w:r>
          </w:p>
        </w:tc>
        <w:tc>
          <w:tcPr>
            <w:tcW w:w="0" w:type="dxa"/>
            <w:vAlign w:val="bottom"/>
          </w:tcPr>
          <w:p>
            <w:pPr>
              <w:spacing w:after="0"/>
              <w:rPr>
                <w:sz w:val="1"/>
                <w:szCs w:val="1"/>
                <w:color w:val="auto"/>
              </w:rPr>
            </w:pPr>
          </w:p>
        </w:tc>
      </w:tr>
      <w:tr>
        <w:trPr>
          <w:trHeight w:val="364"/>
        </w:trPr>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ANZ​ Securities  ​</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 Barclays</w:t>
            </w:r>
          </w:p>
        </w:tc>
        <w:tc>
          <w:tcPr>
            <w:tcW w:w="4460" w:type="dxa"/>
            <w:vAlign w:val="bottom"/>
            <w:gridSpan w:val="4"/>
          </w:tcPr>
          <w:p>
            <w:pPr>
              <w:jc w:val="right"/>
              <w:spacing w:after="0"/>
              <w:rPr>
                <w:sz w:val="20"/>
                <w:szCs w:val="20"/>
                <w:color w:val="auto"/>
              </w:rPr>
            </w:pPr>
            <w:r>
              <w:rPr>
                <w:rFonts w:ascii="Arial" w:cs="Arial" w:eastAsia="Arial" w:hAnsi="Arial"/>
                <w:sz w:val="16"/>
                <w:szCs w:val="16"/>
                <w:b w:val="1"/>
                <w:bCs w:val="1"/>
                <w:color w:val="auto"/>
              </w:rPr>
              <w:t>​  ​ BNP PARIBAS  ​  ​ BofA Securities  ​  ​ Citigroup​</w:t>
            </w:r>
          </w:p>
        </w:tc>
        <w:tc>
          <w:tcPr>
            <w:tcW w:w="0" w:type="dxa"/>
            <w:vAlign w:val="bottom"/>
          </w:tcPr>
          <w:p>
            <w:pPr>
              <w:spacing w:after="0"/>
              <w:rPr>
                <w:sz w:val="1"/>
                <w:szCs w:val="1"/>
                <w:color w:val="auto"/>
              </w:rPr>
            </w:pPr>
          </w:p>
        </w:tc>
      </w:tr>
      <w:tr>
        <w:trPr>
          <w:trHeight w:val="364"/>
        </w:trPr>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COMMERZBANK​</w:t>
            </w:r>
          </w:p>
        </w:tc>
        <w:tc>
          <w:tcPr>
            <w:tcW w:w="5460" w:type="dxa"/>
            <w:vAlign w:val="bottom"/>
            <w:gridSpan w:val="6"/>
          </w:tcPr>
          <w:p>
            <w:pPr>
              <w:jc w:val="right"/>
              <w:spacing w:after="0"/>
              <w:rPr>
                <w:sz w:val="20"/>
                <w:szCs w:val="20"/>
                <w:color w:val="auto"/>
              </w:rPr>
            </w:pPr>
            <w:r>
              <w:rPr>
                <w:rFonts w:ascii="Arial" w:cs="Arial" w:eastAsia="Arial" w:hAnsi="Arial"/>
                <w:sz w:val="16"/>
                <w:szCs w:val="16"/>
                <w:b w:val="1"/>
                <w:bCs w:val="1"/>
                <w:color w:val="auto"/>
              </w:rPr>
              <w:t>​​Goldman Sachs &amp; Co. LLC ​​ICBC Standard Bank ​​J.P. Morgan ​​Mizuho​</w:t>
            </w:r>
          </w:p>
        </w:tc>
        <w:tc>
          <w:tcPr>
            <w:tcW w:w="0" w:type="dxa"/>
            <w:vAlign w:val="bottom"/>
          </w:tcPr>
          <w:p>
            <w:pPr>
              <w:spacing w:after="0"/>
              <w:rPr>
                <w:sz w:val="1"/>
                <w:szCs w:val="1"/>
                <w:color w:val="auto"/>
              </w:rPr>
            </w:pPr>
          </w:p>
        </w:tc>
      </w:tr>
      <w:tr>
        <w:trPr>
          <w:trHeight w:val="364"/>
        </w:trPr>
        <w:tc>
          <w:tcPr>
            <w:tcW w:w="2080" w:type="dxa"/>
            <w:vAlign w:val="bottom"/>
            <w:gridSpan w:val="3"/>
          </w:tcPr>
          <w:p>
            <w:pPr>
              <w:spacing w:after="0"/>
              <w:rPr>
                <w:sz w:val="20"/>
                <w:szCs w:val="20"/>
                <w:color w:val="auto"/>
              </w:rPr>
            </w:pPr>
            <w:r>
              <w:rPr>
                <w:rFonts w:ascii="Arial" w:cs="Arial" w:eastAsia="Arial" w:hAnsi="Arial"/>
                <w:sz w:val="16"/>
                <w:szCs w:val="16"/>
                <w:b w:val="1"/>
                <w:bCs w:val="1"/>
                <w:color w:val="auto"/>
              </w:rPr>
              <w:t>PNC​ Capital Markets LLC</w:t>
            </w:r>
          </w:p>
        </w:tc>
        <w:tc>
          <w:tcPr>
            <w:tcW w:w="2440" w:type="dxa"/>
            <w:vAlign w:val="bottom"/>
            <w:gridSpan w:val="3"/>
          </w:tcPr>
          <w:p>
            <w:pPr>
              <w:ind w:left="80"/>
              <w:spacing w:after="0"/>
              <w:rPr>
                <w:sz w:val="20"/>
                <w:szCs w:val="20"/>
                <w:color w:val="auto"/>
              </w:rPr>
            </w:pPr>
            <w:r>
              <w:rPr>
                <w:rFonts w:ascii="Arial" w:cs="Arial" w:eastAsia="Arial" w:hAnsi="Arial"/>
                <w:sz w:val="16"/>
                <w:szCs w:val="16"/>
                <w:b w:val="1"/>
                <w:bCs w:val="1"/>
                <w:color w:val="auto"/>
              </w:rPr>
              <w:t>​ ​           RBC Capital Markets​ ​</w:t>
            </w: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 Bancorp​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810260</wp:posOffset>
            </wp:positionV>
            <wp:extent cx="426212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Arial" w:cs="Arial" w:eastAsia="Arial" w:hAnsi="Arial"/>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3175</wp:posOffset>
            </wp:positionV>
            <wp:extent cx="4262120"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207645</wp:posOffset>
            </wp:positionV>
            <wp:extent cx="5584190"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1" w:name="page62"/>
    <w:bookmarkEnd w:id="61"/>
    <w:p>
      <w:pPr>
        <w:ind w:left="10560"/>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Calculation of Filing Fee Tables</w:t>
      </w:r>
    </w:p>
    <w:p>
      <w:pPr>
        <w:spacing w:after="0" w:line="1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b w:val="1"/>
          <w:bCs w:val="1"/>
          <w:color w:val="auto"/>
        </w:rPr>
        <w:t>424(b)(5)</w:t>
      </w:r>
      <w:r>
        <w:rPr>
          <w:rFonts w:ascii="Times New Roman" w:cs="Times New Roman" w:eastAsia="Times New Roman" w:hAnsi="Times New Roman"/>
          <w:sz w:val="24"/>
          <w:szCs w:val="24"/>
          <w:b w:val="1"/>
          <w:bCs w:val="1"/>
          <w:color w:val="auto"/>
          <w:vertAlign w:val="superscript"/>
        </w:rPr>
        <w:t>(1)</w:t>
      </w:r>
    </w:p>
    <w:p>
      <w:pPr>
        <w:ind w:left="5280"/>
        <w:spacing w:after="0"/>
        <w:rPr>
          <w:sz w:val="20"/>
          <w:szCs w:val="20"/>
          <w:color w:val="auto"/>
        </w:rPr>
      </w:pPr>
      <w:r>
        <w:rPr>
          <w:rFonts w:ascii="Times New Roman" w:cs="Times New Roman" w:eastAsia="Times New Roman" w:hAnsi="Times New Roman"/>
          <w:sz w:val="15"/>
          <w:szCs w:val="15"/>
          <w:color w:val="auto"/>
        </w:rPr>
        <w:t>(Form Type)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Micron Technology,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1: Newly Registered and Carry Forward Securities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920" w:type="dxa"/>
            <w:vAlign w:val="bottom"/>
            <w:tcBorders>
              <w:top w:val="single" w:sz="8" w:color="auto"/>
              <w:left w:val="single" w:sz="8" w:color="auto"/>
              <w:right w:val="single" w:sz="8" w:color="auto"/>
            </w:tcBorders>
          </w:tcPr>
          <w:p>
            <w:pPr>
              <w:spacing w:after="0"/>
              <w:rPr>
                <w:sz w:val="14"/>
                <w:szCs w:val="14"/>
                <w:color w:val="auto"/>
              </w:rPr>
            </w:pPr>
          </w:p>
        </w:tc>
        <w:tc>
          <w:tcPr>
            <w:tcW w:w="96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96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340" w:type="dxa"/>
            <w:vAlign w:val="bottom"/>
            <w:tcBorders>
              <w:top w:val="single" w:sz="8" w:color="auto"/>
              <w:right w:val="single" w:sz="8" w:color="auto"/>
            </w:tcBorders>
          </w:tcPr>
          <w:p>
            <w:pPr>
              <w:spacing w:after="0"/>
              <w:rPr>
                <w:sz w:val="14"/>
                <w:szCs w:val="14"/>
                <w:color w:val="auto"/>
              </w:rPr>
            </w:pPr>
          </w:p>
        </w:tc>
        <w:tc>
          <w:tcPr>
            <w:tcW w:w="7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58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5"/>
                <w:szCs w:val="15"/>
                <w:b w:val="1"/>
                <w:bCs w:val="1"/>
                <w:color w:val="auto"/>
              </w:rPr>
              <w:t>Filing Fee</w:t>
            </w:r>
          </w:p>
        </w:tc>
      </w:tr>
      <w:tr>
        <w:trPr>
          <w:trHeight w:val="177"/>
        </w:trPr>
        <w:tc>
          <w:tcPr>
            <w:tcW w:w="920" w:type="dxa"/>
            <w:vAlign w:val="bottom"/>
            <w:tcBorders>
              <w:left w:val="single" w:sz="8" w:color="auto"/>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Previously Paid</w:t>
            </w:r>
          </w:p>
        </w:tc>
      </w:tr>
      <w:tr>
        <w:trPr>
          <w:trHeight w:val="177"/>
        </w:trPr>
        <w:tc>
          <w:tcPr>
            <w:tcW w:w="920" w:type="dxa"/>
            <w:vAlign w:val="bottom"/>
            <w:tcBorders>
              <w:left w:val="single" w:sz="8" w:color="auto"/>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Fee</w:t>
            </w:r>
          </w:p>
        </w:tc>
        <w:tc>
          <w:tcPr>
            <w:tcW w:w="9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Proposed</w:t>
            </w:r>
          </w:p>
        </w:tc>
        <w:tc>
          <w:tcPr>
            <w:tcW w:w="10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Carry</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In Connection</w:t>
            </w:r>
          </w:p>
        </w:tc>
      </w:tr>
      <w:tr>
        <w:trPr>
          <w:trHeight w:val="177"/>
        </w:trPr>
        <w:tc>
          <w:tcPr>
            <w:tcW w:w="920" w:type="dxa"/>
            <w:vAlign w:val="bottom"/>
            <w:tcBorders>
              <w:left w:val="single" w:sz="8" w:color="auto"/>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Calculation</w:t>
            </w:r>
          </w:p>
        </w:tc>
        <w:tc>
          <w:tcPr>
            <w:tcW w:w="9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Maximum</w:t>
            </w:r>
          </w:p>
        </w:tc>
        <w:tc>
          <w:tcPr>
            <w:tcW w:w="10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with Unsold</w:t>
            </w:r>
          </w:p>
        </w:tc>
      </w:tr>
      <w:tr>
        <w:trPr>
          <w:trHeight w:val="177"/>
        </w:trPr>
        <w:tc>
          <w:tcPr>
            <w:tcW w:w="920" w:type="dxa"/>
            <w:vAlign w:val="bottom"/>
            <w:tcBorders>
              <w:left w:val="single" w:sz="8" w:color="auto"/>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Security</w:t>
            </w:r>
          </w:p>
        </w:tc>
        <w:tc>
          <w:tcPr>
            <w:tcW w:w="76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w w:val="98"/>
              </w:rPr>
              <w:t>or Carry</w:t>
            </w:r>
          </w:p>
        </w:tc>
        <w:tc>
          <w:tcPr>
            <w:tcW w:w="9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Offering</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Maximum</w:t>
            </w:r>
          </w:p>
        </w:tc>
        <w:tc>
          <w:tcPr>
            <w:tcW w:w="6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Carry</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Carry</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Initial</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Securities</w:t>
            </w:r>
          </w:p>
        </w:tc>
      </w:tr>
      <w:tr>
        <w:trPr>
          <w:trHeight w:val="177"/>
        </w:trPr>
        <w:tc>
          <w:tcPr>
            <w:tcW w:w="920" w:type="dxa"/>
            <w:vAlign w:val="bottom"/>
            <w:tcBorders>
              <w:left w:val="single" w:sz="8" w:color="auto"/>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Forward</w:t>
            </w:r>
          </w:p>
        </w:tc>
        <w:tc>
          <w:tcPr>
            <w:tcW w:w="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Aggregate</w:t>
            </w:r>
          </w:p>
        </w:tc>
        <w:tc>
          <w:tcPr>
            <w:tcW w:w="6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Amount of</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effective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to be Carried</w:t>
            </w:r>
          </w:p>
        </w:tc>
      </w:tr>
      <w:tr>
        <w:trPr>
          <w:trHeight w:val="193"/>
        </w:trPr>
        <w:tc>
          <w:tcPr>
            <w:tcW w:w="920" w:type="dxa"/>
            <w:vAlign w:val="bottom"/>
            <w:tcBorders>
              <w:left w:val="single" w:sz="8" w:color="auto"/>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Security 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Rule</w:t>
            </w:r>
          </w:p>
        </w:tc>
        <w:tc>
          <w:tcPr>
            <w:tcW w:w="9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Registered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Per Unit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Offering Price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Fee Rate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Registration Fee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Form Type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File 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date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r>
      <w:tr>
        <w:trPr>
          <w:trHeight w:val="256"/>
        </w:trPr>
        <w:tc>
          <w:tcPr>
            <w:tcW w:w="920" w:type="dxa"/>
            <w:vAlign w:val="bottom"/>
            <w:tcBorders>
              <w:left w:val="single" w:sz="8" w:color="auto"/>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Newly Registered Securities</w:t>
            </w:r>
          </w:p>
        </w:tc>
        <w:tc>
          <w:tcPr>
            <w:tcW w:w="1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r>
      <w:tr>
        <w:trPr>
          <w:trHeight w:val="153"/>
        </w:trPr>
        <w:tc>
          <w:tcPr>
            <w:tcW w:w="920" w:type="dxa"/>
            <w:vAlign w:val="bottom"/>
            <w:tcBorders>
              <w:left w:val="single" w:sz="8" w:color="auto"/>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5"/>
                <w:szCs w:val="15"/>
                <w:color w:val="auto"/>
              </w:rPr>
              <w:t>Fees to Be</w:t>
            </w:r>
          </w:p>
        </w:tc>
        <w:tc>
          <w:tcPr>
            <w:tcW w:w="9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Debt</w:t>
            </w:r>
          </w:p>
        </w:tc>
        <w:tc>
          <w:tcPr>
            <w:tcW w:w="8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97"/>
              </w:rPr>
              <w:t>5.30% Senior</w:t>
            </w:r>
          </w:p>
        </w:tc>
        <w:tc>
          <w:tcPr>
            <w:tcW w:w="7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457(r)</w:t>
            </w:r>
          </w:p>
        </w:tc>
        <w:tc>
          <w:tcPr>
            <w:tcW w:w="9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98"/>
              </w:rPr>
              <w:t>$1,000,000,000</w:t>
            </w:r>
          </w:p>
        </w:tc>
        <w:tc>
          <w:tcPr>
            <w:tcW w:w="680" w:type="dxa"/>
            <w:vAlign w:val="bottom"/>
            <w:tcBorders>
              <w:right w:val="single" w:sz="8" w:color="auto"/>
            </w:tcBorders>
          </w:tcPr>
          <w:p>
            <w:pPr>
              <w:jc w:val="right"/>
              <w:ind w:right="46"/>
              <w:spacing w:after="0" w:line="154" w:lineRule="exact"/>
              <w:rPr>
                <w:sz w:val="20"/>
                <w:szCs w:val="20"/>
                <w:color w:val="auto"/>
              </w:rPr>
            </w:pPr>
            <w:r>
              <w:rPr>
                <w:rFonts w:ascii="Times New Roman" w:cs="Times New Roman" w:eastAsia="Times New Roman" w:hAnsi="Times New Roman"/>
                <w:sz w:val="15"/>
                <w:szCs w:val="15"/>
                <w:color w:val="auto"/>
              </w:rPr>
              <w:t>99.93%</w:t>
            </w:r>
          </w:p>
        </w:tc>
        <w:tc>
          <w:tcPr>
            <w:tcW w:w="104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96"/>
              </w:rPr>
              <w:t>$999,300,000</w:t>
            </w:r>
          </w:p>
        </w:tc>
        <w:tc>
          <w:tcPr>
            <w:tcW w:w="680" w:type="dxa"/>
            <w:vAlign w:val="bottom"/>
            <w:tcBorders>
              <w:right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w w:val="97"/>
              </w:rPr>
              <w:t>0.0001476</w:t>
            </w:r>
          </w:p>
        </w:tc>
        <w:tc>
          <w:tcPr>
            <w:tcW w:w="134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98"/>
              </w:rPr>
              <w:t>$147,496.68</w:t>
            </w:r>
          </w:p>
        </w:tc>
        <w:tc>
          <w:tcPr>
            <w:tcW w:w="7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77"/>
        </w:trPr>
        <w:tc>
          <w:tcPr>
            <w:tcW w:w="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Paid</w:t>
            </w:r>
          </w:p>
        </w:tc>
        <w:tc>
          <w:tcPr>
            <w:tcW w:w="9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Notes due</w:t>
            </w:r>
          </w:p>
        </w:tc>
        <w:tc>
          <w:tcPr>
            <w:tcW w:w="7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r>
      <w:tr>
        <w:trPr>
          <w:trHeight w:val="191"/>
        </w:trPr>
        <w:tc>
          <w:tcPr>
            <w:tcW w:w="920" w:type="dxa"/>
            <w:vAlign w:val="bottom"/>
            <w:tcBorders>
              <w:left w:val="single" w:sz="8" w:color="auto"/>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2031</w:t>
            </w:r>
          </w:p>
        </w:tc>
        <w:tc>
          <w:tcPr>
            <w:tcW w:w="76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153"/>
        </w:trPr>
        <w:tc>
          <w:tcPr>
            <w:tcW w:w="920" w:type="dxa"/>
            <w:vAlign w:val="bottom"/>
            <w:tcBorders>
              <w:left w:val="single" w:sz="8" w:color="auto"/>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5"/>
                <w:szCs w:val="15"/>
                <w:color w:val="auto"/>
              </w:rPr>
              <w:t>Fees</w:t>
            </w:r>
          </w:p>
        </w:tc>
        <w:tc>
          <w:tcPr>
            <w:tcW w:w="9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right w:val="single" w:sz="8" w:color="auto"/>
            </w:tcBorders>
          </w:tcPr>
          <w:p>
            <w:pPr>
              <w:jc w:val="right"/>
              <w:ind w:right="246"/>
              <w:spacing w:after="0" w:line="154"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77"/>
        </w:trPr>
        <w:tc>
          <w:tcPr>
            <w:tcW w:w="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Previously</w:t>
            </w:r>
          </w:p>
        </w:tc>
        <w:tc>
          <w:tcPr>
            <w:tcW w:w="9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r>
      <w:tr>
        <w:trPr>
          <w:trHeight w:val="191"/>
        </w:trPr>
        <w:tc>
          <w:tcPr>
            <w:tcW w:w="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Paid</w:t>
            </w:r>
          </w:p>
        </w:tc>
        <w:tc>
          <w:tcPr>
            <w:tcW w:w="9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256"/>
        </w:trPr>
        <w:tc>
          <w:tcPr>
            <w:tcW w:w="920" w:type="dxa"/>
            <w:vAlign w:val="bottom"/>
            <w:tcBorders>
              <w:left w:val="single" w:sz="8" w:color="auto"/>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Carry Forward Securities</w:t>
            </w:r>
          </w:p>
        </w:tc>
        <w:tc>
          <w:tcPr>
            <w:tcW w:w="1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r>
      <w:tr>
        <w:trPr>
          <w:trHeight w:val="153"/>
        </w:trPr>
        <w:tc>
          <w:tcPr>
            <w:tcW w:w="920" w:type="dxa"/>
            <w:vAlign w:val="bottom"/>
            <w:tcBorders>
              <w:left w:val="single" w:sz="8" w:color="auto"/>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5"/>
                <w:szCs w:val="15"/>
                <w:color w:val="auto"/>
              </w:rPr>
              <w:t>Carry</w:t>
            </w:r>
          </w:p>
        </w:tc>
        <w:tc>
          <w:tcPr>
            <w:tcW w:w="9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w w:val="79"/>
              </w:rPr>
              <w:t>-</w:t>
            </w:r>
          </w:p>
        </w:tc>
      </w:tr>
      <w:tr>
        <w:trPr>
          <w:trHeight w:val="177"/>
        </w:trPr>
        <w:tc>
          <w:tcPr>
            <w:tcW w:w="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Forward</w:t>
            </w:r>
          </w:p>
        </w:tc>
        <w:tc>
          <w:tcPr>
            <w:tcW w:w="9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r>
      <w:tr>
        <w:trPr>
          <w:trHeight w:val="191"/>
        </w:trPr>
        <w:tc>
          <w:tcPr>
            <w:tcW w:w="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Securities</w:t>
            </w:r>
          </w:p>
        </w:tc>
        <w:tc>
          <w:tcPr>
            <w:tcW w:w="9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168"/>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tcBorders>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Total Offering Amounts</w:t>
            </w:r>
          </w:p>
        </w:tc>
        <w:tc>
          <w:tcPr>
            <w:tcW w:w="76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5"/>
                <w:szCs w:val="15"/>
                <w:color w:val="auto"/>
                <w:w w:val="96"/>
              </w:rPr>
              <w:t>$999,300,000</w:t>
            </w:r>
          </w:p>
        </w:tc>
        <w:tc>
          <w:tcPr>
            <w:tcW w:w="6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5"/>
                <w:szCs w:val="15"/>
                <w:color w:val="auto"/>
                <w:w w:val="98"/>
              </w:rPr>
              <w:t>$147,496.68</w:t>
            </w: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r>
      <w:tr>
        <w:trPr>
          <w:trHeight w:val="168"/>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tcBorders>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Total Fees Previously Paid</w:t>
            </w:r>
          </w:p>
        </w:tc>
        <w:tc>
          <w:tcPr>
            <w:tcW w:w="76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r>
      <w:tr>
        <w:trPr>
          <w:trHeight w:val="168"/>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tcBorders>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Total Fee Offsets</w:t>
            </w:r>
          </w:p>
        </w:tc>
        <w:tc>
          <w:tcPr>
            <w:tcW w:w="76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r>
      <w:tr>
        <w:trPr>
          <w:trHeight w:val="168"/>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400"/>
              <w:spacing w:after="0" w:line="168" w:lineRule="exact"/>
              <w:rPr>
                <w:sz w:val="20"/>
                <w:szCs w:val="20"/>
                <w:color w:val="auto"/>
              </w:rPr>
            </w:pPr>
            <w:r>
              <w:rPr>
                <w:rFonts w:ascii="Times New Roman" w:cs="Times New Roman" w:eastAsia="Times New Roman" w:hAnsi="Times New Roman"/>
                <w:sz w:val="15"/>
                <w:szCs w:val="15"/>
                <w:b w:val="1"/>
                <w:bCs w:val="1"/>
                <w:color w:val="auto"/>
              </w:rPr>
              <w:t>Net Fee Due</w:t>
            </w:r>
          </w:p>
        </w:tc>
        <w:tc>
          <w:tcPr>
            <w:tcW w:w="9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5"/>
                <w:szCs w:val="15"/>
                <w:color w:val="auto"/>
                <w:w w:val="98"/>
              </w:rPr>
              <w:t>$147,496.68</w:t>
            </w: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75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1787525" cy="6985"/>
                    </a:xfrm>
                    <a:prstGeom prst="rect">
                      <a:avLst/>
                    </a:prstGeom>
                    <a:noFill/>
                  </pic:spPr>
                </pic:pic>
              </a:graphicData>
            </a:graphic>
          </wp:anchor>
        </w:drawing>
      </w:r>
    </w:p>
    <w:p>
      <w:pPr>
        <w:spacing w:after="0" w:line="135"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Final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5708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sectPr>
      <w:pgSz w:w="11900" w:h="16838" w:orient="portrait"/>
      <w:cols w:equalWidth="0" w:num="1">
        <w:col w:w="11280"/>
      </w:cols>
      <w:pgMar w:left="300" w:top="30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2"/>
    </w:lvl>
  </w:abstractNum>
  <w:abstractNum w:abstractNumId="19">
    <w:nsid w:val="7C3DBD3D"/>
    <w:multiLevelType w:val="hybridMultilevel"/>
    <w:lvl w:ilvl="0">
      <w:lvlJc w:val="left"/>
      <w:lvlText w:val="(%1)"/>
      <w:numFmt w:val="decimal"/>
      <w:start w:val="2"/>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lowerRoman"/>
      <w:start w:val="3"/>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lowerRoman"/>
      <w:start w:val="10"/>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2"/>
    </w:lvl>
    <w:lvl w:ilvl="1">
      <w:lvlJc w:val="left"/>
      <w:lvlText w:val="(%2)"/>
      <w:numFmt w:val="lowerRoman"/>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jpe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jpe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97" Type="http://schemas.openxmlformats.org/officeDocument/2006/relationships/hyperlink" Target="http://www.sec.gov/ix?doc=/Archives/edgar/data/723125/000072312523000054/mu-20230831.htm" TargetMode="External"/><Relationship Id="rId98" Type="http://schemas.openxmlformats.org/officeDocument/2006/relationships/hyperlink" Target="http://www.sec.gov/ix?doc=/Archives/edgar/data/723125/000072312523000077/mu-20231130.htm" TargetMode="External"/><Relationship Id="rId99" Type="http://schemas.openxmlformats.org/officeDocument/2006/relationships/hyperlink" Target="http://www.sec.gov/ix?doc=/Archives/edgar/data/723125/000072312523000065/mu-20231129.htm" TargetMode="External"/><Relationship Id="rId113" Type="http://schemas.openxmlformats.org/officeDocument/2006/relationships/hyperlink" Target="http://www.sec.gov/ix?doc=/Archives/edgar/data/723125/000072312522000048/mu-20220901.htm" TargetMode="External"/><Relationship Id="rId114" Type="http://schemas.openxmlformats.org/officeDocument/2006/relationships/hyperlink" Target="http://www.sec.gov/Archives/edgar/data/723125/000072312522000063/a2022definitiveproxy.htm" TargetMode="External"/><Relationship Id="rId115"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2024-01-11T16:33:22Z</dcterms:created>
  <dcterms:modified xsi:type="dcterms:W3CDTF">2024-01-11T16:33:22Z</dcterms:modified>
</cp:coreProperties>
</file>