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159385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580"/>
        <w:spacing w:after="0"/>
        <w:tabs>
          <w:tab w:leader="none" w:pos="1360" w:val="left"/>
        </w:tabs>
        <w:rPr>
          <w:sz w:val="20"/>
          <w:szCs w:val="20"/>
          <w:color w:val="auto"/>
        </w:rPr>
      </w:pPr>
      <w:r>
        <w:rPr>
          <w:rFonts w:ascii="Arial" w:cs="Arial" w:eastAsia="Arial" w:hAnsi="Arial"/>
          <w:sz w:val="22"/>
          <w:szCs w:val="22"/>
          <w:color w:val="auto"/>
        </w:rPr>
        <w:t>/x/</w:t>
      </w:r>
      <w:r>
        <w:rPr>
          <w:sz w:val="20"/>
          <w:szCs w:val="20"/>
          <w:color w:val="auto"/>
        </w:rPr>
        <w:tab/>
      </w:r>
      <w:r>
        <w:rPr>
          <w:rFonts w:ascii="Arial" w:cs="Arial" w:eastAsia="Arial" w:hAnsi="Arial"/>
          <w:sz w:val="22"/>
          <w:szCs w:val="22"/>
          <w:b w:val="1"/>
          <w:bCs w:val="1"/>
          <w:color w:val="auto"/>
        </w:rPr>
        <w:t>QUARTERLY REPORT PURSUANT TO SECTION 13 OR 15 (d) OF THE SECURITIES EXCHANGE</w:t>
      </w:r>
    </w:p>
    <w:p>
      <w:pPr>
        <w:spacing w:after="0" w:line="14" w:lineRule="exact"/>
        <w:rPr>
          <w:sz w:val="24"/>
          <w:szCs w:val="24"/>
          <w:color w:val="auto"/>
        </w:rPr>
      </w:pPr>
    </w:p>
    <w:p>
      <w:pPr>
        <w:ind w:left="1380"/>
        <w:spacing w:after="0"/>
        <w:rPr>
          <w:sz w:val="20"/>
          <w:szCs w:val="20"/>
          <w:color w:val="auto"/>
        </w:rPr>
      </w:pPr>
      <w:r>
        <w:rPr>
          <w:rFonts w:ascii="Arial" w:cs="Arial" w:eastAsia="Arial" w:hAnsi="Arial"/>
          <w:sz w:val="22"/>
          <w:szCs w:val="22"/>
          <w:b w:val="1"/>
          <w:bCs w:val="1"/>
          <w:color w:val="auto"/>
        </w:rPr>
        <w:t>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1, 2001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720" w:hanging="110"/>
        <w:spacing w:after="0"/>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1"/>
          <w:szCs w:val="21"/>
          <w:b w:val="1"/>
          <w:bCs w:val="1"/>
          <w:color w:val="auto"/>
        </w:rPr>
        <w:t>TRANSITION REPORT PURSUANT TO SECTION 13 OR 15(d) OF THE SECURITIES EXCHANGE</w:t>
      </w:r>
    </w:p>
    <w:p>
      <w:pPr>
        <w:spacing w:after="0" w:line="14" w:lineRule="exact"/>
        <w:rPr>
          <w:rFonts w:ascii="Arial" w:cs="Arial" w:eastAsia="Arial" w:hAnsi="Arial"/>
          <w:sz w:val="22"/>
          <w:szCs w:val="22"/>
          <w:color w:val="auto"/>
        </w:rPr>
      </w:pPr>
    </w:p>
    <w:p>
      <w:pPr>
        <w:ind w:left="1380"/>
        <w:spacing w:after="0"/>
        <w:rPr>
          <w:rFonts w:ascii="Arial" w:cs="Arial" w:eastAsia="Arial" w:hAnsi="Arial"/>
          <w:sz w:val="22"/>
          <w:szCs w:val="22"/>
          <w:color w:val="auto"/>
        </w:rPr>
      </w:pPr>
      <w:r>
        <w:rPr>
          <w:rFonts w:ascii="Arial" w:cs="Arial" w:eastAsia="Arial" w:hAnsi="Arial"/>
          <w:sz w:val="22"/>
          <w:szCs w:val="22"/>
          <w:b w:val="1"/>
          <w:bCs w:val="1"/>
          <w:color w:val="auto"/>
        </w:rPr>
        <w:t>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 or other jurisdiction of incorporation or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Internal Revenue Service—Employer Identification No. 75-1618004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 Federal Way, Boise, Idaho 83716-9632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80" w:firstLine="17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The number of outstanding shares of the registrant's Common Stock as of April 5, 2001, was 596,212,941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 except par value amounts)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August 31,</w:t>
            </w:r>
          </w:p>
        </w:tc>
      </w:tr>
      <w:tr>
        <w:trPr>
          <w:trHeight w:val="174"/>
        </w:trPr>
        <w:tc>
          <w:tcPr>
            <w:tcW w:w="3960" w:type="dxa"/>
            <w:vAlign w:val="bottom"/>
          </w:tcPr>
          <w:p>
            <w:pPr>
              <w:spacing w:after="0"/>
              <w:rPr>
                <w:sz w:val="20"/>
                <w:szCs w:val="20"/>
                <w:color w:val="auto"/>
              </w:rPr>
            </w:pPr>
            <w:r>
              <w:rPr>
                <w:rFonts w:ascii="Arial" w:cs="Arial" w:eastAsia="Arial" w:hAnsi="Arial"/>
                <w:sz w:val="14"/>
                <w:szCs w:val="14"/>
                <w:b w:val="1"/>
                <w:bCs w:val="1"/>
                <w:color w:val="auto"/>
              </w:rPr>
              <w:t>As of</w:t>
            </w: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2000</w:t>
            </w:r>
          </w:p>
        </w:tc>
      </w:tr>
      <w:tr>
        <w:trPr>
          <w:trHeight w:val="105"/>
        </w:trPr>
        <w:tc>
          <w:tcPr>
            <w:tcW w:w="396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105"/>
        </w:trPr>
        <w:tc>
          <w:tcPr>
            <w:tcW w:w="39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3960" w:type="dxa"/>
            <w:vAlign w:val="bottom"/>
            <w:shd w:val="clear" w:color="auto" w:fill="CCEEFF"/>
          </w:tcPr>
          <w:p>
            <w:pPr>
              <w:spacing w:after="0"/>
              <w:rPr>
                <w:sz w:val="18"/>
                <w:szCs w:val="18"/>
                <w:color w:val="auto"/>
              </w:rPr>
            </w:pPr>
          </w:p>
        </w:tc>
        <w:tc>
          <w:tcPr>
            <w:tcW w:w="4800" w:type="dxa"/>
            <w:vAlign w:val="bottom"/>
            <w:gridSpan w:val="3"/>
            <w:shd w:val="clear" w:color="auto" w:fill="CCEEFF"/>
          </w:tcPr>
          <w:p>
            <w:pPr>
              <w:jc w:val="right"/>
              <w:ind w:right="27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Cash and equivalents</w:t>
            </w:r>
          </w:p>
        </w:tc>
        <w:tc>
          <w:tcPr>
            <w:tcW w:w="4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599.9</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701.7</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Liquid investments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Receivables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1,413.1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Prepaid expenses</w:t>
            </w: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r>
      <w:tr>
        <w:trPr>
          <w:trHeight w:val="118"/>
        </w:trPr>
        <w:tc>
          <w:tcPr>
            <w:tcW w:w="396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r>
      <w:tr>
        <w:trPr>
          <w:trHeight w:val="347"/>
        </w:trPr>
        <w:tc>
          <w:tcPr>
            <w:tcW w:w="3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3,929.6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4,707.7</w:t>
            </w:r>
          </w:p>
        </w:tc>
      </w:tr>
      <w:tr>
        <w:trPr>
          <w:trHeight w:val="433"/>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 net</w:t>
            </w:r>
          </w:p>
        </w:tc>
        <w:tc>
          <w:tcPr>
            <w:tcW w:w="4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43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4,588.6</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4,172.3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5251450</wp:posOffset>
            </wp:positionH>
            <wp:positionV relativeFrom="paragraph">
              <wp:posOffset>-1763395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-1763395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-1763395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-1763395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-1763395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-1763395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-648335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-648335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-648335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-648335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assets of discontinued PC operations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1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vMerge w:val="restart"/>
          </w:tcPr>
          <w:p>
            <w:pPr>
              <w:jc w:val="center"/>
              <w:ind w:left="3052"/>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8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income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881.5</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liabilities of discontinued PC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1,506.4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2,825.4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$0.10 par value, authorized 3.0 billion shares, issued and outstanding 595.3 million and 567.3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million shares, respectively</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3,813.5</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7,465.9</w:t>
            </w:r>
          </w:p>
        </w:tc>
        <w:tc>
          <w:tcPr>
            <w:tcW w:w="1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260" w:type="dxa"/>
            <w:vAlign w:val="bottom"/>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9,116.7</w:t>
            </w:r>
          </w:p>
        </w:tc>
        <w:tc>
          <w:tcPr>
            <w:tcW w:w="16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9,413.6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80" w:type="dxa"/>
            <w:vAlign w:val="bottom"/>
            <w:gridSpan w:val="2"/>
          </w:tcPr>
          <w:p>
            <w:pPr>
              <w:spacing w:after="0"/>
              <w:rPr>
                <w:sz w:val="9"/>
                <w:szCs w:val="9"/>
                <w:color w:val="auto"/>
              </w:rPr>
            </w:pPr>
          </w:p>
        </w:tc>
        <w:tc>
          <w:tcPr>
            <w:tcW w:w="32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8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29"/>
        </w:trPr>
        <w:tc>
          <w:tcPr>
            <w:tcW w:w="20" w:type="dxa"/>
            <w:vAlign w:val="bottom"/>
          </w:tcPr>
          <w:p>
            <w:pPr>
              <w:spacing w:after="0"/>
              <w:rPr>
                <w:sz w:val="24"/>
                <w:szCs w:val="24"/>
                <w:color w:val="auto"/>
              </w:rPr>
            </w:pPr>
          </w:p>
        </w:tc>
        <w:tc>
          <w:tcPr>
            <w:tcW w:w="8800" w:type="dxa"/>
            <w:vAlign w:val="bottom"/>
            <w:gridSpan w:val="4"/>
          </w:tcPr>
          <w:p>
            <w:pPr>
              <w:jc w:val="center"/>
              <w:ind w:left="2492"/>
              <w:spacing w:after="0"/>
              <w:rPr>
                <w:sz w:val="20"/>
                <w:szCs w:val="20"/>
                <w:color w:val="auto"/>
              </w:rPr>
            </w:pPr>
            <w:r>
              <w:rPr>
                <w:rFonts w:ascii="Arial" w:cs="Arial" w:eastAsia="Arial" w:hAnsi="Arial"/>
                <w:sz w:val="18"/>
                <w:szCs w:val="18"/>
                <w:i w:val="1"/>
                <w:iCs w:val="1"/>
                <w:color w:val="auto"/>
                <w:w w:val="87"/>
              </w:rPr>
              <w:t>2000 amounts have been restated to reflect separately the discontinued PC operations.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jc w:val="center"/>
              <w:ind w:left="3076"/>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99"/>
              </w:rPr>
              <w:t>MICRON TECHNOLOGY, INC.</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6"/>
              </w:rPr>
              <w:t>Consolidated Statements of Operations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6"/>
              </w:rPr>
              <w:t>(Amounts in millions except per share amounts)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Pr>
          <w:p>
            <w:pPr>
              <w:jc w:val="center"/>
              <w:ind w:left="3032"/>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March 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73"/>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Other operating expense, net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1,106.7</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2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(loss), net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80" w:type="dxa"/>
            <w:vAlign w:val="bottom"/>
            <w:gridSpan w:val="2"/>
          </w:tcPr>
          <w:p>
            <w:pPr>
              <w:spacing w:after="0"/>
              <w:rPr>
                <w:sz w:val="20"/>
                <w:szCs w:val="20"/>
                <w:color w:val="auto"/>
              </w:rPr>
            </w:pPr>
            <w:r>
              <w:rPr>
                <w:rFonts w:ascii="Arial" w:cs="Arial" w:eastAsia="Arial" w:hAnsi="Arial"/>
                <w:sz w:val="18"/>
                <w:szCs w:val="18"/>
                <w:color w:val="auto"/>
              </w:rPr>
              <w:t>Income (loss) before income taxes and minority interest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Minority interest in net income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Discontinued PC operations, net of taxes and minority interest: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Loss on disposal of PC business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-10167620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-10167620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-10167620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-10167620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-8846820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-8846820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-8846820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-8846820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-7989570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-7989570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-7989570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-7989570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-7680960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-7680960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-7680960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-7680960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-6565900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-6565900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-6565900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-6565900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-6257290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-6257290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-6257290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-6257290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-5022215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-5022215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-3649980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-3649980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-3649980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-3649980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-3649980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-3649980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-3358515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-3358515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-3358515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-3358515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-2449195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-2449195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-2449195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-2449195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-2140585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-2140585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-2140585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-2140585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-1437640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-1437640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-1437640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-1437640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-871220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-871220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-871220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-871220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-133985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-133985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-133985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-133985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40"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8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 from discontinued PC operations</w:t>
            </w: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18"/>
        </w:trPr>
        <w:tc>
          <w:tcPr>
            <w:tcW w:w="82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Discontinued PC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Discontinued PC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(0.14)</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gridSpan w:val="3"/>
          </w:tcPr>
          <w:p>
            <w:pPr>
              <w:jc w:val="center"/>
              <w:ind w:left="2492"/>
              <w:spacing w:after="0"/>
              <w:rPr>
                <w:sz w:val="20"/>
                <w:szCs w:val="20"/>
                <w:color w:val="auto"/>
              </w:rPr>
            </w:pPr>
            <w:r>
              <w:rPr>
                <w:rFonts w:ascii="Arial" w:cs="Arial" w:eastAsia="Arial" w:hAnsi="Arial"/>
                <w:sz w:val="18"/>
                <w:szCs w:val="18"/>
                <w:i w:val="1"/>
                <w:iCs w:val="1"/>
                <w:color w:val="auto"/>
                <w:w w:val="87"/>
              </w:rPr>
              <w:t>2000 amounts have been restated to reflect separately the discontinued PC operations.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jc w:val="center"/>
              <w:ind w:left="2812"/>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80" w:type="dxa"/>
            <w:vAlign w:val="bottom"/>
            <w:gridSpan w:val="2"/>
          </w:tcPr>
          <w:p>
            <w:pPr>
              <w:jc w:val="center"/>
              <w:ind w:left="3075"/>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80" w:type="dxa"/>
            <w:vAlign w:val="bottom"/>
            <w:gridSpan w:val="2"/>
          </w:tcPr>
          <w:p>
            <w:pPr>
              <w:jc w:val="center"/>
              <w:ind w:left="2812"/>
              <w:spacing w:after="0"/>
              <w:rPr>
                <w:sz w:val="20"/>
                <w:szCs w:val="20"/>
                <w:color w:val="auto"/>
              </w:rPr>
            </w:pPr>
            <w:r>
              <w:rPr>
                <w:rFonts w:ascii="Arial" w:cs="Arial" w:eastAsia="Arial" w:hAnsi="Arial"/>
                <w:sz w:val="18"/>
                <w:szCs w:val="18"/>
                <w:b w:val="1"/>
                <w:bCs w:val="1"/>
                <w:color w:val="auto"/>
                <w:w w:val="99"/>
              </w:rPr>
              <w:t>MICRON TECHNOLOGY, INC.</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gridSpan w:val="2"/>
          </w:tcPr>
          <w:p>
            <w:pPr>
              <w:jc w:val="center"/>
              <w:ind w:left="2812"/>
              <w:spacing w:after="0"/>
              <w:rPr>
                <w:sz w:val="20"/>
                <w:szCs w:val="20"/>
                <w:color w:val="auto"/>
              </w:rPr>
            </w:pPr>
            <w:r>
              <w:rPr>
                <w:rFonts w:ascii="Arial" w:cs="Arial" w:eastAsia="Arial" w:hAnsi="Arial"/>
                <w:sz w:val="18"/>
                <w:szCs w:val="18"/>
                <w:b w:val="1"/>
                <w:bCs w:val="1"/>
                <w:color w:val="auto"/>
                <w:w w:val="86"/>
              </w:rPr>
              <w:t>Consolidated Statements of Operations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480" w:type="dxa"/>
            <w:vAlign w:val="bottom"/>
            <w:gridSpan w:val="2"/>
          </w:tcPr>
          <w:p>
            <w:pPr>
              <w:jc w:val="center"/>
              <w:ind w:left="2812"/>
              <w:spacing w:after="0"/>
              <w:rPr>
                <w:sz w:val="20"/>
                <w:szCs w:val="20"/>
                <w:color w:val="auto"/>
              </w:rPr>
            </w:pPr>
            <w:r>
              <w:rPr>
                <w:rFonts w:ascii="Arial" w:cs="Arial" w:eastAsia="Arial" w:hAnsi="Arial"/>
                <w:sz w:val="18"/>
                <w:szCs w:val="18"/>
                <w:b w:val="1"/>
                <w:bCs w:val="1"/>
                <w:color w:val="auto"/>
                <w:w w:val="86"/>
              </w:rPr>
              <w:t>(Amounts in millions except per share amounts)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80" w:type="dxa"/>
            <w:vAlign w:val="bottom"/>
            <w:gridSpan w:val="2"/>
          </w:tcPr>
          <w:p>
            <w:pPr>
              <w:jc w:val="center"/>
              <w:ind w:left="2812"/>
              <w:spacing w:after="0"/>
              <w:rPr>
                <w:sz w:val="20"/>
                <w:szCs w:val="20"/>
                <w:color w:val="auto"/>
              </w:rPr>
            </w:pPr>
            <w:r>
              <w:rPr>
                <w:rFonts w:ascii="Arial" w:cs="Arial" w:eastAsia="Arial" w:hAnsi="Arial"/>
                <w:sz w:val="18"/>
                <w:szCs w:val="18"/>
                <w:b w:val="1"/>
                <w:bCs w:val="1"/>
                <w:color w:val="auto"/>
                <w:w w:val="89"/>
              </w:rPr>
              <w:t>(Unaudited)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March 1,</w:t>
            </w:r>
          </w:p>
        </w:tc>
        <w:tc>
          <w:tcPr>
            <w:tcW w:w="240" w:type="dxa"/>
            <w:vAlign w:val="bottom"/>
          </w:tcPr>
          <w:p>
            <w:pPr>
              <w:spacing w:after="0"/>
              <w:rPr>
                <w:sz w:val="24"/>
                <w:szCs w:val="2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850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Pr>
          <w:p>
            <w:pPr>
              <w:spacing w:after="0"/>
              <w:rPr>
                <w:sz w:val="15"/>
                <w:szCs w:val="15"/>
                <w:color w:val="auto"/>
              </w:rPr>
            </w:pPr>
          </w:p>
        </w:tc>
        <w:tc>
          <w:tcPr>
            <w:tcW w:w="980" w:type="dxa"/>
            <w:vAlign w:val="bottom"/>
          </w:tcPr>
          <w:p>
            <w:pPr>
              <w:jc w:val="right"/>
              <w:ind w:right="43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33"/>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500" w:type="dxa"/>
            <w:vAlign w:val="bottom"/>
            <w:gridSpan w:val="3"/>
            <w:vMerge w:val="restart"/>
          </w:tcPr>
          <w:p>
            <w:pPr>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5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Other operating expense (income), net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8500" w:type="dxa"/>
            <w:vAlign w:val="bottom"/>
            <w:gridSpan w:val="3"/>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0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non-operating income, net</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500" w:type="dxa"/>
            <w:vAlign w:val="bottom"/>
            <w:gridSpan w:val="3"/>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00" w:type="dxa"/>
            <w:vAlign w:val="bottom"/>
            <w:gridSpan w:val="3"/>
          </w:tcPr>
          <w:p>
            <w:pPr>
              <w:spacing w:after="0"/>
              <w:rPr>
                <w:sz w:val="20"/>
                <w:szCs w:val="20"/>
                <w:color w:val="auto"/>
              </w:rPr>
            </w:pPr>
            <w:r>
              <w:rPr>
                <w:rFonts w:ascii="Arial" w:cs="Arial" w:eastAsia="Arial" w:hAnsi="Arial"/>
                <w:sz w:val="18"/>
                <w:szCs w:val="18"/>
                <w:color w:val="auto"/>
              </w:rPr>
              <w:t>Income before income taxes and minority interest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(194.7)</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Minority interest in net income</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Discontinued PC operations, net of taxes and minority interest:</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from operations of PC business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Loss on disposal of PC business</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loss from discontinued PC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18"/>
        </w:trPr>
        <w:tc>
          <w:tcPr>
            <w:tcW w:w="8500" w:type="dxa"/>
            <w:vAlign w:val="bottom"/>
            <w:gridSpan w:val="3"/>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5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263.9</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Discontinued PC 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8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-10165715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-10165715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-10165715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-10165715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-9257030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-9257030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-9257030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-9257030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-8330565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-8330565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-8330565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-8330565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-6649720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-6649720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-5277485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-5277485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-5277485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-5277485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-5277485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-5277485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-4986020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-4986020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-4986020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-4986020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-4077335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-4077335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-4077335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-4077335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-3768725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-3768725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-3768725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-3768725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-3065145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-3065145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-3065145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-3065145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-2499360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-2499360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-2499360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-2499360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-1761490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-1761490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-1761490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-1761490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-1452880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-1452880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-1452880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-1452880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-544195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-544195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-544195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-544195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Discontinued PC operations</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880" w:type="dxa"/>
            <w:vAlign w:val="bottom"/>
            <w:gridSpan w:val="7"/>
          </w:tcPr>
          <w:p>
            <w:pPr>
              <w:jc w:val="center"/>
              <w:ind w:left="1412"/>
              <w:spacing w:after="0"/>
              <w:rPr>
                <w:sz w:val="20"/>
                <w:szCs w:val="20"/>
                <w:color w:val="auto"/>
              </w:rPr>
            </w:pPr>
            <w:r>
              <w:rPr>
                <w:rFonts w:ascii="Arial" w:cs="Arial" w:eastAsia="Arial" w:hAnsi="Arial"/>
                <w:sz w:val="18"/>
                <w:szCs w:val="18"/>
                <w:i w:val="1"/>
                <w:iCs w:val="1"/>
                <w:color w:val="auto"/>
                <w:w w:val="87"/>
              </w:rPr>
              <w:t>2000 amounts have been restated to reflect separately the discontinued PC operations.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jc w:val="center"/>
              <w:ind w:left="3212"/>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55"/>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80" w:type="dxa"/>
            <w:vAlign w:val="bottom"/>
          </w:tcPr>
          <w:p>
            <w:pPr>
              <w:jc w:val="center"/>
              <w:ind w:left="3212"/>
              <w:spacing w:after="0"/>
              <w:rPr>
                <w:sz w:val="20"/>
                <w:szCs w:val="20"/>
                <w:color w:val="auto"/>
              </w:rPr>
            </w:pPr>
            <w:r>
              <w:rPr>
                <w:rFonts w:ascii="Arial" w:cs="Arial" w:eastAsia="Arial" w:hAnsi="Arial"/>
                <w:sz w:val="18"/>
                <w:szCs w:val="18"/>
                <w:b w:val="1"/>
                <w:bCs w:val="1"/>
                <w:color w:val="auto"/>
                <w:w w:val="99"/>
              </w:rPr>
              <w:t>MICRON TECHNOLOGY,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jc w:val="center"/>
              <w:ind w:left="3232"/>
              <w:spacing w:after="0"/>
              <w:rPr>
                <w:sz w:val="20"/>
                <w:szCs w:val="20"/>
                <w:color w:val="auto"/>
              </w:rPr>
            </w:pPr>
            <w:r>
              <w:rPr>
                <w:rFonts w:ascii="Arial" w:cs="Arial" w:eastAsia="Arial" w:hAnsi="Arial"/>
                <w:sz w:val="18"/>
                <w:szCs w:val="18"/>
                <w:b w:val="1"/>
                <w:bCs w:val="1"/>
                <w:color w:val="auto"/>
                <w:w w:val="86"/>
              </w:rPr>
              <w:t>Consolidated Statements of Cash Flows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080" w:type="dxa"/>
            <w:vAlign w:val="bottom"/>
          </w:tcPr>
          <w:p>
            <w:pPr>
              <w:jc w:val="center"/>
              <w:ind w:left="3212"/>
              <w:spacing w:after="0"/>
              <w:rPr>
                <w:sz w:val="20"/>
                <w:szCs w:val="20"/>
                <w:color w:val="auto"/>
              </w:rPr>
            </w:pPr>
            <w:r>
              <w:rPr>
                <w:rFonts w:ascii="Arial" w:cs="Arial" w:eastAsia="Arial" w:hAnsi="Arial"/>
                <w:sz w:val="18"/>
                <w:szCs w:val="18"/>
                <w:b w:val="1"/>
                <w:bCs w:val="1"/>
                <w:color w:val="auto"/>
                <w:w w:val="88"/>
              </w:rPr>
              <w:t>(Amounts in millions)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80" w:type="dxa"/>
            <w:vAlign w:val="bottom"/>
          </w:tcPr>
          <w:p>
            <w:pPr>
              <w:jc w:val="center"/>
              <w:ind w:left="3212"/>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For the six months ended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income from continuing operations to net cash provided by operating activities: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 tax effect from stock purchase plans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receivables, net of noncash reclassifications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80" w:type="dxa"/>
            <w:vAlign w:val="bottom"/>
          </w:tcPr>
          <w:p>
            <w:pPr>
              <w:ind w:left="640"/>
              <w:spacing w:after="0"/>
              <w:rPr>
                <w:sz w:val="20"/>
                <w:szCs w:val="20"/>
                <w:color w:val="auto"/>
              </w:rPr>
            </w:pPr>
            <w:r>
              <w:rPr>
                <w:rFonts w:ascii="Arial" w:cs="Arial" w:eastAsia="Arial" w:hAnsi="Arial"/>
                <w:sz w:val="18"/>
                <w:szCs w:val="18"/>
                <w:color w:val="auto"/>
              </w:rPr>
              <w:t>Increase in inventories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(316.3)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Increase (decrease) in accounts payable and accrued expenses, net of plant and equipment purchases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81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Purchase of available-for-sale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(1,475.3)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Purchase of held-to-maturity securities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18"/>
        </w:trPr>
        <w:tc>
          <w:tcPr>
            <w:tcW w:w="8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10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0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discontinued PC operations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8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00" w:type="dxa"/>
            <w:vAlign w:val="bottom"/>
            <w:gridSpan w:val="2"/>
          </w:tcPr>
          <w:p>
            <w:pPr>
              <w:spacing w:after="0"/>
              <w:rPr>
                <w:sz w:val="20"/>
                <w:szCs w:val="20"/>
                <w:color w:val="auto"/>
              </w:rPr>
            </w:pPr>
            <w:r>
              <w:rPr>
                <w:rFonts w:ascii="Arial" w:cs="Arial" w:eastAsia="Arial" w:hAnsi="Arial"/>
                <w:sz w:val="18"/>
                <w:szCs w:val="18"/>
                <w:color w:val="auto"/>
              </w:rPr>
              <w:t>Net increase (decrease) in cash and equivalents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10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Income taxes refunded (paid), net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(420.7)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Net conversion of notes to equity</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-9598660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-9598660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-9598660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-9598660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-7917815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-7917815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-6545580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-6545580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-6545580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-6545580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-6545580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-6545580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-4899025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-4899025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-4899025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-4899025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-3355340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-3355340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-3355340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-3355340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-2240915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-2240915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-2240915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-2240915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-1811655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-1811655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-1811655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-1811655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-1383030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-1383030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-1383030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-1383030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2000 amounts have been restated to reflect separately the discontinued PC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31" w:right="239" w:bottom="0" w:gutter="0" w:footer="0" w:header="0"/>
          <w:type w:val="continuous"/>
        </w:sectPr>
      </w:pPr>
    </w:p>
    <w:bookmarkStart w:id="4" w:name="page5"/>
    <w:bookmarkEnd w:id="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March 1,</w:t>
            </w: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March 2,</w:t>
            </w:r>
          </w:p>
        </w:tc>
      </w:tr>
      <w:tr>
        <w:trPr>
          <w:trHeight w:val="174"/>
        </w:trPr>
        <w:tc>
          <w:tcPr>
            <w:tcW w:w="8820" w:type="dxa"/>
            <w:vAlign w:val="bottom"/>
          </w:tcPr>
          <w:p>
            <w:pPr>
              <w:spacing w:after="0"/>
              <w:rPr>
                <w:sz w:val="20"/>
                <w:szCs w:val="20"/>
                <w:color w:val="auto"/>
              </w:rPr>
            </w:pPr>
            <w:r>
              <w:rPr>
                <w:rFonts w:ascii="Arial" w:cs="Arial" w:eastAsia="Arial" w:hAnsi="Arial"/>
                <w:sz w:val="14"/>
                <w:szCs w:val="14"/>
                <w:b w:val="1"/>
                <w:bCs w:val="1"/>
                <w:color w:val="auto"/>
              </w:rPr>
              <w:t>For the quarter ended</w:t>
            </w:r>
          </w:p>
        </w:tc>
        <w:tc>
          <w:tcPr>
            <w:tcW w:w="128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132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2000</w:t>
            </w:r>
          </w:p>
        </w:tc>
      </w:tr>
      <w:tr>
        <w:trPr>
          <w:trHeight w:val="105"/>
        </w:trPr>
        <w:tc>
          <w:tcPr>
            <w:tcW w:w="8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Unrealized gain (loss) on investments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(88.6)</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1,</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904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w:t>
            </w:r>
          </w:p>
        </w:tc>
        <w:tc>
          <w:tcPr>
            <w:tcW w:w="180" w:type="dxa"/>
            <w:vAlign w:val="bottom"/>
          </w:tcPr>
          <w:p>
            <w:pPr>
              <w:spacing w:after="0"/>
              <w:rPr>
                <w:sz w:val="15"/>
                <w:szCs w:val="15"/>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Unrealized gain (loss) on investments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comprehensive income, net of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-1437640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-1437640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-1437640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-1437640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-768985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-768985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-768985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-768985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-768985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-768985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-340360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-340360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-340360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-340360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(All tabular amounts are stated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Unaudited interim financial statements</w:t>
      </w:r>
    </w:p>
    <w:p>
      <w:pPr>
        <w:spacing w:after="0" w:line="231" w:lineRule="exact"/>
        <w:rPr>
          <w:sz w:val="20"/>
          <w:szCs w:val="20"/>
          <w:color w:val="auto"/>
        </w:rPr>
      </w:pPr>
    </w:p>
    <w:p>
      <w:pPr>
        <w:ind w:right="60" w:firstLine="176"/>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 Micron Technology, Inc. and its wholly-owned subsidiaries are collectively hereinafter referred to as "MTI." The Company's Web-hosting and discontinued personal computer ("PC") operations are operated through Micron Electronics, Inc. ("MEI"), an approximately 60% owned, publicly-traded subsidiary of MTI.</w:t>
      </w:r>
    </w:p>
    <w:p>
      <w:pPr>
        <w:spacing w:after="0" w:line="197" w:lineRule="exact"/>
        <w:rPr>
          <w:sz w:val="20"/>
          <w:szCs w:val="20"/>
          <w:color w:val="auto"/>
        </w:rPr>
      </w:pPr>
    </w:p>
    <w:p>
      <w:pPr>
        <w:jc w:val="both"/>
        <w:ind w:right="60" w:firstLine="166"/>
        <w:spacing w:after="0" w:line="306" w:lineRule="auto"/>
        <w:rPr>
          <w:sz w:val="20"/>
          <w:szCs w:val="20"/>
          <w:color w:val="auto"/>
        </w:rPr>
      </w:pPr>
      <w:r>
        <w:rPr>
          <w:rFonts w:ascii="Arial" w:cs="Arial" w:eastAsia="Arial" w:hAnsi="Arial"/>
          <w:sz w:val="16"/>
          <w:szCs w:val="16"/>
          <w:color w:val="auto"/>
        </w:rPr>
        <w:t>As a result of MEI's plan to discontinue its PC operations, the net assets (liabilities), results of operations and cash flows of the PC business have been reported separately as discontinued PC operations in the Company's consolidated financial statements and previously reported consolidated financial statements have been restated to present consistently the discontinued PC operations. (See "Note 6—Discontinued PC operations.")</w:t>
      </w:r>
    </w:p>
    <w:p>
      <w:pPr>
        <w:spacing w:after="0" w:line="161"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94" w:lineRule="exact"/>
        <w:rPr>
          <w:sz w:val="20"/>
          <w:szCs w:val="20"/>
          <w:color w:val="auto"/>
        </w:rPr>
      </w:pPr>
    </w:p>
    <w:p>
      <w:pPr>
        <w:ind w:right="40" w:firstLine="176"/>
        <w:spacing w:after="0" w:line="291" w:lineRule="auto"/>
        <w:rPr>
          <w:sz w:val="20"/>
          <w:szCs w:val="20"/>
          <w:color w:val="auto"/>
        </w:rPr>
      </w:pPr>
      <w:r>
        <w:rPr>
          <w:rFonts w:ascii="Arial" w:cs="Arial" w:eastAsia="Arial" w:hAnsi="Arial"/>
          <w:sz w:val="16"/>
          <w:szCs w:val="16"/>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the standard in the first quarter of 2001. The adoption did not have a significant impact on the Company's results of operations or financial position.</w:t>
      </w:r>
    </w:p>
    <w:p>
      <w:pPr>
        <w:spacing w:after="0" w:line="174" w:lineRule="exact"/>
        <w:rPr>
          <w:sz w:val="20"/>
          <w:szCs w:val="20"/>
          <w:color w:val="auto"/>
        </w:rPr>
      </w:pPr>
    </w:p>
    <w:p>
      <w:pPr>
        <w:ind w:right="220" w:firstLine="176"/>
        <w:spacing w:after="0" w:line="259" w:lineRule="auto"/>
        <w:rPr>
          <w:sz w:val="20"/>
          <w:szCs w:val="20"/>
          <w:color w:val="auto"/>
        </w:rPr>
      </w:pPr>
      <w:r>
        <w:rPr>
          <w:rFonts w:ascii="Arial" w:cs="Arial" w:eastAsia="Arial" w:hAnsi="Arial"/>
          <w:sz w:val="18"/>
          <w:szCs w:val="18"/>
          <w:color w:val="auto"/>
        </w:rPr>
        <w:t>SAB No. 101 summarizes certain views of the SEC staff in applying generally accepted accounting principles to revenue recognition in financial statements. Adoption is required for the Company by the fourth quarter of 2001. The implementation of SAB No. 101 is not expected to have a significant impact on the Company's future results of operations or financial position.</w:t>
      </w:r>
    </w:p>
    <w:p>
      <w:pPr>
        <w:spacing w:after="0" w:line="194" w:lineRule="exact"/>
        <w:rPr>
          <w:sz w:val="20"/>
          <w:szCs w:val="20"/>
          <w:color w:val="auto"/>
        </w:rPr>
      </w:pPr>
    </w:p>
    <w:p>
      <w:pPr>
        <w:ind w:right="120" w:firstLine="172"/>
        <w:spacing w:after="0" w:line="268" w:lineRule="auto"/>
        <w:rPr>
          <w:sz w:val="20"/>
          <w:szCs w:val="20"/>
          <w:color w:val="auto"/>
        </w:rPr>
      </w:pPr>
      <w:r>
        <w:rPr>
          <w:rFonts w:ascii="Arial" w:cs="Arial" w:eastAsia="Arial" w:hAnsi="Arial"/>
          <w:sz w:val="18"/>
          <w:szCs w:val="18"/>
          <w:color w:val="auto"/>
        </w:rPr>
        <w:t>These unaudited interim financial statements should be read in conjunction with the consolidated financial statements and accompanying notes included in the Company's Form 10-K for the year ended August 31, 2000.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balance sheet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46"/>
              <w:spacing w:after="0"/>
              <w:rPr>
                <w:sz w:val="20"/>
                <w:szCs w:val="20"/>
                <w:color w:val="auto"/>
              </w:rPr>
            </w:pPr>
            <w:r>
              <w:rPr>
                <w:rFonts w:ascii="Arial" w:cs="Arial" w:eastAsia="Arial" w:hAnsi="Arial"/>
                <w:sz w:val="14"/>
                <w:szCs w:val="14"/>
                <w:b w:val="1"/>
                <w:bCs w:val="1"/>
                <w:color w:val="auto"/>
                <w:w w:val="94"/>
              </w:rPr>
              <w:t>March 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830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2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Trade receivables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430.4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-459740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-459740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-459740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-459740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-459740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-459740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 receivable</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Receivables from joint ventures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Allowance for returns and discounts</w:t>
            </w:r>
          </w:p>
        </w:tc>
        <w:tc>
          <w:tcPr>
            <w:tcW w:w="3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118"/>
        </w:trPr>
        <w:tc>
          <w:tcPr>
            <w:tcW w:w="85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5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1,413.1</w:t>
            </w:r>
          </w:p>
        </w:tc>
        <w:tc>
          <w:tcPr>
            <w:tcW w:w="120" w:type="dxa"/>
            <w:vAlign w:val="bottom"/>
          </w:tcPr>
          <w:p>
            <w:pPr>
              <w:spacing w:after="0"/>
              <w:rPr>
                <w:sz w:val="24"/>
                <w:szCs w:val="24"/>
                <w:color w:val="auto"/>
              </w:rPr>
            </w:pPr>
          </w:p>
        </w:tc>
      </w:tr>
      <w:tr>
        <w:trPr>
          <w:trHeight w:val="107"/>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85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59"/>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Finished goods</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662.4</w:t>
            </w:r>
          </w:p>
        </w:tc>
        <w:tc>
          <w:tcPr>
            <w:tcW w:w="2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Raw materials and supplies</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obsolescence</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118"/>
        </w:trPr>
        <w:tc>
          <w:tcPr>
            <w:tcW w:w="85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5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1,141.1</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688.6</w:t>
            </w:r>
          </w:p>
        </w:tc>
        <w:tc>
          <w:tcPr>
            <w:tcW w:w="120" w:type="dxa"/>
            <w:vAlign w:val="bottom"/>
          </w:tcPr>
          <w:p>
            <w:pPr>
              <w:spacing w:after="0"/>
              <w:rPr>
                <w:sz w:val="24"/>
                <w:szCs w:val="24"/>
                <w:color w:val="auto"/>
              </w:rPr>
            </w:pPr>
          </w:p>
        </w:tc>
      </w:tr>
      <w:tr>
        <w:trPr>
          <w:trHeight w:val="107"/>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85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459"/>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Land</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5,360.5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4,795.5</w:t>
            </w: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c>
          <w:tcPr>
            <w:tcW w:w="12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Software</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9"/>
                <w:szCs w:val="19"/>
                <w:color w:val="auto"/>
              </w:rPr>
            </w:pPr>
          </w:p>
        </w:tc>
      </w:tr>
      <w:tr>
        <w:trPr>
          <w:trHeight w:val="112"/>
        </w:trPr>
        <w:tc>
          <w:tcPr>
            <w:tcW w:w="85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6,953.7</w:t>
            </w:r>
          </w:p>
        </w:tc>
        <w:tc>
          <w:tcPr>
            <w:tcW w:w="12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(3,084.8)</w:t>
            </w:r>
          </w:p>
        </w:tc>
        <w:tc>
          <w:tcPr>
            <w:tcW w:w="4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(2,781.4)</w:t>
            </w:r>
          </w:p>
        </w:tc>
      </w:tr>
      <w:tr>
        <w:trPr>
          <w:trHeight w:val="112"/>
        </w:trPr>
        <w:tc>
          <w:tcPr>
            <w:tcW w:w="85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5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4,172.3</w:t>
            </w:r>
          </w:p>
        </w:tc>
        <w:tc>
          <w:tcPr>
            <w:tcW w:w="120" w:type="dxa"/>
            <w:vAlign w:val="bottom"/>
            <w:shd w:val="clear" w:color="auto" w:fill="CCEEFF"/>
          </w:tcPr>
          <w:p>
            <w:pPr>
              <w:spacing w:after="0"/>
              <w:rPr>
                <w:sz w:val="18"/>
                <w:szCs w:val="18"/>
                <w:color w:val="auto"/>
              </w:rPr>
            </w:pPr>
          </w:p>
        </w:tc>
      </w:tr>
      <w:tr>
        <w:trPr>
          <w:trHeight w:val="105"/>
        </w:trPr>
        <w:tc>
          <w:tcPr>
            <w:tcW w:w="8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85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-3496310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-3496310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-3496310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-3496310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-2192655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-2192655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-2192655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-2192655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-751840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-751840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-751840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166"/>
        <w:spacing w:after="0" w:line="255" w:lineRule="auto"/>
        <w:rPr>
          <w:sz w:val="20"/>
          <w:szCs w:val="20"/>
          <w:color w:val="auto"/>
        </w:rPr>
      </w:pPr>
      <w:r>
        <w:rPr>
          <w:rFonts w:ascii="Arial" w:cs="Arial" w:eastAsia="Arial" w:hAnsi="Arial"/>
          <w:sz w:val="18"/>
          <w:szCs w:val="18"/>
          <w:color w:val="auto"/>
        </w:rPr>
        <w:t>As of March 1, 2001, property, plant and equipment included total costs of $1,133.4 million for the Company's semiconductor memory manufacturing facility in Lehi, Utah, of which $611.4 million relates to construction in progress that has not been placed in service and is not being depreciated. Timing for completion of the Lehi facility is dependent upon market conditions, including, but not limited to, worldwide market supply of and demand for semiconductor products and the Company's operations, cash flows and alternative uses of capital. The Company continues to evaluate the carrying value of the facility and as of March 1, 2001, it was determined there was no impairment.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60" w:firstLine="176"/>
        <w:spacing w:after="0" w:line="268" w:lineRule="auto"/>
        <w:rPr>
          <w:sz w:val="20"/>
          <w:szCs w:val="20"/>
          <w:color w:val="auto"/>
        </w:rPr>
      </w:pPr>
      <w:r>
        <w:rPr>
          <w:rFonts w:ascii="Arial" w:cs="Arial" w:eastAsia="Arial" w:hAnsi="Arial"/>
          <w:sz w:val="18"/>
          <w:szCs w:val="18"/>
          <w:color w:val="auto"/>
        </w:rPr>
        <w:t>Depreciation expense was $255.4 million and $505.9 million, respectively, for the second quarter and first six months of 2001, and $220.4 million and $428.1 million for the second quarter and first six months of 2000,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1,</w:t>
            </w: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548.2</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647.3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Taxes payable other than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84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7"/>
              </w:rPr>
              <w:t>Convertible subordinated notes payable, due October 2005, with an effective yield to maturity of 8.4%, net of</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of $56.2 million</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5"/>
              </w:rPr>
              <w:t>Subordinated notes payable, due October 2005, with an effective yield to maturity of 10.7%, net of unamortized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discount of $30.7 million and $33.3 million, 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88"/>
              </w:rPr>
              <w:t>Notes payable in periodic installments through July 2015, weighted average interest rate of 7.2% and 7.3%,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Capitalized lease obligations payable in monthly installments through August 2004, weighted average interest rate of</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60" w:type="dxa"/>
            <w:vAlign w:val="bottom"/>
            <w:gridSpan w:val="2"/>
          </w:tcPr>
          <w:p>
            <w:pPr>
              <w:spacing w:after="0"/>
              <w:rPr>
                <w:sz w:val="20"/>
                <w:szCs w:val="20"/>
                <w:color w:val="auto"/>
              </w:rPr>
            </w:pPr>
            <w:r>
              <w:rPr>
                <w:rFonts w:ascii="Arial" w:cs="Arial" w:eastAsia="Arial" w:hAnsi="Arial"/>
                <w:sz w:val="18"/>
                <w:szCs w:val="18"/>
                <w:color w:val="auto"/>
              </w:rPr>
              <w:t>7.4% and 7.4%, respectively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-3444875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-3444875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-3444875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-3444875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-3444875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-3444875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-2466975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-2466975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-2466975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-2466975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-751840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-751840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-751840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-751840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172"/>
        <w:spacing w:after="0" w:line="268" w:lineRule="auto"/>
        <w:rPr>
          <w:sz w:val="20"/>
          <w:szCs w:val="20"/>
          <w:color w:val="auto"/>
        </w:rPr>
      </w:pPr>
      <w:r>
        <w:rPr>
          <w:rFonts w:ascii="Arial" w:cs="Arial" w:eastAsia="Arial" w:hAnsi="Arial"/>
          <w:sz w:val="18"/>
          <w:szCs w:val="18"/>
          <w:color w:val="auto"/>
        </w:rPr>
        <w:t>The convertible subordinated notes due October 2005 were converted into approximately 24.7 million shares of the Company's common stock on October 10, 2000. The subordinated notes due October 2005 have a face value of $210 million and a stated interest rate of 6.5%.</w:t>
      </w:r>
    </w:p>
    <w:p>
      <w:pPr>
        <w:sectPr>
          <w:pgSz w:w="11900" w:h="16838" w:orient="portrait"/>
          <w:cols w:equalWidth="0" w:num="1">
            <w:col w:w="11420"/>
          </w:cols>
          <w:pgMar w:left="240" w:top="140" w:right="239" w:bottom="0" w:gutter="0" w:footer="0" w:header="0"/>
        </w:sectPr>
      </w:pPr>
    </w:p>
    <w:bookmarkStart w:id="6" w:name="page7"/>
    <w:bookmarkEnd w:id="6"/>
    <w:p>
      <w:pPr>
        <w:ind w:left="180"/>
        <w:spacing w:after="0"/>
        <w:rPr>
          <w:sz w:val="20"/>
          <w:szCs w:val="20"/>
          <w:color w:val="auto"/>
        </w:rPr>
      </w:pPr>
      <w:r>
        <w:rPr>
          <w:rFonts w:ascii="Arial" w:cs="Arial" w:eastAsia="Arial" w:hAnsi="Arial"/>
          <w:sz w:val="16"/>
          <w:szCs w:val="16"/>
          <w:color w:val="auto"/>
        </w:rPr>
        <w:t>MEI terminated its unsecured credit agreement effective March 28, 2001. As of March 1, 2001, MEI had no borrowings outstanding under the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operating expense, net</w:t>
      </w:r>
    </w:p>
    <w:p>
      <w:pPr>
        <w:spacing w:after="0" w:line="231" w:lineRule="exact"/>
        <w:rPr>
          <w:sz w:val="20"/>
          <w:szCs w:val="20"/>
          <w:color w:val="auto"/>
        </w:rPr>
      </w:pPr>
    </w:p>
    <w:p>
      <w:pPr>
        <w:ind w:right="40" w:firstLine="176"/>
        <w:spacing w:after="0" w:line="268" w:lineRule="auto"/>
        <w:rPr>
          <w:sz w:val="20"/>
          <w:szCs w:val="20"/>
          <w:color w:val="auto"/>
        </w:rPr>
      </w:pPr>
      <w:r>
        <w:rPr>
          <w:rFonts w:ascii="Arial" w:cs="Arial" w:eastAsia="Arial" w:hAnsi="Arial"/>
          <w:sz w:val="18"/>
          <w:szCs w:val="18"/>
          <w:color w:val="auto"/>
        </w:rPr>
        <w:t>Other operating expense for the second quarter and first six months of 2000 includes net pre-tax losses of $7.1 million and $25.3 million, respectively, from the write-downs and disposals of semiconductor operations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non-operating income, net</w:t>
      </w:r>
    </w:p>
    <w:p>
      <w:pPr>
        <w:spacing w:after="0" w:line="231" w:lineRule="exact"/>
        <w:rPr>
          <w:sz w:val="20"/>
          <w:szCs w:val="20"/>
          <w:color w:val="auto"/>
        </w:rPr>
      </w:pPr>
    </w:p>
    <w:p>
      <w:pPr>
        <w:ind w:right="500" w:firstLine="176"/>
        <w:spacing w:after="0" w:line="259" w:lineRule="auto"/>
        <w:rPr>
          <w:sz w:val="20"/>
          <w:szCs w:val="20"/>
          <w:color w:val="auto"/>
        </w:rPr>
      </w:pPr>
      <w:r>
        <w:rPr>
          <w:rFonts w:ascii="Arial" w:cs="Arial" w:eastAsia="Arial" w:hAnsi="Arial"/>
          <w:sz w:val="18"/>
          <w:szCs w:val="18"/>
          <w:color w:val="auto"/>
        </w:rPr>
        <w:t>Other non-operating income for the first six months of 2001 includes a $4.5 million gain on MEI's sale of its remaining interest in MCMS, Inc., formerly Micron Custom Manufacturing Services and a wholly owned subsidiary of MEI. Other non-operating income for the first six months of 2000 includes a $9.7 million gain on the contribution by MTI of 1.9 million shares of MEI common stock to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Micron Technology Foundation. Selling, general and administrative expense in the first six months of 2000 includes an $18.7 million charge for the value of the stock contributed.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provision (benefit)</w:t>
      </w:r>
    </w:p>
    <w:p>
      <w:pPr>
        <w:spacing w:after="0" w:line="231" w:lineRule="exact"/>
        <w:rPr>
          <w:sz w:val="20"/>
          <w:szCs w:val="20"/>
          <w:color w:val="auto"/>
        </w:rPr>
      </w:pPr>
    </w:p>
    <w:p>
      <w:pPr>
        <w:ind w:right="40" w:firstLine="172"/>
        <w:spacing w:after="0" w:line="259" w:lineRule="auto"/>
        <w:rPr>
          <w:sz w:val="20"/>
          <w:szCs w:val="20"/>
          <w:color w:val="auto"/>
        </w:rPr>
      </w:pPr>
      <w:r>
        <w:rPr>
          <w:rFonts w:ascii="Arial" w:cs="Arial" w:eastAsia="Arial" w:hAnsi="Arial"/>
          <w:sz w:val="18"/>
          <w:szCs w:val="18"/>
          <w:color w:val="auto"/>
        </w:rPr>
        <w:t>The Company's expected effective tax rate for its continuing operations is approximately 35% for 2001, which primarily reflects the statutory corporate income tax rate and the net effect of state taxation. In addition, the Company's consolidated effective tax rate may vary from period to period due to taxes on earnings or losses of domestic subsidiaries not consolidated for tax purposes and certain foreign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PC operations</w:t>
      </w:r>
    </w:p>
    <w:p>
      <w:pPr>
        <w:spacing w:after="0" w:line="231" w:lineRule="exact"/>
        <w:rPr>
          <w:sz w:val="20"/>
          <w:szCs w:val="20"/>
          <w:color w:val="auto"/>
        </w:rPr>
      </w:pPr>
    </w:p>
    <w:p>
      <w:pPr>
        <w:ind w:right="260" w:firstLine="176"/>
        <w:spacing w:after="0" w:line="332" w:lineRule="auto"/>
        <w:rPr>
          <w:sz w:val="20"/>
          <w:szCs w:val="20"/>
          <w:color w:val="auto"/>
        </w:rPr>
      </w:pPr>
      <w:r>
        <w:rPr>
          <w:rFonts w:ascii="Arial" w:cs="Arial" w:eastAsia="Arial" w:hAnsi="Arial"/>
          <w:sz w:val="16"/>
          <w:szCs w:val="16"/>
          <w:color w:val="auto"/>
        </w:rPr>
        <w:t>On March 23, 2001, MEI entered into a non-binding letter of intent to sell its PC business to a private technology equity investment firm. The sale of the PC business is expected to take place during the second half of 2001. Summary operating results for the discontinued PC operations follow: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5"/>
                <w:szCs w:val="15"/>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1,</w:t>
            </w: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2,</w:t>
            </w:r>
          </w:p>
        </w:tc>
        <w:tc>
          <w:tcPr>
            <w:tcW w:w="18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1,</w:t>
            </w: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5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00" w:type="dxa"/>
            <w:vAlign w:val="bottom"/>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Loss from operations of PC business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of PC business, net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Loss on disposal of PC business</w:t>
            </w: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1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Estimated operating losses during phase-out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50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Loss on disposal of PC business, net</w:t>
            </w: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(55.4)</w:t>
            </w:r>
          </w:p>
        </w:tc>
        <w:tc>
          <w:tcPr>
            <w:tcW w:w="18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Loss on discontinued PC operations,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-2827020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-2827020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-2827020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-2827020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-2484120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-2484120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-2484120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-2484120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-2484120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-2484120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-2484120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-2484120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-1609090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-1609090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-1609090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-1609090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-1609090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-1609090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-1609090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-1609090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-1317625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-1317625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-1317625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-1317625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-1317625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-1317625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-1317625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-1317625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-614680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-614680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-614680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-614680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-614680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-614680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-614680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-614680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-323215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172"/>
        <w:spacing w:after="0" w:line="268" w:lineRule="auto"/>
        <w:rPr>
          <w:sz w:val="20"/>
          <w:szCs w:val="20"/>
          <w:color w:val="auto"/>
        </w:rPr>
      </w:pPr>
      <w:r>
        <w:rPr>
          <w:rFonts w:ascii="Arial" w:cs="Arial" w:eastAsia="Arial" w:hAnsi="Arial"/>
          <w:sz w:val="18"/>
          <w:szCs w:val="18"/>
          <w:color w:val="auto"/>
        </w:rPr>
        <w:t>The estimated operating losses during the phase-out period shown in the summary above are the estimated operating losses of the PC business from March 2, 2001, through the anticipated disposal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Summarized balance sheet information for the discontinued PC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August 31,</w:t>
            </w:r>
          </w:p>
        </w:tc>
        <w:tc>
          <w:tcPr>
            <w:tcW w:w="0" w:type="dxa"/>
            <w:vAlign w:val="bottom"/>
          </w:tcPr>
          <w:p>
            <w:pPr>
              <w:spacing w:after="0"/>
              <w:rPr>
                <w:sz w:val="1"/>
                <w:szCs w:val="1"/>
                <w:color w:val="auto"/>
              </w:rPr>
            </w:pPr>
          </w:p>
        </w:tc>
      </w:tr>
      <w:tr>
        <w:trPr>
          <w:trHeight w:val="174"/>
        </w:trPr>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4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-1626235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-1626235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-1626235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-1626235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-1626235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-1626235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-1060450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-1060450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-1060450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-1060450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-751840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-751840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-751840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-751840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-323215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8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(liabilities) of discontinued PC operations</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8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-323215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-323215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31"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Basic earnings per share is calculated using the weighted average number of shares outstanding during the period. Diluted earnings per share incorporates the additional shares issued from the assumed exercise of outstanding stock options using the "treasury stock" method and conversion of convertible debentures using the "if-converted" method, when dilutive. Diluted earnings per share also incorporates an adjustment to net income to exclude the after-tax effect of interest expense that would have been avoided from the assumed conversion of convertible debentures which amounted to $3.0 million for the first six months of 2001 and $25.5 million for the first six months of 2000. Net income per diluted earnings per share did not incorporate an adjustment for the assumed conversion of convertible debentures in the second quarter of 2000 because it would be antidilutive.</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reconciliation of the number of common shares outstanding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184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18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March 1,</w:t>
            </w:r>
          </w:p>
        </w:tc>
        <w:tc>
          <w:tcPr>
            <w:tcW w:w="200" w:type="dxa"/>
            <w:vAlign w:val="bottom"/>
          </w:tcPr>
          <w:p>
            <w:pPr>
              <w:spacing w:after="0"/>
              <w:rPr>
                <w:sz w:val="20"/>
                <w:szCs w:val="20"/>
                <w:color w:val="auto"/>
              </w:rPr>
            </w:pP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March 2,</w:t>
            </w:r>
          </w:p>
        </w:tc>
        <w:tc>
          <w:tcPr>
            <w:tcW w:w="200" w:type="dxa"/>
            <w:vAlign w:val="bottom"/>
          </w:tcPr>
          <w:p>
            <w:pPr>
              <w:spacing w:after="0"/>
              <w:rPr>
                <w:sz w:val="20"/>
                <w:szCs w:val="20"/>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820" w:type="dxa"/>
            <w:vAlign w:val="bottom"/>
          </w:tcPr>
          <w:p>
            <w:pPr>
              <w:jc w:val="right"/>
              <w:ind w:right="201"/>
              <w:spacing w:after="0"/>
              <w:rPr>
                <w:sz w:val="20"/>
                <w:szCs w:val="20"/>
                <w:color w:val="auto"/>
              </w:rPr>
            </w:pPr>
            <w:r>
              <w:rPr>
                <w:rFonts w:ascii="Arial" w:cs="Arial" w:eastAsia="Arial" w:hAnsi="Arial"/>
                <w:sz w:val="14"/>
                <w:szCs w:val="14"/>
                <w:b w:val="1"/>
                <w:bCs w:val="1"/>
                <w:color w:val="auto"/>
              </w:rPr>
              <w:t>2001</w:t>
            </w:r>
          </w:p>
        </w:tc>
        <w:tc>
          <w:tcPr>
            <w:tcW w:w="10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2000</w:t>
            </w: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10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outstanding—Basic</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effect of dilutive 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effect of dilutive convertible subordinated notes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520" w:type="dxa"/>
            <w:vAlign w:val="bottom"/>
            <w:gridSpan w:val="2"/>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20" w:type="dxa"/>
            <w:vAlign w:val="bottom"/>
            <w:gridSpan w:val="2"/>
          </w:tcPr>
          <w:p>
            <w:pPr>
              <w:spacing w:after="0"/>
              <w:rPr>
                <w:sz w:val="20"/>
                <w:szCs w:val="20"/>
                <w:color w:val="auto"/>
              </w:rPr>
            </w:pPr>
            <w:r>
              <w:rPr>
                <w:rFonts w:ascii="Arial" w:cs="Arial" w:eastAsia="Arial" w:hAnsi="Arial"/>
                <w:sz w:val="18"/>
                <w:szCs w:val="18"/>
                <w:color w:val="auto"/>
              </w:rPr>
              <w:t>Adjusted weighted average common stock—Diluted</w:t>
            </w:r>
          </w:p>
        </w:tc>
        <w:tc>
          <w:tcPr>
            <w:tcW w:w="820" w:type="dxa"/>
            <w:vAlign w:val="bottom"/>
          </w:tcPr>
          <w:p>
            <w:pPr>
              <w:jc w:val="right"/>
              <w:spacing w:after="0"/>
              <w:rPr>
                <w:sz w:val="20"/>
                <w:szCs w:val="20"/>
                <w:color w:val="auto"/>
              </w:rPr>
            </w:pPr>
            <w:r>
              <w:rPr>
                <w:rFonts w:ascii="Arial" w:cs="Arial" w:eastAsia="Arial" w:hAnsi="Arial"/>
                <w:sz w:val="18"/>
                <w:szCs w:val="18"/>
                <w:color w:val="auto"/>
              </w:rPr>
              <w:t>593.8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609.1</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-1231900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-1231900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-1231900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-889000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-889000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-889000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-889000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-889000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-889000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-889000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-323215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-323215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172"/>
        <w:spacing w:after="0" w:line="268" w:lineRule="auto"/>
        <w:rPr>
          <w:sz w:val="20"/>
          <w:szCs w:val="20"/>
          <w:color w:val="auto"/>
        </w:rPr>
      </w:pPr>
      <w:r>
        <w:rPr>
          <w:rFonts w:ascii="Arial" w:cs="Arial" w:eastAsia="Arial" w:hAnsi="Arial"/>
          <w:sz w:val="18"/>
          <w:szCs w:val="18"/>
          <w:color w:val="auto"/>
        </w:rPr>
        <w:t>The average shares listed below were not included in the computation of diluted earnings per share because to do so would have been antidilutive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4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188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0" w:type="dxa"/>
            <w:vAlign w:val="bottom"/>
          </w:tcPr>
          <w:p>
            <w:pPr>
              <w:jc w:val="right"/>
              <w:ind w:right="62"/>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20"/>
                <w:szCs w:val="20"/>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rPr>
              <w:t>March 2,</w:t>
            </w:r>
          </w:p>
        </w:tc>
        <w:tc>
          <w:tcPr>
            <w:tcW w:w="200" w:type="dxa"/>
            <w:vAlign w:val="bottom"/>
          </w:tcPr>
          <w:p>
            <w:pPr>
              <w:spacing w:after="0"/>
              <w:rPr>
                <w:sz w:val="20"/>
                <w:szCs w:val="20"/>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5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2001</w:t>
            </w:r>
          </w:p>
        </w:tc>
        <w:tc>
          <w:tcPr>
            <w:tcW w:w="10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2000</w:t>
            </w:r>
          </w:p>
        </w:tc>
        <w:tc>
          <w:tcPr>
            <w:tcW w:w="10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2001</w:t>
            </w:r>
          </w:p>
        </w:tc>
        <w:tc>
          <w:tcPr>
            <w:tcW w:w="104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8.4% convertible subordinated notes payable due 2005</w:t>
            </w:r>
          </w:p>
        </w:tc>
        <w:tc>
          <w:tcPr>
            <w:tcW w:w="2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7.0% convertible subordinated notes payable due 2004</w:t>
            </w:r>
          </w:p>
        </w:tc>
        <w:tc>
          <w:tcPr>
            <w:tcW w:w="2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780" w:type="dxa"/>
            <w:vAlign w:val="bottom"/>
          </w:tcPr>
          <w:p>
            <w:pPr>
              <w:jc w:val="right"/>
              <w:ind w:right="1639"/>
              <w:spacing w:after="0"/>
              <w:rPr>
                <w:sz w:val="20"/>
                <w:szCs w:val="20"/>
                <w:color w:val="auto"/>
              </w:rPr>
            </w:pPr>
            <w:r>
              <w:rPr>
                <w:rFonts w:ascii="Arial" w:cs="Arial" w:eastAsia="Arial" w:hAnsi="Arial"/>
                <w:sz w:val="18"/>
                <w:szCs w:val="18"/>
                <w:color w:val="auto"/>
              </w:rPr>
              <w:t>11</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-1108710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-1108710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-1108710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-1108710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-765810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-765810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-765810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-765810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-765810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-765810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-765810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-765810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Joint ventures</w:t>
      </w:r>
    </w:p>
    <w:p>
      <w:pPr>
        <w:spacing w:after="0" w:line="231" w:lineRule="exact"/>
        <w:rPr>
          <w:sz w:val="20"/>
          <w:szCs w:val="20"/>
          <w:color w:val="auto"/>
        </w:rPr>
      </w:pPr>
    </w:p>
    <w:p>
      <w:pPr>
        <w:ind w:right="200" w:firstLine="176"/>
        <w:spacing w:after="0" w:line="253" w:lineRule="auto"/>
        <w:rPr>
          <w:sz w:val="20"/>
          <w:szCs w:val="20"/>
          <w:color w:val="auto"/>
        </w:rPr>
      </w:pPr>
      <w:r>
        <w:rPr>
          <w:rFonts w:ascii="Arial" w:cs="Arial" w:eastAsia="Arial" w:hAnsi="Arial"/>
          <w:sz w:val="18"/>
          <w:szCs w:val="18"/>
          <w:color w:val="auto"/>
        </w:rPr>
        <w:t>MTI participates in two memory manufacturing joint ventures: TECH Semiconductor Singapore Pte. Ltd. ("TECH") and KMT Semiconductor Limited ("KMT"). TECH, which operates in Singapore, is a joint venture between MTI, the Singapore Economic Development Board, Canon Inc. and Hewlett-Packard Company. KMT, which operates in Japan, is a joint venture between MTI and Kobe Steel, Ltd. TECH and KMT are collectively referred to herein as the "JVs." MTI has executed an acquisition agreement to purchase Kobe Steel's 75% equity interest in KMT for $25 million. In conjunction with the acquisition, it is anticipated that MTI will repay, assume or refinance all of KMT's debt, projected to approximate $300 million at closing. Upon closing of the acquisition, expected to occur at the end of April 2001, KMT will become a wholly-owned subsidiary of MTI. The consolidated financial statements do not reflect MTI's proposed transaction with Kobe Steel.</w:t>
      </w:r>
    </w:p>
    <w:p>
      <w:pPr>
        <w:spacing w:after="0" w:line="201"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Subject to certain terms and conditions, MTI has agreed to purchase all of the JVs' production. MTI purchases semiconductor memory products from the JVs at prices generally determined quarterly based on a discount from MTI's average selling prices. MTI is a party to various agreements with the JVs whereby MTI provides technology, engineering support and training to assist the JVs in operating advanced wafer fabrication facilities to produce MTI DRAM products. MTI also performs assembly and test services on product manufactured by the JVs. The net cost of products purchased from the JVs, amounting to $115.3 million for KMT and $260.4 million for TECH for the second quarter of 2001 and $257.6 million for KMT and $581.1 million for TECH for the first six months of 2001. The net cost of products purchase from the JVs amounted to $147.1 million for KMT and $187.6 million for TECH for the second quarter of 2000 and $260.7 million and $249.9 million for the first six months of 2000.</w:t>
      </w:r>
    </w:p>
    <w:p>
      <w:pPr>
        <w:spacing w:after="0" w:line="172" w:lineRule="exact"/>
        <w:rPr>
          <w:sz w:val="20"/>
          <w:szCs w:val="20"/>
          <w:color w:val="auto"/>
        </w:rPr>
      </w:pPr>
    </w:p>
    <w:p>
      <w:pPr>
        <w:ind w:right="40" w:firstLine="176"/>
        <w:spacing w:after="0" w:line="294" w:lineRule="auto"/>
        <w:rPr>
          <w:sz w:val="20"/>
          <w:szCs w:val="20"/>
          <w:color w:val="auto"/>
        </w:rPr>
      </w:pPr>
      <w:r>
        <w:rPr>
          <w:rFonts w:ascii="Arial" w:cs="Arial" w:eastAsia="Arial" w:hAnsi="Arial"/>
          <w:sz w:val="16"/>
          <w:szCs w:val="16"/>
          <w:color w:val="auto"/>
        </w:rPr>
        <w:t>MTI amortizes the value of the JV supply arrangements on a straight-line basis over the remaining contractual life of the shareholder agreements. Amortization expense resulting from the JV supply arrangements, included in the cost of product purchased from the JVs, was $2.9 and $5.8 million for the second quarter and first six months of 2001 and was $0.6 million and $1.3 million for the second quarter and first six months of 2000, respectively. Receivables from KMT and TECH were $11.4 million and $18.0 million and payables were $89.2 million and $106.1 million, respectively, as of March 1, 2001. As of August 31, 2000, receivables from KMT and TECH were $12.6 million and $66.8 million and payables were $90.1 million and $89.3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Operating segment information</w:t>
      </w:r>
    </w:p>
    <w:p>
      <w:pPr>
        <w:spacing w:after="0" w:line="231" w:lineRule="exact"/>
        <w:rPr>
          <w:sz w:val="20"/>
          <w:szCs w:val="20"/>
          <w:color w:val="auto"/>
        </w:rPr>
      </w:pPr>
    </w:p>
    <w:p>
      <w:pPr>
        <w:ind w:right="600" w:firstLine="172"/>
        <w:spacing w:after="0" w:line="332" w:lineRule="auto"/>
        <w:rPr>
          <w:sz w:val="20"/>
          <w:szCs w:val="20"/>
          <w:color w:val="auto"/>
        </w:rPr>
      </w:pPr>
      <w:r>
        <w:rPr>
          <w:rFonts w:ascii="Arial" w:cs="Arial" w:eastAsia="Arial" w:hAnsi="Arial"/>
          <w:sz w:val="16"/>
          <w:szCs w:val="16"/>
          <w:color w:val="auto"/>
        </w:rPr>
        <w:t>The Company's reportable segments have been determined based on the nature of its operations and products offered to customers. The Company's two reportable segments are Semiconductor operations and Web-hosting operations. The Semiconductor operations primary product is DRAM.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Web-hosting operations primary products are internet access and web-hosting services. Segment operating results are measured based on operating income (loss).</w:t>
      </w:r>
    </w:p>
    <w:p>
      <w:pPr>
        <w:sectPr>
          <w:pgSz w:w="11900" w:h="16838" w:orient="portrait"/>
          <w:cols w:equalWidth="0" w:num="1">
            <w:col w:w="11420"/>
          </w:cols>
          <w:pgMar w:left="240" w:top="131"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5"/>
                <w:szCs w:val="15"/>
                <w:color w:val="auto"/>
              </w:rPr>
            </w:pPr>
          </w:p>
        </w:tc>
        <w:tc>
          <w:tcPr>
            <w:tcW w:w="25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1,</w:t>
            </w: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w:t>
            </w:r>
          </w:p>
        </w:tc>
        <w:tc>
          <w:tcPr>
            <w:tcW w:w="20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35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56"/>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76"/>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Semiconductor operations: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External</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1,045.9</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1,144.1</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Sales to discontinued PC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Web-hosting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9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80" w:type="dxa"/>
            <w:vAlign w:val="bottom"/>
            <w:gridSpan w:val="2"/>
          </w:tcPr>
          <w:p>
            <w:pPr>
              <w:spacing w:after="0"/>
              <w:rPr>
                <w:sz w:val="20"/>
                <w:szCs w:val="20"/>
                <w:color w:val="auto"/>
              </w:rPr>
            </w:pPr>
            <w:r>
              <w:rPr>
                <w:rFonts w:ascii="Arial" w:cs="Arial" w:eastAsia="Arial" w:hAnsi="Arial"/>
                <w:sz w:val="18"/>
                <w:szCs w:val="18"/>
                <w:color w:val="auto"/>
              </w:rPr>
              <w:t>Total consolidated net sales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1,065.7</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1,159.1</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2,637.3</w:t>
            </w:r>
          </w:p>
        </w:tc>
        <w:tc>
          <w:tcPr>
            <w:tcW w:w="2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2,502.8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9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Semiconductor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514.0</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Web-hosting operations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-3169920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-3169920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-3169920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-3169920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-2827020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-2827020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-2827020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-2827020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-2827020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-2827020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-2827020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-2827020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-2089785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-2089785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-2089785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-2089785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-2089785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-2089785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-2089785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-2089785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-1489075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-1489075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-1489075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-1489075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-1489075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-1489075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-1489075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-1489075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-323215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assets consist of cash, investments, accounts receivable, inventory and property, plant and equipment.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1,</w:t>
            </w:r>
          </w:p>
        </w:tc>
        <w:tc>
          <w:tcPr>
            <w:tcW w:w="22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assets as of</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Semiconductor operations</w:t>
            </w:r>
          </w:p>
        </w:tc>
        <w:tc>
          <w:tcPr>
            <w:tcW w:w="4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8,172.2</w:t>
            </w: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8,416.7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Web-hosting operations</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All other</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Elimination of intersegment</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to total assets</w:t>
            </w:r>
          </w:p>
        </w:tc>
        <w:tc>
          <w:tcPr>
            <w:tcW w:w="4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60" w:type="dxa"/>
            <w:vAlign w:val="bottom"/>
            <w:gridSpan w:val="2"/>
            <w:vMerge w:val="continue"/>
          </w:tcPr>
          <w:p>
            <w:pPr>
              <w:spacing w:after="0"/>
              <w:rPr>
                <w:sz w:val="5"/>
                <w:szCs w:val="5"/>
                <w:color w:val="auto"/>
              </w:rPr>
            </w:pPr>
          </w:p>
        </w:tc>
        <w:tc>
          <w:tcPr>
            <w:tcW w:w="43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426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4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Prepaid expenses</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Product and process technology</w:t>
            </w: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 of segment assets)</w:t>
            </w: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assets of discontinued PC operations</w:t>
            </w: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4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4300" w:type="dxa"/>
            <w:vAlign w:val="bottom"/>
            <w:vMerge w:val="restart"/>
          </w:tcPr>
          <w:p>
            <w:pPr>
              <w:jc w:val="right"/>
              <w:ind w:right="267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4300" w:type="dxa"/>
            <w:vAlign w:val="bottom"/>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-3372485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-3372485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-3372485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-3372485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-2669540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-2669540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-2669540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-2669540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-2240915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-2240915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-2240915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-2240915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-662940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-662940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-662940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-662940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ind w:right="40" w:firstLine="166"/>
        <w:spacing w:after="0" w:line="268" w:lineRule="auto"/>
        <w:rPr>
          <w:sz w:val="20"/>
          <w:szCs w:val="20"/>
          <w:color w:val="auto"/>
        </w:rPr>
      </w:pPr>
      <w:r>
        <w:rPr>
          <w:rFonts w:ascii="Arial" w:cs="Arial" w:eastAsia="Arial" w:hAnsi="Arial"/>
          <w:sz w:val="18"/>
          <w:szCs w:val="18"/>
          <w:color w:val="auto"/>
        </w:rPr>
        <w:t>As of March 1, 2001, the Company had commitments of approximately $1.0 billion for equipment purchases and software infrastructure and $269.3 million for the construction of buildings.</w:t>
      </w:r>
    </w:p>
    <w:p>
      <w:pPr>
        <w:spacing w:after="0" w:line="186"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of Rambus' patents. Lawsuits between Rambus and the Company are pending in the United States, Germany, France, the United Kingdom and Italy. The Company is unable to predict the outcome of these suits. A determination that our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affect on our business, results of operations or financial condition.</w:t>
      </w:r>
    </w:p>
    <w:p>
      <w:pPr>
        <w:spacing w:after="0" w:line="174" w:lineRule="exact"/>
        <w:rPr>
          <w:sz w:val="20"/>
          <w:szCs w:val="20"/>
          <w:color w:val="auto"/>
        </w:rPr>
      </w:pPr>
    </w:p>
    <w:p>
      <w:pPr>
        <w:ind w:right="180" w:firstLine="172"/>
        <w:spacing w:after="0" w:line="259" w:lineRule="auto"/>
        <w:rPr>
          <w:sz w:val="20"/>
          <w:szCs w:val="20"/>
          <w:color w:val="auto"/>
        </w:rPr>
      </w:pPr>
      <w:r>
        <w:rPr>
          <w:rFonts w:ascii="Arial" w:cs="Arial" w:eastAsia="Arial" w:hAnsi="Arial"/>
          <w:sz w:val="18"/>
          <w:szCs w:val="18"/>
          <w:color w:val="auto"/>
        </w:rPr>
        <w:t>The Company has a number of patent and intellectual property license agreements. Some of these license agreements require us to make one-time or periodic royalty payments. The Company may need to obtain additional patent licenses or renew existing license agreements in the future. The Company is unable to predict whether these license agreements can be obtained or renewed on acceptable terms.</w:t>
      </w:r>
    </w:p>
    <w:p>
      <w:pPr>
        <w:spacing w:after="0" w:line="194" w:lineRule="exact"/>
        <w:rPr>
          <w:sz w:val="20"/>
          <w:szCs w:val="20"/>
          <w:color w:val="auto"/>
        </w:rPr>
      </w:pPr>
    </w:p>
    <w:p>
      <w:pPr>
        <w:jc w:val="both"/>
        <w:ind w:right="100" w:firstLine="172"/>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ectPr>
          <w:pgSz w:w="11900" w:h="16838" w:orient="portrait"/>
          <w:cols w:equalWidth="0" w:num="1">
            <w:col w:w="11420"/>
          </w:cols>
          <w:pgMar w:left="240" w:top="127" w:right="239" w:bottom="0" w:gutter="0" w:footer="0" w:header="0"/>
        </w:sectPr>
      </w:pPr>
    </w:p>
    <w:bookmarkStart w:id="9" w:name="page10"/>
    <w:bookmarkEnd w:id="9"/>
    <w:p>
      <w:pPr>
        <w:ind w:left="540" w:right="8800" w:hanging="532"/>
        <w:spacing w:after="0" w:line="605" w:lineRule="auto"/>
        <w:tabs>
          <w:tab w:leader="none" w:pos="254"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Discontinued PC operations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On March 23, 2001, MEI entered into a non-binding letter of intent to sell its PC business. (See "Note 6. Discontinued PC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Interland Merger</w:t>
      </w:r>
    </w:p>
    <w:p>
      <w:pPr>
        <w:spacing w:after="0" w:line="225"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On March 23, 2001, MEI entered into a merger agreement to acquire Interland in a stock-for-stock acquisition (the "Interland Merger") whereby Interland shareholders will own at closing approximately 30% of the combined company. After the merger, MTI's ownership of MEI, approximately 59 million shares, will be reduced from approximately 60% to approximately 40% and MEI's results will no longer be consolidated in the Company's financial statements but will be accounted for under the equity method.</w:t>
      </w:r>
    </w:p>
    <w:p>
      <w:pPr>
        <w:spacing w:after="0" w:line="197" w:lineRule="exact"/>
        <w:rPr>
          <w:sz w:val="20"/>
          <w:szCs w:val="20"/>
          <w:color w:val="auto"/>
        </w:rPr>
      </w:pPr>
    </w:p>
    <w:p>
      <w:pPr>
        <w:ind w:right="100" w:firstLine="172"/>
        <w:spacing w:after="0" w:line="332" w:lineRule="auto"/>
        <w:rPr>
          <w:sz w:val="20"/>
          <w:szCs w:val="20"/>
          <w:color w:val="auto"/>
        </w:rPr>
      </w:pPr>
      <w:r>
        <w:rPr>
          <w:rFonts w:ascii="Arial" w:cs="Arial" w:eastAsia="Arial" w:hAnsi="Arial"/>
          <w:sz w:val="16"/>
          <w:szCs w:val="16"/>
          <w:color w:val="auto"/>
        </w:rPr>
        <w:t>The Interland Merger has been approved by the Board of Directors of MEI and Interland. The Interland Merger is subject to several conditions and approvals, including shareholder and regulatory approvals. The closing of the Interland Merger is expected to occur in the second half of 2001.</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225" w:lineRule="exact"/>
        <w:rPr>
          <w:sz w:val="20"/>
          <w:szCs w:val="20"/>
          <w:color w:val="auto"/>
        </w:rPr>
      </w:pPr>
    </w:p>
    <w:p>
      <w:pPr>
        <w:ind w:right="120" w:firstLine="176"/>
        <w:spacing w:after="0" w:line="284" w:lineRule="auto"/>
        <w:rPr>
          <w:sz w:val="20"/>
          <w:szCs w:val="20"/>
          <w:color w:val="auto"/>
        </w:rPr>
      </w:pPr>
      <w:r>
        <w:rPr>
          <w:rFonts w:ascii="Arial" w:cs="Arial" w:eastAsia="Arial" w:hAnsi="Arial"/>
          <w:sz w:val="16"/>
          <w:szCs w:val="16"/>
          <w:color w:val="auto"/>
        </w:rPr>
        <w:t>Minority interest for the second quarter and first six months of 2001 and 2000 includes minority shareholders' interest in the SpecTek component recovery business. The component recovery business was transferred from MEI to MTI on April 5, 2001, at which time it became a wholly-owned operation of MTI and, as a result, the Company will no longer record minority interest in the earnings of the component recovery business after April 5, 2001. Approximately</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$8.0 million and $17.3 million of minority interest is attributable to the earnings of MEI's component recovery business for the second quarter and first six months of 2001, respectively.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220" w:firstLine="176"/>
        <w:spacing w:after="0" w:line="256"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memory products. Micron Technology, Inc. and its wholly-owned subsidiaries are hereinafter referred to collectively as "MTI." The Company's Web-hosting operations and discontinued personal computer ("PC") operations are operated through Micron Electronics, Inc. ("MEI"), an approximately 60% owned, publicly-traded subsidiary of MTI. (See "Recent Events.")</w:t>
      </w:r>
    </w:p>
    <w:p>
      <w:pPr>
        <w:spacing w:after="0" w:line="197" w:lineRule="exact"/>
        <w:rPr>
          <w:sz w:val="20"/>
          <w:szCs w:val="20"/>
          <w:color w:val="auto"/>
        </w:rPr>
      </w:pPr>
    </w:p>
    <w:p>
      <w:pPr>
        <w:ind w:right="140" w:firstLine="176"/>
        <w:spacing w:after="0" w:line="302"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made in: "Recent Events" regarding MEI's plans to sell its PC business and merge with Interland, Inc., the estimated losses to be incurred on the disposal of the PC business, MTI's carrying value of its MEI common stock and MTI's estimated loss upon completion of the Interland Merger; "Gross Margin" regarding MTI's pending transaction to purchase Kobe Steel's equity interest in KMT; "Research and Development" regarding the transition to 15µ and .13µ line-width process technology; "Income Tax Provision (Benefit)" regarding the tax effect of certain foreign operations and domestic subsidiaries not consolidated for tax purposes; "Recently Issued Accounting Standards" regarding the impact of the implementation of SAB</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No. 101; and "Liquidity and Capital Resources" regarding capital spending in 2001 and 2002 and MTI's pending transaction to purchase Kobe Steel's equity interest in KMT and the assumption, repayment or refinancing of KMT's debt. The Company's actual results could differ materially from the Company's historical results of continuing operations and those discussed in the forward-looking statements. Factors that could cause actual results to differ materially include, but are not limited to, those identified in "Recent Events" and "Certain Factors." This discussion should be read in conjunction with the Company's Annual Report on Form 10-K for the year ended August 31, 2000. All period references are to the Company's fiscal periods ended March 1, 2001, November 30, 2000, March 2, 2000 or August 31, 2000, unless otherwise indicated. All per share amounts are presented on a diluted basis unless otherwise stated.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31"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On March 23, 2001, MEI announced plans to sell its PC business, merge with Interland, Inc. ("Interland"), a provider of web-hosting services, and transfer its SpecTek component recovery business to MTI. (See "Minority Interest.")</w:t>
      </w:r>
    </w:p>
    <w:p>
      <w:pPr>
        <w:spacing w:after="0" w:line="186" w:lineRule="exact"/>
        <w:rPr>
          <w:sz w:val="20"/>
          <w:szCs w:val="20"/>
          <w:color w:val="auto"/>
        </w:rPr>
      </w:pPr>
    </w:p>
    <w:p>
      <w:pPr>
        <w:ind w:right="60" w:firstLine="172"/>
        <w:spacing w:after="0" w:line="323" w:lineRule="auto"/>
        <w:rPr>
          <w:sz w:val="20"/>
          <w:szCs w:val="20"/>
          <w:color w:val="auto"/>
        </w:rPr>
      </w:pPr>
      <w:r>
        <w:rPr>
          <w:rFonts w:ascii="Arial" w:cs="Arial" w:eastAsia="Arial" w:hAnsi="Arial"/>
          <w:sz w:val="15"/>
          <w:szCs w:val="15"/>
          <w:color w:val="auto"/>
        </w:rPr>
        <w:t>The Company's consolidated results for the second quarter of 2001 include the effects of the planned disposition of MEI's PC business. The Company's consolidated net loss for the second quarter was $88 million (or $0.15 per share), which includes the estimated loss, net of taxes and minority interest, on discontinued PC operations of $84 million ($0.14 per share). The estimated loss of $84 million for the discontinued PC operations consists of estimated losses of $55 million on the disposal of the discontinued PC business and $29 million from the operations of the discontinued PC business in the second quarter of 2001.</w:t>
      </w:r>
    </w:p>
    <w:p>
      <w:pPr>
        <w:spacing w:after="0" w:line="152" w:lineRule="exact"/>
        <w:rPr>
          <w:sz w:val="20"/>
          <w:szCs w:val="20"/>
          <w:color w:val="auto"/>
        </w:rPr>
      </w:pPr>
    </w:p>
    <w:p>
      <w:pPr>
        <w:jc w:val="both"/>
        <w:ind w:right="40" w:firstLine="172"/>
        <w:spacing w:after="0" w:line="259" w:lineRule="auto"/>
        <w:rPr>
          <w:sz w:val="20"/>
          <w:szCs w:val="20"/>
          <w:color w:val="auto"/>
        </w:rPr>
      </w:pPr>
      <w:r>
        <w:rPr>
          <w:rFonts w:ascii="Arial" w:cs="Arial" w:eastAsia="Arial" w:hAnsi="Arial"/>
          <w:sz w:val="18"/>
          <w:szCs w:val="18"/>
          <w:color w:val="auto"/>
        </w:rPr>
        <w:t>The Company's consolidated financial information presents the discontinued PC operations separate from the results of the Company's continuing operations. Historical financial information has been restated to present consistently the discontinued PC operations separate from continuing operations. The discussion and analysis that follows generally focuses on continuing operations.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Discontinued PC Operations</w:t>
      </w:r>
    </w:p>
    <w:p>
      <w:pPr>
        <w:spacing w:after="0" w:line="225"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On March 23, 2001, MEI entered into a non-binding letter of intent to sell the PC business to a private technology equity investment firm. The sale of the PC business is expected to take place during the second half of fiscal 2001. The estimated loss of $55 million on disposal of the discontinued PC business consists of the estimated loss on disposition and estimated operating losses from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March 2, 2001 through the anticipated disposal date. (See "Notes to Consolidated Financial Statements—Discontinued PC operations," and "Certain Factors.")</w:t>
      </w:r>
    </w:p>
    <w:p>
      <w:pPr>
        <w:spacing w:after="0" w:line="248" w:lineRule="exact"/>
        <w:rPr>
          <w:sz w:val="20"/>
          <w:szCs w:val="20"/>
          <w:color w:val="auto"/>
        </w:rPr>
      </w:pPr>
    </w:p>
    <w:p>
      <w:pPr>
        <w:jc w:val="both"/>
        <w:ind w:right="60" w:firstLine="172"/>
        <w:spacing w:after="0" w:line="335" w:lineRule="auto"/>
        <w:rPr>
          <w:sz w:val="20"/>
          <w:szCs w:val="20"/>
          <w:color w:val="auto"/>
        </w:rPr>
      </w:pPr>
      <w:r>
        <w:rPr>
          <w:rFonts w:ascii="Arial" w:cs="Arial" w:eastAsia="Arial" w:hAnsi="Arial"/>
          <w:sz w:val="15"/>
          <w:szCs w:val="15"/>
          <w:color w:val="auto"/>
        </w:rPr>
        <w:t>The results of operations, net assets or liabilities and cash flows for the discontinued PC business have been reported separately as discontinued PC operations in the consolidated financial statements appearing in Item 1 of this Form 10-Q. Net sales from operations of the PC business were $194 million and $455 million for the second quarter and first six months of 2001, respectively, and $233 million and $474 million for the second quarter and first six months of 2000,</w:t>
      </w:r>
    </w:p>
    <w:p>
      <w:pPr>
        <w:sectPr>
          <w:pgSz w:w="11900" w:h="16838" w:orient="portrait"/>
          <w:cols w:equalWidth="0" w:num="1">
            <w:col w:w="11380"/>
          </w:cols>
          <w:pgMar w:left="240" w:top="125" w:right="279" w:bottom="0" w:gutter="0" w:footer="0" w:header="0"/>
        </w:sectPr>
      </w:pPr>
    </w:p>
    <w:bookmarkStart w:id="10" w:name="page11"/>
    <w:bookmarkEnd w:id="10"/>
    <w:p>
      <w:pPr>
        <w:ind w:right="200"/>
        <w:spacing w:after="0" w:line="332" w:lineRule="auto"/>
        <w:rPr>
          <w:sz w:val="20"/>
          <w:szCs w:val="20"/>
          <w:color w:val="auto"/>
        </w:rPr>
      </w:pPr>
      <w:r>
        <w:rPr>
          <w:rFonts w:ascii="Arial" w:cs="Arial" w:eastAsia="Arial" w:hAnsi="Arial"/>
          <w:sz w:val="16"/>
          <w:szCs w:val="16"/>
          <w:color w:val="auto"/>
        </w:rPr>
        <w:t>respectively. The losses from operations of the PC business, net of taxes and minority interest, were $29 million and $36 million for the second quarter and first six months of 2001, respectively, and $8 million and $19 million for the second quarter and first six months of 2000, respectively.</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Interland Merger</w:t>
      </w:r>
    </w:p>
    <w:p>
      <w:pPr>
        <w:spacing w:after="0" w:line="225"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On March 23, 2001, MEI entered into a merger agreement to acquire Interland in a stock-for-stock acquisition (the "Interland Merger") whereby Interland shareholders will own at closing approximately 30% of the combined company. After the merger, MTI's ownership of MEI (approximately 59 million shares) will be reduced from approximately 60% to 40%. As a result, MEI's results will no longer be consolidated in the Company's financial statements, but will be accounted for under the equity method. The Company's carrying value of the MEI common stock is estimated to approximate $200 million on conversion to the equity method of accounting. The net book value of MEI common stock is expected to exceed the fair value of the MEI common stock to be issued in the Interland Merger. As a result, the Company currently estimates it will recognize a loss of approximately $15 million upon consummation of the Interland Merger.</w:t>
      </w:r>
    </w:p>
    <w:p>
      <w:pPr>
        <w:spacing w:after="0" w:line="174" w:lineRule="exact"/>
        <w:rPr>
          <w:sz w:val="20"/>
          <w:szCs w:val="20"/>
          <w:color w:val="auto"/>
        </w:rPr>
      </w:pPr>
    </w:p>
    <w:p>
      <w:pPr>
        <w:ind w:right="80" w:firstLine="172"/>
        <w:spacing w:after="0" w:line="332" w:lineRule="auto"/>
        <w:rPr>
          <w:sz w:val="20"/>
          <w:szCs w:val="20"/>
          <w:color w:val="auto"/>
        </w:rPr>
      </w:pPr>
      <w:r>
        <w:rPr>
          <w:rFonts w:ascii="Arial" w:cs="Arial" w:eastAsia="Arial" w:hAnsi="Arial"/>
          <w:sz w:val="16"/>
          <w:szCs w:val="16"/>
          <w:color w:val="auto"/>
        </w:rPr>
        <w:t>The Interland Merger has been approved by the Boards of Directors of MEI and Interland. The Interland Merger is subject to several conditions and approvals, including shareholder and regulatory approvals. The closing of the Interland Merger is expected to occur in the second half of fiscal 2001.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Six Months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2000</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2000</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700" w:type="dxa"/>
            <w:vAlign w:val="bottom"/>
            <w:gridSpan w:val="8"/>
          </w:tcPr>
          <w:p>
            <w:pPr>
              <w:ind w:left="120"/>
              <w:spacing w:after="0"/>
              <w:rPr>
                <w:sz w:val="20"/>
                <w:szCs w:val="20"/>
                <w:color w:val="auto"/>
              </w:rPr>
            </w:pPr>
            <w:r>
              <w:rPr>
                <w:rFonts w:ascii="Arial" w:cs="Arial" w:eastAsia="Arial" w:hAnsi="Arial"/>
                <w:sz w:val="14"/>
                <w:szCs w:val="14"/>
                <w:b w:val="1"/>
                <w:bCs w:val="1"/>
                <w:color w:val="auto"/>
                <w:w w:val="87"/>
              </w:rPr>
              <w:t>(amounts in millions, except per share data)</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sales:</w:t>
            </w:r>
          </w:p>
        </w:tc>
        <w:tc>
          <w:tcPr>
            <w:tcW w:w="30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20"/>
              <w:spacing w:after="0"/>
              <w:rPr>
                <w:sz w:val="20"/>
                <w:szCs w:val="20"/>
                <w:color w:val="auto"/>
              </w:rPr>
            </w:pPr>
            <w:r>
              <w:rPr>
                <w:rFonts w:ascii="Arial" w:cs="Arial" w:eastAsia="Arial" w:hAnsi="Arial"/>
                <w:sz w:val="14"/>
                <w:szCs w:val="14"/>
                <w:color w:val="auto"/>
              </w:rPr>
              <w:t>Semiconductor operations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1,051.2</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98.6%</w:t>
            </w:r>
          </w:p>
        </w:tc>
        <w:tc>
          <w:tcPr>
            <w:tcW w:w="5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1,152.0</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21"/>
                <w:szCs w:val="21"/>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1"/>
                <w:szCs w:val="21"/>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2,491.5</w:t>
            </w:r>
          </w:p>
        </w:tc>
        <w:tc>
          <w:tcPr>
            <w:tcW w:w="1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Web-hosting operations</w:t>
            </w:r>
          </w:p>
        </w:tc>
        <w:tc>
          <w:tcPr>
            <w:tcW w:w="3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4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sales</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1,065.7</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1,159.1</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2,637.3</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100.0%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2,502.8</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Operating income (loss) from continuing operations:</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6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39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Semiconductor operations</w:t>
            </w:r>
          </w:p>
        </w:tc>
        <w:tc>
          <w:tcPr>
            <w:tcW w:w="30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(24.4)</w:t>
            </w:r>
          </w:p>
        </w:tc>
        <w:tc>
          <w:tcPr>
            <w:tcW w:w="7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ind w:left="220"/>
              <w:spacing w:after="0"/>
              <w:rPr>
                <w:sz w:val="20"/>
                <w:szCs w:val="20"/>
                <w:color w:val="auto"/>
              </w:rPr>
            </w:pPr>
            <w:r>
              <w:rPr>
                <w:rFonts w:ascii="Arial" w:cs="Arial" w:eastAsia="Arial" w:hAnsi="Arial"/>
                <w:sz w:val="14"/>
                <w:szCs w:val="14"/>
                <w:color w:val="auto"/>
              </w:rPr>
              <w:t>Web-hosting operations</w:t>
            </w:r>
          </w:p>
        </w:tc>
        <w:tc>
          <w:tcPr>
            <w:tcW w:w="3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(16.8)</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(8.1)</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(35.1)</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(11.6)</w:t>
            </w: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7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96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960" w:type="dxa"/>
            <w:vAlign w:val="bottom"/>
            <w:gridSpan w:val="2"/>
          </w:tcPr>
          <w:p>
            <w:pPr>
              <w:spacing w:after="0"/>
              <w:rPr>
                <w:sz w:val="20"/>
                <w:szCs w:val="20"/>
                <w:color w:val="auto"/>
              </w:rPr>
            </w:pPr>
            <w:r>
              <w:rPr>
                <w:rFonts w:ascii="Arial" w:cs="Arial" w:eastAsia="Arial" w:hAnsi="Arial"/>
                <w:sz w:val="14"/>
                <w:szCs w:val="14"/>
                <w:color w:val="auto"/>
              </w:rPr>
              <w:t>Consolidated operating income (loss)</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(41.0)</w:t>
            </w:r>
          </w:p>
        </w:tc>
        <w:tc>
          <w:tcPr>
            <w:tcW w:w="720" w:type="dxa"/>
            <w:vAlign w:val="bottom"/>
          </w:tcPr>
          <w:p>
            <w:pPr>
              <w:spacing w:after="0"/>
              <w:rPr>
                <w:sz w:val="23"/>
                <w:szCs w:val="23"/>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479.3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831.9</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Income (loss) from continuing operations, net of taxes and minority</w:t>
            </w:r>
          </w:p>
        </w:tc>
        <w:tc>
          <w:tcPr>
            <w:tcW w:w="30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w:t>
            </w:r>
          </w:p>
        </w:tc>
        <w:tc>
          <w:tcPr>
            <w:tcW w:w="300" w:type="dxa"/>
            <w:vAlign w:val="bottom"/>
            <w:shd w:val="clear" w:color="auto" w:fill="CCEEFF"/>
          </w:tcPr>
          <w:p>
            <w:pPr>
              <w:jc w:val="right"/>
              <w:ind w:right="152"/>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(4.1)</w:t>
            </w:r>
          </w:p>
        </w:tc>
        <w:tc>
          <w:tcPr>
            <w:tcW w:w="7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20"/>
              <w:spacing w:after="0" w:line="15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355.4</w:t>
            </w: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521.8</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40" w:type="dxa"/>
            <w:vAlign w:val="bottom"/>
          </w:tcPr>
          <w:p>
            <w:pPr>
              <w:spacing w:after="0"/>
              <w:rPr>
                <w:sz w:val="20"/>
                <w:szCs w:val="20"/>
                <w:color w:val="auto"/>
              </w:rPr>
            </w:pPr>
            <w:r>
              <w:rPr>
                <w:rFonts w:ascii="Arial" w:cs="Arial" w:eastAsia="Arial" w:hAnsi="Arial"/>
                <w:sz w:val="14"/>
                <w:szCs w:val="14"/>
                <w:color w:val="auto"/>
              </w:rPr>
              <w:t>Net loss from discontinued PC operations</w:t>
            </w:r>
          </w:p>
        </w:tc>
        <w:tc>
          <w:tcPr>
            <w:tcW w:w="3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(84.2)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(91.5)</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(19.2)</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(88.3)</w:t>
            </w:r>
          </w:p>
        </w:tc>
        <w:tc>
          <w:tcPr>
            <w:tcW w:w="7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263.9</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3960" w:type="dxa"/>
            <w:vAlign w:val="bottom"/>
            <w:gridSpan w:val="2"/>
            <w:vMerge w:val="restart"/>
          </w:tcPr>
          <w:p>
            <w:pPr>
              <w:spacing w:after="0"/>
              <w:rPr>
                <w:sz w:val="20"/>
                <w:szCs w:val="20"/>
                <w:color w:val="auto"/>
              </w:rPr>
            </w:pPr>
            <w:r>
              <w:rPr>
                <w:rFonts w:ascii="Arial" w:cs="Arial" w:eastAsia="Arial" w:hAnsi="Arial"/>
                <w:sz w:val="14"/>
                <w:szCs w:val="14"/>
                <w:color w:val="auto"/>
              </w:rPr>
              <w:t>Earnings (loss) per share from continuing</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60" w:type="dxa"/>
            <w:vAlign w:val="bottom"/>
            <w:gridSpan w:val="2"/>
            <w:vMerge w:val="continue"/>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96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960" w:type="dxa"/>
            <w:vAlign w:val="bottom"/>
            <w:gridSpan w:val="2"/>
          </w:tcPr>
          <w:p>
            <w:pPr>
              <w:spacing w:after="0"/>
              <w:rPr>
                <w:sz w:val="20"/>
                <w:szCs w:val="20"/>
                <w:color w:val="auto"/>
              </w:rPr>
            </w:pPr>
            <w:r>
              <w:rPr>
                <w:rFonts w:ascii="Arial" w:cs="Arial" w:eastAsia="Arial" w:hAnsi="Arial"/>
                <w:sz w:val="14"/>
                <w:szCs w:val="14"/>
                <w:color w:val="auto"/>
              </w:rPr>
              <w:t>operations—diluted</w:t>
            </w: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(0.01)</w:t>
            </w:r>
          </w:p>
        </w:tc>
        <w:tc>
          <w:tcPr>
            <w:tcW w:w="720" w:type="dxa"/>
            <w:vAlign w:val="bottom"/>
          </w:tcPr>
          <w:p>
            <w:pPr>
              <w:spacing w:after="0"/>
              <w:rPr>
                <w:sz w:val="14"/>
                <w:szCs w:val="14"/>
                <w:color w:val="auto"/>
              </w:rPr>
            </w:pPr>
          </w:p>
        </w:tc>
        <w:tc>
          <w:tcPr>
            <w:tcW w:w="5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0.59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per share—diluted</w:t>
            </w:r>
          </w:p>
        </w:tc>
        <w:tc>
          <w:tcPr>
            <w:tcW w:w="3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(0.15)</w:t>
            </w:r>
          </w:p>
        </w:tc>
        <w:tc>
          <w:tcPr>
            <w:tcW w:w="7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0.44</w:t>
            </w: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-3796030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-3796030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-3796030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-3796030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-3547745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-3547745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-3547745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-3547745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-3547745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-3547745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-3547745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-3547745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-2586990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-2586990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-2586990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-2586990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-2586990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-2586990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-2586990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-2586990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-2586990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-2586990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-2586990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-2586990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-2586990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-2586990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-2586990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-2586990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-1609090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-1609090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-1609090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-1609090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-1609090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-1609090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-1609090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-1609090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-906145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-906145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-906145</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-906145</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-906145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-906145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-906145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-906145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520" w:firstLine="176"/>
        <w:spacing w:after="0" w:line="306" w:lineRule="auto"/>
        <w:rPr>
          <w:sz w:val="20"/>
          <w:szCs w:val="20"/>
          <w:color w:val="auto"/>
        </w:rPr>
      </w:pPr>
      <w:r>
        <w:rPr>
          <w:rFonts w:ascii="Arial" w:cs="Arial" w:eastAsia="Arial" w:hAnsi="Arial"/>
          <w:sz w:val="16"/>
          <w:szCs w:val="16"/>
          <w:color w:val="auto"/>
        </w:rPr>
        <w:t>For the first quarter of 2001, income from continuing operations, net of taxes and minority interest, was $359 million (or $0.59 per share) on net sales of $1,572 million. Net income for the first quarter of 2001 was $352 million (or $0.58 per share). The Company's two reportable segments are Semiconductor operations and Web-hosting operations. (See "Notes to Consolidated Financial Statements—Operating Segment Information.")</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20" w:firstLine="176"/>
        <w:spacing w:after="0" w:line="305" w:lineRule="auto"/>
        <w:rPr>
          <w:sz w:val="20"/>
          <w:szCs w:val="20"/>
          <w:color w:val="auto"/>
        </w:rPr>
      </w:pPr>
      <w:r>
        <w:rPr>
          <w:rFonts w:ascii="Arial" w:cs="Arial" w:eastAsia="Arial" w:hAnsi="Arial"/>
          <w:sz w:val="15"/>
          <w:szCs w:val="15"/>
          <w:color w:val="auto"/>
        </w:rPr>
        <w:t>Substantially all the Company's net sales from continuing operations for all periods presented were derived from its Semiconductor operations. Net sales from Semiconductor operations for the second quarter of 2001 decreased by 9% as compared to the second quarter of 2000. This decrease in net sales was due to a</w:t>
      </w:r>
    </w:p>
    <w:p>
      <w:pPr>
        <w:spacing w:after="0" w:line="320" w:lineRule="auto"/>
        <w:rPr>
          <w:sz w:val="20"/>
          <w:szCs w:val="20"/>
          <w:color w:val="auto"/>
        </w:rPr>
      </w:pPr>
      <w:r>
        <w:rPr>
          <w:rFonts w:ascii="Arial" w:cs="Arial" w:eastAsia="Arial" w:hAnsi="Arial"/>
          <w:sz w:val="15"/>
          <w:szCs w:val="15"/>
          <w:color w:val="auto"/>
        </w:rPr>
        <w:t>53% decrease in average selling prices for the Company's semiconductor memory products substantially offset by a 91% increase in megabits shipped. Net sales from Semiconductor operations for the first six months of 2001 increased slightly as compared to the first six months of 2000 due to a 76% increase in megabit shipments partially offset by a 41% decrease in average selling prices. The Company's primary memory product in the second quarter and first six months of 2001 was the 128 Meg Synchronous DRAM ("SDRAM"), which comprised approximately 47% and 43%, respectively, of the net sales of Semiconductor operations.</w:t>
      </w:r>
    </w:p>
    <w:p>
      <w:pPr>
        <w:spacing w:after="0" w:line="154" w:lineRule="exact"/>
        <w:rPr>
          <w:sz w:val="20"/>
          <w:szCs w:val="20"/>
          <w:color w:val="auto"/>
        </w:rPr>
      </w:pPr>
    </w:p>
    <w:p>
      <w:pPr>
        <w:ind w:right="340" w:firstLine="176"/>
        <w:spacing w:after="0" w:line="259" w:lineRule="auto"/>
        <w:rPr>
          <w:sz w:val="20"/>
          <w:szCs w:val="20"/>
          <w:color w:val="auto"/>
        </w:rPr>
      </w:pPr>
      <w:r>
        <w:rPr>
          <w:rFonts w:ascii="Arial" w:cs="Arial" w:eastAsia="Arial" w:hAnsi="Arial"/>
          <w:sz w:val="18"/>
          <w:szCs w:val="18"/>
          <w:color w:val="auto"/>
        </w:rPr>
        <w:t>Net sales from Semiconductor operations decreased by 33% in the second quarter of 2001 as compared to the first quarter of 2001, primarily due to an approximate 50% decrease in the average selling prices of semiconductor memory products. The effect of this decrease in average selling prices was partially offset by a 33% increase in total megabits shipped.</w:t>
      </w:r>
    </w:p>
    <w:p>
      <w:pPr>
        <w:spacing w:after="0" w:line="194" w:lineRule="exact"/>
        <w:rPr>
          <w:sz w:val="20"/>
          <w:szCs w:val="20"/>
          <w:color w:val="auto"/>
        </w:rPr>
      </w:pPr>
    </w:p>
    <w:p>
      <w:pPr>
        <w:ind w:right="140" w:firstLine="172"/>
        <w:spacing w:after="0" w:line="294" w:lineRule="auto"/>
        <w:rPr>
          <w:sz w:val="20"/>
          <w:szCs w:val="20"/>
          <w:color w:val="auto"/>
        </w:rPr>
      </w:pPr>
      <w:r>
        <w:rPr>
          <w:rFonts w:ascii="Arial" w:cs="Arial" w:eastAsia="Arial" w:hAnsi="Arial"/>
          <w:sz w:val="16"/>
          <w:szCs w:val="16"/>
          <w:color w:val="auto"/>
        </w:rPr>
        <w:t>The Company experienced relatively weak demand for its semiconductor memory products during the first six months of 2001. At the same time, increases in total wafer outs and ongoing improvements in manufacturing efficiency contributed to increases in megabit production. As a result, volumes of megabit production increased at a faster pace than shipments of the Company's semiconductor memory products during this period. The aggregate carrying value of the Company's work in progress and finished goods inventories of semiconductor memory products as of the end of the second quarter of 2001 increased approximately 15% and 71% compared to the end of the first quarter of 2001 and the prior year end, respectively.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p>
      <w:pPr>
        <w:ind w:left="5080"/>
        <w:spacing w:after="0"/>
        <w:tabs>
          <w:tab w:leader="none" w:pos="9020" w:val="left"/>
        </w:tabs>
        <w:rPr>
          <w:sz w:val="20"/>
          <w:szCs w:val="20"/>
          <w:color w:val="auto"/>
        </w:rPr>
      </w:pPr>
      <w:r>
        <w:rPr>
          <w:rFonts w:ascii="Arial" w:cs="Arial" w:eastAsia="Arial" w:hAnsi="Arial"/>
          <w:sz w:val="14"/>
          <w:szCs w:val="14"/>
          <w:b w:val="1"/>
          <w:bCs w:val="1"/>
          <w:color w:val="auto"/>
        </w:rPr>
        <w:t>Second Quarter</w:t>
      </w:r>
      <w:r>
        <w:rPr>
          <w:sz w:val="20"/>
          <w:szCs w:val="20"/>
          <w:color w:val="auto"/>
        </w:rPr>
        <w:tab/>
      </w:r>
      <w:r>
        <w:rPr>
          <w:rFonts w:ascii="Arial" w:cs="Arial" w:eastAsia="Arial" w:hAnsi="Arial"/>
          <w:sz w:val="12"/>
          <w:szCs w:val="12"/>
          <w:b w:val="1"/>
          <w:bCs w:val="1"/>
          <w:color w:val="auto"/>
        </w:rPr>
        <w:t>Six Months</w:t>
      </w:r>
    </w:p>
    <w:p>
      <w:pPr>
        <w:sectPr>
          <w:pgSz w:w="11900" w:h="16838" w:orient="portrait"/>
          <w:cols w:equalWidth="0" w:num="1">
            <w:col w:w="11420"/>
          </w:cols>
          <w:pgMar w:left="240" w:top="131" w:right="239" w:bottom="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2599690</wp:posOffset>
            </wp:positionH>
            <wp:positionV relativeFrom="page">
              <wp:posOffset>88900</wp:posOffset>
            </wp:positionV>
            <wp:extent cx="4660900" cy="190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660900" cy="19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 Change</w:t>
            </w:r>
          </w:p>
        </w:tc>
        <w:tc>
          <w:tcPr>
            <w:tcW w:w="920" w:type="dxa"/>
            <w:vAlign w:val="bottom"/>
          </w:tcPr>
          <w:p>
            <w:pPr>
              <w:jc w:val="right"/>
              <w:ind w:right="37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3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(58.1)%  $</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3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(23.3)%  $</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36.5%</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-359410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-359410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-359410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-359410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-359410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-359410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-359410</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-359410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-359410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-359410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-359410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40" w:firstLine="176"/>
        <w:spacing w:after="0" w:line="291" w:lineRule="auto"/>
        <w:rPr>
          <w:sz w:val="20"/>
          <w:szCs w:val="20"/>
          <w:color w:val="auto"/>
        </w:rPr>
      </w:pPr>
      <w:r>
        <w:rPr>
          <w:rFonts w:ascii="Arial" w:cs="Arial" w:eastAsia="Arial" w:hAnsi="Arial"/>
          <w:sz w:val="16"/>
          <w:szCs w:val="16"/>
          <w:color w:val="auto"/>
        </w:rPr>
        <w:t>Substantially all of the Company's gross margin from continuing operations for all periods presented was derived from its Semiconductor operations. The gross margin percentage from Semiconductor operations for the second quarter and first six months of 2001 was 18% and 37%, respectively, compared to 41% and 50% for the corresponding periods of 2000. These decreases in gross margin percentage were due to the decreases in average selling prices per megabit of memory for the same periods, partially offset by decreases in per megabit manufacturing costs resulting from continued improvements in manufacturing efficiency. Manufacturing cost improvements were achieved principally through shifts in the Company's mix of semiconductor memory products to higher average density products and ongoing transitions to successive reduced die size ("shrink") versions of existing products.</w:t>
      </w:r>
    </w:p>
    <w:p>
      <w:pPr>
        <w:spacing w:after="0" w:line="174" w:lineRule="exact"/>
        <w:rPr>
          <w:sz w:val="20"/>
          <w:szCs w:val="20"/>
          <w:color w:val="auto"/>
        </w:rPr>
      </w:pPr>
    </w:p>
    <w:p>
      <w:pPr>
        <w:ind w:right="720" w:firstLine="172"/>
        <w:spacing w:after="0" w:line="268" w:lineRule="auto"/>
        <w:rPr>
          <w:sz w:val="20"/>
          <w:szCs w:val="20"/>
          <w:color w:val="auto"/>
        </w:rPr>
      </w:pPr>
      <w:r>
        <w:rPr>
          <w:rFonts w:ascii="Arial" w:cs="Arial" w:eastAsia="Arial" w:hAnsi="Arial"/>
          <w:sz w:val="18"/>
          <w:szCs w:val="18"/>
          <w:color w:val="auto"/>
        </w:rPr>
        <w:t>The gross margin percentage for the Semiconductor operations for the first quarter of 2001 was 49%. The decrease in gross margin percentage for the Semiconductor operations in the second quarter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of 2001 as compared to the first quarter of 2001 was primarily due to the decrease in average selling prices per megabit of memory.</w:t>
      </w:r>
    </w:p>
    <w:p>
      <w:pPr>
        <w:spacing w:after="0" w:line="225"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Subject to specific terms and conditions, MTI has agreed to purchase all of the products manufactured by two joint venture wafer fabrication facilities: TECH Semiconductor Singapore Pte. Ltd. ("TECH") and KMT Semiconductor Limited ("KMT"). TECH and KMT are collectively referred to herein as the "JVs." The JVs supplied in excess of 40% of the total megabits of memory produced by the Company in the second quarter and first six months of 2001. MTI purchases semiconductor memory products from the JVs at prices generally determined quarterly and based on a discount from MTI's average selling prices of all similar products. MTI provides certain technology, engineering support and training to the JVs. MTI also performs assembly and test services on products manufactured by the JVs. All transactions with the JVs are recognized as part of the net cost of products purchased from the JVs. The Company realized lower gross margins on sales of JV products than for products manufactured by its wholly-owned facilities in the second quarter and first six months of 2001 and 2000.</w:t>
      </w:r>
    </w:p>
    <w:p>
      <w:pPr>
        <w:spacing w:after="0" w:line="172"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MTI has executed an acquisition agreement to purchase Kobe Steel's 75% equity interest in KMT. Upon closing of the acquisition, which is expected to occur at the end of April, 2001, KMT will become a wholly-owned subsidiary of MTI. (See "Liquidity and Capital Resources" and "Notes to Consolidated Financial Statements—Joint Ventures.")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9"/>
              </w:rPr>
              <w:t>Second Quarter</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3"/>
                <w:szCs w:val="23"/>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16.7%  $</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-607695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-607695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-607695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-359410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-359410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-359410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-359410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-359410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-359410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-359410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-359410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-359410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-359410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-359410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Selling, general and administrative expenses for continuing operations increased in the second quarter of 2001 compared to the second quarter of 2000 primarily due to increased costs associated with the Company's expanding Web-hosting operations, increased legal costs associated with product and process technology rights litigation and patent prosecution by the Company's Semiconductor operations and increased technical and professional fees associated with the Company's business software systems. (See "Notes to Consolidated Financial Statements—Commitments and contingencies.")</w:t>
      </w:r>
    </w:p>
    <w:p>
      <w:pPr>
        <w:spacing w:after="0" w:line="167"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Selling, general and administrative expenses for continuing operations increased in the first six months of 2001 as compared to the first six months of 2000 primarily due to increased costs associated with the Company's expanding Web-hosting operations. Selling, general and administrative expenses for the Company's Semiconductor operations were flat comparing the first six months of 2001 with the first six months of 2000. Legal fees and technical and professional fees for the Company's Semiconductor operations were higher in the first six months of 2001 as compared to the first six months of 2000. However, selling, general and administrative expenses for the first six months of 2000 included a $19 million charge in the first quarter of 2000 for the value of MEI common stock contributed by MTI to the Micron Technology Foundation and a higher level of bad debt expense. Selling, general and administrative expenses for the second quarter of 2001 were flat compared to the first quarter of 2001.</w:t>
      </w:r>
    </w:p>
    <w:p>
      <w:pPr>
        <w:spacing w:after="0" w:line="172"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Selling, general and administrative expenses for continuing operations attributable to the Company's Web-hosting operations approximated 16% of the total for continuing operations for the second quarter and first six months of 2001 and approximated 10% and 7% for the second quarter and first six months of 2000,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Second Quarter</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Six Months</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 Change</w:t>
            </w: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23"/>
                <w:szCs w:val="23"/>
                <w:color w:val="auto"/>
              </w:rPr>
            </w:pP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5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26.7%  $</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-607695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-607695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-607695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-359410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-359410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-359410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-359410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-359410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-359410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-359410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-359410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-359410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-359410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-359410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20" w:firstLine="176"/>
        <w:spacing w:after="0" w:line="254" w:lineRule="auto"/>
        <w:rPr>
          <w:sz w:val="20"/>
          <w:szCs w:val="20"/>
          <w:color w:val="auto"/>
        </w:rPr>
      </w:pPr>
      <w:r>
        <w:rPr>
          <w:rFonts w:ascii="Arial" w:cs="Arial" w:eastAsia="Arial" w:hAnsi="Arial"/>
          <w:sz w:val="18"/>
          <w:szCs w:val="18"/>
          <w:color w:val="auto"/>
        </w:rPr>
        <w:t>Substantially all the Company's research and development efforts relate to its Semiconductor operations. Research and development expenses vary primarily with the number of development wafers processed, the cost of advanced equipment dedicated to new product and process development and personnel costs. The increases in research and development expenses in the second quarter and first six months of 2001 as compared to corresponding periods of 2000 are primarily due to an increased number of development wafers processed and higher compensation expenses reflecting an increased number of personnel. Process technology research and development efforts are focused on .15µ and .13µ line-width process technologies, which will enable the Company to transition to next generation products.</w:t>
      </w:r>
    </w:p>
    <w:p>
      <w:pPr>
        <w:sectPr>
          <w:pgSz w:w="11900" w:h="16839" w:orient="portrait"/>
          <w:cols w:equalWidth="0" w:num="1">
            <w:col w:w="11420"/>
          </w:cols>
          <w:pgMar w:left="240" w:top="262" w:right="239" w:bottom="0" w:gutter="0" w:footer="0" w:header="0"/>
        </w:sectPr>
      </w:pPr>
    </w:p>
    <w:bookmarkStart w:id="12" w:name="page13"/>
    <w:bookmarkEnd w:id="12"/>
    <w:p>
      <w:pPr>
        <w:ind w:firstLine="166"/>
        <w:spacing w:after="0" w:line="298" w:lineRule="auto"/>
        <w:rPr>
          <w:sz w:val="20"/>
          <w:szCs w:val="20"/>
          <w:color w:val="auto"/>
        </w:rPr>
      </w:pPr>
      <w:r>
        <w:rPr>
          <w:rFonts w:ascii="Arial" w:cs="Arial" w:eastAsia="Arial" w:hAnsi="Arial"/>
          <w:sz w:val="16"/>
          <w:szCs w:val="16"/>
          <w:color w:val="auto"/>
        </w:rPr>
        <w:t>Application of advanced process technology currently is concentrated on design of shrink versions of the Company's 128 Meg SDRAMs and on design and development of the Company's Flash, 256 Meg and 512 Meg SDRAMs, DDR SDRAM and SRAM memory products. Other research and development efforts are currently devoted to the design and development of embedded memory, RDRAM, and advanced DRAM technology ("ADT") products. The Company is also developing technology which enables customers to more rapidly adopt the Company's advanced memory architectures such as DDR and ADT.</w:t>
      </w:r>
    </w:p>
    <w:p>
      <w:pPr>
        <w:spacing w:after="0" w:line="167" w:lineRule="exact"/>
        <w:rPr>
          <w:sz w:val="20"/>
          <w:szCs w:val="20"/>
          <w:color w:val="auto"/>
        </w:rPr>
      </w:pPr>
    </w:p>
    <w:p>
      <w:pPr>
        <w:ind w:right="100" w:firstLine="172"/>
        <w:spacing w:after="0" w:line="259" w:lineRule="auto"/>
        <w:rPr>
          <w:sz w:val="20"/>
          <w:szCs w:val="20"/>
          <w:color w:val="auto"/>
        </w:rPr>
      </w:pPr>
      <w:r>
        <w:rPr>
          <w:rFonts w:ascii="Arial" w:cs="Arial" w:eastAsia="Arial" w:hAnsi="Arial"/>
          <w:sz w:val="18"/>
          <w:szCs w:val="18"/>
          <w:color w:val="auto"/>
        </w:rPr>
        <w:t>The Company is transitioning its manufacturing operations to .15µ line-width process technology and expects this transition to continue throughout 2001. The Company anticipates that it will move to .13µ line-width process technology in the next few years as needed for the development of future generation semiconductor products.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Operating Expense, net</w:t>
      </w:r>
    </w:p>
    <w:p>
      <w:pPr>
        <w:spacing w:after="0" w:line="225"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Other operating expense for the second quarter and first six months of 2000 includes net pre-tax losses of $7 million and $25 million, respectively, from the write-downs and disposals of semiconductor operations equipment.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Income and Expense</w:t>
      </w:r>
    </w:p>
    <w:p>
      <w:pPr>
        <w:spacing w:after="0" w:line="225" w:lineRule="exact"/>
        <w:rPr>
          <w:sz w:val="20"/>
          <w:szCs w:val="20"/>
          <w:color w:val="auto"/>
        </w:rPr>
      </w:pPr>
    </w:p>
    <w:p>
      <w:pPr>
        <w:ind w:right="80" w:firstLine="176"/>
        <w:spacing w:after="0" w:line="268" w:lineRule="auto"/>
        <w:rPr>
          <w:sz w:val="20"/>
          <w:szCs w:val="20"/>
          <w:color w:val="auto"/>
        </w:rPr>
      </w:pPr>
      <w:r>
        <w:rPr>
          <w:rFonts w:ascii="Arial" w:cs="Arial" w:eastAsia="Arial" w:hAnsi="Arial"/>
          <w:sz w:val="18"/>
          <w:szCs w:val="18"/>
          <w:color w:val="auto"/>
        </w:rPr>
        <w:t>Interest income was higher for the second quarter and first six months of 2001 as compared to the second quarter and first six months of 2000 primarily due to the Company's higher levels of cash and liquid investments in 2001 periods.</w:t>
      </w:r>
    </w:p>
    <w:p>
      <w:pPr>
        <w:spacing w:after="0" w:line="186"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Interest expense was lower for the second quarter and first six months of 2001 as compared to the second quarter and first six months of 2000, primarily as a result of the Company's conversions of debt to equity in the third quarter of 2000 and the first quarter of 2001. The Company converted its $500 million, 7.0% convertible subordinated notes to equity in the third quarter of 2000 and converted its $740 million face amount, 6.5% convertible subordinated notes to equity in the first quarter of 2001. (See "Notes to Consolidated Financial Statements—Supplemental balance sheet information—Debt.")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225" w:lineRule="exact"/>
        <w:rPr>
          <w:sz w:val="20"/>
          <w:szCs w:val="20"/>
          <w:color w:val="auto"/>
        </w:rPr>
      </w:pPr>
    </w:p>
    <w:p>
      <w:pPr>
        <w:jc w:val="both"/>
        <w:ind w:right="40" w:firstLine="176"/>
        <w:spacing w:after="0" w:line="259" w:lineRule="auto"/>
        <w:rPr>
          <w:sz w:val="20"/>
          <w:szCs w:val="20"/>
          <w:color w:val="auto"/>
        </w:rPr>
      </w:pPr>
      <w:r>
        <w:rPr>
          <w:rFonts w:ascii="Arial" w:cs="Arial" w:eastAsia="Arial" w:hAnsi="Arial"/>
          <w:sz w:val="18"/>
          <w:szCs w:val="18"/>
          <w:color w:val="auto"/>
        </w:rPr>
        <w:t>Other non-operating income for the first six months of 2001 includes a $5 million gain on MEI's sale of its remaining interest in MCMS, Inc., formerly Micron Custom Manufacturing Services and a wholly-owned subsidiary of MEI. Other non-operating income for the first six months of 2000 includes a $10 million gain on the contribution by MTI of 1.9 million shares of MEI common stock to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Micron Technology Foundation. Selling, general and administrative expense in the first six months of 2000 includes a $19 million charge for the value of the stock contributed.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The Company's expected effective tax rate for its continuing operations is approximately 35% for fiscal 2001, which primarily reflects the statutory corporate income tax rate and the net effect of state taxation. In addition, the Company's consolidated effective tax rate may vary from period to period due to taxes and earnings or losses of domestic subsidiaries not consolidated for income tax purposes.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225" w:lineRule="exact"/>
        <w:rPr>
          <w:sz w:val="20"/>
          <w:szCs w:val="20"/>
          <w:color w:val="auto"/>
        </w:rPr>
      </w:pPr>
    </w:p>
    <w:p>
      <w:pPr>
        <w:ind w:right="40" w:firstLine="176"/>
        <w:spacing w:after="0" w:line="255" w:lineRule="auto"/>
        <w:rPr>
          <w:sz w:val="20"/>
          <w:szCs w:val="20"/>
          <w:color w:val="auto"/>
        </w:rPr>
      </w:pPr>
      <w:r>
        <w:rPr>
          <w:rFonts w:ascii="Arial" w:cs="Arial" w:eastAsia="Arial" w:hAnsi="Arial"/>
          <w:sz w:val="18"/>
          <w:szCs w:val="18"/>
          <w:color w:val="auto"/>
        </w:rPr>
        <w:t>Minority interest for the second quarter and first six months of 2001 and 2000 includes minority shareholders' interest in a component recovery business and Web-hosting operation. The component recovery business was transferred from MEI to MTI on April 5, 2001, at which time it became a wholly-owned operation of MTI and, as a result, the Company will no longer record minority interest in the earnings of the component recovery business after April 5, 2001. Approximately $8 million and $17 million of minority interest is attributable to the earnings of MEI's component recovery business for the second quarter and first six months of 2001,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94"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the standard in the first quarter of 2001. The adoption did not have a significant impact on the Company's results of operations or financial position.</w:t>
      </w:r>
    </w:p>
    <w:p>
      <w:pPr>
        <w:spacing w:after="0" w:line="174"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SAB No. 101 summarizes certain views of the SEC staff in applying generally accepted accounting principles to revenue recognition in financial statements. Adoption is required for the Company by the fourth quarter of 2001. The implementation of SAB No. 101 is not expected to have a significant impact on the Company's future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100" w:firstLine="166"/>
        <w:spacing w:after="0" w:line="306" w:lineRule="auto"/>
        <w:rPr>
          <w:sz w:val="20"/>
          <w:szCs w:val="20"/>
          <w:color w:val="auto"/>
        </w:rPr>
      </w:pPr>
      <w:r>
        <w:rPr>
          <w:rFonts w:ascii="Arial" w:cs="Arial" w:eastAsia="Arial" w:hAnsi="Arial"/>
          <w:sz w:val="16"/>
          <w:szCs w:val="16"/>
          <w:color w:val="auto"/>
        </w:rPr>
        <w:t>As of March 1, 2001, the Company's continuing operations had cash and liquid investments totaling $2.0 billion, representing a decrease of $417 million from August 31, 2000. The Company's principal source of liquidity during the first six months of 2001 was net cash flow from continuing operations of $562 million. During the first six months of 2001, the Company expended $894 million for property, plant and equipment for continuing operations.</w:t>
      </w:r>
    </w:p>
    <w:p>
      <w:pPr>
        <w:spacing w:after="0" w:line="161"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In the first quarter of 2001, the Company's 6.5% convertible subordinated notes due October 2005, with a face amount of $740 million, were converted into approximately 24.7 million shares of common stock, resulting in a reclassification of $685 million from debt to equity.</w:t>
      </w:r>
    </w:p>
    <w:p>
      <w:pPr>
        <w:sectPr>
          <w:pgSz w:w="11900" w:h="16838" w:orient="portrait"/>
          <w:cols w:equalWidth="0" w:num="1">
            <w:col w:w="11400"/>
          </w:cols>
          <w:pgMar w:left="240" w:top="131" w:right="25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172"/>
        <w:spacing w:after="0" w:line="289" w:lineRule="auto"/>
        <w:rPr>
          <w:sz w:val="20"/>
          <w:szCs w:val="20"/>
          <w:color w:val="auto"/>
        </w:rPr>
      </w:pPr>
      <w:r>
        <w:rPr>
          <w:rFonts w:ascii="Arial" w:cs="Arial" w:eastAsia="Arial" w:hAnsi="Arial"/>
          <w:sz w:val="16"/>
          <w:szCs w:val="16"/>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continuously evaluates the financing of capital improvements and in this regard has a shelf registration statement in place pursuant to which the Company may from time to time issue debt or equity securities for up to $1 billion. The Company may seek to raise additional funds through issuing debt or equity securities beyond those covered by the existing shelf registration statement. The Company spent approximately $1 billion in the first six months of 2001 for purchases of equipment and construction and improvement of buildings and expects capital spending to approximate $2 billion for fiscal 2001 and $1 billion in the first half of fiscal 2002. As of March 1, 2001, the Company had commitments extending into fiscal 2003 of approximately $1 billion for equipment purchases and software infrastructure and approximately $269 million for the construction of facilities.</w:t>
      </w:r>
    </w:p>
    <w:p>
      <w:pPr>
        <w:spacing w:after="0" w:line="172" w:lineRule="exact"/>
        <w:rPr>
          <w:sz w:val="20"/>
          <w:szCs w:val="20"/>
          <w:color w:val="auto"/>
        </w:rPr>
      </w:pPr>
    </w:p>
    <w:p>
      <w:pPr>
        <w:jc w:val="both"/>
        <w:ind w:firstLine="176"/>
        <w:spacing w:after="0" w:line="332" w:lineRule="auto"/>
        <w:rPr>
          <w:sz w:val="20"/>
          <w:szCs w:val="20"/>
          <w:color w:val="auto"/>
        </w:rPr>
      </w:pPr>
      <w:r>
        <w:rPr>
          <w:rFonts w:ascii="Arial" w:cs="Arial" w:eastAsia="Arial" w:hAnsi="Arial"/>
          <w:sz w:val="16"/>
          <w:szCs w:val="16"/>
          <w:color w:val="auto"/>
        </w:rPr>
        <w:t>MTI has executed an acquisition agreement to purchase Kobe Steel's 75% equity interest in KMT. In conjunction with the acquisition, it is anticipated that MTI will repay, assume or refinance all of KMT's debt, projected to approximate $300 million at closing. The acquisition is expected to close at the end of April 2001.</w:t>
      </w:r>
    </w:p>
    <w:p>
      <w:pPr>
        <w:spacing w:after="0" w:line="139" w:lineRule="exact"/>
        <w:rPr>
          <w:sz w:val="20"/>
          <w:szCs w:val="20"/>
          <w:color w:val="auto"/>
        </w:rPr>
      </w:pPr>
    </w:p>
    <w:p>
      <w:pPr>
        <w:ind w:right="20" w:firstLine="166"/>
        <w:spacing w:after="0" w:line="306" w:lineRule="auto"/>
        <w:rPr>
          <w:sz w:val="20"/>
          <w:szCs w:val="20"/>
          <w:color w:val="auto"/>
        </w:rPr>
      </w:pPr>
      <w:r>
        <w:rPr>
          <w:rFonts w:ascii="Arial" w:cs="Arial" w:eastAsia="Arial" w:hAnsi="Arial"/>
          <w:sz w:val="16"/>
          <w:szCs w:val="16"/>
          <w:color w:val="auto"/>
        </w:rPr>
        <w:t>As of March 1, 2001, approximately $198 million of the Company's consolidated cash and liquid investments were held by MEI. Cash generated by MEI is not readily available to finance operations or other expenditures of the Company's Semiconductor operations. MEI terminated its unsecured credit agreement effective March 28, 2001. As of March 1, 2001, MEI had no borrowings outstanding under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31" w:lineRule="exact"/>
        <w:rPr>
          <w:sz w:val="20"/>
          <w:szCs w:val="20"/>
          <w:color w:val="auto"/>
        </w:rPr>
      </w:pPr>
    </w:p>
    <w:p>
      <w:pPr>
        <w:jc w:val="both"/>
        <w:ind w:right="80" w:firstLine="176"/>
        <w:spacing w:after="0" w:line="259" w:lineRule="auto"/>
        <w:rPr>
          <w:sz w:val="20"/>
          <w:szCs w:val="20"/>
          <w:color w:val="auto"/>
        </w:rPr>
      </w:pPr>
      <w:r>
        <w:rPr>
          <w:rFonts w:ascii="Arial" w:cs="Arial" w:eastAsia="Arial" w:hAnsi="Arial"/>
          <w:sz w:val="18"/>
          <w:szCs w:val="18"/>
          <w:i w:val="1"/>
          <w:iCs w:val="1"/>
          <w:color w:val="auto"/>
        </w:rPr>
        <w:t>In addition to the factors discussed elsewhere in this Form 10-Q and in the Company's Form 10-K for the fiscal year ended August 31, 2000, the following are important factors which could cause actual results or events to differ materially from those contained in any forward looking statements made by or on behalf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volatile nature of the DRAM industry could adversely affect our future operating results</w:t>
      </w:r>
    </w:p>
    <w:p>
      <w:pPr>
        <w:spacing w:after="0" w:line="231" w:lineRule="exact"/>
        <w:rPr>
          <w:sz w:val="20"/>
          <w:szCs w:val="20"/>
          <w:color w:val="auto"/>
        </w:rPr>
      </w:pPr>
    </w:p>
    <w:p>
      <w:pPr>
        <w:ind w:right="20" w:firstLine="172"/>
        <w:spacing w:after="0" w:line="370" w:lineRule="auto"/>
        <w:rPr>
          <w:sz w:val="20"/>
          <w:szCs w:val="20"/>
          <w:color w:val="auto"/>
        </w:rPr>
      </w:pPr>
      <w:r>
        <w:rPr>
          <w:rFonts w:ascii="Arial" w:cs="Arial" w:eastAsia="Arial" w:hAnsi="Arial"/>
          <w:sz w:val="15"/>
          <w:szCs w:val="15"/>
          <w:color w:val="auto"/>
        </w:rPr>
        <w:t>The DRAM industry is highly volatile. Due to the commodity nature of DRAM products, when the supply of DRAM products exceeds the demand for such products, average selling prices for DRAM products decline, sometimes rapidly. In the past, our operating results and cash flows have been adversely affected by:</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excess worldwide DRAM supply,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declines in average selling prices for DRAM products.</w:t>
      </w:r>
    </w:p>
    <w:p>
      <w:pPr>
        <w:spacing w:after="0" w:line="213"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either the growth rate of PCs sold or the amount of memory included in each PC decreases, sales of our memory products could decrease</w:t>
      </w:r>
    </w:p>
    <w:p>
      <w:pPr>
        <w:spacing w:after="0" w:line="134" w:lineRule="exact"/>
        <w:rPr>
          <w:sz w:val="20"/>
          <w:szCs w:val="20"/>
          <w:color w:val="auto"/>
        </w:rPr>
      </w:pPr>
    </w:p>
    <w:p>
      <w:pPr>
        <w:ind w:firstLine="172"/>
        <w:spacing w:after="0" w:line="255" w:lineRule="auto"/>
        <w:rPr>
          <w:sz w:val="20"/>
          <w:szCs w:val="20"/>
          <w:color w:val="auto"/>
        </w:rPr>
      </w:pPr>
      <w:r>
        <w:rPr>
          <w:rFonts w:ascii="Arial" w:cs="Arial" w:eastAsia="Arial" w:hAnsi="Arial"/>
          <w:sz w:val="18"/>
          <w:szCs w:val="18"/>
          <w:color w:val="auto"/>
        </w:rPr>
        <w:t>We sold most of our memory products to PC or peripheral markets in the second quarter and first six months of 2001. DRAMs are the most widely used semiconductor memory components in PCs. In recent periods the growth rate of PCs sold and the amount of memory included in each PC has slowed. Our second quarter results of operations have been affected by these declining growth rates. If we experience a sustained reduction in either the growth rate of PCs sold or the amount of memory included in each PC, sales of our memory products could decrease and our results of operations, cash flows and financial condition could be adversely affected.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experienced dramatic declines in average selling prices for our memory products which have adversely affected our business</w:t>
      </w:r>
    </w:p>
    <w:p>
      <w:pPr>
        <w:spacing w:after="0" w:line="254" w:lineRule="exact"/>
        <w:rPr>
          <w:sz w:val="20"/>
          <w:szCs w:val="20"/>
          <w:color w:val="auto"/>
        </w:rPr>
      </w:pPr>
    </w:p>
    <w:p>
      <w:pPr>
        <w:ind w:right="80" w:firstLine="166"/>
        <w:spacing w:after="0" w:line="323" w:lineRule="auto"/>
        <w:rPr>
          <w:sz w:val="20"/>
          <w:szCs w:val="20"/>
          <w:color w:val="auto"/>
        </w:rPr>
      </w:pPr>
      <w:r>
        <w:rPr>
          <w:rFonts w:ascii="Arial" w:cs="Arial" w:eastAsia="Arial" w:hAnsi="Arial"/>
          <w:sz w:val="15"/>
          <w:szCs w:val="15"/>
          <w:color w:val="auto"/>
        </w:rPr>
        <w:t>Average per megabit selling prices for our memory products decreased by approximately 50% in the second quarter of 2001 as compared to the first quarter of 2001 and have decreased approximately 30% per year on a long-term basis. Further, significant fluctuations in average selling prices for our memory products have occurred, including periods when decreases exceeded 30% per year. For instance, we experienced decreases in average selling prices in excess of a long-term 30% rate in four of the last five fiscal years, as follows: 37% decline in 1999, 60% decline in 1998, 75% decline in 1997 and 46% decline in 1996.</w:t>
      </w:r>
    </w:p>
    <w:p>
      <w:pPr>
        <w:spacing w:after="0" w:line="152" w:lineRule="exact"/>
        <w:rPr>
          <w:sz w:val="20"/>
          <w:szCs w:val="20"/>
          <w:color w:val="auto"/>
        </w:rPr>
      </w:pPr>
    </w:p>
    <w:p>
      <w:pPr>
        <w:ind w:right="20" w:firstLine="172"/>
        <w:spacing w:after="0" w:line="332" w:lineRule="auto"/>
        <w:rPr>
          <w:sz w:val="20"/>
          <w:szCs w:val="20"/>
          <w:color w:val="auto"/>
        </w:rPr>
      </w:pPr>
      <w:r>
        <w:rPr>
          <w:rFonts w:ascii="Arial" w:cs="Arial" w:eastAsia="Arial" w:hAnsi="Arial"/>
          <w:sz w:val="16"/>
          <w:szCs w:val="16"/>
          <w:color w:val="auto"/>
        </w:rPr>
        <w:t>We are unable to predict pricing conditions for any future period. If average selling prices for our memory products decrease faster than we are able to decrease per megabit manufacturing costs, our results of operations, cash flows and financial condition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firstLine="172"/>
        <w:spacing w:after="0" w:line="289"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as opposed to the current industry standard, 200mm wafers. 300mm wafers have approximately 130% greater usable surface area than 200mm wafers and their widespread use in the industry, which is expected to occur within the next two to five years, will lead to a significant increase in the worldwide supply of DRAM. Increases in worldwide supply of DRAM also result from DRAM capacity expansions, either by way of new facilities, increased capacity utilization, or reallocation of other semiconductor production to DRAM production. We are currently evaluating several capacity expansion programs for our various fabrication facilities. Increases in worldwide supply of DRAM could lead to further declines in average selling prices for our products and adversely affect our results of operations and cash flows.</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If any one of our major PC original equipment manufacturer ("OEM") customers significantly reduces its purchases of DRAM from us, our results of operations and cash flows could be adversely affected</w:t>
      </w:r>
    </w:p>
    <w:p>
      <w:pPr>
        <w:spacing w:after="0" w:line="180" w:lineRule="exact"/>
        <w:rPr>
          <w:sz w:val="20"/>
          <w:szCs w:val="20"/>
          <w:color w:val="auto"/>
        </w:rPr>
      </w:pPr>
    </w:p>
    <w:p>
      <w:pPr>
        <w:ind w:right="20" w:firstLine="172"/>
        <w:spacing w:after="0" w:line="259" w:lineRule="auto"/>
        <w:rPr>
          <w:sz w:val="20"/>
          <w:szCs w:val="20"/>
          <w:color w:val="auto"/>
        </w:rPr>
      </w:pPr>
      <w:r>
        <w:rPr>
          <w:rFonts w:ascii="Arial" w:cs="Arial" w:eastAsia="Arial" w:hAnsi="Arial"/>
          <w:sz w:val="18"/>
          <w:szCs w:val="18"/>
          <w:color w:val="auto"/>
        </w:rPr>
        <w:t>We supply several major PC OEMs with more than 30% of their memory requirements. Sales to three of our PC OEM customers approximated 30% of our Semiconductor operation's net sales in the second quarter of 2001. If any one of our major PC OEM customers significantly reduces its purchases of DRAM from us, our results of operations and cash flows could be adversely affected.</w:t>
      </w:r>
    </w:p>
    <w:p>
      <w:pPr>
        <w:sectPr>
          <w:pgSz w:w="11900" w:h="16838" w:orient="portrait"/>
          <w:cols w:equalWidth="0" w:num="1">
            <w:col w:w="11400"/>
          </w:cols>
          <w:pgMar w:left="240" w:top="131" w:right="25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If we are unable to make adequate capital investments, our results of operations and cash flows could be adversely affected</w:t>
      </w:r>
    </w:p>
    <w:p>
      <w:pPr>
        <w:spacing w:after="0" w:line="231"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We must make substantial capital investments to convert manufacturing operations to 300mm wafer processing over the next several years. We made $1 billion in capital investments in the first six months of 2001 and currently estimate that our capital investments will approximate $2 billion for fiscal 2001 and $1 billion in the first half of fiscal 2002. If we are unable to make adequate capital investments, our results of operations and cash flows could be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are unable to reduce per megabit manufacturing costs of our memory products at an acceptable rate, our results of operations could be adversely affected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reduce per megabit manufacturing costs we must: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design and develop new generation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 the die size of our existing products,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the production of these products at acceptable rates to acceptable yields.</w:t>
      </w:r>
    </w:p>
    <w:p>
      <w:pPr>
        <w:spacing w:after="0" w:line="2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these efforts are unsuccessful, we may be unable to sufficiently reduce per megabit manufacturing costs and our results of operations and cash flows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interrupted, our results of operations and cash flows could be adversely affected</w:t>
      </w:r>
    </w:p>
    <w:p>
      <w:pPr>
        <w:spacing w:after="0" w:line="231" w:lineRule="exact"/>
        <w:rPr>
          <w:sz w:val="20"/>
          <w:szCs w:val="20"/>
          <w:color w:val="auto"/>
        </w:rPr>
      </w:pPr>
    </w:p>
    <w:p>
      <w:pPr>
        <w:ind w:right="40" w:firstLine="172"/>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and costly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for any reason, including, but not limited to, disruptions in power or water supply, we may be unable to meet demand and customers may purchase products from other suppliers. The resulting loss of revenues and damage to customer relationships could be significant.</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business, results of operation and financial condition</w:t>
      </w:r>
    </w:p>
    <w:p>
      <w:pPr>
        <w:spacing w:after="0" w:line="180" w:lineRule="exact"/>
        <w:rPr>
          <w:sz w:val="20"/>
          <w:szCs w:val="20"/>
          <w:color w:val="auto"/>
        </w:rPr>
      </w:pPr>
    </w:p>
    <w:p>
      <w:pPr>
        <w:ind w:firstLine="176"/>
        <w:spacing w:after="0" w:line="285" w:lineRule="auto"/>
        <w:rPr>
          <w:sz w:val="20"/>
          <w:szCs w:val="20"/>
          <w:color w:val="auto"/>
        </w:rPr>
      </w:pPr>
      <w:r>
        <w:rPr>
          <w:rFonts w:ascii="Arial" w:cs="Arial" w:eastAsia="Arial" w:hAnsi="Arial"/>
          <w:sz w:val="16"/>
          <w:szCs w:val="16"/>
          <w:color w:val="auto"/>
        </w:rPr>
        <w:t>From time to time, others have asserted, and may in the future assert, that our products or our processes infringe their product or process technology rights. In this regard, we are currently engaged in litigation with Rambus, Inc. ("Rambus") relating to certain of Rambus' patents. Lawsuits between Rambus and us are pending in the United States, Germany, France, the United Kingdom and Italy. In this regard,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as to products manufactured at the Company's Avezzano, Italy, site. On October 6, 2000, pursuant to an ex parte proceeding, the Monza court ordered the seizure of certain SDRAM masks used at the Company's Avezzano site. On December 21, 2000, an appeals panel of the Court of Monza ordered that the seizure be revoked and held that the Monza trial court had no jurisdiction to adjudicate the matter. Despite the appeals panel's jurisdictional finding, the Monza trial court has ordered that technical review proceedings continue with respect to the issue of preliminary injunction. The Company currently anticipates the technical review process to be completed by May 10, 2001, after which it is anticipated that the trial court will enter a ruling. In the event of an adverse ruling, the Company expects to appeal the ruling to the appeals panel of the Court of Monza on the basis that the trial court lacks jurisdiction to adjudicate the matter; however, we are unable to predict the outcome of these suits. Legal proceedings are also pending between the Company and Rambus in the U.S. District Court for the District of Delaware and in other jurisdictions. For more information, see Part II, Other Information, "Item 1. Legal Proceedings." The Company cannot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affect on our business, results of operations or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300" w:firstLine="172"/>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one-time or periodic royalty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increased megabit production in recent years through improvement to our manufacturing process, but we may not be able to increase production at the same rate in the future</w:t>
      </w:r>
    </w:p>
    <w:p>
      <w:pPr>
        <w:spacing w:after="0" w:line="180"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In recent years, we have increased our megabit production through improvements in our manufacturing processes, including reducing the die size of our existing products. As a result, we have decreased per megabit production costs and significantly increased our megabit production. However, we may not be able to increase megabit production at historical rates in the future. Our ability to increase megabit production in future periods may be limited because of the following factors: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substantial completion of product and process technology upgrades in our international and JV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15" w:name="page16"/>
    <w:bookmarkEnd w:id="15"/>
    <w:p>
      <w:pPr>
        <w:ind w:left="1080"/>
        <w:spacing w:after="0"/>
        <w:rPr>
          <w:sz w:val="20"/>
          <w:szCs w:val="20"/>
          <w:color w:val="auto"/>
        </w:rPr>
      </w:pPr>
      <w:r>
        <w:rPr>
          <w:rFonts w:ascii="Arial" w:cs="Arial" w:eastAsia="Arial" w:hAnsi="Arial"/>
          <w:sz w:val="18"/>
          <w:szCs w:val="18"/>
          <w:color w:val="auto"/>
        </w:rPr>
        <w:t>our commitment of more wafer starts to our Flash and SRAM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implement more complex technologies without compromising our manufacturing yields,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ramp the latest reduced die size versions of existing devices or new generation devices to commercial volumes.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actual costs to dispose of the PC business exceed the estimated costs, our results of operations would be adversely affected</w:t>
      </w:r>
    </w:p>
    <w:p>
      <w:pPr>
        <w:spacing w:after="0" w:line="231" w:lineRule="exact"/>
        <w:rPr>
          <w:sz w:val="20"/>
          <w:szCs w:val="20"/>
          <w:color w:val="auto"/>
        </w:rPr>
      </w:pPr>
    </w:p>
    <w:p>
      <w:pPr>
        <w:ind w:right="20" w:firstLine="172"/>
        <w:spacing w:after="0" w:line="255" w:lineRule="auto"/>
        <w:rPr>
          <w:sz w:val="20"/>
          <w:szCs w:val="20"/>
          <w:color w:val="auto"/>
        </w:rPr>
      </w:pPr>
      <w:r>
        <w:rPr>
          <w:rFonts w:ascii="Arial" w:cs="Arial" w:eastAsia="Arial" w:hAnsi="Arial"/>
          <w:sz w:val="18"/>
          <w:szCs w:val="18"/>
          <w:color w:val="auto"/>
        </w:rPr>
        <w:t>The estimated net loss recorded on disposal of the PC business consists of the estimated loss on disposition and estimated operating losses from March 2, 2001, through the anticipated disposal date. These amounts were based upon our expectation that the PC business will be sold. If the contemplated sale does not close or if proceeds from the disposition are less than estimated, our future results of operations would be adversely impacted. In addition, operating losses of the PC business until the date of disposal are based on estimates. If the actual operating losses exceed the estimated operating losses, our results of operations would be adversely impacted.</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If MEI is unable to effectively compete in the web-hosting industry or to complete its merger with Interland, our results of operations could be adversely affected</w:t>
      </w:r>
    </w:p>
    <w:p>
      <w:pPr>
        <w:spacing w:after="0" w:line="180" w:lineRule="exact"/>
        <w:rPr>
          <w:sz w:val="20"/>
          <w:szCs w:val="20"/>
          <w:color w:val="auto"/>
        </w:rPr>
      </w:pPr>
    </w:p>
    <w:p>
      <w:pPr>
        <w:ind w:right="100" w:firstLine="176"/>
        <w:spacing w:after="0" w:line="294" w:lineRule="auto"/>
        <w:rPr>
          <w:sz w:val="20"/>
          <w:szCs w:val="20"/>
          <w:color w:val="auto"/>
        </w:rPr>
      </w:pPr>
      <w:r>
        <w:rPr>
          <w:rFonts w:ascii="Arial" w:cs="Arial" w:eastAsia="Arial" w:hAnsi="Arial"/>
          <w:sz w:val="16"/>
          <w:szCs w:val="16"/>
          <w:color w:val="auto"/>
        </w:rPr>
        <w:t>MEI has announced its intent to focus on web-hosting as its business strategy and to exit its non-hosting businesses. The web-hosting industry is highly competitive. A number of MEI's web-hosting competitors have greater brand awareness and market share and have substantially greater financial, technical, marketing and other resources than MEI. If MEI is unable to complete its merger with Interland or to effectively compete in the web-hosting industry, our results of operations could be adversely affected. If MEI is unable to dispose of its PC business in a timely manner, MEI may not be able to complete the Interland Merger or to execute its strategy of focusing on the web-hosting business.</w:t>
      </w:r>
    </w:p>
    <w:p>
      <w:pPr>
        <w:spacing w:after="0" w:line="164"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the net book value of MEI stock exceeds its fair market value for a stock transaction or future events determine there is a permanent decline in the value of MEI stock, our results of operations will be adversely impacted</w:t>
      </w:r>
    </w:p>
    <w:p>
      <w:pPr>
        <w:spacing w:after="0" w:line="180" w:lineRule="exact"/>
        <w:rPr>
          <w:sz w:val="20"/>
          <w:szCs w:val="20"/>
          <w:color w:val="auto"/>
        </w:rPr>
      </w:pPr>
    </w:p>
    <w:p>
      <w:pPr>
        <w:ind w:right="220" w:firstLine="172"/>
        <w:spacing w:after="0" w:line="268" w:lineRule="auto"/>
        <w:rPr>
          <w:sz w:val="20"/>
          <w:szCs w:val="20"/>
          <w:color w:val="auto"/>
        </w:rPr>
      </w:pPr>
      <w:r>
        <w:rPr>
          <w:rFonts w:ascii="Arial" w:cs="Arial" w:eastAsia="Arial" w:hAnsi="Arial"/>
          <w:sz w:val="18"/>
          <w:szCs w:val="18"/>
          <w:color w:val="auto"/>
        </w:rPr>
        <w:t>We currently estimate that we will incur a loss of approximately $15 million upon consummation of the Interland Merger. The actual amount of the loss may vary depending on the net book value at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time of the merger. If the net book value of MEI stock exceeds the fair value of the stock at the time we issue or sell MEI shares in any transaction, our results of operations will be adversely impacted.</w:t>
      </w:r>
    </w:p>
    <w:p>
      <w:pPr>
        <w:spacing w:after="0" w:line="186" w:lineRule="exact"/>
        <w:rPr>
          <w:sz w:val="20"/>
          <w:szCs w:val="20"/>
          <w:color w:val="auto"/>
        </w:rPr>
      </w:pPr>
    </w:p>
    <w:p>
      <w:pPr>
        <w:jc w:val="both"/>
        <w:ind w:right="120" w:firstLine="176"/>
        <w:spacing w:after="0" w:line="259" w:lineRule="auto"/>
        <w:rPr>
          <w:sz w:val="20"/>
          <w:szCs w:val="20"/>
          <w:color w:val="auto"/>
        </w:rPr>
      </w:pPr>
      <w:r>
        <w:rPr>
          <w:rFonts w:ascii="Arial" w:cs="Arial" w:eastAsia="Arial" w:hAnsi="Arial"/>
          <w:sz w:val="18"/>
          <w:szCs w:val="18"/>
          <w:color w:val="auto"/>
        </w:rPr>
        <w:t>In addition to the anticipated loss upon consummation of the Interland Merger, if future events determine that there is a permanent decline in the value of MEI stock, our consolidated financial statements could reflect a charge to write down our investment in MEI, which investment is currently estimated to approximate $200 million at the time of the Interland Merger, to its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purchase technologically-advanced semiconductor manufacturing equipment, our results of operations could be harmed</w:t>
      </w:r>
    </w:p>
    <w:p>
      <w:pPr>
        <w:spacing w:after="0" w:line="254"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Our Semiconductor operations require highly advanced, complex, and costly semiconductor equipment. If we want to continue to be a low-cost producer of semiconductor memory products, we will need to be able to replace obsolete equipment and purchase the most technologically-advanced semiconductor manufacturing equipment. However, there are only a limited number of suppliers capable of providing this critical equipment. Equipment shortages have occurred from time to time in the past and lead times for ordering new equipment are typically 6 to 18 months. We often need to place orders for new equipment several months in advance to ensure timely delivery, which may limit our ability to alter plans in response to changes in market conditions. Our supply of new equipment could be significantly delayed if any shortages occur. Any equipment delays could limit our ability to use the most cost-effective processes and limit our ability to expand our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in our supply of raw materials could adversely affect our results of operations</w:t>
      </w:r>
    </w:p>
    <w:p>
      <w:pPr>
        <w:spacing w:after="0" w:line="231" w:lineRule="exact"/>
        <w:rPr>
          <w:sz w:val="20"/>
          <w:szCs w:val="20"/>
          <w:color w:val="auto"/>
        </w:rPr>
      </w:pPr>
    </w:p>
    <w:p>
      <w:pPr>
        <w:ind w:right="220" w:firstLine="176"/>
        <w:spacing w:after="0" w:line="254" w:lineRule="auto"/>
        <w:rPr>
          <w:sz w:val="20"/>
          <w:szCs w:val="20"/>
          <w:color w:val="auto"/>
        </w:rPr>
      </w:pPr>
      <w:r>
        <w:rPr>
          <w:rFonts w:ascii="Arial" w:cs="Arial" w:eastAsia="Arial" w:hAnsi="Arial"/>
          <w:sz w:val="18"/>
          <w:szCs w:val="18"/>
          <w:color w:val="auto"/>
        </w:rPr>
        <w:t>Our Semiconductor operations require raw materials that meet exacting standards. We generally have multiple sources of supply for our raw materials, however, only a limited number of suppliers are capable of delivering certain raw materials that meet our standards. Various factors, including increases in worldwide semiconductor manufacturing, could reduce the availability of raw materials such as silicon wafers, photomasks, chemicals, gases, lead frames and molding compound. Raw materials shortages have not interrupted our operations in the past. Nevertheless,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existing key employees or hire qualified new employees, our operating results could be adversely affected</w:t>
      </w:r>
    </w:p>
    <w:p>
      <w:pPr>
        <w:spacing w:after="0" w:line="231"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recruitment of our existing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operating results</w:t>
      </w:r>
    </w:p>
    <w:p>
      <w:pPr>
        <w:spacing w:after="0" w:line="231" w:lineRule="exact"/>
        <w:rPr>
          <w:sz w:val="20"/>
          <w:szCs w:val="20"/>
          <w:color w:val="auto"/>
        </w:rPr>
      </w:pPr>
    </w:p>
    <w:p>
      <w:pPr>
        <w:ind w:right="160" w:firstLine="176"/>
        <w:spacing w:after="0" w:line="259" w:lineRule="auto"/>
        <w:rPr>
          <w:sz w:val="20"/>
          <w:szCs w:val="20"/>
          <w:color w:val="auto"/>
        </w:rPr>
      </w:pPr>
      <w:r>
        <w:rPr>
          <w:rFonts w:ascii="Arial" w:cs="Arial" w:eastAsia="Arial" w:hAnsi="Arial"/>
          <w:sz w:val="18"/>
          <w:szCs w:val="18"/>
          <w:color w:val="auto"/>
        </w:rPr>
        <w:t>International sales approximated 45% of our consolidated net sales in the second quarter of 2001 and 44% of our consolidated net sales in the first six months of 2001. We expect international sales to increase. In addition, we support manufacturing operations in Italy, Singapore, Japan and Scotland. Our international sales and international operations are subject to a variety of risks, including: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currency fluctuations, export duties, changes to import and export regulations and restrictions on the transfer of funds,</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 w:right="239" w:bottom="0" w:gutter="0" w:footer="0" w:header="0"/>
          <w:type w:val="continuous"/>
        </w:sectPr>
      </w:pPr>
    </w:p>
    <w:bookmarkStart w:id="16" w:name="page17"/>
    <w:bookmarkEnd w:id="16"/>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 turnover and labor unrest,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longer payment cycles and greater difficulty in collecting accounts receivable,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compliance with a variety of international laws,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adversely impact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of memory products decline, we may not be able to generate sufficient cash flow to fund our operations</w:t>
      </w:r>
    </w:p>
    <w:p>
      <w:pPr>
        <w:spacing w:after="0" w:line="231"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Historically, we have invested substantially all cash flow from Semiconductor operations in capacity expansion and enhancement programs. Our cash flow from operations depends primarily on average selling prices and per megabit manufacturing costs of our semiconductor memory products. If average selling prices decline at a faster rate than our per megabit manufacturing costs, we may not be able to generate sufficient cash flows to sustain our operations. We may be unable to obtain other external sources of liquidity to fund our operations or efforts to enhance our capacity and product and process technology. Without additional financing, we may be unable to invest sufficiently in capacity expansion and enhancement programs, which could materially adversely affect our business, results of operations and financial condition.</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fail to compete effectively in the highly competitive semiconductor memory industry, our results of operations and cash flows would be adversely affected</w:t>
      </w:r>
    </w:p>
    <w:p>
      <w:pPr>
        <w:spacing w:after="0" w:line="180" w:lineRule="exact"/>
        <w:rPr>
          <w:sz w:val="20"/>
          <w:szCs w:val="20"/>
          <w:color w:val="auto"/>
        </w:rPr>
      </w:pPr>
    </w:p>
    <w:p>
      <w:pPr>
        <w:ind w:right="60" w:firstLine="172"/>
        <w:spacing w:after="0" w:line="255"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Hitachi, Ltd., Hynix Semiconductor, Inc., Infineon Technologies AG., NEC Corporation and Samsung Semiconductor, Inc. Some of these competitors are large corporations or conglomerates that may have greater resources to withstand downturns in the semiconductor memory market, invest in technology and capitalize on growth opportunities. Consolidations in the semiconductor memory industry could weaken our position against competitors. If we fail to compete effectively, our results of operations and cash flows would be adversely affected.</w:t>
      </w:r>
    </w:p>
    <w:p>
      <w:pPr>
        <w:spacing w:after="0" w:line="191"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may need to replace product or otherwise compensate customers for costs incurred or damages caused by defective or incompatible product.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encounter adverse publicity, which could cause a decrease in sales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supply of memory products from our joint ventures is interrupted, our results of operations could be adversely affected</w:t>
      </w:r>
    </w:p>
    <w:p>
      <w:pPr>
        <w:spacing w:after="0" w:line="231" w:lineRule="exact"/>
        <w:rPr>
          <w:sz w:val="20"/>
          <w:szCs w:val="20"/>
          <w:color w:val="auto"/>
        </w:rPr>
      </w:pPr>
    </w:p>
    <w:p>
      <w:pPr>
        <w:ind w:firstLine="172"/>
        <w:spacing w:after="0" w:line="332" w:lineRule="auto"/>
        <w:rPr>
          <w:sz w:val="20"/>
          <w:szCs w:val="20"/>
          <w:color w:val="auto"/>
        </w:rPr>
      </w:pPr>
      <w:r>
        <w:rPr>
          <w:rFonts w:ascii="Arial" w:cs="Arial" w:eastAsia="Arial" w:hAnsi="Arial"/>
          <w:sz w:val="16"/>
          <w:szCs w:val="16"/>
          <w:color w:val="auto"/>
        </w:rPr>
        <w:t>We participate in two joint ventures that currently supply us with in excess of 40% of our total megabits of memory produced. We have agreements to purchase all of the production from the joint ventures subject to specific terms and conditions. The joint ventures have historically been required to</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seek additional financing to fund their ongoing operations and transition to next generation technologies. Our source of supply may be interrupted if either joint venture is unable to repay or refinance existing debt or obtain required incremental financing. In addition, our supply from each joint venture may be interrupted if either of the joint ventures experiences a disruption in its manufacturing process. Any reduction in supply could adversely affect our results of operations and cash flows.</w:t>
      </w:r>
    </w:p>
    <w:p>
      <w:pPr>
        <w:spacing w:after="0" w:line="197" w:lineRule="exact"/>
        <w:rPr>
          <w:sz w:val="20"/>
          <w:szCs w:val="20"/>
          <w:color w:val="auto"/>
        </w:rPr>
      </w:pPr>
    </w:p>
    <w:p>
      <w:pPr>
        <w:ind w:right="460" w:firstLine="172"/>
        <w:spacing w:after="0" w:line="268" w:lineRule="auto"/>
        <w:rPr>
          <w:sz w:val="20"/>
          <w:szCs w:val="20"/>
          <w:color w:val="auto"/>
        </w:rPr>
      </w:pPr>
      <w:r>
        <w:rPr>
          <w:rFonts w:ascii="Arial" w:cs="Arial" w:eastAsia="Arial" w:hAnsi="Arial"/>
          <w:sz w:val="18"/>
          <w:szCs w:val="18"/>
          <w:color w:val="auto"/>
        </w:rPr>
        <w:t>We have a transaction pending to purchase the remaining equity interest in our KMT joint venture. (See "Liquidity and Capital Resources" and "Notes to Consolidated Financial Statements—Joint ventures.")</w:t>
      </w:r>
    </w:p>
    <w:p>
      <w:pPr>
        <w:spacing w:after="0" w:line="18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successfully transition our Semiconductor operations to 300mm wafer manufacturing processes, the results of our operations and cash flows could be adversely affected</w:t>
      </w:r>
    </w:p>
    <w:p>
      <w:pPr>
        <w:spacing w:after="0" w:line="180" w:lineRule="exact"/>
        <w:rPr>
          <w:sz w:val="20"/>
          <w:szCs w:val="20"/>
          <w:color w:val="auto"/>
        </w:rPr>
      </w:pPr>
    </w:p>
    <w:p>
      <w:pPr>
        <w:ind w:right="100" w:firstLine="172"/>
        <w:spacing w:after="0" w:line="290"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only a slightly higher cost for each wafer, resulting in substantially reduced costs for each die. Several of our competitors have announced intentions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raise funds. We may also experience disruptions in manufacturing operations and reduced yields during our initial transition stage to larger wafer sizes. If we are unable to successfully transition to 300mm wafer processing, our results of operations and cash flows could be harmed.</w:t>
      </w:r>
    </w:p>
    <w:p>
      <w:pPr>
        <w:spacing w:after="0" w:line="16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The DRAM market is expected to undergo considerable market segmentation in the near future. If we fail to accurately predict and meet market demand for various products, the results of our operations and cash flows could be harmed</w:t>
      </w:r>
    </w:p>
    <w:p>
      <w:pPr>
        <w:sectPr>
          <w:pgSz w:w="11900" w:h="16844" w:orient="portrait"/>
          <w:cols w:equalWidth="0" w:num="1">
            <w:col w:w="11380"/>
          </w:cols>
          <w:pgMar w:left="240" w:top="374" w:right="279" w:bottom="0" w:gutter="0" w:footer="0" w:header="0"/>
        </w:sectPr>
      </w:pPr>
    </w:p>
    <w:bookmarkStart w:id="17" w:name="page18"/>
    <w:bookmarkEnd w:id="17"/>
    <w:p>
      <w:pPr>
        <w:ind w:right="160" w:firstLine="172"/>
        <w:spacing w:after="0" w:line="288" w:lineRule="auto"/>
        <w:rPr>
          <w:sz w:val="20"/>
          <w:szCs w:val="20"/>
          <w:color w:val="auto"/>
        </w:rPr>
      </w:pPr>
      <w:r>
        <w:rPr>
          <w:rFonts w:ascii="Arial" w:cs="Arial" w:eastAsia="Arial" w:hAnsi="Arial"/>
          <w:sz w:val="16"/>
          <w:szCs w:val="16"/>
          <w:color w:val="auto"/>
        </w:rPr>
        <w:t>The DRAM market in the past has been characterized by production of large volumes of one dominant part type with the lowest possible megabit cost. We expect the DRAM market to partially transition its focus from the production of one dominant part type to a market with several different part types based on a variety of new technologies. These new technologies may include PC133 SDRAM, Double Data Rate (DDR) DRAM, and Rambus® DRAM. We also expect to support a larger number of product densities in the future. This segmentation of the DRAM market is expected to continue in future periods, as our memory products are used in a wide variety of different products. If we are to maintain our large market share with major OEM customers we must offer a broader range of products to meet the memory requirements of these OEMs. It takes several months, or even years, to develop and qualify new products. If we are unable to accurately predict the demand for new products or the technologies on which these new products are based, our results of operations and cash flows could be adversely affected given the long lead times associated with product development. In addition, if we are unable to offer a broader range of products in a cost-effective manner, our results of operations and cash flows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technologies could affect demand for our semiconductor memory products and have an adverse affect on our results of operations and cash flows</w:t>
      </w:r>
    </w:p>
    <w:p>
      <w:pPr>
        <w:spacing w:after="0" w:line="266" w:lineRule="exact"/>
        <w:rPr>
          <w:sz w:val="20"/>
          <w:szCs w:val="20"/>
          <w:color w:val="auto"/>
        </w:rPr>
      </w:pPr>
    </w:p>
    <w:p>
      <w:pPr>
        <w:ind w:right="240" w:firstLine="172"/>
        <w:spacing w:after="0" w:line="256" w:lineRule="auto"/>
        <w:rPr>
          <w:sz w:val="20"/>
          <w:szCs w:val="20"/>
          <w:color w:val="auto"/>
        </w:rPr>
      </w:pPr>
      <w:r>
        <w:rPr>
          <w:rFonts w:ascii="Arial" w:cs="Arial" w:eastAsia="Arial" w:hAnsi="Arial"/>
          <w:sz w:val="18"/>
          <w:szCs w:val="18"/>
          <w:color w:val="auto"/>
        </w:rPr>
        <w:t>We and our competitors need to spend substantial resources to develop new semiconductor memory technologies. If our competitors introduce new products and processes before us, demand for our products could decrease and our results of operations could be harmed. We expect our competitors will continue to develop new products and processes in the future. While we will continue to invest substantially in our own research and development efforts, we cannot guarantee that our new products and processes will be competitive.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60" w:firstLine="176"/>
        <w:spacing w:after="0" w:line="291" w:lineRule="auto"/>
        <w:rPr>
          <w:sz w:val="20"/>
          <w:szCs w:val="20"/>
          <w:color w:val="auto"/>
        </w:rPr>
      </w:pPr>
      <w:r>
        <w:rPr>
          <w:rFonts w:ascii="Arial" w:cs="Arial" w:eastAsia="Arial" w:hAnsi="Arial"/>
          <w:sz w:val="16"/>
          <w:szCs w:val="16"/>
          <w:color w:val="auto"/>
        </w:rPr>
        <w:t>Substantially all of the Company's liquid investments and long-term debt are at fixed interest rates; therefore, the fair value of these instruments is affected by changes in market interest rates. However, substantially all of the Company's liquid investments mature within one year. As a result, the Company believes that the market risk arising from its holdings of financial instruments is minimal. As of March 1, 2001, the Company held aggregate cash and receivables in foreign currency valued at approximately US $41 million and aggregate foreign currency payables valued at approximately US $97 million (including long-term liabilities denominated in Euros valued at approximately US $18 million). Foreign currency receivables and payables are comprised primarily of Japanese Yen, British Pounds, Singapore Dollars and Euros.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176"/>
        <w:spacing w:after="0" w:line="283" w:lineRule="auto"/>
        <w:rPr>
          <w:sz w:val="20"/>
          <w:szCs w:val="20"/>
          <w:color w:val="auto"/>
        </w:rPr>
      </w:pPr>
      <w:r>
        <w:rPr>
          <w:rFonts w:ascii="Arial" w:cs="Arial" w:eastAsia="Arial" w:hAnsi="Arial"/>
          <w:sz w:val="16"/>
          <w:szCs w:val="16"/>
          <w:color w:val="auto"/>
        </w:rPr>
        <w:t>On August 28, 2000, the Company filed suit against Rambus, Inc. ("Rambus") in U.S. District Court for the District of Delaware seeking (1) relief under the federal antitrust laws for violations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and (3) damages and declaratory relief for Rambus' breach of contract, fraud, 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 certain materials and the entry of a preliminary injunction as to products manufactured at the Company's Avezzano, Italy, site. On October 6, 2000, pursuant to an ex parte proceeding, the Monza trial court ordered the seizure of certain SDRAM masks used at the Company's Avezzano site. On December 21, 2000, an appeals panel of the Court of Monza ordered that technical the seizure be revoked and held that the Monza trial court had no jurisdiction to adjudicate the matter. Despite the appeals panel's jurisdictional finding, the Monza trial court has ordered that technical review proceedings continue with respect to the issue of preliminary injunction. The Company currently anticipates the technical review process to be completed by May 10, 2001, after which it is anticipated that the trial court will enter a ruling. In the event of an adverse ruling, the Company expects to appeal the ruling to the appeals panel of the Court of Monza on the basis that the trial court lacks jurisdiction to adjudicate the matter. On December 29, 2000, the Company filed suit against Rambus in the Civil Court of Avezzano, Italy, alleging invalidity and non-infringement of the Italian counterpart to European patent 1 004 956. In January, 2001, the Delaware Court ordered the Company's case against Rambus bifurcated to allow a separate trial respecting the Company's claims that Rambus violated the rules of the Joint Electronic Devices Engineering Council ("JEDEC"). Trial on the JEDEC issues is scheduled for May 31, 2001. On February 15, 2001, Rambus filed a counterclaim against the Company alleging infringement of eight Rambus patents subject to the Company's declatory judgement action. Trial on the remaining Company and Rambus claims is presently scheduled to commence on October 29, 2001. The Company is unable to predict the outcome of these suits.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filed as a part of this report: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8" w:lineRule="exact"/>
        <w:rPr>
          <w:sz w:val="20"/>
          <w:szCs w:val="20"/>
          <w:color w:val="auto"/>
        </w:rPr>
      </w:pPr>
    </w:p>
    <w:p>
      <w:pPr>
        <w:ind w:left="2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72390</wp:posOffset>
            </wp:positionV>
            <wp:extent cx="578485"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848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81280</wp:posOffset>
            </wp:positionV>
            <wp:extent cx="406908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069080" cy="215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4920" w:space="720"/>
            <w:col w:w="5780"/>
          </w:cols>
          <w:pgMar w:left="240" w:top="131" w:right="239" w:bottom="0" w:gutter="0" w:footer="0" w:header="0"/>
          <w:type w:val="continuous"/>
        </w:sectPr>
      </w:pPr>
    </w:p>
    <w:p>
      <w:pPr>
        <w:spacing w:after="0" w:line="44"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None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ectPr>
          <w:pgSz w:w="11900" w:h="16838" w:orient="portrait"/>
          <w:cols w:equalWidth="0" w:num="1">
            <w:col w:w="11420"/>
          </w:cols>
          <w:pgMar w:left="240" w:top="131" w:right="239" w:bottom="0" w:gutter="0" w:footer="0" w:header="0"/>
          <w:type w:val="continuous"/>
        </w:sectPr>
      </w:pPr>
    </w:p>
    <w:bookmarkStart w:id="18" w:name="page19"/>
    <w:bookmarkEnd w:id="18"/>
    <w:p>
      <w:pPr>
        <w:ind w:left="540"/>
        <w:spacing w:after="0"/>
        <w:rPr>
          <w:sz w:val="20"/>
          <w:szCs w:val="20"/>
          <w:color w:val="auto"/>
        </w:rPr>
      </w:pPr>
      <w:r>
        <w:rPr>
          <w:rFonts w:ascii="Arial" w:cs="Arial" w:eastAsia="Arial" w:hAnsi="Arial"/>
          <w:sz w:val="18"/>
          <w:szCs w:val="18"/>
          <w:color w:val="auto"/>
        </w:rPr>
        <w:t>The registrant did not file any reports on Form 8-K during the fiscal quarter ended March 1, 2001.</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April 16, 2001</w:t>
      </w:r>
      <w:r>
        <w:rPr>
          <w:sz w:val="20"/>
          <w:szCs w:val="20"/>
          <w:color w:val="auto"/>
        </w:rPr>
        <w:tab/>
      </w:r>
      <w:r>
        <w:rPr>
          <w:rFonts w:ascii="Arial" w:cs="Arial" w:eastAsia="Arial" w:hAnsi="Arial"/>
          <w:sz w:val="16"/>
          <w:szCs w:val="16"/>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77470</wp:posOffset>
            </wp:positionV>
            <wp:extent cx="3768725"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768725" cy="21590"/>
                    </a:xfrm>
                    <a:prstGeom prst="rect">
                      <a:avLst/>
                    </a:prstGeom>
                    <a:noFill/>
                  </pic:spPr>
                </pic:pic>
              </a:graphicData>
            </a:graphic>
          </wp:anchor>
        </w:drawing>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Wilbur G. Stover, Jr., Vice President of Finance and Chief Financial Officer</w:t>
      </w:r>
    </w:p>
    <w:p>
      <w:pPr>
        <w:spacing w:after="0" w:line="3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2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FINANCIAL INFORMATION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Part II. OTHER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SIGNATURES</w:t>
        </w:r>
      </w:hyperlink>
    </w:p>
    <w:sectPr>
      <w:pgSz w:w="11900" w:h="16838" w:orient="portrait"/>
      <w:cols w:equalWidth="0" w:num="1">
        <w:col w:w="11160"/>
      </w:cols>
      <w:pgMar w:left="24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2019-12-13T13:18:49Z</dcterms:created>
  <dcterms:modified xsi:type="dcterms:W3CDTF">2019-12-13T13:18:49Z</dcterms:modified>
</cp:coreProperties>
</file>