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300"/>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180" w:hanging="880"/>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1180" w:hanging="880"/>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1180" w:hanging="880"/>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180" w:hanging="880"/>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1180" w:hanging="880"/>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880" w:hanging="586"/>
        <w:spacing w:after="0"/>
        <w:tabs>
          <w:tab w:leader="none" w:pos="8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880" w:hanging="5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560"/>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880" w:hanging="5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880" w:right="299" w:hanging="586"/>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560" w:hanging="37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975360</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56083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60830"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7,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Fellow Micron Shareholders,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Fiscal 2017 was a remarkable year for Micron. Intense focus and execution enabled us to harness industry tailwinds and achieve unprecedented results. For the first time in our nearly 40-year history, we surpassed $20 billion in revenue, grew net income to a record $5.1 billion, and generated a record $3.3 billion in free cash flow.</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Micron's business is more diversified than ever. We realized double-digit revenue growth in each of our four business units: Compute &amp; Networking, Embedded, Mobile, and Storage. Our performance reflects the breadth of both our solutions and our end markets. Demand for memory and storage extends well beyond personal computers and mobile phones. Our technologies play a critical role in enabling some of today's most advanced applications, including artificial intelligence, autonomous driving, and virtual reality.</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this letter, I will recap our fiscal 2017 achievements, share our perspectives on the current industry dynamics, and highlight how our priorities for fiscal 2018 position us to capitalize on opportunities created by the evolving industry environment.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Executing Against our Strategy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Micron achieved several key objectives in fiscal 2017, which significantly improved our position across multiple aspects of the business. We successfully ramped 20nm DRAM and 32-layer 3D NAND technologies into volume production, enabling us to improve our relative cost competitiveness. We continued to execute our technology roadmap by introducing next-generation 1X DRAM and 64-layer 3D NAND, and we made substantial progress in follow-on DRAM and NAND technologies.</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furthered our efforts to increase the percentage of our revenue going to high-value solutions. This was particularly true for our NAND flash portfolio. Sales of solid state drives ("SSDs") were more than double what we achieved the year prior. Sales of managed NAND solutions, which are NAND devices packaged with controller technology, nearly doubled year-over-year.</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made meaningful improvements in manufacturing scale and efficiency. We completed the acquisition of Inotera Memories, driving improved margins and free cash flow, and enhancing our operational efficiency through greater scale. We also established a DRAM Center of Excellence in Taiwan, which will co-locate back-end test, assembly and packaging alongside our existing front-end DRAM fabrication facilities. This strategy mirrors our NAND Center of Excellence in Singapore and will drive further operational cost efficiencies across our global manufacturing footprint.</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Finally, we strengthened our balance sheet in fiscal 2017, growing cash, marketable investments, and restricted cash to $6.2 billion, while retiring $1.5 billion in high-yield debt. We have continued to make progress towards being net cash positive by the end of fiscal 2018, retiring additional high-yield debt in November. This progress provides a healthier financial foundation upon which to grow revenues and profits.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Environment and Fiscal 2018 Objectives</w:t>
      </w:r>
    </w:p>
    <w:p>
      <w:pPr>
        <w:spacing w:after="0" w:line="229"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Today, memory and storage technologies play a more critical role in networking, storage and computing architectures than they have at any time in the past. There is an unprecedented amount of data being created, stored, and processed in a wide range of end-market applications and these applications are made possible with memory and storage solutions like those Micron develops. This trend creates opportunities for Micron to build more strategic relationships with our key customers and help them extract the most value from our technologies. We believe these opportunities will continue to grow as rapid advances in data analytics lead to new use cases and applications that improve our everyday lives.</w:t>
      </w:r>
    </w:p>
    <w:p>
      <w:pPr>
        <w:sectPr>
          <w:pgSz w:w="11900" w:h="16838" w:orient="portrait"/>
          <w:cols w:equalWidth="0" w:num="1">
            <w:col w:w="11400"/>
          </w:cols>
          <w:pgMar w:left="240" w:top="1440" w:right="259" w:bottom="1440" w:gutter="0" w:footer="0" w:header="0"/>
        </w:sectPr>
      </w:pPr>
    </w:p>
    <w:bookmarkStart w:id="2" w:name="page3"/>
    <w:bookmarkEnd w:id="2"/>
    <w:p>
      <w:pPr>
        <w:ind w:right="160" w:firstLine="324"/>
        <w:spacing w:after="0" w:line="259" w:lineRule="auto"/>
        <w:rPr>
          <w:sz w:val="20"/>
          <w:szCs w:val="20"/>
          <w:color w:val="auto"/>
        </w:rPr>
      </w:pPr>
      <w:r>
        <w:rPr>
          <w:rFonts w:ascii="Arial" w:cs="Arial" w:eastAsia="Arial" w:hAnsi="Arial"/>
          <w:sz w:val="18"/>
          <w:szCs w:val="18"/>
          <w:color w:val="auto"/>
        </w:rPr>
        <w:t>These broad demand drivers have positively contributed to the current business climate. We have seen an increase in unit demand and average memory content across nearly every end market - from smartphones to servers to vehicles. We also saw a healthy balance between demand and industry supply throughout fiscal 2017. We expect industry supply growth to remain measured for both memory and storage technologies, largely balancing with demand throughout fiscal 2018.</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have identified four key areas of focus for fiscal 2018, which we consider instrumental to our future success. The entire Micron team is committed to excel against these objectives:</w:t>
      </w:r>
    </w:p>
    <w:p>
      <w:pPr>
        <w:spacing w:after="0" w:line="166" w:lineRule="exact"/>
        <w:rPr>
          <w:sz w:val="20"/>
          <w:szCs w:val="20"/>
          <w:color w:val="auto"/>
        </w:rPr>
      </w:pPr>
    </w:p>
    <w:p>
      <w:pPr>
        <w:ind w:left="660" w:right="340" w:hanging="328"/>
        <w:spacing w:after="0" w:line="28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Cost Effectiveness </w:t>
      </w:r>
      <w:r>
        <w:rPr>
          <w:rFonts w:ascii="Arial" w:cs="Arial" w:eastAsia="Arial" w:hAnsi="Arial"/>
          <w:sz w:val="17"/>
          <w:szCs w:val="17"/>
          <w:color w:val="auto"/>
        </w:rPr>
        <w:t>- While market diversification and advanced solutions are introducing new opportunities for high-value solutions, base</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costs remain fundamental to profitability in this business. We are focused on accelerating new technology development and ramping quickly and efficiently into volume production, while also reducing back-end costs, cycle time and inventory.</w:t>
      </w:r>
    </w:p>
    <w:p>
      <w:pPr>
        <w:spacing w:after="0" w:line="158" w:lineRule="exact"/>
        <w:rPr>
          <w:rFonts w:ascii="Arial" w:cs="Arial" w:eastAsia="Arial" w:hAnsi="Arial"/>
          <w:sz w:val="17"/>
          <w:szCs w:val="17"/>
          <w:color w:val="auto"/>
        </w:rPr>
      </w:pPr>
    </w:p>
    <w:p>
      <w:pPr>
        <w:ind w:left="660" w:right="20" w:hanging="328"/>
        <w:spacing w:after="0" w:line="31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Product Execution </w:t>
      </w:r>
      <w:r>
        <w:rPr>
          <w:rFonts w:ascii="Arial" w:cs="Arial" w:eastAsia="Arial" w:hAnsi="Arial"/>
          <w:sz w:val="17"/>
          <w:szCs w:val="17"/>
          <w:color w:val="auto"/>
        </w:rPr>
        <w:t>- Bringing the right solution at the right time ensures we can deliver the most value to our customers. Our engineering teams are</w:t>
      </w:r>
      <w:r>
        <w:rPr>
          <w:rFonts w:ascii="Arial" w:cs="Arial" w:eastAsia="Arial" w:hAnsi="Arial"/>
          <w:sz w:val="17"/>
          <w:szCs w:val="17"/>
          <w:b w:val="1"/>
          <w:bCs w:val="1"/>
          <w:color w:val="auto"/>
        </w:rPr>
        <w:t xml:space="preserve"> </w:t>
      </w:r>
      <w:r>
        <w:rPr>
          <w:rFonts w:ascii="Arial" w:cs="Arial" w:eastAsia="Arial" w:hAnsi="Arial"/>
          <w:sz w:val="17"/>
          <w:szCs w:val="17"/>
          <w:color w:val="auto"/>
        </w:rPr>
        <w:t>adopting new methodologies to achieve the shortest possible customer qualification of our newest technology solutions.</w:t>
      </w:r>
    </w:p>
    <w:p>
      <w:pPr>
        <w:spacing w:after="0" w:line="138" w:lineRule="exact"/>
        <w:rPr>
          <w:rFonts w:ascii="Arial" w:cs="Arial" w:eastAsia="Arial" w:hAnsi="Arial"/>
          <w:sz w:val="17"/>
          <w:szCs w:val="17"/>
          <w:color w:val="auto"/>
        </w:rPr>
      </w:pPr>
    </w:p>
    <w:p>
      <w:pPr>
        <w:ind w:left="660" w:right="4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Portfolio Management </w:t>
      </w:r>
      <w:r>
        <w:rPr>
          <w:rFonts w:ascii="Arial" w:cs="Arial" w:eastAsia="Arial" w:hAnsi="Arial"/>
          <w:sz w:val="18"/>
          <w:szCs w:val="18"/>
          <w:color w:val="auto"/>
        </w:rPr>
        <w:t>- To prioritize revenue growth, profits and ROI, we will orient our product portfolio towards differentiated, high-value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Doing so will also enable us to better respond to customer requirements and market trends.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Culture </w:t>
      </w:r>
      <w:r>
        <w:rPr>
          <w:rFonts w:ascii="Arial" w:cs="Arial" w:eastAsia="Arial" w:hAnsi="Arial"/>
          <w:sz w:val="18"/>
          <w:szCs w:val="18"/>
          <w:color w:val="auto"/>
        </w:rPr>
        <w:t>- Hiring and keeping the industry's best talent will be a critical part of executing our strategy. We are implementing programs that promote a</w:t>
      </w:r>
      <w:r>
        <w:rPr>
          <w:rFonts w:ascii="Arial" w:cs="Arial" w:eastAsia="Arial" w:hAnsi="Arial"/>
          <w:sz w:val="18"/>
          <w:szCs w:val="18"/>
          <w:b w:val="1"/>
          <w:bCs w:val="1"/>
          <w:color w:val="auto"/>
        </w:rPr>
        <w:t xml:space="preserve"> </w:t>
      </w:r>
      <w:r>
        <w:rPr>
          <w:rFonts w:ascii="Arial" w:cs="Arial" w:eastAsia="Arial" w:hAnsi="Arial"/>
          <w:sz w:val="18"/>
          <w:szCs w:val="18"/>
          <w:color w:val="auto"/>
        </w:rPr>
        <w:t>culture of achievement and success, which I believe will make Micron a global leader in competitive talent markets.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technologies are having a profound impact on the world around us. I trust that you share my enthusiasm for the significant opportunities that lie ahead for Micron, which are embodied in our vision statement: transforming how the world uses information to enrich life. Our efforts to positively impact the lives of people across the globe extend beyond the technologies we create. For example, through The Micron Foundation, we are enriching the communities in which we operate by partnering with educators in science, technology, engineering and math (STEM) to nurture tomorrow's technology pioneers. We published our second annual Sustainability Report in fiscal 2017, which reflects our commitment to supporting our global community as well as driving ethical and sustainable business practices.</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I close my first shareholder letter as Micron's CEO, I would like to acknowledge my predecessor, Mark Durcan. Micron is poised for great success in the years ahead, due in large part to his efforts to successfully position the Company through years of industry consolidation. I am proud to be leading this iconic company, particularly during a time when technology promises to create such dramatic change in each of our lives. Thank you for your continued support as a Micron shareholder. I look forward to sharing our progress with you over the year ahead.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7510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5105" cy="3517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380"/>
          </w:cols>
          <w:pgMar w:left="240" w:top="584" w:right="279" w:bottom="1440" w:gutter="0" w:footer="0" w:header="0"/>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380365</wp:posOffset>
            </wp:positionV>
            <wp:extent cx="193802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486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Fiscal 2017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1" w:lineRule="exact"/>
        <w:rPr>
          <w:sz w:val="20"/>
          <w:szCs w:val="20"/>
          <w:color w:val="auto"/>
        </w:rPr>
      </w:pPr>
    </w:p>
    <w:p>
      <w:pPr>
        <w:ind w:right="160"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2017 Annual Meeting of Shareholders of Micron Technology, Inc., a Delaware corporation, will be held on January 17, 2018,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4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our Employee Stock Purchase Plan with 33 million shares reserved for issuance thereunder;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under our Executive Officer Performance Incentive Plan;</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August 30, 2018;</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w:t>
      </w:r>
    </w:p>
    <w:p>
      <w:pPr>
        <w:spacing w:after="0" w:line="20" w:lineRule="exact"/>
        <w:rPr>
          <w:rFonts w:ascii="Arial" w:cs="Arial" w:eastAsia="Arial" w:hAnsi="Arial"/>
          <w:sz w:val="17"/>
          <w:szCs w:val="17"/>
          <w:color w:val="auto"/>
        </w:rPr>
      </w:pPr>
    </w:p>
    <w:p>
      <w:pPr>
        <w:ind w:left="660" w:right="3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in a non-binding vote, the frequency (every one, two or three years) with which our shareholders will be entitled to have an advisory vote on the compensation of our Named Executive Officers as described in the proxy statement;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Only shareholders of record at the close of business on November 20, 2017,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2017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Attendance at the Annual Meeting will be limited to shareholders and our guests. Shareholders may be asked to furnish proof of ownership of our Common Stock before being admitted to the meeting.</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13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420"/>
          </w:cols>
          <w:pgMar w:left="240" w:top="144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7, 2017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Joel L. Poppen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Legal Affairs, General Counsel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85" w:lineRule="exact"/>
        <w:rPr>
          <w:sz w:val="20"/>
          <w:szCs w:val="20"/>
          <w:color w:val="auto"/>
        </w:rPr>
      </w:pPr>
    </w:p>
    <w:p>
      <w:pPr>
        <w:sectPr>
          <w:pgSz w:w="11900" w:h="16838" w:orient="portrait"/>
          <w:cols w:equalWidth="0" w:num="2">
            <w:col w:w="5720" w:space="720"/>
            <w:col w:w="498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466090</wp:posOffset>
            </wp:positionV>
            <wp:extent cx="19380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48640"/>
                    </a:xfrm>
                    <a:prstGeom prst="rect">
                      <a:avLst/>
                    </a:prstGeom>
                    <a:noFill/>
                  </pic:spPr>
                </pic:pic>
              </a:graphicData>
            </a:graphic>
          </wp:anchor>
        </w:drawing>
      </w:r>
    </w:p>
    <w:p>
      <w:pPr>
        <w:spacing w:after="0" w:line="2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FISCAL 2017 ANNUAL MEETING OF SHAREHOLDERS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January 17, 2018</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9:00 a.m. Mountain Standard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2017 Annual Meeting of Shareholders to be held on January 17, 2018, at 9:00 a.m., Mountain Standard Time, or at any adjournment or postponement thereof (the "Annual Meeting"). The purpose of the Annual Meeting is set forth herein and in the accompanying Notice of Fiscal 2017 Annual Meeting of Shareholders. The Annual Meeting will be held at our headquarters located at 8000 South Federal Way, Boise, Idaho 83716-9632. Our telephone number is (208) 368-4000.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7, 2017, to all shareholders entitled to vote at the meeting.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25" w:lineRule="exact"/>
        <w:rPr>
          <w:sz w:val="20"/>
          <w:szCs w:val="20"/>
          <w:color w:val="auto"/>
        </w:rPr>
      </w:pPr>
    </w:p>
    <w:p>
      <w:pPr>
        <w:ind w:left="660" w:right="5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www.proxypush.com/MU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3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If you have questions on how to vote, you can call us at (866) 586-3108. Unless you are planning to vote at the meeting, your vote must be received by 11:59 p.m., Eastern Standard Time, on January 16,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Shareholders of record at the close of business on November 20, 2017, (the "Record Date"), are entitled to receive notice of and to vote at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144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one class of stock outstanding, common stock, $0.10 par value per share (the "Common Stock"). As of the Record Date, 1,157,279,535 shares of Common Stock were issued and outstanding and entitled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Under the Delaware General Corporation Law and our Restated Certificate of Incorporation and our Amended and Restated Bylaws ("Bylaws"), each shareholder will be entitled to one vote for each share of Common Stock held at the Record Date for all matters.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66" w:lineRule="exact"/>
        <w:rPr>
          <w:sz w:val="20"/>
          <w:szCs w:val="20"/>
          <w:color w:val="auto"/>
        </w:rPr>
      </w:pPr>
    </w:p>
    <w:p>
      <w:pPr>
        <w:jc w:val="both"/>
        <w:ind w:right="280" w:firstLine="324"/>
        <w:spacing w:after="0" w:line="302"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the election of directors or advisory votes unless the broker or nominee receives specific voting instructions from the beneficial owner of the shares. As a result, absent specific instructions, brokers or nominees may not vote a beneficial owner's shares on Proposals 1, 2, 3, 5, 6 and 7 and such shares will be considered "broker non-votes" for such proposals.</w:t>
      </w:r>
    </w:p>
    <w:p>
      <w:pPr>
        <w:spacing w:after="0" w:line="154"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all other items of business, the "FOR" vote of a majority of the Votes Cast is required in order for such matter to be considered approved by the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us, the shares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Employee Stock Purchase Plan with 33 million shares reserved thereunder;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material terms of the performance goals under our Executive Officer Performance Incentive Plan; (iv)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our Independent Registered Public Accounting Firm for the fiscal year ending August 30, 2018, (v) </w:t>
      </w:r>
      <w:r>
        <w:rPr>
          <w:rFonts w:ascii="Arial" w:cs="Arial" w:eastAsia="Arial" w:hAnsi="Arial"/>
          <w:sz w:val="16"/>
          <w:szCs w:val="16"/>
          <w:b w:val="1"/>
          <w:bCs w:val="1"/>
          <w:color w:val="auto"/>
        </w:rPr>
        <w:t>FOR</w:t>
      </w:r>
      <w:r>
        <w:rPr>
          <w:rFonts w:ascii="Arial" w:cs="Arial" w:eastAsia="Arial" w:hAnsi="Arial"/>
          <w:sz w:val="16"/>
          <w:szCs w:val="16"/>
          <w:color w:val="auto"/>
        </w:rPr>
        <w:t xml:space="preserve"> a non-binding resolution to approve the compensation of our Named Executive Officers as described in this proxy statement; (vi) </w:t>
      </w:r>
      <w:r>
        <w:rPr>
          <w:rFonts w:ascii="Arial" w:cs="Arial" w:eastAsia="Arial" w:hAnsi="Arial"/>
          <w:sz w:val="16"/>
          <w:szCs w:val="16"/>
          <w:b w:val="1"/>
          <w:bCs w:val="1"/>
          <w:color w:val="auto"/>
        </w:rPr>
        <w:t>FOR</w:t>
      </w:r>
      <w:r>
        <w:rPr>
          <w:rFonts w:ascii="Arial" w:cs="Arial" w:eastAsia="Arial" w:hAnsi="Arial"/>
          <w:sz w:val="16"/>
          <w:szCs w:val="16"/>
          <w:color w:val="auto"/>
        </w:rPr>
        <w:t xml:space="preserve"> a non-binding vote on the frequency of an advisory vote to be every year whereby shareholders will be entitled to approve the compensation of our Named Executive Officers as described in this proxy statement; and (vii) in the discretion of the proxy holders for such business which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 board of seven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the seven management nominees named below.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Executive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24"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4"/>
          </w:tcPr>
          <w:p>
            <w:pPr>
              <w:ind w:left="420"/>
              <w:spacing w:after="0"/>
              <w:rPr>
                <w:sz w:val="20"/>
                <w:szCs w:val="20"/>
                <w:color w:val="auto"/>
              </w:rPr>
            </w:pPr>
            <w:r>
              <w:rPr>
                <w:rFonts w:ascii="Arial" w:cs="Arial" w:eastAsia="Arial" w:hAnsi="Arial"/>
                <w:sz w:val="18"/>
                <w:szCs w:val="18"/>
                <w:b w:val="1"/>
                <w:bCs w:val="1"/>
                <w:color w:val="auto"/>
                <w:w w:val="96"/>
              </w:rPr>
              <w:t>Board Committees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Governance</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Director</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and</w:t>
            </w:r>
          </w:p>
        </w:tc>
        <w:tc>
          <w:tcPr>
            <w:tcW w:w="0" w:type="dxa"/>
            <w:vAlign w:val="bottom"/>
          </w:tcPr>
          <w:p>
            <w:pPr>
              <w:spacing w:after="0"/>
              <w:rPr>
                <w:sz w:val="1"/>
                <w:szCs w:val="1"/>
                <w:color w:val="auto"/>
              </w:rPr>
            </w:pPr>
          </w:p>
        </w:tc>
      </w:tr>
      <w:tr>
        <w:trPr>
          <w:trHeight w:val="210"/>
        </w:trPr>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of Nominee</w:t>
            </w:r>
          </w:p>
        </w:tc>
        <w:tc>
          <w:tcPr>
            <w:tcW w:w="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2440" w:type="dxa"/>
            <w:vAlign w:val="bottom"/>
          </w:tcPr>
          <w:p>
            <w:pPr>
              <w:ind w:left="480"/>
              <w:spacing w:after="0"/>
              <w:rPr>
                <w:sz w:val="20"/>
                <w:szCs w:val="20"/>
                <w:color w:val="auto"/>
              </w:rPr>
            </w:pPr>
            <w:r>
              <w:rPr>
                <w:rFonts w:ascii="Arial" w:cs="Arial" w:eastAsia="Arial" w:hAnsi="Arial"/>
                <w:sz w:val="16"/>
                <w:szCs w:val="16"/>
                <w:b w:val="1"/>
                <w:bCs w:val="1"/>
                <w:color w:val="auto"/>
              </w:rPr>
              <w:t>Principal Occupation</w:t>
            </w:r>
          </w:p>
        </w:tc>
        <w:tc>
          <w:tcPr>
            <w:tcW w:w="10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Since</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Audit</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Compensation</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Finance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Sustainability</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L. Bailey</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 of Blue</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2007</w:t>
            </w:r>
          </w:p>
        </w:tc>
        <w:tc>
          <w:tcPr>
            <w:tcW w:w="10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Willow Systems, Inc.</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20"/>
              <w:spacing w:after="0"/>
              <w:rPr>
                <w:sz w:val="20"/>
                <w:szCs w:val="20"/>
                <w:color w:val="auto"/>
              </w:rPr>
            </w:pPr>
            <w:r>
              <w:rPr>
                <w:rFonts w:ascii="Arial" w:cs="Arial" w:eastAsia="Arial" w:hAnsi="Arial"/>
                <w:sz w:val="16"/>
                <w:szCs w:val="16"/>
                <w:color w:val="auto"/>
              </w:rPr>
              <w:t>Richard M. Beyer</w:t>
            </w: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69</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Former Chairman and Chief</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Executive Officer of Freescale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Semiconductor, Inc.</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Patrick J. Byrne</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of Fortive</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ü</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Corporation</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20"/>
              <w:spacing w:after="0"/>
              <w:rPr>
                <w:sz w:val="20"/>
                <w:szCs w:val="20"/>
                <w:color w:val="auto"/>
              </w:rPr>
            </w:pPr>
            <w:r>
              <w:rPr>
                <w:rFonts w:ascii="Arial" w:cs="Arial" w:eastAsia="Arial" w:hAnsi="Arial"/>
                <w:sz w:val="16"/>
                <w:szCs w:val="16"/>
                <w:color w:val="auto"/>
              </w:rPr>
              <w:t>Mercedes Johnson</w:t>
            </w: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Former Chief Financial Officer of</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89"/>
              </w:rPr>
              <w:t>2005</w:t>
            </w:r>
          </w:p>
        </w:tc>
        <w:tc>
          <w:tcPr>
            <w:tcW w:w="100" w:type="dxa"/>
            <w:vAlign w:val="bottom"/>
          </w:tcPr>
          <w:p>
            <w:pPr>
              <w:spacing w:after="0"/>
              <w:rPr>
                <w:sz w:val="19"/>
                <w:szCs w:val="19"/>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4"/>
              </w:rPr>
              <w:t>Chair</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4"/>
              </w:rPr>
              <w:t>Chair</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vMerge w:val="restart"/>
          </w:tcPr>
          <w:p>
            <w:pPr>
              <w:ind w:left="200"/>
              <w:spacing w:after="0"/>
              <w:rPr>
                <w:sz w:val="20"/>
                <w:szCs w:val="20"/>
                <w:color w:val="auto"/>
              </w:rPr>
            </w:pPr>
            <w:r>
              <w:rPr>
                <w:rFonts w:ascii="Arial" w:cs="Arial" w:eastAsia="Arial" w:hAnsi="Arial"/>
                <w:sz w:val="16"/>
                <w:szCs w:val="16"/>
                <w:color w:val="auto"/>
              </w:rPr>
              <w:t>Avago Technologies Limited</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Sanjay Mehrotra</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and Chief Executive</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79"/>
              </w:rPr>
              <w:t>ü</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Officer</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20"/>
              <w:spacing w:after="0"/>
              <w:rPr>
                <w:sz w:val="20"/>
                <w:szCs w:val="20"/>
                <w:color w:val="auto"/>
              </w:rPr>
            </w:pPr>
            <w:r>
              <w:rPr>
                <w:rFonts w:ascii="Arial" w:cs="Arial" w:eastAsia="Arial" w:hAnsi="Arial"/>
                <w:sz w:val="16"/>
                <w:szCs w:val="16"/>
                <w:color w:val="auto"/>
              </w:rPr>
              <w:t>Lawrence N. Mondry</w:t>
            </w: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President and Chief Executive</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89"/>
              </w:rPr>
              <w:t>2005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79"/>
              </w:rPr>
              <w:t>ü</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w w:val="96"/>
              </w:rPr>
              <w:t>Officer of Stream Gas &amp; Electric,</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Chair</w:t>
            </w:r>
          </w:p>
        </w:tc>
        <w:tc>
          <w:tcPr>
            <w:tcW w:w="780" w:type="dxa"/>
            <w:vAlign w:val="bottom"/>
            <w:gridSpan w:val="2"/>
            <w:vMerge w:val="continue"/>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Ltd.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E. Switz</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shd w:val="clear" w:color="auto" w:fill="CCEEFF"/>
          </w:tcPr>
          <w:p>
            <w:pPr>
              <w:spacing w:after="0"/>
              <w:rPr>
                <w:sz w:val="21"/>
                <w:szCs w:val="21"/>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of the Board</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2006</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Robert L. Bailey </w:t>
      </w:r>
      <w:r>
        <w:rPr>
          <w:rFonts w:ascii="Arial" w:cs="Arial" w:eastAsia="Arial" w:hAnsi="Arial"/>
          <w:sz w:val="18"/>
          <w:szCs w:val="18"/>
          <w:color w:val="auto"/>
        </w:rPr>
        <w:t>has served as Chief Executive Officer of Blue Willow Systems, Inc. since August 2017 and as Blue Willow's Chairman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2015. Blue Willow is a software as a service resident safety platform for senior living facilities. Mr. Bailey was the Chairman of the Board of Directors of PMC-Sierra, Inc. from 2005 until May 2011 and also served as PMC's Chairman from February 2000 until February 2003. Mr. Bailey served as a director of PMC from October 1996 to May 2011. He also served as the Chief Executive Officer of PMC from July 1997 until May 2008. Within the past five years, Mr. Bailey also served on the Board of Directors of Entropic Communications. Mr. Bailey holds a BS in Electrical Engineering from the University of Bridgeport and an MBA from the University of Dallas.</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Mr. Bailey's experience as Chief Executive Officer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i w:val="1"/>
          <w:iCs w:val="1"/>
          <w:color w:val="auto"/>
        </w:rPr>
        <w:t xml:space="preserve">Richard M. Beyer </w:t>
      </w:r>
      <w:r>
        <w:rPr>
          <w:rFonts w:ascii="Arial" w:cs="Arial" w:eastAsia="Arial" w:hAnsi="Arial"/>
          <w:sz w:val="16"/>
          <w:szCs w:val="16"/>
          <w:color w:val="auto"/>
        </w:rPr>
        <w:t>was Chairman and Chief Executive Officer of Freescale Semiconductor, Inc. from 2008 through June 2012 and served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with Freescale until April 2013. Prior to Freescale, Mr. Beyer was President, Chief Executive Officer and a director of Intersil Corporation from 2002 to 2008. He has also previously served in executive management roles at FVC.com, VLSI Technology, and National Semiconductor Corporation. Within the past five years, Mr. Beyer served on the Board of Directors of Analog Devices, Inc. and Freescale. He currently serves on the Board of Directors of Dialog Semiconductor and Microsemi Corporation. Mr. Beyer served three years as an officer in the United States Marine Corps. He holds a BA and an MA in Russian from Georgetown University and an MBA in Marketing and International Business from Columbia University Graduate School of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7" w:name="page8"/>
    <w:bookmarkEnd w:id="7"/>
    <w:p>
      <w:pPr>
        <w:ind w:right="60" w:firstLine="324"/>
        <w:spacing w:after="0" w:line="277"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has given him expertise in the technology industry as well business operations, finance, corporate development, corporate governance and management.</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Patrick J. Byrne </w:t>
      </w:r>
      <w:r>
        <w:rPr>
          <w:rFonts w:ascii="Arial" w:cs="Arial" w:eastAsia="Arial" w:hAnsi="Arial"/>
          <w:sz w:val="18"/>
          <w:szCs w:val="18"/>
          <w:color w:val="auto"/>
        </w:rPr>
        <w:t>has served as Senior Vice President of Fortive Corporation since July 2016, when Danaher Corporation completed the separation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Test &amp; Measurement and Industrial Technologies segments. Mr. Byrne was President of Tektronix, a subsidiary of Danaher, from July 2014 to July 2016. Previously, he was Vice President of Strategy and Business Development and Chief Technical Officer of Danaher from November 2012 to July 2014. Danaher designs, manufactures, and markets innovative products and services to professional, medical, industrial, and commercial customers. Mr. Byrne served as Director, President and Chief Executive Officer of Intermec, Inc. from 2007 to May 2012. Within the past five years, Mr. Byrne served on the Board of Directors of Flow International and Intermec, Inc. Mr. Byrne holds a BS in Electrical Engineering from the University of California, Berkeley and an MS in Electrical Engineering from Stanford University.</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Mercedes Johnson </w:t>
      </w:r>
      <w:r>
        <w:rPr>
          <w:rFonts w:ascii="Arial" w:cs="Arial" w:eastAsia="Arial" w:hAnsi="Arial"/>
          <w:sz w:val="18"/>
          <w:szCs w:val="18"/>
          <w:color w:val="auto"/>
        </w:rPr>
        <w:t>was the Senior Vice President and Chief Financial Officer of Avago Technologies Limited, a supplier of analog interface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communications, industrial, and consumer applications, from December 2005 to August 2008. She also served as the Senior Vice President, Finance of Lam Research Corporation from June 2004 to January 2005 and as Lam's Chief Financial Officer from May 1997 to May 2004. Ms. Johnson holds a degree in Accounting from the University of Buenos Aires and currently serves on the Board of Directors for Juniper Networks, Inc., Teradyne, Inc., and Synopsys, Inc. She also served on the Board of Directors for Intersil Corporation from August 2005 to February 2017. Ms. Johnson is the Chair of the Board of Directors' Audit Committee and Finance Committee.</w:t>
      </w:r>
    </w:p>
    <w:p>
      <w:pPr>
        <w:spacing w:after="0" w:line="19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Ms. Johnson's experience as the Chief Financial Officer of several technology companies has given her expertise in finance, corporate development, corporate governance, management and operations.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Sanjay Mehrotra </w:t>
      </w:r>
      <w:r>
        <w:rPr>
          <w:rFonts w:ascii="Arial" w:cs="Arial" w:eastAsia="Arial" w:hAnsi="Arial"/>
          <w:sz w:val="18"/>
          <w:szCs w:val="18"/>
          <w:color w:val="auto"/>
        </w:rPr>
        <w:t>joined us in May 2017 as our President, Chief Executive Officer, and Director. Mr. Mehrotra co-founded and led SanDisk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start-up in 1988 until its eventual sale in May 2016, serving as its President and Chief Executive Officer from January 2011 to May 2016, and as a member of its Board of Directors from July 2010 to May 2016. Mr. Mehrotra currently serves on the Board of Directors of Cavium, Inc. Mr. Mehrotra served as a member of the Board of Directors for Western Digital Corp. from May 2016 to February 2017. Mr. Mehrotra holds a BS and an MS in Electrical Engineering and Computer Science from the University of California, Berkeley and is a graduate of the Stanford Graduate School of Business Executive Program.</w:t>
      </w:r>
    </w:p>
    <w:p>
      <w:pPr>
        <w:spacing w:after="0" w:line="193"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Mr. Mehrotra's has over 35 years of experience in the semiconductor memory industry. As a co-founder of SanDisk he offers a unique perspective on the industry and has significant senior leadership and technological expertise. He also has expertise in finance, corporate development, corporate governance and business strategy.</w:t>
      </w:r>
    </w:p>
    <w:p>
      <w:pPr>
        <w:spacing w:after="0" w:line="18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i w:val="1"/>
          <w:iCs w:val="1"/>
          <w:color w:val="auto"/>
        </w:rPr>
        <w:t xml:space="preserve">Lawrence N. Mondry </w:t>
      </w:r>
      <w:r>
        <w:rPr>
          <w:rFonts w:ascii="Arial" w:cs="Arial" w:eastAsia="Arial" w:hAnsi="Arial"/>
          <w:sz w:val="16"/>
          <w:szCs w:val="16"/>
          <w:color w:val="auto"/>
        </w:rPr>
        <w:t>has been the President and Chief Executive Officer of Stream Gas &amp; Electric, Ltd., a provider of energy, mobile and protective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since February 2016. Mr. Mondry was the Chief Executive Officer of Apollo Brands, a consumer products portfolio company, from February 2014 to February 2015. Mr. Mondry was the Chief Executive Officer of Flexi Compras Corporation, a rent-to-own retailer, from June 2013 to February 2014. Mr. Mondry was the President and Chief Executive Officer of CSK Auto Corporation, a specialty retailer of automotive aftermarket parts, from August 2007 to July 2008. Prior to his appointment at CSK, Mr. Mondry served as the Chief Executive Officer of CompUSA Inc. from November 2003 to May 2006. Mr. Mondry is the Chair of the Board of Directors' Compensation Committee and Governance and Sustainability Committee.</w:t>
      </w:r>
    </w:p>
    <w:p>
      <w:pPr>
        <w:spacing w:after="0" w:line="16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Mr. Mondry's experience as the Chief Executive Officer of various retailers has given him expertise in operations, management, finance and corporate development. Mr. Mondry's retail expertise is especially relevant to our Crucial business.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was the Chairman, President, and Chief Executive Officer of ADC Telecommunications, Inc., a supplier of network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from August 2003 until December 2010, when Tyco Electronics Ltd. acquired ADC. Mr. Switz joined ADC in 1994 and throughout his career there held numerous leadership positions. Within the past five years, Mr. Switz served on the Board of Directors of GT Advanced Technologies Inc., Broadcom Corporation, Cyan, Inc., Pulse Electronics Corporation, and Leap Wireless International, Inc. Mr. Switz currently serves on the Board of Directors for Marvell Technology Group Ltd., Gigamon, Inc., and FireEye, Inc. Mr. Switz holds an MBA from the University of Bridgeport and a BS in Business Administration from Quinnipiac University. Mr. Switz was appointed Chairman of the Board of Directors in 2012.</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8" w:name="page9"/>
    <w:bookmarkEnd w:id="8"/>
    <w:p>
      <w:pPr>
        <w:ind w:right="100" w:firstLine="324"/>
        <w:spacing w:after="0" w:line="277" w:lineRule="auto"/>
        <w:rPr>
          <w:sz w:val="20"/>
          <w:szCs w:val="20"/>
          <w:color w:val="auto"/>
        </w:rPr>
      </w:pPr>
      <w:r>
        <w:rPr>
          <w:rFonts w:ascii="Arial" w:cs="Arial" w:eastAsia="Arial" w:hAnsi="Arial"/>
          <w:sz w:val="18"/>
          <w:szCs w:val="18"/>
          <w:color w:val="auto"/>
        </w:rPr>
        <w:t>Mr. Switz's experience as Chief Executive Officer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the NASDAQ Stock Market LLC ("NASDAQ").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243" w:lineRule="exact"/>
        <w:rPr>
          <w:sz w:val="20"/>
          <w:szCs w:val="20"/>
          <w:color w:val="auto"/>
        </w:rPr>
      </w:pPr>
    </w:p>
    <w:p>
      <w:pPr>
        <w:ind w:right="280" w:firstLine="324"/>
        <w:spacing w:after="0" w:line="272" w:lineRule="auto"/>
        <w:rPr>
          <w:sz w:val="20"/>
          <w:szCs w:val="20"/>
          <w:color w:val="auto"/>
        </w:rPr>
      </w:pPr>
      <w:r>
        <w:rPr>
          <w:rFonts w:ascii="Arial" w:cs="Arial" w:eastAsia="Arial" w:hAnsi="Arial"/>
          <w:sz w:val="18"/>
          <w:szCs w:val="18"/>
          <w:color w:val="auto"/>
        </w:rPr>
        <w:t>We believe that a commitment to corporate sustainability and supporting our global community is a critical part of our mission to deliver innovative solutions that accelerate our customers' success. Our Board of Directors considers sustainability issues an integral part of its business oversight, and has encouraged a proactive approach toward mitigating our impact on the environment, supporting our team members and the communities in which they live, driving transparency and accountability in our supply chain, and developing products that support a sustainable future, and we report annually on our progress.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Board of Directors has determined that directors Bailey, Beyer, Byrne, Johnson, Mondry and Switz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Mr. Switz has served as our Chairman of the Board of Directors since February 2012. We do not have a fixed policy on whether the roles of Chairman and Chief Executive Officer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Board of Directors is responsible for overseeing the major risks we face and reviewing management's proposals for their mitigation. In addition, the Board of Directors has delegated oversight of certain categories of risk to the Audit, Compensation, Finance and Governance and Sustainability Committees. The Audit Committee reviews and discusses with management significant financial and nonfinancial risk exposures, including cyber security, and the steps management has taken to monitor, control, and report such exposures. The Compensation Committee oversees management of risks relating to our compensation plans and programs. The Finance Committee oversees the Company's strategies for management of significant financial risks and contingent liabilities. The Governance and Sustainability Committee manages risks associated with Board of Directors' governance and director independence. The Audit, Compensation, Finance and Governance and Sustainability Committees report to the Board of Directors regularly on matters relating to the specific areas of risk the committees oversee.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Compensation Risks</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risk-to-potential-reward and risk-control.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to provide a comprehensive review of executive compensation matters. Our compensation consultant provided the Compensation Committee with information for our officers on cash and non-cash compensation elements and historical and trend payment data.</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Compensation Committee has established procedures that it considers adequate to ensure that our compensation consultant's advice to the Compensation Committee remains objective and is not influenced by our management. These procedures include: a direct reporting relationship to the Compensation Committee; a provision in the Compensation Committee's engagement letter with the compensation consultant specifying what information, data, and recommendations can be shared with management; and an annual update to the Compensation Committee on the compensation consultant's relationship with us, including a summary of the work performed for us during the preceding 12 months. For fiscal 2017, the specific activities undertaken by the compensation consultants for us included:</w:t>
      </w:r>
    </w:p>
    <w:p>
      <w:pPr>
        <w:spacing w:after="0" w:line="1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non-employee director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248"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benchmark total direct compensation and its components (salary, short-term incentives and long-term incentives) of our officers using several data sources;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Mercer, LLC ("Mercer") was our compensation consultant through the end of October 2016 and Meridian Compensation Partners, LLC ("Meridian") was our compensation consultant for the remainder of fiscal 2017. We paid Mercer and Meridian a total of $478,374 and $216,571, respectively, in fiscal 2017 for services provided. Meridian's services related exclusively to the executive and non-employee director compensation consulting work performed for the Compensation Committee and Governance and Sustainability Committee. Mercer was paid $40,665 for the executive and non-employee director compensation consulting work and $437,709 for work related to our 401(k) Plan and other human resource functions. The decision to use Mercer for services other than those provided to the Compensation Committee and Governance and Sustainability Committee was made by our management and not the Compensation Committee. Mercer is a wholly-owned subsidiary of Marsh &amp; McLennan Companies Inc. ("MMC"). The Company paid MMC $2,438,300 in fiscal 2017 for insurance services.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10" w:name="page11"/>
    <w:bookmarkEnd w:id="10"/>
    <w:p>
      <w:pPr>
        <w:ind w:right="60" w:firstLine="324"/>
        <w:spacing w:after="0" w:line="272" w:lineRule="auto"/>
        <w:rPr>
          <w:sz w:val="20"/>
          <w:szCs w:val="20"/>
          <w:color w:val="auto"/>
        </w:rPr>
      </w:pPr>
      <w:r>
        <w:rPr>
          <w:rFonts w:ascii="Arial" w:cs="Arial" w:eastAsia="Arial" w:hAnsi="Arial"/>
          <w:sz w:val="17"/>
          <w:szCs w:val="17"/>
          <w:color w:val="auto"/>
        </w:rPr>
        <w:t>The Compensation Committee considered the independence of our compensation consultants in light of SEC rules and the Listing Rules of NASDAQ. The Compensation Committee received a letter from each compensation consultant addressing its independence, including the following factors: (i) other services provided to us by them; (ii) fees paid by us as a percentage of their total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them or the individual consultants involved in the engagement. The Compensation Committee concluded that there were no conflicts of interest with our compensation consultants.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2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Board of Directors held five meetings during fiscal 2017. The Board of Directors met in Executive Session (meetings in which only non-employee directors are present) three times during fiscal 2017. In fiscal 2017, the Board of Directors had a standing Audit Committee, Compensation Committee, Finance Committee and Governance and Sustainability Committee. During fiscal 2017, the Audit Committee met nine times, the Compensation Committee met six times, the Finance Committee met seven times, and the Governance and Sustainability Committee met four times. In addition to formal committee meetings, the chairmen of each committee engaged in regular discussions with management regarding various issues relevant to their respective committees. All incumbent directors attended 75% or more of the total number of meetings of the Board of Directors during fiscal 2017. All incumbent directors who served on the Audit, Compensation, Finance and Governance and Sustainability Committees attended 75% or more of the total number of committee meetings during fiscal 2017. All members of our Board of Directors were present at the Fiscal 2016 Annual Meeting of Shareholders. We encourage director attendance at the Annual Meeting of Shareholders.</w:t>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Audit, Compensation, Finance, and Governance and Sustainability Committees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of Directors has determined that all the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Audit, Compensation, and Governance and Sustainability Committees satisfy the independence requirements of applicable SEC laws and the Listing Rules of NASDAQ for such committees.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Corporate Governance Guidelines specify a mandatory retirement age of 75 for members of our Board of Directors and provide that the committee chair serve for no more than five years, but give the Board of Directors the discretion in each case to waive the requirement on an annual basis. The Board of Directors has waived the five-year chair limit for Ms. Johnson on the Audit Committee and Mr. Mondry on the Compensation and Governance and Sustainability Committees.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 of the Audit Committee since October 2010. The Board of Directors has determined that Ms. Johnson and Messrs. Bailey and Switz each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of Directors in overseeing and monitoring:</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Messrs. Beyer, Byrne and Mondry currently serve on the Compensation Committee of the Board of Directors. Mr. Mondry has served as the Chair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7"/>
          <w:szCs w:val="17"/>
          <w:i w:val="1"/>
          <w:iCs w:val="1"/>
          <w:color w:val="auto"/>
        </w:rPr>
        <w:t xml:space="preserve">www.micron.com </w:t>
      </w:r>
      <w:r>
        <w:rPr>
          <w:rFonts w:ascii="Arial" w:cs="Arial" w:eastAsia="Arial" w:hAnsi="Arial"/>
          <w:sz w:val="17"/>
          <w:szCs w:val="17"/>
          <w:color w:val="auto"/>
        </w:rPr>
        <w:t>and is also available in print upon request to corporatesecretary@micron.com.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Committee</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 xml:space="preserve">Ms. Johnson and Messrs. Mehrotra and Mondry currently serve on the Finance Committee. Mr. Durcan served on the Finance Committee for the portion of fiscal 2017 in which he was our CEO. Mr. Mehrotra replaced Mr. Durcan on the Finance Committee when he became our President and CEO in May 2017. Ms. Johnson has served as the Chair of the Finance Committee since October 2015. The Finance Committee represents and assists the Board of Directors in discharging its responsibilities with respect to our financial policies, financial strategies and capital structure. The complete duties of the Finance Committee are set forth in its written charter, which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to corporatesecretary@micron.com.</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and Sustainability Committee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Messrs. Bailey, Byrne and Mondry currently serve on the Governance and Sustainability Committee. During fiscal 2017 Ms. Johnson and Messrs. Bailey, Beyer, Byrne, Mondry and Switz served on the Governance and Sustainability Committee. Mr. Mondry has served as Chair of the Governance and Sustainability Committee since October 2009. The responsibilities of the Governance and Sustainability Committee include assisting the Board of Directors in discharging its duties with respect to the following:</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oversight and monitoring of the development and integration of material social and environmental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annual evaluations of the Board of Directors and its committees.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 xml:space="preserve">The complete duties and responsibilities of the Governance and Sustainability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Governance and Sustainability Committee is responsible for identifying nominees for our Board of Directors. While we do not have a list of minimum qualifications that nominees must possess or a specific policy regarding diversity, the following factors are strongly considered by the Governance and Sustainability Committee in making its recommendations:</w:t>
      </w:r>
    </w:p>
    <w:p>
      <w:pPr>
        <w:spacing w:after="0" w:line="208"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experience in the semiconductor industry or related industries;</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business acumen and judgment;</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excellent interpersonal skills;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business relationships with key individuals in industry, government and education that may be of significant assistance to us and our operations;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familiarity with accounting rules and practices;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"independence" as defined and required by the Listing Rules of NASDAQ and relevant rules and regulations of the SEC.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2" w:name="page13"/>
    <w:bookmarkEnd w:id="12"/>
    <w:p>
      <w:pPr>
        <w:ind w:firstLine="324"/>
        <w:spacing w:after="0" w:line="264" w:lineRule="auto"/>
        <w:rPr>
          <w:sz w:val="20"/>
          <w:szCs w:val="20"/>
          <w:color w:val="auto"/>
        </w:rPr>
      </w:pPr>
      <w:r>
        <w:rPr>
          <w:rFonts w:ascii="Arial" w:cs="Arial" w:eastAsia="Arial" w:hAnsi="Arial"/>
          <w:sz w:val="18"/>
          <w:szCs w:val="18"/>
          <w:color w:val="auto"/>
        </w:rPr>
        <w:t>In the event the Board of Directors determines that it would be advisable to add additional members to the Board of Directors, the Governance and Sustainability Committee works with a third party executive search firm to assist them in the identification and evaluation of potential candidates to our Board of Directors.</w:t>
      </w:r>
    </w:p>
    <w:p>
      <w:pPr>
        <w:spacing w:after="0" w:line="18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 xml:space="preserve">The Governance and Sustainability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available in print upon request to corporatesecretary@micron.com.</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Mr. Switz has been the Chairman of our Board of Directors since February 2012. As part of his duties as Chairman, Mr. Switz chairs Executive Session meetings of our Board of Directors. Shareholders and interested parties wishing to communicate with our Board of Directors may contact Mr. Switz at chairman@micron.com.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Governance and Sustainability Committee of the Board of Directors oversees the setting of compensation for our non-employee members of the Board of Directors. Each year the Governance and Sustainability Committee works with our compensation consultant to review and evaluate director compensation for the ensuing fiscal year, in light of prevailing market conditions. The compensation consultant gathers and reviews market data for non-employee directors from the same Compensation Peer Group used to evaluate officer compensation. For a discussion of peer group companies please see "Executive Compensation and Related Information – Compensation Discussion and Analysis." Upon completion of its review and evaluation, the Governance and Sustainability Committee recommended that the Board of Directors make no changes to director compensation for fiscal 2017. In October 2017, the Governance and Sustainability Committee recommended increases to the annual retainer and committee chair amounts for fiscal 2018, as noted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 and Committee Chair Remuneration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Non-employee directors are entitled to receive an annual retainer of $100,000 in fiscal 2017. The annual retainer paid to non-employee directors was increased to $125,000 starting October 25, 2017. Pursuant to our 2008 Director's Compensation Plan (the "DCP"), which operates as a sub-plan of the Amended and Restated 2007 Equity Incentive Plan (the 2007 Plan"), non-employee directors may elect to take some or all of their annual retainer in the form of cash, shares of Common Stock or deferred rights to receive Common Stock upon termination as a director. Employee directors receive no additional or special remuneration for their service as directors.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amounts received by directors for their service as committee chair or Chairman of the Board of Directors:</w:t>
      </w:r>
    </w:p>
    <w:p>
      <w:pPr>
        <w:spacing w:after="0" w:line="383"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Committee Chair</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Governance and Sustainability Committee Chair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7"/>
        </w:trPr>
        <w:tc>
          <w:tcPr>
            <w:tcW w:w="5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Except for the foregoing, directors do not receive any additional or special cash remuneration for their service on any of the committees established by the Board of Directors. We reimburse directors for travel and lodging expenses, if any, incurred in connection with attendance at Board of Directors' meetings.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Non-employee directors receive an annual equity award. Since fiscal 2007, the equity award has been exclusively in the form of restricted stock. The "targeted value" for the annual non-employee director equity award is established each year by the Board of Directors following discussions with our compensation consultant and has been set at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2017 lapse for 100% of such shares on the first anniversary of the date of grant (the "Vesting Period"). Notwithstanding the foregoing, the restrictions will lapse for 100% of such shares in the event a director either reaches the mandatory retirement age or retires from the Board of Directors during the Vesting Period having achieved a minimum of three years of service with the Board of Directors prior to the effective date of their retirement.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Fiscal 2017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2017.</w:t>
      </w:r>
    </w:p>
    <w:p>
      <w:pPr>
        <w:spacing w:after="0" w:line="383"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in Cash</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Stock Awards(1)</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350,008</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350,008</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350,008</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Mercedes Johnson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395,008</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Lawrence N. Mondry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385,008</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Robert E. Switz</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500,008</w:t>
            </w:r>
          </w:p>
        </w:tc>
      </w:tr>
    </w:tbl>
    <w:p>
      <w:pPr>
        <w:spacing w:after="0" w:line="229" w:lineRule="exact"/>
        <w:rPr>
          <w:sz w:val="20"/>
          <w:szCs w:val="20"/>
          <w:color w:val="auto"/>
        </w:rPr>
      </w:pPr>
    </w:p>
    <w:p>
      <w:pPr>
        <w:ind w:left="34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19, 2016, each director who was not an employee was granted 14,360 shares of restricted stock with a grant date fair value of $250,008 ($17.41 per share). For information on the restrictions associated with these awards, see "Elements of Director Compensation – Equity Award"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established stock ownership guidelines for our directors. The minimum ownership guideline for directors is to hold shares with a value equal to five times their annual retainer. The minimum ownership guideline for our CEO is to hold shares with a value equal to five times his base salary. Directors are given five years to meet the ownership guidelines. The Governance and Sustainability Committee reviews the Ownership Guidelines annually and monitors each person's progress toward, and continued compliance with, the guidelines. Stock sales restrictions may be imposed upon directors if the stock ownership guidelines are not met. All our directors are in compliance with the guidelines.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non-employee director compliance with the guidelines as of the Record Date:</w:t>
      </w:r>
    </w:p>
    <w:p>
      <w:pPr>
        <w:spacing w:after="0" w:line="167" w:lineRule="exact"/>
        <w:rPr>
          <w:sz w:val="20"/>
          <w:szCs w:val="20"/>
          <w:color w:val="auto"/>
        </w:rPr>
      </w:pPr>
    </w:p>
    <w:tbl>
      <w:tblPr>
        <w:tblLayout w:type="fixed"/>
        <w:tblInd w:w="246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Guideline</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Guideline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with</w:t>
            </w:r>
          </w:p>
        </w:tc>
      </w:tr>
      <w:tr>
        <w:trPr>
          <w:trHeight w:val="234"/>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Multiplier</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Guideline</w:t>
            </w:r>
          </w:p>
        </w:tc>
      </w:tr>
      <w:tr>
        <w:trPr>
          <w:trHeight w:val="27"/>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625,000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Mercedes Johnson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625,000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Lawrence N. Mondry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Robert E. Switz</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625,000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page 27 for information on the stock ownership guidelines for our Named Executive Officers, including Mr. Mehrotra.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5" w:name="page16"/>
    <w:bookmarkEnd w:id="15"/>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the Record Date,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110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 to</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Beneficial</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45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Owned(1)</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Acquire(2)</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Ownership</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Class(3)</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Vanguard Group, Inc.(4)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82,136,863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82,136,863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BlackRock, Inc.(5)</w:t>
            </w:r>
          </w:p>
        </w:tc>
        <w:tc>
          <w:tcPr>
            <w:tcW w:w="1060" w:type="dxa"/>
            <w:vAlign w:val="bottom"/>
          </w:tcPr>
          <w:p>
            <w:pPr>
              <w:jc w:val="right"/>
              <w:spacing w:after="0"/>
              <w:rPr>
                <w:sz w:val="20"/>
                <w:szCs w:val="20"/>
                <w:color w:val="auto"/>
              </w:rPr>
            </w:pPr>
            <w:r>
              <w:rPr>
                <w:rFonts w:ascii="Arial" w:cs="Arial" w:eastAsia="Arial" w:hAnsi="Arial"/>
                <w:sz w:val="18"/>
                <w:szCs w:val="18"/>
                <w:color w:val="auto"/>
              </w:rPr>
              <w:t>66,396,165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66,396,165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PRIMECAP Management Company(6)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62,122,100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62,122,100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Robert L. Bailey</w:t>
            </w:r>
          </w:p>
        </w:tc>
        <w:tc>
          <w:tcPr>
            <w:tcW w:w="1060" w:type="dxa"/>
            <w:vAlign w:val="bottom"/>
          </w:tcPr>
          <w:p>
            <w:pPr>
              <w:jc w:val="right"/>
              <w:spacing w:after="0"/>
              <w:rPr>
                <w:sz w:val="20"/>
                <w:szCs w:val="20"/>
                <w:color w:val="auto"/>
              </w:rPr>
            </w:pPr>
            <w:r>
              <w:rPr>
                <w:rFonts w:ascii="Arial" w:cs="Arial" w:eastAsia="Arial" w:hAnsi="Arial"/>
                <w:sz w:val="18"/>
                <w:szCs w:val="18"/>
                <w:color w:val="auto"/>
              </w:rPr>
              <w:t>117,299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117,299</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Beyer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Patrick J. Byrne</w:t>
            </w:r>
          </w:p>
        </w:tc>
        <w:tc>
          <w:tcPr>
            <w:tcW w:w="1060" w:type="dxa"/>
            <w:vAlign w:val="bottom"/>
          </w:tcPr>
          <w:p>
            <w:pPr>
              <w:jc w:val="right"/>
              <w:spacing w:after="0"/>
              <w:rPr>
                <w:sz w:val="20"/>
                <w:szCs w:val="20"/>
                <w:color w:val="auto"/>
              </w:rPr>
            </w:pPr>
            <w:r>
              <w:rPr>
                <w:rFonts w:ascii="Arial" w:cs="Arial" w:eastAsia="Arial" w:hAnsi="Arial"/>
                <w:sz w:val="18"/>
                <w:szCs w:val="18"/>
                <w:color w:val="auto"/>
              </w:rPr>
              <w:t>129,458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129,458</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1060" w:type="dxa"/>
            <w:vAlign w:val="bottom"/>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Ernest E. Maddock</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209,887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117,830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Sanjay Mehrotra</w:t>
            </w:r>
          </w:p>
        </w:tc>
        <w:tc>
          <w:tcPr>
            <w:tcW w:w="1060" w:type="dxa"/>
            <w:vAlign w:val="bottom"/>
          </w:tcPr>
          <w:p>
            <w:pPr>
              <w:jc w:val="right"/>
              <w:spacing w:after="0"/>
              <w:rPr>
                <w:sz w:val="20"/>
                <w:szCs w:val="20"/>
                <w:color w:val="auto"/>
              </w:rPr>
            </w:pPr>
            <w:r>
              <w:rPr>
                <w:rFonts w:ascii="Arial" w:cs="Arial" w:eastAsia="Arial" w:hAnsi="Arial"/>
                <w:sz w:val="18"/>
                <w:szCs w:val="18"/>
                <w:color w:val="auto"/>
              </w:rPr>
              <w:t>352,448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352,448</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N. Mondry</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183,382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183,382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Joel Poppen</w:t>
            </w:r>
          </w:p>
        </w:tc>
        <w:tc>
          <w:tcPr>
            <w:tcW w:w="1060" w:type="dxa"/>
            <w:vAlign w:val="bottom"/>
          </w:tcPr>
          <w:p>
            <w:pPr>
              <w:jc w:val="right"/>
              <w:spacing w:after="0"/>
              <w:rPr>
                <w:sz w:val="20"/>
                <w:szCs w:val="20"/>
                <w:color w:val="auto"/>
              </w:rPr>
            </w:pPr>
            <w:r>
              <w:rPr>
                <w:rFonts w:ascii="Arial" w:cs="Arial" w:eastAsia="Arial" w:hAnsi="Arial"/>
                <w:sz w:val="18"/>
                <w:szCs w:val="18"/>
                <w:color w:val="auto"/>
              </w:rPr>
              <w:t>196,324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146,401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342,725</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145,257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Steven L. Thorsen, Jr.</w:t>
            </w:r>
          </w:p>
        </w:tc>
        <w:tc>
          <w:tcPr>
            <w:tcW w:w="1060" w:type="dxa"/>
            <w:vAlign w:val="bottom"/>
          </w:tcPr>
          <w:p>
            <w:pPr>
              <w:jc w:val="right"/>
              <w:spacing w:after="0"/>
              <w:rPr>
                <w:sz w:val="20"/>
                <w:szCs w:val="20"/>
                <w:color w:val="auto"/>
              </w:rPr>
            </w:pPr>
            <w:r>
              <w:rPr>
                <w:rFonts w:ascii="Arial" w:cs="Arial" w:eastAsia="Arial" w:hAnsi="Arial"/>
                <w:sz w:val="18"/>
                <w:szCs w:val="18"/>
                <w:color w:val="auto"/>
              </w:rPr>
              <w:t>187,736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68,264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256,000</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Mark Durcan(7)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2,098,412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1,128,789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3,227,201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060" w:type="dxa"/>
            <w:vAlign w:val="bottom"/>
          </w:tcPr>
          <w:p>
            <w:pPr>
              <w:jc w:val="right"/>
              <w:spacing w:after="0"/>
              <w:rPr>
                <w:sz w:val="20"/>
                <w:szCs w:val="20"/>
                <w:color w:val="auto"/>
              </w:rPr>
            </w:pPr>
            <w:r>
              <w:rPr>
                <w:rFonts w:ascii="Arial" w:cs="Arial" w:eastAsia="Arial" w:hAnsi="Arial"/>
                <w:sz w:val="18"/>
                <w:szCs w:val="18"/>
                <w:color w:val="auto"/>
              </w:rPr>
              <w:t>213,642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214,276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427,918</w:t>
            </w:r>
          </w:p>
        </w:tc>
        <w:tc>
          <w:tcPr>
            <w:tcW w:w="10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All directors and executive officers as a group (16 persons)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4,381,016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1,760,026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6,141,042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Represents less than 1% of shares outstanding</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2016, The Vanguard Group, Inc. ("Vanguard") had sole voting power as to 1,626,112 shares, sole dispositive power as to 80,321,498 shares, shared voting power as to 189,277 shares, and shared dispositive power as to 1,815,365 shares. This information was taken from Schedule 13G filed on February 10, 2017. Vanguard's business address is 100 Vanguard Blvd., Malvern, PA 19355.</w:t>
      </w:r>
    </w:p>
    <w:p>
      <w:pPr>
        <w:spacing w:after="0" w:line="181"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December 31, 2016, BlackRock, Inc. had sole voting power as to 57,007,298 shares and sole dispositive power as to 66,396,165 shares. This information was taken from Schedule 13G filed on January 25, 2017. BlackRock's business address is 55 East 52nd Street, New York, NY 10055.</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2016, PRIMECAP Management Company had sole voting power as to 16,188,900 shares and sole dispositive power as to 62,122,100 shares. This information was taken from Schedule 13G filed on February 9, 2017. PRIMECAP Management Company's business address is 177 E. Colorado Blvd., 11th Floor, Pasadena, CA 91105.</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284,653 shares beneficially owned by C&amp;E Partners L.P. and 544,527 vested stock options controlled by his ex-spouse for which Mr. Durcan has disclaimed ownership.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0" w:lineRule="exact"/>
        <w:rPr>
          <w:sz w:val="20"/>
          <w:szCs w:val="20"/>
          <w:color w:val="auto"/>
        </w:rPr>
      </w:pPr>
    </w:p>
    <w:p>
      <w:pPr>
        <w:spacing w:after="0" w:line="24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Scott J. DeBoer, our Executive Vice President, Technology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Ernest E. Maddock, our Senior Vice President and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Sanjay Mehrotra, our President and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Joel L. Poppen, our Senior Vice President, Legal Affairs, General Counsel and Corporate Secretary;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Steven L. Thorsen, Jr., our Senior Vice President, Worldwide Sales.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we have included information for two executives who served as executive officers for a portion of fiscal 2017: D. Mark Durcan, who served as our Chief Executive Officer until May 2017, and Brian M. Shirley, who is currently our Senior Vice President, DRAM and Emerging Memory Engineering and for a portion of fiscal 2017 served as an executive officer of the Company.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Throughout this discussion, the foregoing individuals are referred to as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2017 Highlights</w:t>
      </w:r>
    </w:p>
    <w:p>
      <w:pPr>
        <w:spacing w:after="0" w:line="225" w:lineRule="exact"/>
        <w:rPr>
          <w:sz w:val="20"/>
          <w:szCs w:val="20"/>
          <w:color w:val="auto"/>
        </w:rPr>
      </w:pPr>
    </w:p>
    <w:p>
      <w:pPr>
        <w:ind w:left="500" w:right="300" w:hanging="26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achieved record financial performance, generating $20.3 billion in revenue, $5.1 billion in GAAP net income and $8.2 billion in operating cash flow.</w:t>
      </w:r>
    </w:p>
    <w:p>
      <w:pPr>
        <w:spacing w:after="0" w:line="170" w:lineRule="exact"/>
        <w:rPr>
          <w:rFonts w:ascii="Arial" w:cs="Arial" w:eastAsia="Arial" w:hAnsi="Arial"/>
          <w:sz w:val="18"/>
          <w:szCs w:val="18"/>
          <w:color w:val="auto"/>
        </w:rPr>
      </w:pPr>
    </w:p>
    <w:p>
      <w:pPr>
        <w:jc w:val="both"/>
        <w:ind w:left="500" w:right="280" w:hanging="262"/>
        <w:spacing w:after="0" w:line="342"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improved our cost competitiveness by ramping 20 nm DRAM and 32-layer 3D NAND and introducing next generation 1X nm DRAM and 64-layer 3D NAND technologies into production. We successfully executed our yield curve and production ramp plans for each of these technologies.</w:t>
      </w:r>
    </w:p>
    <w:p>
      <w:pPr>
        <w:spacing w:after="0" w:line="123" w:lineRule="exact"/>
        <w:rPr>
          <w:rFonts w:ascii="Arial" w:cs="Arial" w:eastAsia="Arial" w:hAnsi="Arial"/>
          <w:sz w:val="16"/>
          <w:szCs w:val="16"/>
          <w:color w:val="auto"/>
        </w:rPr>
      </w:pPr>
    </w:p>
    <w:p>
      <w:pPr>
        <w:ind w:left="500" w:right="700" w:hanging="26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increased sales of solid state drive ("SSD") and cloud server solutions by 137% and 290%, respectively. These trends reflect our focus on expanding high value solution sales.</w:t>
      </w:r>
    </w:p>
    <w:p>
      <w:pPr>
        <w:spacing w:after="0" w:line="170" w:lineRule="exact"/>
        <w:rPr>
          <w:rFonts w:ascii="Arial" w:cs="Arial" w:eastAsia="Arial" w:hAnsi="Arial"/>
          <w:sz w:val="18"/>
          <w:szCs w:val="18"/>
          <w:color w:val="auto"/>
        </w:rPr>
      </w:pPr>
    </w:p>
    <w:p>
      <w:pPr>
        <w:ind w:left="500" w:hanging="26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completed the acquisition of Inotera Memories, Inc. ("Inotera"), driving improved margins and free cash flow, while also enhancing our operational efficiency through greater scale.</w:t>
      </w:r>
    </w:p>
    <w:p>
      <w:pPr>
        <w:spacing w:after="0" w:line="170" w:lineRule="exact"/>
        <w:rPr>
          <w:rFonts w:ascii="Arial" w:cs="Arial" w:eastAsia="Arial" w:hAnsi="Arial"/>
          <w:sz w:val="18"/>
          <w:szCs w:val="18"/>
          <w:color w:val="auto"/>
        </w:rPr>
      </w:pPr>
    </w:p>
    <w:p>
      <w:pPr>
        <w:jc w:val="both"/>
        <w:ind w:left="500" w:right="40" w:hanging="26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established a DRAM Center of Excellence in Taiwan, which centralizes front-end DRAM fabrication with back-end test, assembly and packaging. Our DRAM Center of Excellence together with our existing NAND Center of Excellence in Singapore, enables operational cost efficiencies across our global manufacturing footprint.</w:t>
      </w:r>
    </w:p>
    <w:p>
      <w:pPr>
        <w:spacing w:after="0" w:line="181" w:lineRule="exact"/>
        <w:rPr>
          <w:rFonts w:ascii="Arial" w:cs="Arial" w:eastAsia="Arial" w:hAnsi="Arial"/>
          <w:sz w:val="18"/>
          <w:szCs w:val="18"/>
          <w:color w:val="auto"/>
        </w:rPr>
      </w:pPr>
    </w:p>
    <w:p>
      <w:pPr>
        <w:ind w:left="500" w:hanging="26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strengthened our balance sheet, growing cash, marketable investments, and restricted cash to $6.2 billion, while retiring $1.5 billion in debt.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0" w:right="25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i w:val="1"/>
          <w:iCs w:val="1"/>
          <w:color w:val="auto"/>
        </w:rPr>
        <w:t>Total Shareholder Return ("TSR")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our relative TSR data as compared to the median of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152400</wp:posOffset>
            </wp:positionV>
            <wp:extent cx="3987800" cy="2272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8780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presented is based on closing prices on or nearest August 31 for each period presented above and represents annualized rates of return reflecting price appreciation plus reinvestment of dividends and the compounding effect of dividends paid, if any, on reinvested dividends. This table does not include our peer, EMC Corporation, as it merged with Dell Technologies Inc. in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units), that align the interests of executives with those of our shareholders. We also use time-based stock options, the value of which is directly tied to stock price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Highlights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25" w:lineRule="exact"/>
        <w:rPr>
          <w:rFonts w:ascii="Arial" w:cs="Arial" w:eastAsia="Arial" w:hAnsi="Arial"/>
          <w:sz w:val="18"/>
          <w:szCs w:val="18"/>
          <w:color w:val="auto"/>
        </w:rPr>
      </w:pPr>
    </w:p>
    <w:p>
      <w:pPr>
        <w:ind w:left="980" w:right="100" w:hanging="324"/>
        <w:spacing w:after="0" w:line="259"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Mr. Mehrotra succeeded Mr. Durcan as CEO in May 2017. For fiscal 2017, Mr. Mehrotra's annual base salary was $1,200,000, his short-term incentive target was 150%, and his long-term incentive opportunity was $4,659,822. In addition, upon joining Micron, Mr. Mehrotra received a sign-on equity award valued at $9,111,590. Information on Mr. Mehrotra's compensation is included below under the heading "CEO Compensation – Mr. Mehrotra."</w:t>
      </w:r>
    </w:p>
    <w:p>
      <w:pPr>
        <w:spacing w:after="0" w:line="186" w:lineRule="exact"/>
        <w:rPr>
          <w:rFonts w:ascii="Arial" w:cs="Arial" w:eastAsia="Arial" w:hAnsi="Arial"/>
          <w:sz w:val="18"/>
          <w:szCs w:val="18"/>
          <w:color w:val="auto"/>
        </w:rPr>
      </w:pPr>
    </w:p>
    <w:p>
      <w:pPr>
        <w:ind w:left="980" w:right="240" w:hanging="324"/>
        <w:spacing w:after="0" w:line="255"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fiscal 2016, Mr. Durcan requested a voluntary and temporary pay reduction to align his salary with the Company's expense reduction initiatives. As a result of Mr. Durcan's request, the Compensation Committee reduced his annual base salary by 50% to $525,000 ("Voluntary Salary Reduction") and his long-term incentive opportunity from $8,000,000 to $5,000,000 ("Voluntary LTI Reduction"). Mr. Durcan's short-term incentive target percentage did not change. For fiscal 2017, Mr. Durcan's annual base salary and long-term incentive opportunity were restored to $1,050,000 and $8,000,000, respectively. Information on Mr. Durcan's compensation is included below under the heading "CEO Compensation – Mr. Durcan."</w:t>
      </w:r>
    </w:p>
    <w:p>
      <w:pPr>
        <w:spacing w:after="0" w:line="19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October 2016, the Compensation Committee set compensation levels and performance goals for fiscal 2017 based on a review of financial results, projections, individual contributions, strategic objectives, Market Data (as defined below), and market conditions.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8" w:name="page19"/>
    <w:bookmarkEnd w:id="18"/>
    <w:p>
      <w:pPr>
        <w:ind w:left="324" w:right="26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result of this review, fiscal 2016 compensation levels for our Named Executive Officers (other than Mr. Mehrotra, who joined Micron in May 2017) were adjusted for fiscal 2017 as follows:</w:t>
      </w:r>
    </w:p>
    <w:p>
      <w:pPr>
        <w:spacing w:after="0" w:line="329" w:lineRule="exact"/>
        <w:rPr>
          <w:sz w:val="20"/>
          <w:szCs w:val="20"/>
          <w:color w:val="auto"/>
        </w:rPr>
      </w:pPr>
    </w:p>
    <w:tbl>
      <w:tblPr>
        <w:tblLayout w:type="fixed"/>
        <w:tblInd w:w="1824"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Short-term</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Long-term</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Base Salary</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Incentive(1)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7"/>
        </w:trPr>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Increased</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Increased</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Increased</w:t>
            </w: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Joel L. Poppen</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Increased</w:t>
            </w:r>
          </w:p>
        </w:tc>
        <w:tc>
          <w:tcPr>
            <w:tcW w:w="1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Unchanged</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Steven L. Thorsen, Jr.</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Unchanged</w:t>
            </w: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 Mark Durcan</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Increased(2)</w:t>
            </w:r>
          </w:p>
        </w:tc>
        <w:tc>
          <w:tcPr>
            <w:tcW w:w="1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Increased(2)</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Unchanged</w:t>
            </w:r>
          </w:p>
        </w:tc>
      </w:tr>
    </w:tbl>
    <w:p>
      <w:pPr>
        <w:spacing w:after="0" w:line="229" w:lineRule="exact"/>
        <w:rPr>
          <w:sz w:val="20"/>
          <w:szCs w:val="20"/>
          <w:color w:val="auto"/>
        </w:rPr>
      </w:pPr>
    </w:p>
    <w:p>
      <w:pPr>
        <w:ind w:left="964" w:hanging="315"/>
        <w:spacing w:after="0"/>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a percentage of base salary.</w:t>
      </w:r>
    </w:p>
    <w:p>
      <w:pPr>
        <w:spacing w:after="0" w:line="225" w:lineRule="exact"/>
        <w:rPr>
          <w:rFonts w:ascii="Arial" w:cs="Arial" w:eastAsia="Arial" w:hAnsi="Arial"/>
          <w:sz w:val="18"/>
          <w:szCs w:val="18"/>
          <w:color w:val="auto"/>
        </w:rPr>
      </w:pPr>
    </w:p>
    <w:p>
      <w:pPr>
        <w:ind w:left="964" w:hanging="315"/>
        <w:spacing w:after="0" w:line="308" w:lineRule="auto"/>
        <w:tabs>
          <w:tab w:leader="none" w:pos="9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See above for a discussion of Mr. Durcan's Voluntary Salary Reduction and Voluntary LTI Reduction. For fiscal 2017, Mr. Durcan's annual base salary and long-term incentive opportunity were restored to $1,050,000 and $8,000,000, respectively.</w:t>
      </w:r>
    </w:p>
    <w:p>
      <w:pPr>
        <w:spacing w:after="0" w:line="146" w:lineRule="exact"/>
        <w:rPr>
          <w:rFonts w:ascii="Arial" w:cs="Arial" w:eastAsia="Arial" w:hAnsi="Arial"/>
          <w:sz w:val="17"/>
          <w:szCs w:val="17"/>
          <w:color w:val="auto"/>
        </w:rPr>
      </w:pPr>
    </w:p>
    <w:p>
      <w:pPr>
        <w:ind w:left="324" w:right="100" w:hanging="324"/>
        <w:spacing w:after="0" w:line="259"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Named Executive Officers are eligible to earn short-term incentive awards pursuant to our Executive Officer Performance Incentive Plan ("EIP"). The Compensation Committee selected performance goals for our Named Executive Officers due to their correlation to the creation of shareholder value and their alignment with our strategic objectives. For fiscal 2017, our corporate goals were tied to profitability, and achieving certain technology and product milestones.</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Named Executive Officers for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152400</wp:posOffset>
            </wp:positionV>
            <wp:extent cx="3961765" cy="2452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6176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24" w:right="200" w:hanging="324"/>
        <w:spacing w:after="0" w:line="264"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our fiscal 2017 long-term equity incentives, we used a mix of 25% stock options, 45% time-based restricted stock and 30% performance-based restricted stock units, other than for Mr. Mehrotra, whose initial long-term equity incentive award was comprised of a mix of 50% stock options and 50% time-based restricted stock.</w:t>
      </w:r>
    </w:p>
    <w:p>
      <w:pPr>
        <w:spacing w:after="0" w:line="181" w:lineRule="exact"/>
        <w:rPr>
          <w:rFonts w:ascii="Arial" w:cs="Arial" w:eastAsia="Arial" w:hAnsi="Arial"/>
          <w:sz w:val="18"/>
          <w:szCs w:val="18"/>
          <w:color w:val="auto"/>
        </w:rPr>
      </w:pPr>
    </w:p>
    <w:p>
      <w:pPr>
        <w:ind w:left="324" w:right="240" w:hanging="324"/>
        <w:spacing w:after="0" w:line="264"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metrics for our performance-based restricted stock units include a return on assets ("ROA") metric and a relative TSR metric, both with a three-year measurement period. We believe a three-year period better measures our performance because of the volatility in our business and stock price.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4"/>
          </w:cols>
          <w:pgMar w:left="896" w:top="584"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EIP is performance-based and we have no history of changing performance metrics mid-cycle.</w:t>
      </w:r>
    </w:p>
    <w:p>
      <w:pPr>
        <w:spacing w:after="0" w:line="225" w:lineRule="exact"/>
        <w:rPr>
          <w:rFonts w:ascii="Arial" w:cs="Arial" w:eastAsia="Arial" w:hAnsi="Arial"/>
          <w:sz w:val="18"/>
          <w:szCs w:val="18"/>
          <w:color w:val="auto"/>
        </w:rPr>
      </w:pPr>
    </w:p>
    <w:p>
      <w:pPr>
        <w:jc w:val="both"/>
        <w:ind w:left="660" w:right="70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offer limited perquisites to our Named Executive Officers and, other than the Deferred Compensation Plan, we do not offer any special retirement benefits for our Named Executive Officers other than participation in our retirement plans on the same basis as other employees.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have agreements with our Names Executive Officers that provide tax gross-up protection for change in control excise taxes.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equity incentive plans were amended in August 2016 to replace "single-trigger" vesting provisions with "double-trigger" vesting provisions in the event of a change in control for awards granted after August 25, 2016.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an independent Chairman of the Board of Directors.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 compensation recoupment ("clawback") policy that provides for recoupment of incentive compensation paid to current and former officers in the event of an accounting restatement due to material noncompliance.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 officers and directors were in compliance with our stock ownership guidelines for fiscal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Fiscal 2016 Advisory Vote on Executive Compensation</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At the Fiscal 2016 Annual Meeting of Shareholders on January 18, 2017, in our annual advisory vote on executive compensation, over 96% of the shares voted in support of the compensation of our Named Executive Officers. The Compensation Committee appreciates and values the views of our shareholders. In considering the results of the fiscal 2016 advisory vote on executive compensation, the Compensation Committee concluded that the compensation paid to our executive officers and our overall executive pay practices have strong shareholder support and have been effective in implementing our stated compensation philosophy and objectives. The Compensation Committee recognizes that executive pay practices and notions of sound governance principles continue to evolve. Consequently, the Compensation Committee intends to continue to seek the advice and counsel of its compensation advisors. Our shareholders may communicate any concerns or opinions on executive pay directly to the Compensation Committee or the Board of Directors. Please refer to "Executive Sessions and Communications with the Board of Directors" on page 9 for information about communicating with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executive compensation program is administered by the Compensation Committee. The Compensation Committee assists the Board of Directors in discharging its responsibilities with respect to the compensation of our officers. The Compensation Committee has direct responsibility to review and approve corporate goals and objectives used to determine the CEO's compensation, evaluate his performance in light of such goals and objectives, and determine and approve his compensation level based on that evaluation. The Compensation Committee also reviews the evaluation process and compensation structure for our Named Executive Officers and approves their compensation.</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The Compensation Committee annually engages an outside compensation consultant. The Compensation Committee also works closely with our CEO with respect to the determination of compensation of other officers. A more complete description of the Compensation Committee's responsibilities is provided in the Compensation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A more complete description of the role of the CEO and our compensation consultant in the compensation process is described later in this Compensation Discussion and Analysis. Additional information regarding our compensation consultant, the specific activities they undertake for us, and their fees can be found under "Corporate Governance – Compensation Consultant" on page 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Guiding Principles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against the Market Data and reviewed by the Compensation Committee for each of the primary elements of compensation.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As an indication of reasonableness, the Compensation Committee considers the Market Data median. We believe it is important to retain flexibility in determining the compensation of our officers and, when appropriate, to deviate from the Market Data median due to factors such as:</w:t>
      </w:r>
    </w:p>
    <w:p>
      <w:pPr>
        <w:spacing w:after="0" w:line="147" w:lineRule="exact"/>
        <w:rPr>
          <w:sz w:val="20"/>
          <w:szCs w:val="20"/>
          <w:color w:val="auto"/>
        </w:rPr>
      </w:pPr>
    </w:p>
    <w:p>
      <w:pPr>
        <w:ind w:left="660" w:right="6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semiconductor industry is highly volatile and Market Data, which is a compilation of data from many companies, may change dramatically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Compensation Committee manages compensation in accordance with such guiding principles, officer compensation may vary, above or below the median, or a range from the median, year over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Given our experience, as well as advice we have received from our compensation consultant, we believe a competitive compensation package will consider and measure compensation practices for executive positions with respect to three primary elements of compensation:</w:t>
      </w:r>
    </w:p>
    <w:p>
      <w:pPr>
        <w:spacing w:after="0" w:line="14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incentive compensation (stock options, time-based restricted stock and performance-based restricted stock units).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Compensation Committee reviews total direct compensation (which is the sum of base salary, short-term incentive and long-term incentive compensation) for each of our Named Executive Officers, it does not have a fixed objective with respect to such total direct compensation.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Compensation Committee reviews the compensation of our executive officers on an annual basis and sets compensation levels at the beginning of each fiscal year. As part of this process, the Compensation Committee reviews our financial results for the year just ended, projections for future periods, our strategic business plan and the Market Data provided by our compensation consultant. The Compensation Committee also works with our CEO to establish performance goals that further our strategic objectives.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compensation consultant reviews the most recent available data and identifies the Market Data values for the 25th, 50th (i.e. median) and</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75th percentile with respect to each position or rank. Our compensation consultant compares our compensation data, both as to elements and amounts to be paid or potential value to be delivered, with that of the Market Data and reports its findings to the CEO and the Compensation Committee. Our CEO works with our compensation consultant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 The Compensation Committee reviews the Market Data, discusses the Market Data with the CEO and with the compensation consultant, discusses individual officer performance based on input from the CEO and, without the CEO present, discusses the CEO's own performance for the most-recently completed fiscal year and anticipated performance for the current year. The Compensation Committee uses the Market Data and the deliberations to determine whether our compensation is competitive and reasonable as described above and whether, and to what extent, the Compensation Committee believes it would be appropriate to deviate from the Market Data and competitive practices. Following this deliberation, the Compensation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2017 Base Salaries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2016, the Market Data showed that the base salaries of our Named Executive Officers were below the 50th percentile for their positions or ranks. The following table shows our Named Executive Officers' fiscal 2017 salaries as compared to fiscal 2016.</w:t>
      </w:r>
    </w:p>
    <w:p>
      <w:pPr>
        <w:spacing w:after="0" w:line="231" w:lineRule="exact"/>
        <w:rPr>
          <w:sz w:val="20"/>
          <w:szCs w:val="20"/>
          <w:color w:val="auto"/>
        </w:rPr>
      </w:pPr>
    </w:p>
    <w:tbl>
      <w:tblPr>
        <w:tblLayout w:type="fixed"/>
        <w:tblInd w:w="3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Base Salary %</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2017</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Change From</w:t>
            </w:r>
          </w:p>
        </w:tc>
      </w:tr>
      <w:tr>
        <w:trPr>
          <w:trHeight w:val="234"/>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Base Salary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Fiscal 2016</w:t>
            </w:r>
          </w:p>
        </w:tc>
      </w:tr>
      <w:tr>
        <w:trPr>
          <w:trHeight w:val="27"/>
        </w:trPr>
        <w:tc>
          <w:tcPr>
            <w:tcW w:w="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620,000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D. Mark Durcan(1)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1,050,000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See page 14 for a discussion of Mr. Durcan's Voluntary Salary Reduction and Voluntary LTI Reduction.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2017 Short-Term Incentive Awards</w:t>
      </w:r>
    </w:p>
    <w:p>
      <w:pPr>
        <w:spacing w:after="0" w:line="22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Compensation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provided annual short-term incentive cash awards to our executive officers pursuant to the EIP. The EIP was last approved by our shareholders in January 2015. The purpose of the EIP is to attract, retain and reward qualified executives,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2" w:name="page23"/>
    <w:bookmarkEnd w:id="22"/>
    <w:p>
      <w:pPr>
        <w:ind w:right="60"/>
        <w:spacing w:after="0" w:line="277" w:lineRule="auto"/>
        <w:rPr>
          <w:sz w:val="20"/>
          <w:szCs w:val="20"/>
          <w:color w:val="auto"/>
        </w:rPr>
      </w:pPr>
      <w:r>
        <w:rPr>
          <w:rFonts w:ascii="Arial" w:cs="Arial" w:eastAsia="Arial" w:hAnsi="Arial"/>
          <w:sz w:val="18"/>
          <w:szCs w:val="18"/>
          <w:color w:val="auto"/>
        </w:rPr>
        <w:t>who are important to our success, by providing performance-based, incentive cash awards for outstanding performance at the individual, business-unit and/or company-wide level.</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Compensation Committee believes the pre-determined goals, regardless of whether tied to company-wide or business unit performance, promote our long-term success and shareholder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established the following goals for fiscal 2017:</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Profitability – achieving targeted levels of net income;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and Product Milestones – achieving certain milestones related to our DRAM and NAND technology and products.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target incentive amounts payable under the EIP for achievement of the fiscal 2017 goals are shown in the columns "Estimated Future Payouts under Non-Equity Incentive Plan Awards" of the "Grants of Plan-Based Awards in Fiscal 2017" table. All goals were established with threshold (50%), target (100%) and maximum (200%) payout levels, with the threshold, target and maximum payouts requiring a significant level of execution and effort and no assurance of goal achievement.</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Target Awards established for fiscal 2017 for our Named Executive Officers were measured against the Market Data median. However, opportunities are not necessarily limited to the Market Data median, but are considered within the factors described under the section labeled "Reasonable" above. For fiscal 2017, the following Target Awards were established, and were unchanged from fiscal 2016:</w:t>
      </w:r>
    </w:p>
    <w:p>
      <w:pPr>
        <w:spacing w:after="0" w:line="339"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 of Base</w:t>
            </w:r>
          </w:p>
        </w:tc>
      </w:tr>
      <w:tr>
        <w:trPr>
          <w:trHeight w:val="234"/>
        </w:trPr>
        <w:tc>
          <w:tcPr>
            <w:tcW w:w="53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w:t>
            </w: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Salary</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shows the Target Award weightings and levels of achievement of the EIP goals for our Named Executive Officers. The weightings reflect each Named Executive Officer's responsibilities and ability to affect the attainment of the goal.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EIP Weightings (as Percentage of Target Incentive)</w:t>
      </w:r>
    </w:p>
    <w:p>
      <w:pPr>
        <w:spacing w:after="0" w:line="387"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of Target</w:t>
            </w:r>
          </w:p>
        </w:tc>
      </w:tr>
      <w:tr>
        <w:trPr>
          <w:trHeight w:val="234"/>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Goals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Weighting</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Achieved</w:t>
            </w:r>
          </w:p>
        </w:tc>
      </w:tr>
      <w:tr>
        <w:trPr>
          <w:trHeight w:val="27"/>
        </w:trPr>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2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Technology and Product Milestones</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Overall weighted-average achievement</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891"/>
        </w:trPr>
        <w:tc>
          <w:tcPr>
            <w:tcW w:w="300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23" w:name="page24"/>
    <w:bookmarkEnd w:id="23"/>
    <w:p>
      <w:pPr>
        <w:ind w:right="440" w:firstLine="324"/>
        <w:spacing w:after="0" w:line="277" w:lineRule="auto"/>
        <w:rPr>
          <w:sz w:val="20"/>
          <w:szCs w:val="20"/>
          <w:color w:val="auto"/>
        </w:rPr>
      </w:pPr>
      <w:r>
        <w:rPr>
          <w:rFonts w:ascii="Arial" w:cs="Arial" w:eastAsia="Arial" w:hAnsi="Arial"/>
          <w:sz w:val="18"/>
          <w:szCs w:val="18"/>
          <w:color w:val="auto"/>
        </w:rPr>
        <w:t>The levels of achievement were reviewed by the Compensation Committee based on fiscal 2017 results and our Named Executive Officers received bonuses in the following amounts:</w:t>
      </w:r>
    </w:p>
    <w:p>
      <w:pPr>
        <w:spacing w:after="0" w:line="329"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 of Target</w:t>
            </w:r>
          </w:p>
        </w:tc>
        <w:tc>
          <w:tcPr>
            <w:tcW w:w="1060" w:type="dxa"/>
            <w:vAlign w:val="bottom"/>
          </w:tcPr>
          <w:p>
            <w:pPr>
              <w:spacing w:after="0"/>
              <w:rPr>
                <w:sz w:val="18"/>
                <w:szCs w:val="18"/>
                <w:color w:val="auto"/>
              </w:rPr>
            </w:pPr>
          </w:p>
        </w:tc>
      </w:tr>
      <w:tr>
        <w:trPr>
          <w:trHeight w:val="234"/>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Achieved</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Bonus Paid</w:t>
            </w: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752,000</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1,240,000</w:t>
            </w: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1,147,253</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840,000</w:t>
            </w: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873,000</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 Mark Durcan(2)</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1,260,000</w:t>
            </w:r>
          </w:p>
        </w:tc>
      </w:tr>
      <w:tr>
        <w:trPr>
          <w:trHeight w:val="27"/>
        </w:trPr>
        <w:tc>
          <w:tcPr>
            <w:tcW w:w="4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620" w:hanging="315"/>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Mehrotra's bonus was prorated to reflect his length of service in fiscal 2017.</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Durcan's bonus was capped at $3,000,000 pursuant to the maximum award limit imposed by the EIP.</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EIP calls for certain performance goals to be modified with respect to major corporate transactions if permitted by Section 162(m) ("Section 162(m)") of the Internal Revenue Code of 1986, as amended (the "Code"). These events are more fully described in the EIP. Additionally, the Compensation Committee has the discretion to modify performance goals with respect to Target Awards that are not intended to satisfy Section 162(m) if the Compensation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Compensation Committee will determine whether performance goals were achieved. Finally, the Compensation Committee always retains the ability to exercise "negative discretion" and reduce an amount otherwise earned pursuant to the EIP.</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2017 Long-Term Equity Incentives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believe long-term incentive compensation should be tied to our success and increase in shareholder value. Accordingly, stock options and performance-based restricted stock unit awards are significant components of our executive compensation program. We believe these types of awards are especially aligned with shareholders' interests as their value is dependent upon stock price performance or the achievement of certain milestones. To ensure our long-term incentive program helps retain executives, we also grant time-based restricted stock awards. The Compensation Committee reviews peer data related to mix and works with our compensation consultant to determine the allocation and type of performance- and time-based awards to grant each fiscal year. In setting fiscal 2017 compensation, the Compensation Committee did not change the mix of long-term equity incentives for our Named Executive Officers from the 25% stock options, 45% time-based restricted stock and 30% performance-based restricted stock unit mix established last year. This mix did not apply to Mr. Mehrotra's long-term incentive award for fiscal 2017, however, because at the time of his hiring, Mr. Mehrotra was granted a long-term equity incentive award of 50% time-based restricted stock and 50% stock options. For information on Mr. Mehrotra's long-term equity incentive, please see the discussion below on CEO compensation.</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With respect to time-based restricted stock awards for fiscal 2017, restrictions lapse as to one-fourth of the shares on each anniversary of the grant date. With respect to stock option awards for fiscal 2017, one-fourth of the shares vest on each anniversary of the grant date. With respect to the performance-based restricted stock unit awards for fiscal 2017, our Named Executive Officers (other than Mr. Mehrotra, who did not receive a performance-based award for fiscal 2017 due to the fact that he started late in the fiscal year) received awards related to two different performance goals; half of the performance shares are tied to achieving a specified ROA over a three fiscal year period and the other half are tied to achieving a specified level of TSR relative to the S&amp;P 500 over a three-fiscal year period (the three-fiscal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 achievement guaranteed. In the absence of at least the threshold ROA or relative TSR amount being achieved, the restrictions will not lapse and the shares will be forfeited.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4" w:name="page25"/>
    <w:bookmarkEnd w:id="24"/>
    <w:p>
      <w:pPr>
        <w:ind w:firstLine="324"/>
        <w:spacing w:after="0" w:line="259" w:lineRule="auto"/>
        <w:rPr>
          <w:sz w:val="20"/>
          <w:szCs w:val="20"/>
          <w:color w:val="auto"/>
        </w:rPr>
      </w:pPr>
      <w:r>
        <w:rPr>
          <w:rFonts w:ascii="Arial" w:cs="Arial" w:eastAsia="Arial" w:hAnsi="Arial"/>
          <w:sz w:val="18"/>
          <w:szCs w:val="18"/>
          <w:color w:val="auto"/>
        </w:rPr>
        <w:t>In determining the amount of the long-term equity incentive awards for our Named Executive Officers, the Compensation Committee reviewed the Market Data and information provided by Mr. Durcan related to the other officer's performance and his recommendation as to the amount of their awards. For information on Messrs. Mehrotra and Durcan's long-term equity incentive, please see the discussion below on CEO compensation. The following table shows our Named Executive Officers' fiscal 2017 long-term equity incentives:</w:t>
      </w:r>
    </w:p>
    <w:p>
      <w:pPr>
        <w:spacing w:after="0" w:line="200" w:lineRule="exact"/>
        <w:rPr>
          <w:sz w:val="20"/>
          <w:szCs w:val="20"/>
          <w:color w:val="auto"/>
        </w:rPr>
      </w:pPr>
    </w:p>
    <w:p>
      <w:pPr>
        <w:spacing w:after="0" w:line="280"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Fiscal 2017 Long-</w:t>
            </w:r>
          </w:p>
        </w:tc>
      </w:t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Term Equity</w:t>
            </w:r>
          </w:p>
        </w:tc>
      </w:t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0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Incentives(1)</w:t>
            </w:r>
          </w:p>
        </w:tc>
      </w:tr>
      <w:tr>
        <w:trPr>
          <w:trHeight w:val="27"/>
        </w:trPr>
        <w:tc>
          <w:tcPr>
            <w:tcW w:w="4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13,771,412</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1,605,000</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1,764,000</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8,000,000</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3,254,000</w:t>
            </w:r>
          </w:p>
        </w:tc>
      </w:tr>
      <w:tr>
        <w:trPr>
          <w:trHeight w:val="27"/>
        </w:trPr>
        <w:tc>
          <w:tcPr>
            <w:tcW w:w="4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target grant-date fair value.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both Mr. Mehrotra's fiscal 2017 award and sign-on award.</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Compensation Committee. Historically, long-term incentive grants to the Named Executive Officers are approved by the Compensation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Fiscal 2017 Employee Benefits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provide a competitive level of time off, health, life, disability, and retirement benefits to substantially all employees. The Named Executive Officers participate in the same plans as our other employees. Executive perquisites, which for us are minor in scope and amount, are not considered to be material elements of compensation.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CEO Compensation – Mr. Mehrotra</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following charts show one-year relative TSR data and CEO compensation for us and our Compensation Peer Group. The information presented in the chart below is based on closing prices of our Common Stock on August 31, 2016, and August 31, 2017, and represents the rates of return of our Common Stock reflecting price appreciation plus reinvestment of any dividends and the compounding effect of any dividends paid on reinvested dividends.</w:t>
      </w:r>
    </w:p>
    <w:p>
      <w:pPr>
        <w:spacing w:after="0" w:line="147" w:lineRule="exact"/>
        <w:rPr>
          <w:sz w:val="20"/>
          <w:szCs w:val="20"/>
          <w:color w:val="auto"/>
        </w:rPr>
      </w:pPr>
    </w:p>
    <w:p>
      <w:pPr>
        <w:ind w:right="160" w:firstLine="324"/>
        <w:spacing w:after="0" w:line="226" w:lineRule="auto"/>
        <w:rPr>
          <w:sz w:val="20"/>
          <w:szCs w:val="20"/>
          <w:color w:val="auto"/>
        </w:rPr>
      </w:pPr>
      <w:r>
        <w:rPr>
          <w:rFonts w:ascii="Arial" w:cs="Arial" w:eastAsia="Arial" w:hAnsi="Arial"/>
          <w:sz w:val="18"/>
          <w:szCs w:val="18"/>
          <w:color w:val="auto"/>
        </w:rPr>
        <w:t>The CEO pay information presented in the charts below represents peer compensation data via proxies presented to the Compensation Committee in October 2016. The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presented in the charts below represents total target direct compensation (i.e. the sum of base salary, short-term incentive and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138430</wp:posOffset>
            </wp:positionV>
            <wp:extent cx="5008245" cy="4716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8245" cy="471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data was considered by the Compensation Committee when establishing Mr. Mehrotra's total target direct compensation for fiscal 2017. The charts above do not include our peer, EMC Corporation, as it merged with Dell Technologies Inc in 2016.</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Compensation Committee reviewed Market Data in setting Mr. Mehrotra's compensation for fiscal 2017. Mr. Mehrotra's compensation is comprised of the following elements: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Mehrotra's base salary for fiscal 2017 was $1,200,000.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580" w:right="31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Mr. Mehrotra's short-term incentive target was 150% of his base salary for fiscal 2017. Market Data showed that a short-term incentive of 150% of base salary was the median for CEOs.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Mr. Mehrotra joined Micron in May 2017 and his long-term equity incentive opportunity for fiscal 2017 was $4,659,822. Mr. Mehrotra also received a sign-on bonus in the form of a long-term equity award equal to $9,111,590. These equity awards were comprised of 50% time-based restricted stock and 50% stock options.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elements and amounts of Mr. Mehrotra's long-term incentive awards:</w:t>
      </w:r>
    </w:p>
    <w:p>
      <w:pPr>
        <w:spacing w:after="0" w:line="383"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w:t>
            </w: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Shares(1)</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Value(1)</w:t>
            </w:r>
          </w:p>
        </w:tc>
      </w:tr>
      <w:tr>
        <w:trPr>
          <w:trHeight w:val="27"/>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Fiscal 2017</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193,539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2,329,938</w:t>
            </w: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Time-based Restricted Stock</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2,329,884</w:t>
            </w:r>
          </w:p>
        </w:tc>
      </w:tr>
      <w:tr>
        <w:trPr>
          <w:trHeight w:val="237"/>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4,659,822</w:t>
            </w: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Sign-on</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378,437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4,555,852</w:t>
            </w: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Time-based Restricted Stock</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4,555,738</w:t>
            </w:r>
          </w:p>
        </w:tc>
      </w:tr>
      <w:tr>
        <w:trPr>
          <w:trHeight w:val="237"/>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539,988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9,111,590</w:t>
            </w: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3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5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 Long-term Incentive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816,147</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13,771,412</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59"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related to Mr. Mehrotra's long-term incentive award is also included in the "Grants of Plan-Based Awards in Fiscal 2017" table. The stock options are listed in the column "All Other Option Awards: Number of Securities Underlying Options," the time-based share amounts are listed in the column "All Other Stock Awards: Number of Shares of Stock or Units." The values included in those tables reflect the grant-date fair value under ASC 718.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agreed to reimburse Mr. Mehrotra for legal fees incurred in connection with his joining the Company, commuting expenses, and federal, state and other income taxes resulting from imputed income related to his commuting expenses. See footnote 6 to the Fiscal 2017 Summary Compensation Table for additional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 – Mr. Durcan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fiscal 2016, Mr. Durcan requested a voluntary and temporary pay reduction to align his salary with the Company's expense reduction initiatives. As a result of Mr. Durcan's request, the Compensation Committee reduced his annual base salary by 50% to $525,000. For fiscal 2017, Mr. Durcan's annual base salary was restored to $1,050,000.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Mr. Durcan's short-term incentive target remained at 150% of his base salary for fiscal 2017. Market Data showed that a short-term incentive of 150% of base salary was the median for CEOs.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fiscal 2016, Mr. Durcan requested a voluntary and temporary pay reduction to align his salary with the Company's expense reduction initiatives. As a result of Mr. Durcan's request, the Compensation Committee reduced his long-term incentive opportunity from $8,000,000 to $5,000,000. For fiscal 2017, Mr. Durcan's long-term incentive opportunity was restored to $8,000,000.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Durcan's long-term incentive was comprised of 25% stock options, 45% time-based restricted shares and 30% performance-based restricted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elements and aggregate amounts of Mr. Durcan's long-term incentive award for fiscal 2017:</w:t>
      </w:r>
    </w:p>
    <w:p>
      <w:pPr>
        <w:spacing w:after="0" w:line="369"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Options/</w:t>
            </w: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Grant Date</w:t>
            </w:r>
          </w:p>
        </w:tc>
      </w:tr>
      <w:tr>
        <w:trPr>
          <w:trHeight w:val="234"/>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 Type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Shares(1)</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Fair Value(1)</w:t>
            </w:r>
          </w:p>
        </w:tc>
      </w:tr>
      <w:tr>
        <w:trPr>
          <w:trHeight w:val="27"/>
        </w:trPr>
        <w:tc>
          <w:tcPr>
            <w:tcW w:w="3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1,999,999</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Time-based Restricted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206,778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3,600,005</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2,400,007</w:t>
            </w:r>
          </w:p>
        </w:tc>
      </w:tr>
      <w:tr>
        <w:trPr>
          <w:trHeight w:val="237"/>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581,073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8,000,011</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5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related to Mr. Durcan's long-term incentive award is also included in the "Grants of Plan-Based Awards in Fiscal 2017" table. The stock options are listed in the column "All Other Option Awards: Number of Securities Underlying Options," the time-based share amounts are listed in the column "All Other Stock Awards: Number of Shares of Stock or Units," and the performance-based share amounts are listed in the column "Estimated Future Payouts under Equity Incentive Plan Awards Target." The values included in those tables reflect the grant-date fair value under ASC 718.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of Performance-based Restricted Stock Units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Mr. Durcan resigned from the Company in August 2017 after 33 years of service. In connection with his resignation, Mr. Durcan agreed to provide limited advisory services to the Company after his resignation. As consideration for these advisory services, the Compensation Committee modified Mr. Durcan’s 2017 and 2016 performance-based restricted stock unit ("PRSU") awards to provide for the continued vesting of these awards through the end of their three-year performance period, with the determination of the number of shares, to be issued, if any, at the end of each performance period being based on actual achievement of the performance condition, and prorated based on time employed during the applicable performance period. The table below reflects the impact of these modifications: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Number of Shares</w:t>
            </w:r>
          </w:p>
        </w:tc>
        <w:tc>
          <w:tcPr>
            <w:tcW w:w="14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Incremental Fair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Subject to</w:t>
            </w:r>
          </w:p>
        </w:tc>
        <w:tc>
          <w:tcPr>
            <w:tcW w:w="14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 due to</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Modification</w:t>
            </w:r>
          </w:p>
        </w:tc>
        <w:tc>
          <w:tcPr>
            <w:tcW w:w="140" w:type="dxa"/>
            <w:vAlign w:val="bottom"/>
          </w:tcPr>
          <w:p>
            <w:pPr>
              <w:spacing w:after="0"/>
              <w:rPr>
                <w:sz w:val="20"/>
                <w:szCs w:val="20"/>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Modification</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80" w:type="dxa"/>
            <w:vAlign w:val="bottom"/>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2017 PRSU</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1,505,150</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Fiscal 2016 PRSU</w:t>
            </w:r>
          </w:p>
        </w:tc>
        <w:tc>
          <w:tcPr>
            <w:tcW w:w="1580" w:type="dxa"/>
            <w:vAlign w:val="bottom"/>
          </w:tcPr>
          <w:p>
            <w:pPr>
              <w:jc w:val="right"/>
              <w:spacing w:after="0"/>
              <w:rPr>
                <w:sz w:val="20"/>
                <w:szCs w:val="20"/>
                <w:color w:val="auto"/>
              </w:rPr>
            </w:pPr>
            <w:r>
              <w:rPr>
                <w:rFonts w:ascii="Arial" w:cs="Arial" w:eastAsia="Arial" w:hAnsi="Arial"/>
                <w:sz w:val="18"/>
                <w:szCs w:val="18"/>
                <w:color w:val="auto"/>
              </w:rPr>
              <w:t>46,906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1,989,280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8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3,494,430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Severance and Change in Control Arrangements</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ind w:left="340"/>
              <w:spacing w:after="0"/>
              <w:rPr>
                <w:sz w:val="20"/>
                <w:szCs w:val="20"/>
                <w:color w:val="auto"/>
              </w:rPr>
            </w:pPr>
            <w:r>
              <w:rPr>
                <w:rFonts w:ascii="Arial" w:cs="Arial" w:eastAsia="Arial" w:hAnsi="Arial"/>
                <w:sz w:val="18"/>
                <w:szCs w:val="18"/>
                <w:i w:val="1"/>
                <w:iCs w:val="1"/>
                <w:color w:val="auto"/>
              </w:rPr>
              <w:t>Severance Agreements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President and Chief Executive Officer</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the time of his hire, we entered into an executive agreement with Mr. Mehrotra (the "Executive Agreement") providing for severance benefits.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8" w:name="page29"/>
    <w:bookmarkEnd w:id="28"/>
    <w:p>
      <w:pPr>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pro-rated annual bonus under the EIP for the year of termination, subject to achievement of applicable performance criteria, paid in accordance with the terms of the EIP;</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additional bonus of two times Mr. Mehrotra’s target annual bonus under the EIP for the year of termination paid on the anniversary of Mr. Mehrotra’s termination;</w:t>
      </w:r>
    </w:p>
    <w:p>
      <w:pPr>
        <w:spacing w:after="0" w:line="170" w:lineRule="exact"/>
        <w:rPr>
          <w:rFonts w:ascii="Arial" w:cs="Arial" w:eastAsia="Arial" w:hAnsi="Arial"/>
          <w:sz w:val="18"/>
          <w:szCs w:val="18"/>
          <w:color w:val="auto"/>
        </w:rPr>
      </w:pPr>
    </w:p>
    <w:p>
      <w:pPr>
        <w:ind w:left="660" w:right="32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continued vesting (and exercisability) of any options, restricted stock or other time-based, and, subject to achievement of applicable performance criteria, performance-based equity for the one-year period following Mr. Mehrotra’s termination of employment; and</w:t>
      </w:r>
    </w:p>
    <w:p>
      <w:pPr>
        <w:spacing w:after="0" w:line="146" w:lineRule="exact"/>
        <w:rPr>
          <w:rFonts w:ascii="Arial" w:cs="Arial" w:eastAsia="Arial" w:hAnsi="Arial"/>
          <w:sz w:val="17"/>
          <w:szCs w:val="17"/>
          <w:color w:val="auto"/>
        </w:rPr>
      </w:pPr>
    </w:p>
    <w:p>
      <w:pPr>
        <w:ind w:left="660" w:right="6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cash payment equal to the medical benefits and employer qualified plan matching contributions Mr. Mehrotra would have received had Mr. Mehrotra remained employed for an additional two years, paid in a lump sum following termination.</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Mr. Mehrotra’s severance benefits become payable on account of his "good reason" resignation prior to a "change in control," the unvested portion of his sign-on equity award will be forfeited and, in addition, if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provided that we will provide no tax gross-up under the Executive Agreement. Mr. Mehrotra’s entitlement to the benefits provided under the Executive Agreement are conditioned on Mr. Mehrotra signing a release of claims in favor of Micron and on Mr. Mehrotra’s compliance with terms of our non-competition, non-solicitation, and non-disclosure agreement.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Named Executive Officers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With the exception of Mr. Mehrotra, each of our Named Executive Officers have a similar severance agreement in place (the "NEO Severance Agreements"). We believe severance agreements for certain of our officers are in the best interests of us and our shareholders. The NEO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NEO Severance Agreements provide for severance benefits upon termination of employment. The NEO Severance Agreements provide for a "Transition Period," which begins upon a "separation of service" as defined in Section 409A of the Code, regardless of when a termination of employment or loss of officer status occurs, and ends after a period of one year. The NEO Severance Agreements were amended in November 2017 to eliminate the continued vesting of equity awards granted on or after October 24, 2017, during the Transition Period in the event of a voluntary termination or termination for cause.</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Provided a Named Executive Officer complies with post-employment obligations and restrictions described below and all other terms of the Severance Agreement, the Named Executive Officer is entitled to receive compensation during the Transition Period equivalent to the compensation and benefits customarily provided to such Named Executive Officer while employed including, but not limited to, salary, executive bonus, and in the case of equity awards granted prior to October 24, 2017, continued vesting of outstanding stock options and restricted shares. With respect to cash and equity awards that are performance-based, the Named Executive Officer is entitled to receive such awards only if the goals are achieved before or during the applicable Transition Period. Such terminated Named Executive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Terminated Named Executive Officers are subject to the following obligations and restrictions:</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9" w:name="page30"/>
    <w:bookmarkEnd w:id="29"/>
    <w:p>
      <w:pPr>
        <w:jc w:val="both"/>
        <w:ind w:left="660" w:right="10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Upon receipt of all benefits under the NEO Severance Agreement,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Severance Payments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"Executive Agreement and NEO Severance Agreements" on page 38 for a description of the (1) estimated severance amounts as of the end of fiscal 2017 for Messrs. DeBoer, Maddock, Mehrotra, Poppen, Shirley and Thorsen, and (2) severance amounts for Mr. Durcan.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do not have separate change in control agreements for our Named Executive Officers and directors. The Executive Agreement and the NEO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In August 2016, the Compensation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Time-based awards granted prior to August 25, 2016, become fully vested or the applicable restrictions lapse upon a change in control. Performance-based awards granted prior to August 25, 2016, are treated as if all required performance goals were satisfied and are paid within 30 days on a pro-rata basis based on the amount of the performance period completed as of the date of the change in control. The compensation that Named Executive Officers could receive if a change of control occurs is intended to enable them to objectively evaluate whether a potential change in control is in the best interest of us and our shareholders. Estimated value that the Named Executive Officers could receive from our change in control provisions can be found in "Change in Control" on page 39.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Section 162(m)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unit awards are designed to comply with the statute. Awards under the EIP also are generally designed to comply with the statute. A number of requirements must be met for particular compensation to qualify, however, there can be no assurance that such compensation will be fully deductible under all circumstances. Although the Compensation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29"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Compensation data is gathered by our compensation consultant from proxy statements of the Compensation Peer Group and from published compensation surveys. The relevant survey and Compensation Peer Group data for fiscal 2017, each as discussed below, were weighted equally by the Compensation Committee and are collectively referred to throughout this discussion as the "Market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compensation consultant works with the Compensation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70% to 200% of the size of Micron and have a high degree of business match. We believe our custom peer group is comprised of companies that are likely to be our competitors for executive talent.</w:t>
      </w:r>
    </w:p>
    <w:p>
      <w:pPr>
        <w:spacing w:after="0" w:line="17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Each year the Compensation Committee reevaluates the composition of our Compensation Peer Group to ensure that it reflects industry or economic changes that may have occurred during the fiscal year, such as changes in business strategies, operations, revenues, product lines or availability of information. For fiscal 2017, the composition of our Compensation Peer Group did not change, and is comprised of:</w:t>
      </w:r>
    </w:p>
    <w:p>
      <w:pPr>
        <w:spacing w:after="0" w:line="315" w:lineRule="exact"/>
        <w:rPr>
          <w:sz w:val="20"/>
          <w:szCs w:val="20"/>
          <w:color w:val="auto"/>
        </w:rPr>
      </w:pPr>
    </w:p>
    <w:tbl>
      <w:tblPr>
        <w:tblLayout w:type="fixed"/>
        <w:tblInd w:w="2480" w:type="dxa"/>
        <w:tblCellMar>
          <w:top w:w="0" w:type="dxa"/>
          <w:left w:w="0" w:type="dxa"/>
          <w:bottom w:w="0" w:type="dxa"/>
          <w:right w:w="0" w:type="dxa"/>
        </w:tblCellMar>
      </w:tblPr>
      <w:tr>
        <w:trPr>
          <w:trHeight w:val="27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Applied Materials, Inc.</w:t>
            </w:r>
          </w:p>
        </w:tc>
        <w:tc>
          <w:tcPr>
            <w:tcW w:w="3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Jabil Circuit, Inc.</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Broadcom Limited</w:t>
            </w:r>
          </w:p>
        </w:tc>
        <w:tc>
          <w:tcPr>
            <w:tcW w:w="3900" w:type="dxa"/>
            <w:vAlign w:val="bottom"/>
          </w:tcPr>
          <w:p>
            <w:pPr>
              <w:ind w:left="740"/>
              <w:spacing w:after="0"/>
              <w:rPr>
                <w:sz w:val="20"/>
                <w:szCs w:val="20"/>
                <w:color w:val="auto"/>
              </w:rPr>
            </w:pPr>
            <w:r>
              <w:rPr>
                <w:rFonts w:ascii="Arial" w:cs="Arial" w:eastAsia="Arial" w:hAnsi="Arial"/>
                <w:sz w:val="18"/>
                <w:szCs w:val="18"/>
                <w:color w:val="auto"/>
              </w:rPr>
              <w:t>Medtronic Inc.</w:t>
            </w:r>
          </w:p>
        </w:tc>
      </w:tr>
      <w:tr>
        <w:trPr>
          <w:trHeight w:val="27"/>
        </w:trPr>
        <w:tc>
          <w:tcPr>
            <w:tcW w:w="256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Corning Incorporated</w:t>
            </w:r>
          </w:p>
        </w:tc>
        <w:tc>
          <w:tcPr>
            <w:tcW w:w="3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QUALCOMM Incorporated</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Danaher Corporation</w:t>
            </w:r>
          </w:p>
        </w:tc>
        <w:tc>
          <w:tcPr>
            <w:tcW w:w="3900" w:type="dxa"/>
            <w:vAlign w:val="bottom"/>
          </w:tcPr>
          <w:p>
            <w:pPr>
              <w:ind w:left="740"/>
              <w:spacing w:after="0"/>
              <w:rPr>
                <w:sz w:val="20"/>
                <w:szCs w:val="20"/>
                <w:color w:val="auto"/>
              </w:rPr>
            </w:pPr>
            <w:r>
              <w:rPr>
                <w:rFonts w:ascii="Arial" w:cs="Arial" w:eastAsia="Arial" w:hAnsi="Arial"/>
                <w:sz w:val="18"/>
                <w:szCs w:val="18"/>
                <w:color w:val="auto"/>
              </w:rPr>
              <w:t>Seagate Technology Plc.</w:t>
            </w:r>
          </w:p>
        </w:tc>
      </w:tr>
      <w:tr>
        <w:trPr>
          <w:trHeight w:val="27"/>
        </w:trPr>
        <w:tc>
          <w:tcPr>
            <w:tcW w:w="256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Eaton Corporation, Plc.</w:t>
            </w:r>
          </w:p>
        </w:tc>
        <w:tc>
          <w:tcPr>
            <w:tcW w:w="3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TE Connectivity Ltd.</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EMC Corporation</w:t>
            </w:r>
          </w:p>
        </w:tc>
        <w:tc>
          <w:tcPr>
            <w:tcW w:w="3900" w:type="dxa"/>
            <w:vAlign w:val="bottom"/>
          </w:tcPr>
          <w:p>
            <w:pPr>
              <w:ind w:left="740"/>
              <w:spacing w:after="0"/>
              <w:rPr>
                <w:sz w:val="20"/>
                <w:szCs w:val="20"/>
                <w:color w:val="auto"/>
              </w:rPr>
            </w:pPr>
            <w:r>
              <w:rPr>
                <w:rFonts w:ascii="Arial" w:cs="Arial" w:eastAsia="Arial" w:hAnsi="Arial"/>
                <w:sz w:val="18"/>
                <w:szCs w:val="18"/>
                <w:color w:val="auto"/>
              </w:rPr>
              <w:t>Texas Instruments Incorporated</w:t>
            </w:r>
          </w:p>
        </w:tc>
      </w:tr>
      <w:tr>
        <w:trPr>
          <w:trHeight w:val="27"/>
        </w:trPr>
        <w:tc>
          <w:tcPr>
            <w:tcW w:w="256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Electric Co.</w:t>
            </w:r>
          </w:p>
        </w:tc>
        <w:tc>
          <w:tcPr>
            <w:tcW w:w="3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Thermo Fisher Scientific Inc.</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Flextronics International</w:t>
            </w:r>
          </w:p>
        </w:tc>
        <w:tc>
          <w:tcPr>
            <w:tcW w:w="3900" w:type="dxa"/>
            <w:vAlign w:val="bottom"/>
          </w:tcPr>
          <w:p>
            <w:pPr>
              <w:ind w:left="740"/>
              <w:spacing w:after="0"/>
              <w:rPr>
                <w:sz w:val="20"/>
                <w:szCs w:val="20"/>
                <w:color w:val="auto"/>
              </w:rPr>
            </w:pPr>
            <w:r>
              <w:rPr>
                <w:rFonts w:ascii="Arial" w:cs="Arial" w:eastAsia="Arial" w:hAnsi="Arial"/>
                <w:sz w:val="18"/>
                <w:szCs w:val="18"/>
                <w:color w:val="auto"/>
              </w:rPr>
              <w:t>Western Digital Corp.</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companies are referred to in the compensation discussion and analysis as the "Compensation Peer Group."</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When collecting and assessing market compensation data, we collect data based on job descriptions first. This permits the Compensation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Survey data may vary from year to year. For fiscal 2017, our compensation consultant used the Radford Global Technology Survey and Willis Towers Watson CDB High-Tech Executive Compensation Survey as well as information obtained from public filings by the Compensation Peer Group. We believe these surveys are particularly relevant for high-technology companies given the high level of participation by such companies in the survey.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officers will more effectively manage a company in the best interests of the shareholders if they are also shareholders. The minimum ownership guideline for our CEO is to hold shares with a value equal to five times his base salary. Messrs. DeBoer, Maddock, Poppen, and Thorsen are required to hold shares with a value equal to three times their base salary. Executive officers are given five years to meet the ownership guidelines. The Governance and Sustainability Committee reviews the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The following table shows compliance with the guidelines as of the Record Date:</w:t>
      </w:r>
    </w:p>
    <w:p>
      <w:pPr>
        <w:spacing w:after="0" w:line="200" w:lineRule="exact"/>
        <w:rPr>
          <w:sz w:val="20"/>
          <w:szCs w:val="20"/>
          <w:color w:val="auto"/>
        </w:rPr>
      </w:pPr>
    </w:p>
    <w:p>
      <w:pPr>
        <w:spacing w:after="0" w:line="318"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Guideline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Guideline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with</w:t>
            </w:r>
          </w:p>
        </w:tc>
      </w:tr>
      <w:tr>
        <w:trPr>
          <w:trHeight w:val="234"/>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Officer(1)</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Multiplier</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Amount(2)</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Guideline</w:t>
            </w: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1,560,000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1,920,000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1,620,000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1560" w:hanging="255"/>
        <w:spacing w:after="0"/>
        <w:tabs>
          <w:tab w:leader="none" w:pos="1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guideline no longer applies to Messrs. Durcan and Shirley.</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current salary amounts as of the Record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page 11 for information on stock ownership guidelines for our directors.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3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Richard M. Beyer</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Patrick J. Byrne</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Lawrence N. Mondry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2017. During fiscal 2017,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584" w:right="399" w:bottom="1440" w:gutter="0" w:footer="0" w:header="0"/>
        </w:sectPr>
      </w:pPr>
    </w:p>
    <w:bookmarkStart w:id="32" w:name="page33"/>
    <w:bookmarkEnd w:id="32"/>
    <w:p>
      <w:pPr>
        <w:jc w:val="center"/>
        <w:ind w:right="-11"/>
        <w:spacing w:after="0"/>
        <w:rPr>
          <w:sz w:val="20"/>
          <w:szCs w:val="20"/>
          <w:color w:val="auto"/>
        </w:rPr>
      </w:pPr>
      <w:r>
        <w:rPr>
          <w:rFonts w:ascii="Arial" w:cs="Arial" w:eastAsia="Arial" w:hAnsi="Arial"/>
          <w:sz w:val="18"/>
          <w:szCs w:val="18"/>
          <w:b w:val="1"/>
          <w:bCs w:val="1"/>
          <w:color w:val="auto"/>
        </w:rPr>
        <w:t>FISCAL 2017 SUMMARY COMPENSATION TABLE</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2017, 2016 and 2015.</w:t>
      </w:r>
    </w:p>
    <w:p>
      <w:pPr>
        <w:spacing w:after="0" w:line="366"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1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20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Salary(1)</w:t>
            </w:r>
          </w:p>
        </w:tc>
        <w:tc>
          <w:tcPr>
            <w:tcW w:w="120" w:type="dxa"/>
            <w:vAlign w:val="bottom"/>
            <w:vMerge w:val="restart"/>
          </w:tcPr>
          <w:p>
            <w:pPr>
              <w:spacing w:after="0"/>
              <w:rPr>
                <w:sz w:val="12"/>
                <w:szCs w:val="12"/>
                <w:color w:val="auto"/>
              </w:rPr>
            </w:pP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8"/>
              </w:rPr>
              <w:t>Bonus(2)</w:t>
            </w:r>
          </w:p>
        </w:tc>
        <w:tc>
          <w:tcPr>
            <w:tcW w:w="100" w:type="dxa"/>
            <w:vAlign w:val="bottom"/>
            <w:vMerge w:val="restart"/>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(3)(4)</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Awards(5)</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Compensation(6)</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Compensation(7)</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J. DeBoer</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1,499,986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499,998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3,236,484</w:t>
            </w: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Executive Vice</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President,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1,322,985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2,248,231</w:t>
            </w: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474,154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1,324,286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2,326,979</w:t>
            </w:r>
          </w:p>
        </w:tc>
        <w:tc>
          <w:tcPr>
            <w:tcW w:w="0" w:type="dxa"/>
            <w:vAlign w:val="bottom"/>
          </w:tcPr>
          <w:p>
            <w:pPr>
              <w:spacing w:after="0"/>
              <w:rPr>
                <w:sz w:val="1"/>
                <w:szCs w:val="1"/>
                <w:color w:val="auto"/>
              </w:rPr>
            </w:pPr>
          </w:p>
        </w:tc>
      </w:tr>
      <w:tr>
        <w:trPr>
          <w:trHeight w:val="258"/>
        </w:trPr>
        <w:tc>
          <w:tcPr>
            <w:tcW w:w="1560" w:type="dxa"/>
            <w:vAlign w:val="bottom"/>
          </w:tcPr>
          <w:p>
            <w:pPr>
              <w:ind w:left="20"/>
              <w:spacing w:after="0"/>
              <w:rPr>
                <w:sz w:val="20"/>
                <w:szCs w:val="20"/>
                <w:color w:val="auto"/>
              </w:rPr>
            </w:pPr>
            <w:r>
              <w:rPr>
                <w:rFonts w:ascii="Arial" w:cs="Arial" w:eastAsia="Arial" w:hAnsi="Arial"/>
                <w:sz w:val="14"/>
                <w:szCs w:val="14"/>
                <w:color w:val="auto"/>
              </w:rPr>
              <w:t>Ernest E. Maddock</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610,308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2,250,005</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749,997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32,958</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4,883,268</w:t>
            </w:r>
          </w:p>
        </w:tc>
        <w:tc>
          <w:tcPr>
            <w:tcW w:w="0" w:type="dxa"/>
            <w:vAlign w:val="bottom"/>
          </w:tcPr>
          <w:p>
            <w:pPr>
              <w:spacing w:after="0"/>
              <w:rPr>
                <w:sz w:val="1"/>
                <w:szCs w:val="1"/>
                <w:color w:val="auto"/>
              </w:rPr>
            </w:pPr>
          </w:p>
        </w:tc>
      </w:tr>
      <w:tr>
        <w:trPr>
          <w:trHeight w:val="270"/>
        </w:trPr>
        <w:tc>
          <w:tcPr>
            <w:tcW w:w="1560" w:type="dxa"/>
            <w:vAlign w:val="bottom"/>
          </w:tcPr>
          <w:p>
            <w:pPr>
              <w:ind w:left="120"/>
              <w:spacing w:after="0"/>
              <w:rPr>
                <w:sz w:val="20"/>
                <w:szCs w:val="20"/>
                <w:color w:val="auto"/>
              </w:rPr>
            </w:pPr>
            <w:r>
              <w:rPr>
                <w:rFonts w:ascii="Arial" w:cs="Arial" w:eastAsia="Arial" w:hAnsi="Arial"/>
                <w:sz w:val="14"/>
                <w:szCs w:val="14"/>
                <w:color w:val="auto"/>
              </w:rPr>
              <w:t>Sr. Vice President</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1,949,981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686,347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59,188</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3,245,516</w:t>
            </w:r>
          </w:p>
        </w:tc>
        <w:tc>
          <w:tcPr>
            <w:tcW w:w="0" w:type="dxa"/>
            <w:vAlign w:val="bottom"/>
          </w:tcPr>
          <w:p>
            <w:pPr>
              <w:spacing w:after="0"/>
              <w:rPr>
                <w:sz w:val="1"/>
                <w:szCs w:val="1"/>
                <w:color w:val="auto"/>
              </w:rPr>
            </w:pPr>
          </w:p>
        </w:tc>
      </w:tr>
      <w:tr>
        <w:trPr>
          <w:trHeight w:val="169"/>
        </w:trPr>
        <w:tc>
          <w:tcPr>
            <w:tcW w:w="1560" w:type="dxa"/>
            <w:vAlign w:val="bottom"/>
          </w:tcPr>
          <w:p>
            <w:pPr>
              <w:ind w:left="120"/>
              <w:spacing w:after="0"/>
              <w:rPr>
                <w:sz w:val="20"/>
                <w:szCs w:val="20"/>
                <w:color w:val="auto"/>
              </w:rPr>
            </w:pPr>
            <w:r>
              <w:rPr>
                <w:rFonts w:ascii="Arial" w:cs="Arial" w:eastAsia="Arial" w:hAnsi="Arial"/>
                <w:sz w:val="14"/>
                <w:szCs w:val="14"/>
                <w:color w:val="auto"/>
              </w:rPr>
              <w:t>and Chief Financial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120"/>
              <w:spacing w:after="0"/>
              <w:rPr>
                <w:sz w:val="20"/>
                <w:szCs w:val="20"/>
                <w:color w:val="auto"/>
              </w:rPr>
            </w:pPr>
            <w:r>
              <w:rPr>
                <w:rFonts w:ascii="Arial" w:cs="Arial" w:eastAsia="Arial" w:hAnsi="Arial"/>
                <w:sz w:val="14"/>
                <w:szCs w:val="14"/>
                <w:color w:val="auto"/>
              </w:rPr>
              <w:t>Officer</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145,966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100,000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901,401</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1,063,652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28,167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16,333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2,255,519</w:t>
            </w:r>
          </w:p>
        </w:tc>
        <w:tc>
          <w:tcPr>
            <w:tcW w:w="0" w:type="dxa"/>
            <w:vAlign w:val="bottom"/>
          </w:tcPr>
          <w:p>
            <w:pPr>
              <w:spacing w:after="0"/>
              <w:rPr>
                <w:sz w:val="1"/>
                <w:szCs w:val="1"/>
                <w:color w:val="auto"/>
              </w:rPr>
            </w:pPr>
          </w:p>
        </w:tc>
      </w:tr>
      <w:tr>
        <w:trPr>
          <w:trHeight w:val="169"/>
        </w:trPr>
        <w:tc>
          <w:tcPr>
            <w:tcW w:w="1560" w:type="dxa"/>
            <w:vAlign w:val="bottom"/>
          </w:tcPr>
          <w:p>
            <w:pPr>
              <w:ind w:left="120"/>
              <w:spacing w:after="0"/>
              <w:rPr>
                <w:sz w:val="20"/>
                <w:szCs w:val="20"/>
                <w:color w:val="auto"/>
              </w:rPr>
            </w:pPr>
            <w:r>
              <w:rPr>
                <w:rFonts w:ascii="Arial" w:cs="Arial" w:eastAsia="Arial" w:hAnsi="Arial"/>
                <w:sz w:val="14"/>
                <w:szCs w:val="14"/>
                <w:color w:val="auto"/>
              </w:rPr>
              <w:t>(Principal Financial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60" w:type="dxa"/>
            <w:vAlign w:val="bottom"/>
          </w:tcPr>
          <w:p>
            <w:pPr>
              <w:ind w:left="120"/>
              <w:spacing w:after="0"/>
              <w:rPr>
                <w:sz w:val="20"/>
                <w:szCs w:val="20"/>
                <w:color w:val="auto"/>
              </w:rPr>
            </w:pPr>
            <w:r>
              <w:rPr>
                <w:rFonts w:ascii="Arial" w:cs="Arial" w:eastAsia="Arial" w:hAnsi="Arial"/>
                <w:sz w:val="14"/>
                <w:szCs w:val="14"/>
                <w:color w:val="auto"/>
              </w:rPr>
              <w:t>Officer)</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Sanjay Mehrotra</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387,692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6,885,622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6,885,790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1,147,253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15,373,026</w:t>
            </w: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Executive Officer</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20"/>
              <w:spacing w:after="0"/>
              <w:rPr>
                <w:sz w:val="20"/>
                <w:szCs w:val="20"/>
                <w:color w:val="auto"/>
              </w:rPr>
            </w:pPr>
            <w:r>
              <w:rPr>
                <w:rFonts w:ascii="Arial" w:cs="Arial" w:eastAsia="Arial" w:hAnsi="Arial"/>
                <w:sz w:val="14"/>
                <w:szCs w:val="14"/>
                <w:color w:val="auto"/>
              </w:rPr>
              <w:t>Joel L. Poppen</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521,539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1,203,744</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401,247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13,562</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2,980,092</w:t>
            </w:r>
          </w:p>
        </w:tc>
        <w:tc>
          <w:tcPr>
            <w:tcW w:w="0" w:type="dxa"/>
            <w:vAlign w:val="bottom"/>
          </w:tcPr>
          <w:p>
            <w:pPr>
              <w:spacing w:after="0"/>
              <w:rPr>
                <w:sz w:val="1"/>
                <w:szCs w:val="1"/>
                <w:color w:val="auto"/>
              </w:rPr>
            </w:pPr>
          </w:p>
        </w:tc>
      </w:tr>
      <w:tr>
        <w:trPr>
          <w:trHeight w:val="169"/>
        </w:trPr>
        <w:tc>
          <w:tcPr>
            <w:tcW w:w="1560" w:type="dxa"/>
            <w:vAlign w:val="bottom"/>
          </w:tcPr>
          <w:p>
            <w:pPr>
              <w:ind w:left="120"/>
              <w:spacing w:after="0"/>
              <w:rPr>
                <w:sz w:val="20"/>
                <w:szCs w:val="20"/>
                <w:color w:val="auto"/>
              </w:rPr>
            </w:pPr>
            <w:r>
              <w:rPr>
                <w:rFonts w:ascii="Arial" w:cs="Arial" w:eastAsia="Arial" w:hAnsi="Arial"/>
                <w:sz w:val="14"/>
                <w:szCs w:val="14"/>
                <w:color w:val="auto"/>
              </w:rPr>
              <w:t>Sr. Vice President,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120"/>
              <w:spacing w:after="0"/>
              <w:rPr>
                <w:sz w:val="20"/>
                <w:szCs w:val="20"/>
                <w:color w:val="auto"/>
              </w:rPr>
            </w:pPr>
            <w:r>
              <w:rPr>
                <w:rFonts w:ascii="Arial" w:cs="Arial" w:eastAsia="Arial" w:hAnsi="Arial"/>
                <w:sz w:val="14"/>
                <w:szCs w:val="14"/>
                <w:color w:val="auto"/>
              </w:rPr>
              <w:t>Legal</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Pr>
          <w:p>
            <w:pPr>
              <w:ind w:left="120"/>
              <w:spacing w:after="0"/>
              <w:rPr>
                <w:sz w:val="20"/>
                <w:szCs w:val="20"/>
                <w:color w:val="auto"/>
              </w:rPr>
            </w:pPr>
            <w:r>
              <w:rPr>
                <w:rFonts w:ascii="Arial" w:cs="Arial" w:eastAsia="Arial" w:hAnsi="Arial"/>
                <w:sz w:val="14"/>
                <w:szCs w:val="14"/>
                <w:color w:val="auto"/>
              </w:rPr>
              <w:t>Affairs, General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120"/>
              <w:spacing w:after="0"/>
              <w:rPr>
                <w:sz w:val="20"/>
                <w:szCs w:val="20"/>
                <w:color w:val="auto"/>
              </w:rPr>
            </w:pPr>
            <w:r>
              <w:rPr>
                <w:rFonts w:ascii="Arial" w:cs="Arial" w:eastAsia="Arial" w:hAnsi="Arial"/>
                <w:sz w:val="14"/>
                <w:szCs w:val="14"/>
                <w:color w:val="auto"/>
              </w:rPr>
              <w:t>Counsel</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560" w:type="dxa"/>
            <w:vAlign w:val="bottom"/>
          </w:tcPr>
          <w:p>
            <w:pPr>
              <w:ind w:left="120"/>
              <w:spacing w:after="0"/>
              <w:rPr>
                <w:sz w:val="20"/>
                <w:szCs w:val="20"/>
                <w:color w:val="auto"/>
              </w:rPr>
            </w:pPr>
            <w:r>
              <w:rPr>
                <w:rFonts w:ascii="Arial" w:cs="Arial" w:eastAsia="Arial" w:hAnsi="Arial"/>
                <w:sz w:val="14"/>
                <w:szCs w:val="14"/>
                <w:color w:val="auto"/>
                <w:w w:val="92"/>
              </w:rPr>
              <w:t>and Corporate Secretary</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L. Thorsen, Jr.</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1,322,999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3,121,997</w:t>
            </w: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Sr. Vice President,</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1,322,985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2,248,981</w:t>
            </w:r>
          </w:p>
        </w:tc>
        <w:tc>
          <w:tcPr>
            <w:tcW w:w="0" w:type="dxa"/>
            <w:vAlign w:val="bottom"/>
          </w:tcPr>
          <w:p>
            <w:pPr>
              <w:spacing w:after="0"/>
              <w:rPr>
                <w:sz w:val="1"/>
                <w:szCs w:val="1"/>
                <w:color w:val="auto"/>
              </w:rPr>
            </w:pPr>
          </w:p>
        </w:tc>
      </w:tr>
      <w:tr>
        <w:trPr>
          <w:trHeight w:val="282"/>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Worldwide Sales</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492,462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1,324,286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2,344,137</w:t>
            </w:r>
          </w:p>
        </w:tc>
        <w:tc>
          <w:tcPr>
            <w:tcW w:w="0" w:type="dxa"/>
            <w:vAlign w:val="bottom"/>
          </w:tcPr>
          <w:p>
            <w:pPr>
              <w:spacing w:after="0"/>
              <w:rPr>
                <w:sz w:val="1"/>
                <w:szCs w:val="1"/>
                <w:color w:val="auto"/>
              </w:rPr>
            </w:pPr>
          </w:p>
        </w:tc>
      </w:tr>
      <w:tr>
        <w:trPr>
          <w:trHeight w:val="258"/>
        </w:trPr>
        <w:tc>
          <w:tcPr>
            <w:tcW w:w="1560" w:type="dxa"/>
            <w:vAlign w:val="bottom"/>
          </w:tcPr>
          <w:p>
            <w:pPr>
              <w:ind w:left="20"/>
              <w:spacing w:after="0"/>
              <w:rPr>
                <w:sz w:val="20"/>
                <w:szCs w:val="20"/>
                <w:color w:val="auto"/>
              </w:rPr>
            </w:pPr>
            <w:r>
              <w:rPr>
                <w:rFonts w:ascii="Arial" w:cs="Arial" w:eastAsia="Arial" w:hAnsi="Arial"/>
                <w:sz w:val="14"/>
                <w:szCs w:val="14"/>
                <w:color w:val="auto"/>
              </w:rPr>
              <w:t>D. Mark Durcan</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912,692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9,494,442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1,999,999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294,519</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15,701,652</w:t>
            </w:r>
          </w:p>
        </w:tc>
        <w:tc>
          <w:tcPr>
            <w:tcW w:w="0" w:type="dxa"/>
            <w:vAlign w:val="bottom"/>
          </w:tcPr>
          <w:p>
            <w:pPr>
              <w:spacing w:after="0"/>
              <w:rPr>
                <w:sz w:val="1"/>
                <w:szCs w:val="1"/>
                <w:color w:val="auto"/>
              </w:rPr>
            </w:pPr>
          </w:p>
        </w:tc>
      </w:tr>
      <w:tr>
        <w:trPr>
          <w:trHeight w:val="270"/>
        </w:trPr>
        <w:tc>
          <w:tcPr>
            <w:tcW w:w="1560" w:type="dxa"/>
            <w:vAlign w:val="bottom"/>
          </w:tcPr>
          <w:p>
            <w:pPr>
              <w:ind w:left="120"/>
              <w:spacing w:after="0"/>
              <w:rPr>
                <w:sz w:val="20"/>
                <w:szCs w:val="20"/>
                <w:color w:val="auto"/>
              </w:rPr>
            </w:pPr>
            <w:r>
              <w:rPr>
                <w:rFonts w:ascii="Arial" w:cs="Arial" w:eastAsia="Arial" w:hAnsi="Arial"/>
                <w:sz w:val="14"/>
                <w:szCs w:val="14"/>
                <w:color w:val="auto"/>
              </w:rPr>
              <w:t>Former Chief</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587,596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3,749,988</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5,601,837</w:t>
            </w:r>
          </w:p>
        </w:tc>
        <w:tc>
          <w:tcPr>
            <w:tcW w:w="0" w:type="dxa"/>
            <w:vAlign w:val="bottom"/>
          </w:tcPr>
          <w:p>
            <w:pPr>
              <w:spacing w:after="0"/>
              <w:rPr>
                <w:sz w:val="1"/>
                <w:szCs w:val="1"/>
                <w:color w:val="auto"/>
              </w:rPr>
            </w:pPr>
          </w:p>
        </w:tc>
      </w:tr>
      <w:tr>
        <w:trPr>
          <w:trHeight w:val="276"/>
        </w:trPr>
        <w:tc>
          <w:tcPr>
            <w:tcW w:w="1560" w:type="dxa"/>
            <w:vAlign w:val="bottom"/>
          </w:tcPr>
          <w:p>
            <w:pPr>
              <w:ind w:left="120"/>
              <w:spacing w:after="0"/>
              <w:rPr>
                <w:sz w:val="20"/>
                <w:szCs w:val="20"/>
                <w:color w:val="auto"/>
              </w:rPr>
            </w:pPr>
            <w:r>
              <w:rPr>
                <w:rFonts w:ascii="Arial" w:cs="Arial" w:eastAsia="Arial" w:hAnsi="Arial"/>
                <w:sz w:val="14"/>
                <w:szCs w:val="14"/>
                <w:color w:val="auto"/>
              </w:rPr>
              <w:t>Executive Officer</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1,062,308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6,006,740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2,000,523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315,000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13,250</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9,397,821</w:t>
            </w:r>
          </w:p>
        </w:tc>
        <w:tc>
          <w:tcPr>
            <w:tcW w:w="0" w:type="dxa"/>
            <w:vAlign w:val="bottom"/>
          </w:tcPr>
          <w:p>
            <w:pPr>
              <w:spacing w:after="0"/>
              <w:rPr>
                <w:sz w:val="1"/>
                <w:szCs w:val="1"/>
                <w:color w:val="auto"/>
              </w:rPr>
            </w:pPr>
          </w:p>
        </w:tc>
      </w:tr>
      <w:tr>
        <w:trPr>
          <w:trHeight w:val="264"/>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M. Shirley</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630,000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2,440,515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5,159,489</w:t>
            </w: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Sr. Vice President,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DRAM</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2,440,513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3,897,261</w:t>
            </w: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Emerging Memory</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635,077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2,441,520</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812,672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4,028,519</w:t>
            </w:r>
          </w:p>
        </w:tc>
        <w:tc>
          <w:tcPr>
            <w:tcW w:w="0" w:type="dxa"/>
            <w:vAlign w:val="bottom"/>
          </w:tcPr>
          <w:p>
            <w:pPr>
              <w:spacing w:after="0"/>
              <w:rPr>
                <w:sz w:val="1"/>
                <w:szCs w:val="1"/>
                <w:color w:val="auto"/>
              </w:rPr>
            </w:pPr>
          </w:p>
        </w:tc>
      </w:tr>
      <w:tr>
        <w:trPr>
          <w:trHeight w:val="282"/>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Engineering</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2" w:hanging="332"/>
        <w:spacing w:after="0" w:line="308" w:lineRule="auto"/>
        <w:tabs>
          <w:tab w:leader="none" w:pos="3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Mehrotra joined the Company as President and Chief Executive Officer on May 8, 2017. Mr. Mehrotra's annual base salary for fiscal 2017 was $1,200,000. Fiscal 2017 amount for Mr. Durcan represents salary earned up to his resignation from the Company in August 2017.</w:t>
      </w:r>
    </w:p>
    <w:p>
      <w:pPr>
        <w:spacing w:after="0" w:line="146" w:lineRule="exact"/>
        <w:rPr>
          <w:rFonts w:ascii="Arial" w:cs="Arial" w:eastAsia="Arial" w:hAnsi="Arial"/>
          <w:sz w:val="17"/>
          <w:szCs w:val="17"/>
          <w:color w:val="auto"/>
        </w:rPr>
      </w:pPr>
    </w:p>
    <w:p>
      <w:pPr>
        <w:ind w:left="332"/>
        <w:spacing w:after="0" w:line="277" w:lineRule="auto"/>
        <w:rPr>
          <w:rFonts w:ascii="Arial" w:cs="Arial" w:eastAsia="Arial" w:hAnsi="Arial"/>
          <w:sz w:val="17"/>
          <w:szCs w:val="17"/>
          <w:color w:val="auto"/>
        </w:rPr>
      </w:pPr>
      <w:r>
        <w:rPr>
          <w:rFonts w:ascii="Arial" w:cs="Arial" w:eastAsia="Arial" w:hAnsi="Arial"/>
          <w:sz w:val="18"/>
          <w:szCs w:val="18"/>
          <w:color w:val="auto"/>
        </w:rPr>
        <w:t>In fiscal 2016, Mr. Durcan requested a voluntary and temporary pay reduction to align his salary with the Company's expense reduction initiatives. As a result of Mr. Durcan's request, the Compensation Committee reduced his annual base salary by 50% to $525,000.</w:t>
      </w:r>
    </w:p>
    <w:p>
      <w:pPr>
        <w:spacing w:after="0" w:line="170" w:lineRule="exact"/>
        <w:rPr>
          <w:rFonts w:ascii="Arial" w:cs="Arial" w:eastAsia="Arial" w:hAnsi="Arial"/>
          <w:sz w:val="17"/>
          <w:szCs w:val="17"/>
          <w:color w:val="auto"/>
        </w:rPr>
      </w:pPr>
    </w:p>
    <w:p>
      <w:pPr>
        <w:ind w:left="332" w:hanging="332"/>
        <w:spacing w:after="0"/>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Maddock received a cash signing bonus upon joining the Company in fiscal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92"/>
          </w:cols>
          <w:pgMar w:left="248" w:top="580" w:right="259" w:bottom="1440" w:gutter="0" w:footer="0" w:header="0"/>
        </w:sectPr>
      </w:pPr>
    </w:p>
    <w:bookmarkStart w:id="33" w:name="page34"/>
    <w:bookmarkEnd w:id="33"/>
    <w:p>
      <w:pPr>
        <w:jc w:val="both"/>
        <w:ind w:left="340" w:hanging="332"/>
        <w:spacing w:after="0" w:line="29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grant-date fair values for the stock awards are based on the closing price on the last market-trading day prior to the date of grant. The grant date fair value of the performance-based awards granted in fiscal 2017, 2016 and 2015 was computed by multiplying (i) the target number of restricted shares or units awarded to each Named Executive Officer, which was the assumed probable outcome as of the grant date, by (ii) either (a) the closing price of our Common Stock on the last market-trading day prior to the date of grant if the performance goal had a performance condition; or (b) the use of the Monte-Carlo simulation which represents the most likely value of the award if the performance goal had a market condition. Although the assumed probable outcome as of the grant date was achievement at the target level, the terms of the awards for performance-based restricted stock unit awards granted in 2017 and 2016 also provide for achievement of up to 200% of the target amount ("maximum"). The table below presents the aggregate grant-date fair value of stock awards for the periods presented assuming achievement at the maximum level for such performance-based awards:</w:t>
      </w: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Performance-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Performance-</w:t>
            </w:r>
          </w:p>
        </w:tc>
        <w:tc>
          <w:tcPr>
            <w:tcW w:w="9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Time-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based Stock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Time-</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based Stock</w:t>
            </w:r>
          </w:p>
        </w:tc>
        <w:tc>
          <w:tcPr>
            <w:tcW w:w="9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based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Award at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based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Award at</w:t>
            </w:r>
          </w:p>
        </w:tc>
        <w:tc>
          <w:tcPr>
            <w:tcW w:w="9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 Stock</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Total Stock</w:t>
            </w:r>
          </w:p>
        </w:tc>
      </w:t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Award</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Award</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Awards</w:t>
            </w:r>
          </w:p>
        </w:tc>
      </w:tr>
      <w:tr>
        <w:trPr>
          <w:trHeight w:val="27"/>
        </w:trPr>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899,993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899,985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1,799,978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793,793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793,784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$ 1,587,577</w:t>
            </w: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1,350,006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1,349,995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2,700,001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1,169,992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1,169,987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2,339,979</w:t>
            </w:r>
          </w:p>
        </w:tc>
      </w:tr>
      <w:tr>
        <w:trPr>
          <w:trHeight w:val="27"/>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6,885,622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6,885,622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880" w:type="dxa"/>
            <w:vAlign w:val="bottom"/>
          </w:tcPr>
          <w:p>
            <w:pPr>
              <w:jc w:val="right"/>
              <w:spacing w:after="0"/>
              <w:rPr>
                <w:sz w:val="20"/>
                <w:szCs w:val="20"/>
                <w:color w:val="auto"/>
              </w:rPr>
            </w:pPr>
            <w:r>
              <w:rPr>
                <w:rFonts w:ascii="Arial" w:cs="Arial" w:eastAsia="Arial" w:hAnsi="Arial"/>
                <w:sz w:val="18"/>
                <w:szCs w:val="18"/>
                <w:color w:val="auto"/>
              </w:rPr>
              <w:t>722,254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722,235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1,444,489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Jr.</w:t>
            </w: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793,804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1,587,596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793,784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1,587,577</w:t>
            </w: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3,600,005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8,630,919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12,230,924</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2,249,993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2,249,993</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4,499,986</w:t>
            </w:r>
          </w:p>
        </w:tc>
      </w:tr>
      <w:tr>
        <w:trPr>
          <w:trHeight w:val="27"/>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1,464,303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1,464,319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2,928,622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1,464,308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1,464,302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2,928,610</w:t>
            </w:r>
          </w:p>
        </w:tc>
      </w:tr>
      <w:tr>
        <w:trPr>
          <w:trHeight w:val="27"/>
        </w:trPr>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left="340" w:hanging="332"/>
        <w:spacing w:after="0" w:line="271"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Durcan resigned from the Company in August 2017 after 33 years of service. In connection with his resignation, Mr. Durcan agreed to provide limited advisory services to the Company after his resignation. As consideration for these advisory services, on July 24, 2017, the Compensation Committee modified Mr. Durcan’s 2017 and 2016 performance-based restricted stock unit ("PRSU") awards to provide for the continued vesting of these awards through the end of their three-year performance period; with the determination of the number of shares to be issued, if any, at the end of each performance period being based on the actual achievement of the performance condition, and prorated based on time employed during the applicable performance period. The incremental fair values of the PRSUs resulting from the modifications are included in Mr. Durcan’s fiscal 2017 Stock Awards column. Accordingly, the value included in Mr. Durcan’s fiscal 2017 Stock Awards column is significantly greater than it would have been absent the accounting charges resulting from the modifications. The table below reflects the impact of these modifications:</w:t>
      </w:r>
    </w:p>
    <w:p>
      <w:pPr>
        <w:spacing w:after="0" w:line="337"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14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Incremental Fair</w:t>
            </w: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Subject to</w:t>
            </w:r>
          </w:p>
        </w:tc>
        <w:tc>
          <w:tcPr>
            <w:tcW w:w="14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 due to</w:t>
            </w:r>
          </w:p>
        </w:tc>
      </w:tr>
      <w:tr>
        <w:trPr>
          <w:trHeight w:val="234"/>
        </w:trPr>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Modification</w:t>
            </w:r>
          </w:p>
        </w:tc>
        <w:tc>
          <w:tcPr>
            <w:tcW w:w="14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Modification</w:t>
            </w:r>
          </w:p>
        </w:tc>
      </w:tr>
      <w:tr>
        <w:trPr>
          <w:trHeight w:val="27"/>
        </w:trPr>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2017 PRSU</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1,505,150</w:t>
            </w:r>
          </w:p>
        </w:tc>
      </w:tr>
      <w:tr>
        <w:trPr>
          <w:trHeight w:val="243"/>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Fiscal 2016 PRSU</w:t>
            </w:r>
          </w:p>
        </w:tc>
        <w:tc>
          <w:tcPr>
            <w:tcW w:w="1620" w:type="dxa"/>
            <w:vAlign w:val="bottom"/>
          </w:tcPr>
          <w:p>
            <w:pPr>
              <w:jc w:val="right"/>
              <w:spacing w:after="0"/>
              <w:rPr>
                <w:sz w:val="20"/>
                <w:szCs w:val="20"/>
                <w:color w:val="auto"/>
              </w:rPr>
            </w:pPr>
            <w:r>
              <w:rPr>
                <w:rFonts w:ascii="Arial" w:cs="Arial" w:eastAsia="Arial" w:hAnsi="Arial"/>
                <w:sz w:val="18"/>
                <w:szCs w:val="18"/>
                <w:color w:val="auto"/>
              </w:rPr>
              <w:t>46,906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1,989,280</w:t>
            </w:r>
          </w:p>
        </w:tc>
      </w:tr>
      <w:tr>
        <w:trPr>
          <w:trHeight w:val="27"/>
        </w:trPr>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3,494,430</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Assumptions used in determining the grant-date fair values of option awards are set forth in the "Equity Plans" note to the financial statements included in our annual reports on Form 10-K for fiscal years 2017, 2016 and 2015, which note is incorporated herein by reference.</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shown for each of the Named Executive Officers were paid pursuant to the EIP and relate to the achievement of certain performance milestones. The EIP was suspended for fiscal 2016 and despite some performance milestones being met, no bonuses were paid.</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2017, $13,500 was contributed for each of Messrs. DeBoer, Maddock, Mehrotra, Poppen, Durcan and Shirley. Mr. Thorsen did not participate in the plan. All Other Compensation for fiscal 2017 also included the following for each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4" w:name="page35"/>
    <w:bookmarkEnd w:id="34"/>
    <w:p>
      <w:pPr>
        <w:ind w:left="328" w:hanging="328"/>
        <w:spacing w:after="0"/>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 for each of Messrs. DeBoer and Durcan includes $1,000 in matching contributions paid by us pursuant to our Health Savings Account.</w:t>
      </w:r>
    </w:p>
    <w:p>
      <w:pPr>
        <w:spacing w:after="0" w:line="236" w:lineRule="exact"/>
        <w:rPr>
          <w:rFonts w:ascii="Arial" w:cs="Arial" w:eastAsia="Arial" w:hAnsi="Arial"/>
          <w:sz w:val="17"/>
          <w:szCs w:val="17"/>
          <w:color w:val="auto"/>
        </w:rPr>
      </w:pPr>
    </w:p>
    <w:p>
      <w:pPr>
        <w:jc w:val="both"/>
        <w:ind w:left="328" w:hanging="328"/>
        <w:spacing w:after="0" w:line="255"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for Mr. Mehrotra includes $30,296 for reimbursement of legal fees incurred in connection with his joining the Company, and $12,048 for commuting expenses, including use of Company aircraft. Compensation for aircraft usage was determined based on the aggregate incremental cost to the Company, including fuel, landing fees, ramp/parking fees and other variable costs of operating the airplane. Since the Company's aircrafts are primarily used for business travel, fixed costs that do not change based on usage, such as pilots' salaries, depreciation of the aircraft, and the cost of general maintenance, are excluded. Also includes $10,825 for a reimbursement of federal, state and other income taxes resulting from imputed income related to his commuting expenses. Amount for Mr. Maddock includes $19,142 for commuting and other travel costs and communication services.</w:t>
      </w:r>
    </w:p>
    <w:p>
      <w:pPr>
        <w:spacing w:after="0" w:line="189"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for Mr. Durcan includes $204,788 for accumulated unused time-off and $75,231 for accrued but unpaid benefits under his severance agreement. His first severance payment will be paid in fiscal 2018, subject to his continued compliance with his severance agreement. See the "Potential Payments Upon Termination or Change in Control" table for additional information regarding Mr. Durcan's Severance Agreement,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8"/>
          </w:cols>
          <w:pgMar w:left="572" w:top="584" w:right="239" w:bottom="1440" w:gutter="0" w:footer="0" w:header="0"/>
        </w:sectPr>
      </w:pPr>
    </w:p>
    <w:bookmarkStart w:id="35" w:name="page36"/>
    <w:bookmarkEnd w:id="35"/>
    <w:p>
      <w:pPr>
        <w:ind w:left="3512"/>
        <w:spacing w:after="0"/>
        <w:rPr>
          <w:sz w:val="20"/>
          <w:szCs w:val="20"/>
          <w:color w:val="auto"/>
        </w:rPr>
      </w:pPr>
      <w:r>
        <w:rPr>
          <w:rFonts w:ascii="Arial" w:cs="Arial" w:eastAsia="Arial" w:hAnsi="Arial"/>
          <w:sz w:val="18"/>
          <w:szCs w:val="18"/>
          <w:b w:val="1"/>
          <w:bCs w:val="1"/>
          <w:color w:val="auto"/>
        </w:rPr>
        <w:t>GRANTS OF PLAN-BASED AWARDS IN FISCAL 2017</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2017.</w:t>
      </w:r>
    </w:p>
    <w:p>
      <w:pPr>
        <w:spacing w:after="0" w:line="369" w:lineRule="exact"/>
        <w:rPr>
          <w:sz w:val="20"/>
          <w:szCs w:val="20"/>
          <w:color w:val="auto"/>
        </w:rPr>
      </w:pPr>
    </w:p>
    <w:tbl>
      <w:tblPr>
        <w:tblLayout w:type="fixed"/>
        <w:tblInd w:w="1172"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tcPr>
          <w:p>
            <w:pPr>
              <w:jc w:val="center"/>
              <w:spacing w:after="0" w:line="140" w:lineRule="exact"/>
              <w:rPr>
                <w:sz w:val="20"/>
                <w:szCs w:val="20"/>
                <w:color w:val="auto"/>
              </w:rPr>
            </w:pPr>
            <w:r>
              <w:rPr>
                <w:rFonts w:ascii="Arial" w:cs="Arial" w:eastAsia="Arial" w:hAnsi="Arial"/>
                <w:sz w:val="13"/>
                <w:szCs w:val="13"/>
                <w:b w:val="1"/>
                <w:bCs w:val="1"/>
                <w:color w:val="auto"/>
                <w:w w:val="87"/>
              </w:rPr>
              <w:t>Estimated Future Payouts under</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19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w w:val="91"/>
              </w:rPr>
              <w:t>Estimated Future Payouts under</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Grant Date</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Plan Awards(1)</w:t>
            </w:r>
          </w:p>
        </w:tc>
        <w:tc>
          <w:tcPr>
            <w:tcW w:w="19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w w:val="93"/>
              </w:rPr>
              <w:t>Equity Incentive Plan Awards(2)</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Close</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4"/>
              </w:rPr>
              <w:t>Shares of</w:t>
            </w:r>
          </w:p>
        </w:tc>
        <w:tc>
          <w:tcPr>
            <w:tcW w:w="70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4"/>
                <w:szCs w:val="4"/>
                <w:color w:val="auto"/>
              </w:rPr>
            </w:pPr>
          </w:p>
        </w:tc>
        <w:tc>
          <w:tcPr>
            <w:tcW w:w="62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5"/>
              </w:rPr>
              <w:t>Exercise</w:t>
            </w:r>
          </w:p>
        </w:tc>
        <w:tc>
          <w:tcPr>
            <w:tcW w:w="56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5"/>
              </w:rPr>
              <w:t>Price on</w:t>
            </w:r>
          </w:p>
        </w:tc>
        <w:tc>
          <w:tcPr>
            <w:tcW w:w="760" w:type="dxa"/>
            <w:vAlign w:val="bottom"/>
            <w:gridSpan w:val="2"/>
            <w:vMerge w:val="restart"/>
          </w:tcPr>
          <w:p>
            <w:pPr>
              <w:jc w:val="center"/>
              <w:spacing w:after="0" w:line="131" w:lineRule="exact"/>
              <w:rPr>
                <w:sz w:val="20"/>
                <w:szCs w:val="20"/>
                <w:color w:val="auto"/>
              </w:rPr>
            </w:pPr>
            <w:r>
              <w:rPr>
                <w:rFonts w:ascii="Arial" w:cs="Arial" w:eastAsia="Arial" w:hAnsi="Arial"/>
                <w:sz w:val="13"/>
                <w:szCs w:val="13"/>
                <w:b w:val="1"/>
                <w:bCs w:val="1"/>
                <w:color w:val="auto"/>
                <w:w w:val="88"/>
              </w:rPr>
              <w:t>of Stock (or</w:t>
            </w: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Grant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Units) and</w:t>
            </w:r>
          </w:p>
        </w:tc>
        <w:tc>
          <w:tcPr>
            <w:tcW w:w="0" w:type="dxa"/>
            <w:vAlign w:val="bottom"/>
          </w:tcPr>
          <w:p>
            <w:pPr>
              <w:spacing w:after="0"/>
              <w:rPr>
                <w:sz w:val="1"/>
                <w:szCs w:val="1"/>
                <w:color w:val="auto"/>
              </w:rPr>
            </w:pPr>
          </w:p>
        </w:tc>
      </w:tr>
      <w:tr>
        <w:trPr>
          <w:trHeight w:val="174"/>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Date</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Threshold</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Target</w:t>
            </w: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Max</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Target</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Max</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Date(5)</w:t>
            </w: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Options(6)</w:t>
            </w:r>
          </w:p>
        </w:tc>
        <w:tc>
          <w:tcPr>
            <w:tcW w:w="0" w:type="dxa"/>
            <w:vAlign w:val="bottom"/>
          </w:tcPr>
          <w:p>
            <w:pPr>
              <w:spacing w:after="0"/>
              <w:rPr>
                <w:sz w:val="1"/>
                <w:szCs w:val="1"/>
                <w:color w:val="auto"/>
              </w:rPr>
            </w:pPr>
          </w:p>
        </w:tc>
      </w:tr>
      <w:tr>
        <w:trPr>
          <w:trHeight w:val="25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Scott J. DeBoer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14,147</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28,293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599,993</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10/19/16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51,694</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899,993</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10/19/16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65,280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17.41</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2"/>
              </w:rPr>
              <w:t>$ 17.22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499,998</w:t>
            </w:r>
          </w:p>
        </w:tc>
        <w:tc>
          <w:tcPr>
            <w:tcW w:w="0" w:type="dxa"/>
            <w:vAlign w:val="bottom"/>
          </w:tcPr>
          <w:p>
            <w:pPr>
              <w:spacing w:after="0"/>
              <w:rPr>
                <w:sz w:val="1"/>
                <w:szCs w:val="1"/>
                <w:color w:val="auto"/>
              </w:rPr>
            </w:pPr>
          </w:p>
        </w:tc>
      </w:tr>
      <w:tr>
        <w:trPr>
          <w:trHeight w:val="286"/>
        </w:trPr>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$ 188,000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$ 376,000</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$ 752,000</w:t>
            </w:r>
          </w:p>
        </w:tc>
        <w:tc>
          <w:tcPr>
            <w:tcW w:w="7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Ernest 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ind w:left="20"/>
              <w:spacing w:after="0"/>
              <w:rPr>
                <w:sz w:val="20"/>
                <w:szCs w:val="20"/>
                <w:color w:val="auto"/>
              </w:rPr>
            </w:pPr>
            <w:r>
              <w:rPr>
                <w:rFonts w:ascii="Arial" w:cs="Arial" w:eastAsia="Arial" w:hAnsi="Arial"/>
                <w:sz w:val="13"/>
                <w:szCs w:val="13"/>
                <w:color w:val="auto"/>
              </w:rPr>
              <w:t>Maddock</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21,220</w:t>
            </w:r>
          </w:p>
        </w:tc>
        <w:tc>
          <w:tcPr>
            <w:tcW w:w="520" w:type="dxa"/>
            <w:vAlign w:val="bottom"/>
          </w:tcPr>
          <w:p>
            <w:pPr>
              <w:jc w:val="right"/>
              <w:spacing w:after="0"/>
              <w:rPr>
                <w:sz w:val="20"/>
                <w:szCs w:val="20"/>
                <w:color w:val="auto"/>
              </w:rPr>
            </w:pPr>
            <w:r>
              <w:rPr>
                <w:rFonts w:ascii="Arial" w:cs="Arial" w:eastAsia="Arial" w:hAnsi="Arial"/>
                <w:sz w:val="13"/>
                <w:szCs w:val="13"/>
                <w:color w:val="auto"/>
              </w:rPr>
              <w:t>42,440</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84,880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899,998</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gridSpan w:val="2"/>
          </w:tcPr>
          <w:p>
            <w:pPr>
              <w:jc w:val="right"/>
              <w:ind w:right="137"/>
              <w:spacing w:after="0"/>
              <w:rPr>
                <w:sz w:val="20"/>
                <w:szCs w:val="20"/>
                <w:color w:val="auto"/>
              </w:rPr>
            </w:pPr>
            <w:r>
              <w:rPr>
                <w:rFonts w:ascii="Arial" w:cs="Arial" w:eastAsia="Arial" w:hAnsi="Arial"/>
                <w:sz w:val="13"/>
                <w:szCs w:val="13"/>
                <w:color w:val="auto"/>
              </w:rPr>
              <w:t>77,542</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1,350,006</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97,920</w:t>
            </w:r>
          </w:p>
        </w:tc>
        <w:tc>
          <w:tcPr>
            <w:tcW w:w="10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17.41</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17.22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749,997</w:t>
            </w:r>
          </w:p>
        </w:tc>
        <w:tc>
          <w:tcPr>
            <w:tcW w:w="0" w:type="dxa"/>
            <w:vAlign w:val="bottom"/>
          </w:tcPr>
          <w:p>
            <w:pPr>
              <w:spacing w:after="0"/>
              <w:rPr>
                <w:sz w:val="1"/>
                <w:szCs w:val="1"/>
                <w:color w:val="auto"/>
              </w:rPr>
            </w:pPr>
          </w:p>
        </w:tc>
      </w:tr>
      <w:tr>
        <w:trPr>
          <w:trHeight w:val="27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310,000</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620,000</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1,240,000</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Sanjay</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Mehrotra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244,171</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6,885,622</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571,976</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28.20</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28.06</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6,885,790</w:t>
            </w:r>
          </w:p>
        </w:tc>
        <w:tc>
          <w:tcPr>
            <w:tcW w:w="0" w:type="dxa"/>
            <w:vAlign w:val="bottom"/>
          </w:tcPr>
          <w:p>
            <w:pPr>
              <w:spacing w:after="0"/>
              <w:rPr>
                <w:sz w:val="1"/>
                <w:szCs w:val="1"/>
                <w:color w:val="auto"/>
              </w:rPr>
            </w:pPr>
          </w:p>
        </w:tc>
      </w:tr>
      <w:tr>
        <w:trPr>
          <w:trHeight w:val="286"/>
        </w:trPr>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286,813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573,626</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1,147,253</w:t>
            </w:r>
          </w:p>
        </w:tc>
        <w:tc>
          <w:tcPr>
            <w:tcW w:w="7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00" w:type="dxa"/>
            <w:vAlign w:val="bottom"/>
          </w:tcPr>
          <w:p>
            <w:pPr>
              <w:ind w:left="20"/>
              <w:spacing w:after="0"/>
              <w:rPr>
                <w:sz w:val="20"/>
                <w:szCs w:val="20"/>
                <w:color w:val="auto"/>
              </w:rPr>
            </w:pPr>
            <w:r>
              <w:rPr>
                <w:rFonts w:ascii="Arial" w:cs="Arial" w:eastAsia="Arial" w:hAnsi="Arial"/>
                <w:sz w:val="13"/>
                <w:szCs w:val="13"/>
                <w:color w:val="auto"/>
                <w:w w:val="99"/>
              </w:rPr>
              <w:t>Joel L. Poppen</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11,353</w:t>
            </w:r>
          </w:p>
        </w:tc>
        <w:tc>
          <w:tcPr>
            <w:tcW w:w="520" w:type="dxa"/>
            <w:vAlign w:val="bottom"/>
          </w:tcPr>
          <w:p>
            <w:pPr>
              <w:jc w:val="right"/>
              <w:spacing w:after="0"/>
              <w:rPr>
                <w:sz w:val="20"/>
                <w:szCs w:val="20"/>
                <w:color w:val="auto"/>
              </w:rPr>
            </w:pPr>
            <w:r>
              <w:rPr>
                <w:rFonts w:ascii="Arial" w:cs="Arial" w:eastAsia="Arial" w:hAnsi="Arial"/>
                <w:sz w:val="13"/>
                <w:szCs w:val="13"/>
                <w:color w:val="auto"/>
              </w:rPr>
              <w:t>22,705</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45,410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481,490</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gridSpan w:val="2"/>
          </w:tcPr>
          <w:p>
            <w:pPr>
              <w:jc w:val="right"/>
              <w:ind w:right="137"/>
              <w:spacing w:after="0"/>
              <w:rPr>
                <w:sz w:val="20"/>
                <w:szCs w:val="20"/>
                <w:color w:val="auto"/>
              </w:rPr>
            </w:pPr>
            <w:r>
              <w:rPr>
                <w:rFonts w:ascii="Arial" w:cs="Arial" w:eastAsia="Arial" w:hAnsi="Arial"/>
                <w:sz w:val="13"/>
                <w:szCs w:val="13"/>
                <w:color w:val="auto"/>
              </w:rPr>
              <w:t>41,485</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722,254</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52,387</w:t>
            </w:r>
          </w:p>
        </w:tc>
        <w:tc>
          <w:tcPr>
            <w:tcW w:w="10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17.41</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17.22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401,247</w:t>
            </w:r>
          </w:p>
        </w:tc>
        <w:tc>
          <w:tcPr>
            <w:tcW w:w="0" w:type="dxa"/>
            <w:vAlign w:val="bottom"/>
          </w:tcPr>
          <w:p>
            <w:pPr>
              <w:spacing w:after="0"/>
              <w:rPr>
                <w:sz w:val="1"/>
                <w:szCs w:val="1"/>
                <w:color w:val="auto"/>
              </w:rPr>
            </w:pPr>
          </w:p>
        </w:tc>
      </w:tr>
      <w:tr>
        <w:trPr>
          <w:trHeight w:val="27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210,000</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420,000</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840,000</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Steven L.</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Thorsen, Jr.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12,478</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24,955</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529,207</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10/19/16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45,594</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793,792</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10/19/16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57,577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17.41</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17.22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440,998</w:t>
            </w:r>
          </w:p>
        </w:tc>
        <w:tc>
          <w:tcPr>
            <w:tcW w:w="0" w:type="dxa"/>
            <w:vAlign w:val="bottom"/>
          </w:tcPr>
          <w:p>
            <w:pPr>
              <w:spacing w:after="0"/>
              <w:rPr>
                <w:sz w:val="1"/>
                <w:szCs w:val="1"/>
                <w:color w:val="auto"/>
              </w:rPr>
            </w:pPr>
          </w:p>
        </w:tc>
      </w:tr>
      <w:tr>
        <w:trPr>
          <w:trHeight w:val="286"/>
        </w:trPr>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218,250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436,500</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873,000</w:t>
            </w:r>
          </w:p>
        </w:tc>
        <w:tc>
          <w:tcPr>
            <w:tcW w:w="7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D. Mark</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ind w:left="20"/>
              <w:spacing w:after="0"/>
              <w:rPr>
                <w:sz w:val="20"/>
                <w:szCs w:val="20"/>
                <w:color w:val="auto"/>
              </w:rPr>
            </w:pPr>
            <w:r>
              <w:rPr>
                <w:rFonts w:ascii="Arial" w:cs="Arial" w:eastAsia="Arial" w:hAnsi="Arial"/>
                <w:sz w:val="13"/>
                <w:szCs w:val="13"/>
                <w:color w:val="auto"/>
              </w:rPr>
              <w:t>Durcan(7)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56,587</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113,174</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226,348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2,400,007</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gridSpan w:val="2"/>
          </w:tcPr>
          <w:p>
            <w:pPr>
              <w:jc w:val="right"/>
              <w:ind w:right="137"/>
              <w:spacing w:after="0"/>
              <w:rPr>
                <w:sz w:val="20"/>
                <w:szCs w:val="20"/>
                <w:color w:val="auto"/>
              </w:rPr>
            </w:pPr>
            <w:r>
              <w:rPr>
                <w:rFonts w:ascii="Arial" w:cs="Arial" w:eastAsia="Arial" w:hAnsi="Arial"/>
                <w:sz w:val="13"/>
                <w:szCs w:val="13"/>
                <w:color w:val="auto"/>
              </w:rPr>
              <w:t>206,778</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3,600,005</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261,121</w:t>
            </w:r>
          </w:p>
        </w:tc>
        <w:tc>
          <w:tcPr>
            <w:tcW w:w="10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17.41</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17.22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1,999,999</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7/24/17</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23,453</w:t>
            </w:r>
          </w:p>
        </w:tc>
        <w:tc>
          <w:tcPr>
            <w:tcW w:w="520" w:type="dxa"/>
            <w:vAlign w:val="bottom"/>
          </w:tcPr>
          <w:p>
            <w:pPr>
              <w:jc w:val="right"/>
              <w:spacing w:after="0"/>
              <w:rPr>
                <w:sz w:val="20"/>
                <w:szCs w:val="20"/>
                <w:color w:val="auto"/>
              </w:rPr>
            </w:pPr>
            <w:r>
              <w:rPr>
                <w:rFonts w:ascii="Arial" w:cs="Arial" w:eastAsia="Arial" w:hAnsi="Arial"/>
                <w:sz w:val="13"/>
                <w:szCs w:val="13"/>
                <w:color w:val="auto"/>
              </w:rPr>
              <w:t>46,906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93,812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1,989,280</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7/24/17</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17,583</w:t>
            </w:r>
          </w:p>
        </w:tc>
        <w:tc>
          <w:tcPr>
            <w:tcW w:w="520" w:type="dxa"/>
            <w:vAlign w:val="bottom"/>
          </w:tcPr>
          <w:p>
            <w:pPr>
              <w:jc w:val="right"/>
              <w:spacing w:after="0"/>
              <w:rPr>
                <w:sz w:val="20"/>
                <w:szCs w:val="20"/>
                <w:color w:val="auto"/>
              </w:rPr>
            </w:pPr>
            <w:r>
              <w:rPr>
                <w:rFonts w:ascii="Arial" w:cs="Arial" w:eastAsia="Arial" w:hAnsi="Arial"/>
                <w:sz w:val="13"/>
                <w:szCs w:val="13"/>
                <w:color w:val="auto"/>
              </w:rPr>
              <w:t>35,166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70,332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1,505,150</w:t>
            </w:r>
          </w:p>
        </w:tc>
        <w:tc>
          <w:tcPr>
            <w:tcW w:w="0" w:type="dxa"/>
            <w:vAlign w:val="bottom"/>
          </w:tcPr>
          <w:p>
            <w:pPr>
              <w:spacing w:after="0"/>
              <w:rPr>
                <w:sz w:val="1"/>
                <w:szCs w:val="1"/>
                <w:color w:val="auto"/>
              </w:rPr>
            </w:pPr>
          </w:p>
        </w:tc>
      </w:tr>
      <w:tr>
        <w:trPr>
          <w:trHeight w:val="27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787,500</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1,575,000</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3,000,000</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Brian M.</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Shirley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10/19/16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23,017</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46,034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92,068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976,213</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10/19/16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84,107</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1,464,303</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10/19/16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106,211</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17.41</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17.22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813,500</w:t>
            </w:r>
          </w:p>
        </w:tc>
        <w:tc>
          <w:tcPr>
            <w:tcW w:w="0" w:type="dxa"/>
            <w:vAlign w:val="bottom"/>
          </w:tcPr>
          <w:p>
            <w:pPr>
              <w:spacing w:after="0"/>
              <w:rPr>
                <w:sz w:val="1"/>
                <w:szCs w:val="1"/>
                <w:color w:val="auto"/>
              </w:rPr>
            </w:pPr>
          </w:p>
        </w:tc>
      </w:tr>
      <w:tr>
        <w:trPr>
          <w:trHeight w:val="286"/>
        </w:trPr>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315,000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630,000</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1,260,000</w:t>
            </w:r>
          </w:p>
        </w:tc>
        <w:tc>
          <w:tcPr>
            <w:tcW w:w="7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2" w:hanging="332"/>
        <w:spacing w:after="0" w:line="308" w:lineRule="auto"/>
        <w:tabs>
          <w:tab w:leader="none" w:pos="332"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estimated payouts for fiscal 2017 under the EIP. Payment of bonuses under the EIP is dependent upon meeting specified performance goals. A description of the performance milestones associated with such bonuses is included in the "Compensation Discussion and Analysis."</w:t>
      </w:r>
    </w:p>
    <w:p>
      <w:pPr>
        <w:spacing w:after="0" w:line="146"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2017 under the Amended and Restated 2004 Equity Incentive Plan (the "2004 Plan") with performance-based and market-based restrictions. Information related to the performance-based and market-based restrictions associated with these shares is contained in "Compensation Discussion and Analysis."</w:t>
      </w:r>
    </w:p>
    <w:p>
      <w:pPr>
        <w:spacing w:after="0" w:line="181"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restricted stock awarded in fiscal 2017 under the 2004 Plan with time-based restrictions. Time-based restrictions lapse in four equal installments over a four-year period from the date of the award.</w:t>
      </w:r>
    </w:p>
    <w:p>
      <w:pPr>
        <w:spacing w:after="0" w:line="170" w:lineRule="exact"/>
        <w:rPr>
          <w:rFonts w:ascii="Arial" w:cs="Arial" w:eastAsia="Arial" w:hAnsi="Arial"/>
          <w:sz w:val="18"/>
          <w:szCs w:val="18"/>
          <w:color w:val="auto"/>
        </w:rPr>
      </w:pPr>
    </w:p>
    <w:p>
      <w:pPr>
        <w:ind w:left="332" w:right="20" w:hanging="332"/>
        <w:spacing w:after="0" w:line="277"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options awarded in fiscal 2017 under the 2004 Plan. All options vest in equal installments over a four-year period and have a term of eight years.</w:t>
      </w:r>
    </w:p>
    <w:p>
      <w:pPr>
        <w:sectPr>
          <w:pgSz w:w="11900" w:h="16838" w:orient="portrait"/>
          <w:cols w:equalWidth="0" w:num="1">
            <w:col w:w="11412"/>
          </w:cols>
          <w:pgMar w:left="248"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12"/>
          </w:cols>
          <w:pgMar w:left="248" w:top="580" w:right="239" w:bottom="1440" w:gutter="0" w:footer="0" w:header="0"/>
          <w:type w:val="continuous"/>
        </w:sectPr>
      </w:pPr>
    </w:p>
    <w:bookmarkStart w:id="36" w:name="page37"/>
    <w:bookmarkEnd w:id="36"/>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w:t>
      </w:r>
    </w:p>
    <w:p>
      <w:pPr>
        <w:spacing w:after="0" w:line="170" w:lineRule="exact"/>
        <w:rPr>
          <w:rFonts w:ascii="Arial" w:cs="Arial" w:eastAsia="Arial" w:hAnsi="Arial"/>
          <w:sz w:val="18"/>
          <w:szCs w:val="18"/>
          <w:color w:val="auto"/>
        </w:rPr>
      </w:pPr>
    </w:p>
    <w:p>
      <w:pPr>
        <w:ind w:left="340" w:hanging="332"/>
        <w:spacing w:after="0" w:line="25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Assumptions used in determining the fair values of these option awards are set forth in the "Equity Plans" note to our financial statements included in our annual report on Form</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10-K for fiscal 2017. The value shown for performance-based awards is determined based on payout at the target level.</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information related to the modification of Mr. Durcan's performance unit awards approved by the Compensation Committee on July 24, 2017, see Footnote 4 to the Fiscal 2017 Summary Compensation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2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purpose of the 2004 Plan is to promote our success by linking the personal interests of our employees, officers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since March 2014, a term of eight years. For purposes of share counting, each restricted stock unit or share of restricted stock issued under the 2004 Plan reduces the number of shares available for issuance by two.</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2017, the Compensation Committee reviewed the goals established under the EIP for fiscal 2017 and certified achievement of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and Restricted Stock Unit Awards</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Vesting of Performance-based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executive officers received awards related to two different performance goals; half of the performance shares are tied to achieving a specified ROA over a three fiscal year period and the other half are tied to achieving a specified level of relative TSR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 achievement guaranteed. In the absence of at least the threshold ROA or relative TSR amount being achieved, the restrictions will not lapse and the shares will be forfeited.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Bonuses were paid to the Named Executive Officers in fiscal 2017 as a result of achievement of certain goals. See the "Components of the Executive Compensation Program" section of the "Compensation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Vesting</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Options generally vest in four equal installments over a four-year period from the grant date. Since March 2014, options granted have a term of eight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fair values of option awards were estimated as of the dates of grant using the Black-Scholes option valuation model in accordance with ASC 718. 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584" w:right="4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provides information with respect to outstanding stock options, restricted stock and restricted stock units held as of August 31, 2017, by our Named Executive Officers.</w:t>
      </w:r>
    </w:p>
    <w:p>
      <w:pPr>
        <w:spacing w:after="0" w:line="392"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Equity</w:t>
            </w: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8"/>
                <w:szCs w:val="8"/>
                <w:color w:val="auto"/>
              </w:rPr>
            </w:pPr>
          </w:p>
        </w:tc>
        <w:tc>
          <w:tcPr>
            <w:tcW w:w="96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gridSpan w:val="4"/>
            <w:vMerge w:val="restart"/>
          </w:tcPr>
          <w:p>
            <w:pPr>
              <w:jc w:val="right"/>
              <w:spacing w:after="0" w:line="149" w:lineRule="exact"/>
              <w:rPr>
                <w:sz w:val="20"/>
                <w:szCs w:val="20"/>
                <w:color w:val="auto"/>
              </w:rPr>
            </w:pPr>
            <w:r>
              <w:rPr>
                <w:rFonts w:ascii="Arial" w:cs="Arial" w:eastAsia="Arial" w:hAnsi="Arial"/>
                <w:sz w:val="14"/>
                <w:szCs w:val="14"/>
                <w:b w:val="1"/>
                <w:bCs w:val="1"/>
                <w:color w:val="auto"/>
                <w:w w:val="94"/>
              </w:rPr>
              <w:t>Number of Shares or Units of</w:t>
            </w: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0"/>
              </w:rPr>
              <w:t>Options</w:t>
            </w: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Stock That Have Not Vested</w:t>
            </w: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1"/>
              </w:rPr>
              <w:t>Shares, Units</w:t>
            </w:r>
          </w:p>
        </w:tc>
        <w:tc>
          <w:tcPr>
            <w:tcW w:w="120" w:type="dxa"/>
            <w:vAlign w:val="bottom"/>
          </w:tcPr>
          <w:p>
            <w:pPr>
              <w:spacing w:after="0"/>
              <w:rPr>
                <w:sz w:val="12"/>
                <w:szCs w:val="12"/>
                <w:color w:val="auto"/>
              </w:rPr>
            </w:pPr>
          </w:p>
        </w:tc>
        <w:tc>
          <w:tcPr>
            <w:tcW w:w="960" w:type="dxa"/>
            <w:vAlign w:val="bottom"/>
          </w:tcPr>
          <w:p>
            <w:pPr>
              <w:jc w:val="center"/>
              <w:ind w:right="48"/>
              <w:spacing w:after="0" w:line="125"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7"/>
              </w:rPr>
              <w:t>or Other</w:t>
            </w: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5"/>
              </w:rPr>
              <w:t>Exercisable</w:t>
            </w: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8"/>
              </w:rPr>
              <w:t>Unexercisable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vMerge w:val="continue"/>
          </w:tcPr>
          <w:p>
            <w:pPr>
              <w:spacing w:after="0"/>
              <w:rPr>
                <w:sz w:val="12"/>
                <w:szCs w:val="12"/>
                <w:color w:val="auto"/>
              </w:rPr>
            </w:pPr>
          </w:p>
        </w:tc>
        <w:tc>
          <w:tcPr>
            <w:tcW w:w="10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6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Vested(#)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Vested(1)($)</w:t>
            </w:r>
          </w:p>
        </w:tc>
        <w:tc>
          <w:tcPr>
            <w:tcW w:w="0" w:type="dxa"/>
            <w:vAlign w:val="bottom"/>
          </w:tcPr>
          <w:p>
            <w:pPr>
              <w:spacing w:after="0"/>
              <w:rPr>
                <w:sz w:val="1"/>
                <w:szCs w:val="1"/>
                <w:color w:val="auto"/>
              </w:rPr>
            </w:pPr>
          </w:p>
        </w:tc>
      </w:tr>
      <w:tr>
        <w:trPr>
          <w:trHeight w:val="258"/>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J. DeBoer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16.92</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375,648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294,124</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236,578</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18.18</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10/14/2023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32,748</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1,046,954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465,291</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65,280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17.41</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10/19/2024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51,694</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1,652,657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11,127</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355,730</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17,231</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550,875</w:t>
            </w:r>
          </w:p>
        </w:tc>
        <w:tc>
          <w:tcPr>
            <w:tcW w:w="0" w:type="dxa"/>
            <w:vAlign w:val="bottom"/>
          </w:tcPr>
          <w:p>
            <w:pPr>
              <w:spacing w:after="0"/>
              <w:rPr>
                <w:sz w:val="1"/>
                <w:szCs w:val="1"/>
                <w:color w:val="auto"/>
              </w:rPr>
            </w:pPr>
          </w:p>
        </w:tc>
      </w:tr>
      <w:tr>
        <w:trPr>
          <w:trHeight w:val="282"/>
        </w:trPr>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353,652</w:t>
            </w:r>
          </w:p>
        </w:tc>
        <w:tc>
          <w:tcPr>
            <w:tcW w:w="0" w:type="dxa"/>
            <w:vAlign w:val="bottom"/>
          </w:tcPr>
          <w:p>
            <w:pPr>
              <w:spacing w:after="0"/>
              <w:rPr>
                <w:sz w:val="1"/>
                <w:szCs w:val="1"/>
                <w:color w:val="auto"/>
              </w:rPr>
            </w:pPr>
          </w:p>
        </w:tc>
      </w:tr>
      <w:tr>
        <w:trPr>
          <w:trHeight w:val="258"/>
        </w:trPr>
        <w:tc>
          <w:tcPr>
            <w:tcW w:w="1340" w:type="dxa"/>
            <w:vAlign w:val="bottom"/>
          </w:tcPr>
          <w:p>
            <w:pPr>
              <w:ind w:left="20"/>
              <w:spacing w:after="0"/>
              <w:rPr>
                <w:sz w:val="20"/>
                <w:szCs w:val="20"/>
                <w:color w:val="auto"/>
              </w:rPr>
            </w:pPr>
            <w:r>
              <w:rPr>
                <w:rFonts w:ascii="Arial" w:cs="Arial" w:eastAsia="Arial" w:hAnsi="Arial"/>
                <w:sz w:val="14"/>
                <w:szCs w:val="14"/>
                <w:color w:val="auto"/>
              </w:rPr>
              <w:t>Ernest E. Maddock</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50,150</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50,150</w:t>
            </w:r>
          </w:p>
        </w:tc>
        <w:tc>
          <w:tcPr>
            <w:tcW w:w="440" w:type="dxa"/>
            <w:vAlign w:val="bottom"/>
          </w:tcPr>
          <w:p>
            <w:pPr>
              <w:ind w:left="20"/>
              <w:spacing w:after="0"/>
              <w:rPr>
                <w:sz w:val="20"/>
                <w:szCs w:val="20"/>
                <w:color w:val="auto"/>
              </w:rPr>
            </w:pPr>
            <w:r>
              <w:rPr>
                <w:rFonts w:ascii="Arial" w:cs="Arial" w:eastAsia="Arial" w:hAnsi="Arial"/>
                <w:sz w:val="14"/>
                <w:szCs w:val="14"/>
                <w:color w:val="auto"/>
              </w:rPr>
              <w:t>(16)</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27.79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6/3/2023</w:t>
            </w:r>
          </w:p>
        </w:tc>
        <w:tc>
          <w:tcPr>
            <w:tcW w:w="600" w:type="dxa"/>
            <w:vAlign w:val="bottom"/>
          </w:tcPr>
          <w:p>
            <w:pPr>
              <w:jc w:val="right"/>
              <w:spacing w:after="0"/>
              <w:rPr>
                <w:sz w:val="20"/>
                <w:szCs w:val="20"/>
                <w:color w:val="auto"/>
              </w:rPr>
            </w:pPr>
            <w:r>
              <w:rPr>
                <w:rFonts w:ascii="Arial" w:cs="Arial" w:eastAsia="Arial" w:hAnsi="Arial"/>
                <w:sz w:val="14"/>
                <w:szCs w:val="14"/>
                <w:color w:val="auto"/>
              </w:rPr>
              <w:t>16,950</w:t>
            </w:r>
          </w:p>
        </w:tc>
        <w:tc>
          <w:tcPr>
            <w:tcW w:w="360" w:type="dxa"/>
            <w:vAlign w:val="bottom"/>
          </w:tcPr>
          <w:p>
            <w:pPr>
              <w:ind w:left="4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541,892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21,452</w:t>
            </w:r>
          </w:p>
        </w:tc>
        <w:tc>
          <w:tcPr>
            <w:tcW w:w="380" w:type="dxa"/>
            <w:vAlign w:val="bottom"/>
          </w:tcPr>
          <w:p>
            <w:pPr>
              <w:ind w:left="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20,184</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60,555</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18.18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10/14/2023</w:t>
            </w:r>
          </w:p>
        </w:tc>
        <w:tc>
          <w:tcPr>
            <w:tcW w:w="600" w:type="dxa"/>
            <w:vAlign w:val="bottom"/>
          </w:tcPr>
          <w:p>
            <w:pPr>
              <w:jc w:val="right"/>
              <w:spacing w:after="0"/>
              <w:rPr>
                <w:sz w:val="20"/>
                <w:szCs w:val="20"/>
                <w:color w:val="auto"/>
              </w:rPr>
            </w:pPr>
            <w:r>
              <w:rPr>
                <w:rFonts w:ascii="Arial" w:cs="Arial" w:eastAsia="Arial" w:hAnsi="Arial"/>
                <w:sz w:val="14"/>
                <w:szCs w:val="14"/>
                <w:color w:val="auto"/>
              </w:rPr>
              <w:t>48,267</w:t>
            </w:r>
          </w:p>
        </w:tc>
        <w:tc>
          <w:tcPr>
            <w:tcW w:w="360" w:type="dxa"/>
            <w:vAlign w:val="bottom"/>
          </w:tcPr>
          <w:p>
            <w:pPr>
              <w:ind w:left="4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1,543,096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16,400</w:t>
            </w:r>
          </w:p>
        </w:tc>
        <w:tc>
          <w:tcPr>
            <w:tcW w:w="380" w:type="dxa"/>
            <w:vAlign w:val="bottom"/>
          </w:tcPr>
          <w:p>
            <w:pPr>
              <w:ind w:left="2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524,308</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2,831</w:t>
            </w:r>
          </w:p>
        </w:tc>
        <w:tc>
          <w:tcPr>
            <w:tcW w:w="440" w:type="dxa"/>
            <w:vAlign w:val="bottom"/>
          </w:tcPr>
          <w:p>
            <w:pPr>
              <w:ind w:left="20"/>
              <w:spacing w:after="0"/>
              <w:rPr>
                <w:sz w:val="20"/>
                <w:szCs w:val="20"/>
                <w:color w:val="auto"/>
              </w:rPr>
            </w:pPr>
            <w:r>
              <w:rPr>
                <w:rFonts w:ascii="Arial" w:cs="Arial" w:eastAsia="Arial" w:hAnsi="Arial"/>
                <w:sz w:val="14"/>
                <w:szCs w:val="14"/>
                <w:color w:val="auto"/>
              </w:rPr>
              <w:t>(16)</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14.66</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12/11/2023</w:t>
            </w:r>
          </w:p>
        </w:tc>
        <w:tc>
          <w:tcPr>
            <w:tcW w:w="600" w:type="dxa"/>
            <w:vAlign w:val="bottom"/>
          </w:tcPr>
          <w:p>
            <w:pPr>
              <w:jc w:val="right"/>
              <w:spacing w:after="0"/>
              <w:rPr>
                <w:sz w:val="20"/>
                <w:szCs w:val="20"/>
                <w:color w:val="auto"/>
              </w:rPr>
            </w:pPr>
            <w:r>
              <w:rPr>
                <w:rFonts w:ascii="Arial" w:cs="Arial" w:eastAsia="Arial" w:hAnsi="Arial"/>
                <w:sz w:val="14"/>
                <w:szCs w:val="14"/>
                <w:color w:val="auto"/>
              </w:rPr>
              <w:t>77,542</w:t>
            </w:r>
          </w:p>
        </w:tc>
        <w:tc>
          <w:tcPr>
            <w:tcW w:w="360" w:type="dxa"/>
            <w:vAlign w:val="bottom"/>
          </w:tcPr>
          <w:p>
            <w:pPr>
              <w:ind w:left="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2,479,018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25,847</w:t>
            </w:r>
          </w:p>
        </w:tc>
        <w:tc>
          <w:tcPr>
            <w:tcW w:w="380" w:type="dxa"/>
            <w:vAlign w:val="bottom"/>
          </w:tcPr>
          <w:p>
            <w:pPr>
              <w:ind w:left="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826,329</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97,920</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17.41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10/19/2024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16,593</w:t>
            </w:r>
          </w:p>
        </w:tc>
        <w:tc>
          <w:tcPr>
            <w:tcW w:w="380" w:type="dxa"/>
            <w:vAlign w:val="bottom"/>
          </w:tcPr>
          <w:p>
            <w:pPr>
              <w:ind w:left="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530,478</w:t>
            </w:r>
          </w:p>
        </w:tc>
        <w:tc>
          <w:tcPr>
            <w:tcW w:w="0" w:type="dxa"/>
            <w:vAlign w:val="bottom"/>
          </w:tcPr>
          <w:p>
            <w:pPr>
              <w:spacing w:after="0"/>
              <w:rPr>
                <w:sz w:val="1"/>
                <w:szCs w:val="1"/>
                <w:color w:val="auto"/>
              </w:rPr>
            </w:pPr>
          </w:p>
        </w:tc>
      </w:tr>
      <w:tr>
        <w:trPr>
          <w:trHeight w:val="264"/>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Sanjay Mehrotra</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193,539</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28.20</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5/8/2025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2,641,361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378,437</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28.20</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5/8/2025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161,551</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5,164,785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ind w:left="20"/>
              <w:spacing w:after="0"/>
              <w:rPr>
                <w:sz w:val="20"/>
                <w:szCs w:val="20"/>
                <w:color w:val="auto"/>
              </w:rPr>
            </w:pPr>
            <w:r>
              <w:rPr>
                <w:rFonts w:ascii="Arial" w:cs="Arial" w:eastAsia="Arial" w:hAnsi="Arial"/>
                <w:sz w:val="14"/>
                <w:szCs w:val="14"/>
                <w:color w:val="auto"/>
              </w:rPr>
              <w:t>Joel L. Poppen</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5.82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12/9/2017</w:t>
            </w:r>
          </w:p>
        </w:tc>
        <w:tc>
          <w:tcPr>
            <w:tcW w:w="600" w:type="dxa"/>
            <w:vAlign w:val="bottom"/>
          </w:tcPr>
          <w:p>
            <w:pPr>
              <w:jc w:val="right"/>
              <w:spacing w:after="0"/>
              <w:rPr>
                <w:sz w:val="20"/>
                <w:szCs w:val="20"/>
                <w:color w:val="auto"/>
              </w:rPr>
            </w:pPr>
            <w:r>
              <w:rPr>
                <w:rFonts w:ascii="Arial" w:cs="Arial" w:eastAsia="Arial" w:hAnsi="Arial"/>
                <w:sz w:val="14"/>
                <w:szCs w:val="14"/>
                <w:color w:val="auto"/>
              </w:rPr>
              <w:t>3,369</w:t>
            </w:r>
          </w:p>
        </w:tc>
        <w:tc>
          <w:tcPr>
            <w:tcW w:w="360" w:type="dxa"/>
            <w:vAlign w:val="bottom"/>
          </w:tcPr>
          <w:p>
            <w:pPr>
              <w:ind w:left="4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107,707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8,400</w:t>
            </w:r>
          </w:p>
        </w:tc>
        <w:tc>
          <w:tcPr>
            <w:tcW w:w="380" w:type="dxa"/>
            <w:vAlign w:val="bottom"/>
          </w:tcPr>
          <w:p>
            <w:pPr>
              <w:ind w:left="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268,548</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6.66</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12/14/2018</w:t>
            </w:r>
          </w:p>
        </w:tc>
        <w:tc>
          <w:tcPr>
            <w:tcW w:w="600" w:type="dxa"/>
            <w:vAlign w:val="bottom"/>
          </w:tcPr>
          <w:p>
            <w:pPr>
              <w:jc w:val="right"/>
              <w:spacing w:after="0"/>
              <w:rPr>
                <w:sz w:val="20"/>
                <w:szCs w:val="20"/>
                <w:color w:val="auto"/>
              </w:rPr>
            </w:pPr>
            <w:r>
              <w:rPr>
                <w:rFonts w:ascii="Arial" w:cs="Arial" w:eastAsia="Arial" w:hAnsi="Arial"/>
                <w:sz w:val="14"/>
                <w:szCs w:val="14"/>
                <w:color w:val="auto"/>
              </w:rPr>
              <w:t>3,750</w:t>
            </w:r>
          </w:p>
        </w:tc>
        <w:tc>
          <w:tcPr>
            <w:tcW w:w="360" w:type="dxa"/>
            <w:vAlign w:val="bottom"/>
          </w:tcPr>
          <w:p>
            <w:pPr>
              <w:ind w:left="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119,888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6,700</w:t>
            </w:r>
          </w:p>
        </w:tc>
        <w:tc>
          <w:tcPr>
            <w:tcW w:w="380" w:type="dxa"/>
            <w:vAlign w:val="bottom"/>
          </w:tcPr>
          <w:p>
            <w:pPr>
              <w:ind w:left="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214,199</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15,157</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5,053</w:t>
            </w:r>
          </w:p>
        </w:tc>
        <w:tc>
          <w:tcPr>
            <w:tcW w:w="440" w:type="dxa"/>
            <w:vAlign w:val="bottom"/>
          </w:tcPr>
          <w:p>
            <w:pPr>
              <w:ind w:left="20"/>
              <w:spacing w:after="0"/>
              <w:rPr>
                <w:sz w:val="20"/>
                <w:szCs w:val="20"/>
                <w:color w:val="auto"/>
              </w:rPr>
            </w:pPr>
            <w:r>
              <w:rPr>
                <w:rFonts w:ascii="Arial" w:cs="Arial" w:eastAsia="Arial" w:hAnsi="Arial"/>
                <w:sz w:val="14"/>
                <w:szCs w:val="14"/>
                <w:color w:val="auto"/>
              </w:rPr>
              <w:t>(22)</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19.29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11/19/2019</w:t>
            </w:r>
          </w:p>
        </w:tc>
        <w:tc>
          <w:tcPr>
            <w:tcW w:w="600" w:type="dxa"/>
            <w:vAlign w:val="bottom"/>
          </w:tcPr>
          <w:p>
            <w:pPr>
              <w:jc w:val="right"/>
              <w:spacing w:after="0"/>
              <w:rPr>
                <w:sz w:val="20"/>
                <w:szCs w:val="20"/>
                <w:color w:val="auto"/>
              </w:rPr>
            </w:pPr>
            <w:r>
              <w:rPr>
                <w:rFonts w:ascii="Arial" w:cs="Arial" w:eastAsia="Arial" w:hAnsi="Arial"/>
                <w:sz w:val="14"/>
                <w:szCs w:val="14"/>
                <w:color w:val="auto"/>
              </w:rPr>
              <w:t>12,550</w:t>
            </w:r>
          </w:p>
        </w:tc>
        <w:tc>
          <w:tcPr>
            <w:tcW w:w="360" w:type="dxa"/>
            <w:vAlign w:val="bottom"/>
          </w:tcPr>
          <w:p>
            <w:pPr>
              <w:ind w:left="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401,224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13,243</w:t>
            </w:r>
          </w:p>
        </w:tc>
        <w:tc>
          <w:tcPr>
            <w:tcW w:w="380" w:type="dxa"/>
            <w:vAlign w:val="bottom"/>
          </w:tcPr>
          <w:p>
            <w:pPr>
              <w:ind w:left="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423,379</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w:t>
            </w:r>
          </w:p>
        </w:tc>
        <w:tc>
          <w:tcPr>
            <w:tcW w:w="440" w:type="dxa"/>
            <w:vAlign w:val="bottom"/>
          </w:tcPr>
          <w:p>
            <w:pPr>
              <w:ind w:left="20"/>
              <w:spacing w:after="0"/>
              <w:rPr>
                <w:sz w:val="20"/>
                <w:szCs w:val="20"/>
                <w:color w:val="auto"/>
              </w:rPr>
            </w:pPr>
            <w:r>
              <w:rPr>
                <w:rFonts w:ascii="Arial" w:cs="Arial" w:eastAsia="Arial" w:hAnsi="Arial"/>
                <w:sz w:val="14"/>
                <w:szCs w:val="14"/>
                <w:color w:val="auto"/>
              </w:rPr>
              <w:t>(23)</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23.12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1/22/2020</w:t>
            </w:r>
          </w:p>
        </w:tc>
        <w:tc>
          <w:tcPr>
            <w:tcW w:w="600" w:type="dxa"/>
            <w:vAlign w:val="bottom"/>
          </w:tcPr>
          <w:p>
            <w:pPr>
              <w:jc w:val="right"/>
              <w:spacing w:after="0"/>
              <w:rPr>
                <w:sz w:val="20"/>
                <w:szCs w:val="20"/>
                <w:color w:val="auto"/>
              </w:rPr>
            </w:pPr>
            <w:r>
              <w:rPr>
                <w:rFonts w:ascii="Arial" w:cs="Arial" w:eastAsia="Arial" w:hAnsi="Arial"/>
                <w:sz w:val="14"/>
                <w:szCs w:val="14"/>
                <w:color w:val="auto"/>
              </w:rPr>
              <w:t>29,796</w:t>
            </w:r>
          </w:p>
        </w:tc>
        <w:tc>
          <w:tcPr>
            <w:tcW w:w="360" w:type="dxa"/>
            <w:vAlign w:val="bottom"/>
          </w:tcPr>
          <w:p>
            <w:pPr>
              <w:ind w:left="4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952,578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10,124</w:t>
            </w:r>
          </w:p>
        </w:tc>
        <w:tc>
          <w:tcPr>
            <w:tcW w:w="380" w:type="dxa"/>
            <w:vAlign w:val="bottom"/>
          </w:tcPr>
          <w:p>
            <w:pPr>
              <w:ind w:left="2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323,664</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15,450</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15,450</w:t>
            </w:r>
          </w:p>
        </w:tc>
        <w:tc>
          <w:tcPr>
            <w:tcW w:w="440" w:type="dxa"/>
            <w:vAlign w:val="bottom"/>
          </w:tcPr>
          <w:p>
            <w:pPr>
              <w:ind w:left="20"/>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10/20/2022</w:t>
            </w:r>
          </w:p>
        </w:tc>
        <w:tc>
          <w:tcPr>
            <w:tcW w:w="600" w:type="dxa"/>
            <w:vAlign w:val="bottom"/>
          </w:tcPr>
          <w:p>
            <w:pPr>
              <w:jc w:val="right"/>
              <w:spacing w:after="0"/>
              <w:rPr>
                <w:sz w:val="20"/>
                <w:szCs w:val="20"/>
                <w:color w:val="auto"/>
              </w:rPr>
            </w:pPr>
            <w:r>
              <w:rPr>
                <w:rFonts w:ascii="Arial" w:cs="Arial" w:eastAsia="Arial" w:hAnsi="Arial"/>
                <w:sz w:val="14"/>
                <w:szCs w:val="14"/>
                <w:color w:val="auto"/>
              </w:rPr>
              <w:t>41,485</w:t>
            </w:r>
          </w:p>
        </w:tc>
        <w:tc>
          <w:tcPr>
            <w:tcW w:w="360" w:type="dxa"/>
            <w:vAlign w:val="bottom"/>
          </w:tcPr>
          <w:p>
            <w:pPr>
              <w:ind w:left="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1,326,275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13,828</w:t>
            </w:r>
          </w:p>
        </w:tc>
        <w:tc>
          <w:tcPr>
            <w:tcW w:w="380" w:type="dxa"/>
            <w:vAlign w:val="bottom"/>
          </w:tcPr>
          <w:p>
            <w:pPr>
              <w:ind w:left="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442,081</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12,460</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37,381</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18.18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10/14/2023</w:t>
            </w: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8,877</w:t>
            </w:r>
          </w:p>
        </w:tc>
        <w:tc>
          <w:tcPr>
            <w:tcW w:w="380" w:type="dxa"/>
            <w:vAlign w:val="bottom"/>
          </w:tcPr>
          <w:p>
            <w:pPr>
              <w:ind w:left="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283,798</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52,387</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17.41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10/19/2024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Steven L. Thorsen, Jr.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44,250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294,124</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236,578</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41,084</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18.18</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10/14/2023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32,748</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1,046,954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465,291</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57,577</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17.41</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10/19/2024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45,594</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1,457,640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11,127</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355,730</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15,198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485,880</w:t>
            </w:r>
          </w:p>
        </w:tc>
        <w:tc>
          <w:tcPr>
            <w:tcW w:w="0" w:type="dxa"/>
            <w:vAlign w:val="bottom"/>
          </w:tcPr>
          <w:p>
            <w:pPr>
              <w:spacing w:after="0"/>
              <w:rPr>
                <w:sz w:val="1"/>
                <w:szCs w:val="1"/>
                <w:color w:val="auto"/>
              </w:rPr>
            </w:pPr>
          </w:p>
        </w:tc>
      </w:tr>
      <w:tr>
        <w:trPr>
          <w:trHeight w:val="282"/>
        </w:trPr>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9,757</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311,931</w:t>
            </w:r>
          </w:p>
        </w:tc>
        <w:tc>
          <w:tcPr>
            <w:tcW w:w="0" w:type="dxa"/>
            <w:vAlign w:val="bottom"/>
          </w:tcPr>
          <w:p>
            <w:pPr>
              <w:spacing w:after="0"/>
              <w:rPr>
                <w:sz w:val="1"/>
                <w:szCs w:val="1"/>
                <w:color w:val="auto"/>
              </w:rPr>
            </w:pPr>
          </w:p>
        </w:tc>
      </w:tr>
      <w:tr>
        <w:trPr>
          <w:trHeight w:val="258"/>
        </w:trPr>
        <w:tc>
          <w:tcPr>
            <w:tcW w:w="1340" w:type="dxa"/>
            <w:vAlign w:val="bottom"/>
          </w:tcPr>
          <w:p>
            <w:pPr>
              <w:ind w:left="20"/>
              <w:spacing w:after="0"/>
              <w:rPr>
                <w:sz w:val="20"/>
                <w:szCs w:val="20"/>
                <w:color w:val="auto"/>
              </w:rPr>
            </w:pPr>
            <w:r>
              <w:rPr>
                <w:rFonts w:ascii="Arial" w:cs="Arial" w:eastAsia="Arial" w:hAnsi="Arial"/>
                <w:sz w:val="14"/>
                <w:szCs w:val="14"/>
                <w:color w:val="auto"/>
              </w:rPr>
              <w:t>D. Mark Durcan(24)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677,000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600" w:type="dxa"/>
            <w:vAlign w:val="bottom"/>
          </w:tcPr>
          <w:p>
            <w:pPr>
              <w:jc w:val="right"/>
              <w:spacing w:after="0"/>
              <w:rPr>
                <w:sz w:val="20"/>
                <w:szCs w:val="20"/>
                <w:color w:val="auto"/>
              </w:rPr>
            </w:pPr>
            <w:r>
              <w:rPr>
                <w:rFonts w:ascii="Arial" w:cs="Arial" w:eastAsia="Arial" w:hAnsi="Arial"/>
                <w:sz w:val="14"/>
                <w:szCs w:val="14"/>
                <w:color w:val="auto"/>
              </w:rPr>
              <w:t>50,000</w:t>
            </w:r>
          </w:p>
        </w:tc>
        <w:tc>
          <w:tcPr>
            <w:tcW w:w="360" w:type="dxa"/>
            <w:vAlign w:val="bottom"/>
          </w:tcPr>
          <w:p>
            <w:pPr>
              <w:ind w:left="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1,598,500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41,800</w:t>
            </w:r>
          </w:p>
        </w:tc>
        <w:tc>
          <w:tcPr>
            <w:tcW w:w="380" w:type="dxa"/>
            <w:vAlign w:val="bottom"/>
          </w:tcPr>
          <w:p>
            <w:pPr>
              <w:ind w:left="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1,336,346</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755,000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600" w:type="dxa"/>
            <w:vAlign w:val="bottom"/>
          </w:tcPr>
          <w:p>
            <w:pPr>
              <w:jc w:val="right"/>
              <w:spacing w:after="0"/>
              <w:rPr>
                <w:sz w:val="20"/>
                <w:szCs w:val="20"/>
                <w:color w:val="auto"/>
              </w:rPr>
            </w:pPr>
            <w:r>
              <w:rPr>
                <w:rFonts w:ascii="Arial" w:cs="Arial" w:eastAsia="Arial" w:hAnsi="Arial"/>
                <w:sz w:val="14"/>
                <w:szCs w:val="14"/>
                <w:color w:val="auto"/>
              </w:rPr>
              <w:t>2,575</w:t>
            </w:r>
          </w:p>
        </w:tc>
        <w:tc>
          <w:tcPr>
            <w:tcW w:w="360" w:type="dxa"/>
            <w:vAlign w:val="bottom"/>
          </w:tcPr>
          <w:p>
            <w:pPr>
              <w:ind w:left="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82,323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33,500</w:t>
            </w:r>
          </w:p>
        </w:tc>
        <w:tc>
          <w:tcPr>
            <w:tcW w:w="380" w:type="dxa"/>
            <w:vAlign w:val="bottom"/>
          </w:tcPr>
          <w:p>
            <w:pPr>
              <w:ind w:left="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1,070,995</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166,500</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55,500</w:t>
            </w:r>
          </w:p>
        </w:tc>
        <w:tc>
          <w:tcPr>
            <w:tcW w:w="440" w:type="dxa"/>
            <w:vAlign w:val="bottom"/>
          </w:tcPr>
          <w:p>
            <w:pPr>
              <w:ind w:left="20"/>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600" w:type="dxa"/>
            <w:vAlign w:val="bottom"/>
          </w:tcPr>
          <w:p>
            <w:pPr>
              <w:jc w:val="right"/>
              <w:spacing w:after="0"/>
              <w:rPr>
                <w:sz w:val="20"/>
                <w:szCs w:val="20"/>
                <w:color w:val="auto"/>
              </w:rPr>
            </w:pPr>
            <w:r>
              <w:rPr>
                <w:rFonts w:ascii="Arial" w:cs="Arial" w:eastAsia="Arial" w:hAnsi="Arial"/>
                <w:sz w:val="14"/>
                <w:szCs w:val="14"/>
                <w:color w:val="auto"/>
              </w:rPr>
              <w:t>62,600</w:t>
            </w:r>
          </w:p>
        </w:tc>
        <w:tc>
          <w:tcPr>
            <w:tcW w:w="360" w:type="dxa"/>
            <w:vAlign w:val="bottom"/>
          </w:tcPr>
          <w:p>
            <w:pPr>
              <w:ind w:left="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2,001,322</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41,254</w:t>
            </w:r>
          </w:p>
        </w:tc>
        <w:tc>
          <w:tcPr>
            <w:tcW w:w="380" w:type="dxa"/>
            <w:vAlign w:val="bottom"/>
          </w:tcPr>
          <w:p>
            <w:pPr>
              <w:ind w:left="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1,318,890</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9,975</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3,325</w:t>
            </w:r>
          </w:p>
        </w:tc>
        <w:tc>
          <w:tcPr>
            <w:tcW w:w="440" w:type="dxa"/>
            <w:vAlign w:val="bottom"/>
          </w:tcPr>
          <w:p>
            <w:pPr>
              <w:ind w:left="20"/>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30.99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6/12/2022</w:t>
            </w:r>
          </w:p>
        </w:tc>
        <w:tc>
          <w:tcPr>
            <w:tcW w:w="600" w:type="dxa"/>
            <w:vAlign w:val="bottom"/>
          </w:tcPr>
          <w:p>
            <w:pPr>
              <w:jc w:val="right"/>
              <w:spacing w:after="0"/>
              <w:rPr>
                <w:sz w:val="20"/>
                <w:szCs w:val="20"/>
                <w:color w:val="auto"/>
              </w:rPr>
            </w:pPr>
            <w:r>
              <w:rPr>
                <w:rFonts w:ascii="Arial" w:cs="Arial" w:eastAsia="Arial" w:hAnsi="Arial"/>
                <w:sz w:val="14"/>
                <w:szCs w:val="14"/>
                <w:color w:val="auto"/>
              </w:rPr>
              <w:t>92,822</w:t>
            </w:r>
          </w:p>
        </w:tc>
        <w:tc>
          <w:tcPr>
            <w:tcW w:w="360" w:type="dxa"/>
            <w:vAlign w:val="bottom"/>
          </w:tcPr>
          <w:p>
            <w:pPr>
              <w:ind w:left="4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2,967,519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31,539</w:t>
            </w:r>
          </w:p>
        </w:tc>
        <w:tc>
          <w:tcPr>
            <w:tcW w:w="380" w:type="dxa"/>
            <w:vAlign w:val="bottom"/>
          </w:tcPr>
          <w:p>
            <w:pPr>
              <w:ind w:left="2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1,008,302</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77,050</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77,050</w:t>
            </w:r>
          </w:p>
        </w:tc>
        <w:tc>
          <w:tcPr>
            <w:tcW w:w="440" w:type="dxa"/>
            <w:vAlign w:val="bottom"/>
          </w:tcPr>
          <w:p>
            <w:pPr>
              <w:ind w:left="20"/>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10/20/2022</w:t>
            </w:r>
          </w:p>
        </w:tc>
        <w:tc>
          <w:tcPr>
            <w:tcW w:w="600" w:type="dxa"/>
            <w:vAlign w:val="bottom"/>
          </w:tcPr>
          <w:p>
            <w:pPr>
              <w:jc w:val="right"/>
              <w:spacing w:after="0"/>
              <w:rPr>
                <w:sz w:val="20"/>
                <w:szCs w:val="20"/>
                <w:color w:val="auto"/>
              </w:rPr>
            </w:pPr>
            <w:r>
              <w:rPr>
                <w:rFonts w:ascii="Arial" w:cs="Arial" w:eastAsia="Arial" w:hAnsi="Arial"/>
                <w:sz w:val="14"/>
                <w:szCs w:val="14"/>
                <w:color w:val="auto"/>
              </w:rPr>
              <w:t>206,778</w:t>
            </w:r>
          </w:p>
        </w:tc>
        <w:tc>
          <w:tcPr>
            <w:tcW w:w="360" w:type="dxa"/>
            <w:vAlign w:val="bottom"/>
          </w:tcPr>
          <w:p>
            <w:pPr>
              <w:ind w:left="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6,610,693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68,926</w:t>
            </w:r>
          </w:p>
        </w:tc>
        <w:tc>
          <w:tcPr>
            <w:tcW w:w="380" w:type="dxa"/>
            <w:vAlign w:val="bottom"/>
          </w:tcPr>
          <w:p>
            <w:pPr>
              <w:ind w:left="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2,203,564</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38,817</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116,451</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18.18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10/14/2023</w:t>
            </w: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44,248</w:t>
            </w:r>
          </w:p>
        </w:tc>
        <w:tc>
          <w:tcPr>
            <w:tcW w:w="380" w:type="dxa"/>
            <w:vAlign w:val="bottom"/>
          </w:tcPr>
          <w:p>
            <w:pPr>
              <w:ind w:left="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1,414,609</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261,121</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17.41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10/19/2024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M. Shirley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126,000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687,355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543,490</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25,450</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813,637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13,600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434,792</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31,300</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60,409</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1,931,276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26,848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858,331</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75,786</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18.18</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10/14/2023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84,107</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2,688,901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20,526</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656,216</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106,211</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17.41</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10/19/2024</w:t>
            </w:r>
          </w:p>
        </w:tc>
        <w:tc>
          <w:tcPr>
            <w:tcW w:w="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28,036</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896,311</w:t>
            </w:r>
          </w:p>
        </w:tc>
        <w:tc>
          <w:tcPr>
            <w:tcW w:w="0" w:type="dxa"/>
            <w:vAlign w:val="bottom"/>
          </w:tcPr>
          <w:p>
            <w:pPr>
              <w:spacing w:after="0"/>
              <w:rPr>
                <w:sz w:val="1"/>
                <w:szCs w:val="1"/>
                <w:color w:val="auto"/>
              </w:rPr>
            </w:pPr>
          </w:p>
        </w:tc>
      </w:tr>
      <w:tr>
        <w:trPr>
          <w:trHeight w:val="282"/>
        </w:trPr>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17,998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$31.97, the closing price of our Common Stock on August 31,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Options vest on October 16,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shares lapsed on October 16, 2017.</w:t>
      </w:r>
    </w:p>
    <w:p>
      <w:pPr>
        <w:sectPr>
          <w:pgSz w:w="11900" w:h="16838" w:orient="portrait"/>
          <w:cols w:equalWidth="0" w:num="1">
            <w:col w:w="11400"/>
          </w:cols>
          <w:pgMar w:left="240" w:top="580" w:right="259" w:bottom="21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580" w:right="259" w:bottom="217" w:gutter="0" w:footer="0" w:header="0"/>
          <w:type w:val="continuous"/>
        </w:sectPr>
      </w:pPr>
    </w:p>
    <w:bookmarkStart w:id="39" w:name="page40"/>
    <w:bookmarkEnd w:id="39"/>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Equal to 81% of the target number of restricted stock units awarded in fiscal 2015. Restrictions related to this award lapsed at the end of the fourth quarter of fiscal 2017 as a result of achieving the specified ROA goal. The shares were released on October 24,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in equal installments on October 20, 2017 and October 20,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20, 2017 and October 20, 2018.</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Award was forfeited on October 24, 2017, as a result of the relative TSR goal not being met at the end of the fourth quarter of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in equal installments on October 14, 2017, October 14, 2018, and October 14,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14, 2017, October 14, 2018, and October 14, 2019.</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ROA goal through the fourth quarter of fiscal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in equal installments on October 19, 2017, October 19, 2018, October 19, 2019, and October 19,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19, 2017, October 19, 2018, October 19, 2019, and October 19, 2020.</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relative TSR goal through the fourth quarter of fiscal 2018.</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ROA goal through the fourth quarter of fiscal 2019.</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relative TSR goal through the fourth quarter of fiscal 2019.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in equal installments on June 3, 2018 and June 3,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June 3, 2018 and June 3,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in equal installments on May 8, 2018, May 8, 2019, May 8, 2020, and May 8, 2021.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May 8, 2018, May 8, 2019, May 8, 2020, and May 8, 2021.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November 19,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shares lapse January 22,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on November 19,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vest on January 22, 2018.</w:t>
      </w:r>
    </w:p>
    <w:p>
      <w:pPr>
        <w:spacing w:after="0" w:line="225"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Unexercisable option and unvested share numbers reported include awards that were outstanding on August 31, 2017, but will not vest prior to August 9, 2018, the end of Mr. Durcan's transition period. All of his unvested options and service based restricted stock as of August 9, 2018, will be forfeited. The actual number of performance-based shares vested, if any, will be determined at the end of each performance period based on actual achievement of the performance condition, and prorated based on time employed during the applicable performance period. (Mr. Durcan's performance-based shares are referenced in footnotes (10), (13), (14) and (15) above.) Vested stock options for Mr. Durcan which do not expire earlier pursuant to their terms will expire if not exercised on or before September 8, 2018, which is 30 days following the end of his severance period. For more information regarding severance agreements see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OPTION EXERCISES AND STOCK VESTED IN FISCAL 2017</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2017 and the value realized.</w:t>
      </w:r>
    </w:p>
    <w:p>
      <w:pPr>
        <w:spacing w:after="0" w:line="392"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660"/>
              <w:spacing w:after="0"/>
              <w:rPr>
                <w:sz w:val="20"/>
                <w:szCs w:val="20"/>
                <w:color w:val="auto"/>
              </w:rPr>
            </w:pPr>
            <w:r>
              <w:rPr>
                <w:rFonts w:ascii="Arial" w:cs="Arial" w:eastAsia="Arial" w:hAnsi="Arial"/>
                <w:sz w:val="14"/>
                <w:szCs w:val="14"/>
                <w:b w:val="1"/>
                <w:bCs w:val="1"/>
                <w:color w:val="auto"/>
              </w:rPr>
              <w:t>Option Awards</w:t>
            </w:r>
          </w:p>
        </w:tc>
        <w:tc>
          <w:tcPr>
            <w:tcW w:w="232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on Exercise(1)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on Vesting(3)</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1,419,215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1,096,363</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24,564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535,604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34,296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789,115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3,166,071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1,096,363</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060" w:type="dxa"/>
            <w:vAlign w:val="bottom"/>
          </w:tcPr>
          <w:p>
            <w:pPr>
              <w:jc w:val="right"/>
              <w:spacing w:after="0"/>
              <w:rPr>
                <w:sz w:val="20"/>
                <w:szCs w:val="20"/>
                <w:color w:val="auto"/>
              </w:rPr>
            </w:pPr>
            <w:r>
              <w:rPr>
                <w:rFonts w:ascii="Arial" w:cs="Arial" w:eastAsia="Arial" w:hAnsi="Arial"/>
                <w:sz w:val="18"/>
                <w:szCs w:val="18"/>
                <w:color w:val="auto"/>
              </w:rPr>
              <w:t>491,000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6,444,600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246,923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5,051,096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337,250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5,090,271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2,060,000</w:t>
            </w:r>
          </w:p>
        </w:tc>
        <w:tc>
          <w:tcPr>
            <w:tcW w:w="0" w:type="dxa"/>
            <w:vAlign w:val="bottom"/>
          </w:tcPr>
          <w:p>
            <w:pPr>
              <w:spacing w:after="0"/>
              <w:rPr>
                <w:sz w:val="1"/>
                <w:szCs w:val="1"/>
                <w:color w:val="auto"/>
              </w:rPr>
            </w:pPr>
          </w:p>
        </w:tc>
      </w:tr>
      <w:tr>
        <w:trPr>
          <w:trHeight w:val="27"/>
        </w:trPr>
        <w:tc>
          <w:tcPr>
            <w:tcW w:w="4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calculated by subtracting the exercise price from the fair market value of the shares at the time of exercise multiplied by the number of options exercised.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2017 based on performance completed by the end of fiscal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NONQUALIFIED DEFERRED COMPENSATION</w:t>
      </w:r>
    </w:p>
    <w:p>
      <w:pPr>
        <w:spacing w:after="0" w:line="392"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1440" w:type="dxa"/>
            <w:vAlign w:val="bottom"/>
          </w:tcPr>
          <w:p>
            <w:pPr>
              <w:spacing w:after="0"/>
              <w:rPr>
                <w:sz w:val="17"/>
                <w:szCs w:val="17"/>
                <w:color w:val="auto"/>
              </w:rPr>
            </w:pPr>
          </w:p>
        </w:tc>
        <w:tc>
          <w:tcPr>
            <w:tcW w:w="2120" w:type="dxa"/>
            <w:vAlign w:val="bottom"/>
          </w:tcPr>
          <w:p>
            <w:pPr>
              <w:jc w:val="center"/>
              <w:ind w:left="799"/>
              <w:spacing w:after="0"/>
              <w:rPr>
                <w:sz w:val="20"/>
                <w:szCs w:val="20"/>
                <w:color w:val="auto"/>
              </w:rPr>
            </w:pPr>
            <w:r>
              <w:rPr>
                <w:rFonts w:ascii="Arial" w:cs="Arial" w:eastAsia="Arial" w:hAnsi="Arial"/>
                <w:sz w:val="16"/>
                <w:szCs w:val="16"/>
                <w:b w:val="1"/>
                <w:bCs w:val="1"/>
                <w:color w:val="auto"/>
                <w:w w:val="90"/>
              </w:rPr>
              <w:t>Executive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Registrant</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2080" w:type="dxa"/>
            <w:vAlign w:val="bottom"/>
          </w:tcPr>
          <w:p>
            <w:pPr>
              <w:spacing w:after="0"/>
              <w:rPr>
                <w:sz w:val="17"/>
                <w:szCs w:val="17"/>
                <w:color w:val="auto"/>
              </w:rPr>
            </w:pP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Balance at</w:t>
            </w:r>
          </w:p>
        </w:tc>
      </w:tr>
      <w:tr>
        <w:trPr>
          <w:trHeight w:val="203"/>
        </w:trPr>
        <w:tc>
          <w:tcPr>
            <w:tcW w:w="1440" w:type="dxa"/>
            <w:vAlign w:val="bottom"/>
          </w:tcPr>
          <w:p>
            <w:pPr>
              <w:spacing w:after="0"/>
              <w:rPr>
                <w:sz w:val="17"/>
                <w:szCs w:val="17"/>
                <w:color w:val="auto"/>
              </w:rPr>
            </w:pPr>
          </w:p>
        </w:tc>
        <w:tc>
          <w:tcPr>
            <w:tcW w:w="212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Contributions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Contributions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Earnings in</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auto"/>
                <w:w w:val="89"/>
              </w:rPr>
              <w:t>Last Fiscal</w:t>
            </w:r>
          </w:p>
        </w:tc>
      </w:tr>
      <w:tr>
        <w:trPr>
          <w:trHeight w:val="203"/>
        </w:trPr>
        <w:tc>
          <w:tcPr>
            <w:tcW w:w="1440" w:type="dxa"/>
            <w:vAlign w:val="bottom"/>
          </w:tcPr>
          <w:p>
            <w:pPr>
              <w:spacing w:after="0"/>
              <w:rPr>
                <w:sz w:val="17"/>
                <w:szCs w:val="17"/>
                <w:color w:val="auto"/>
              </w:rPr>
            </w:pPr>
          </w:p>
        </w:tc>
        <w:tc>
          <w:tcPr>
            <w:tcW w:w="2120" w:type="dxa"/>
            <w:vAlign w:val="bottom"/>
          </w:tcPr>
          <w:p>
            <w:pPr>
              <w:jc w:val="center"/>
              <w:ind w:left="799"/>
              <w:spacing w:after="0"/>
              <w:rPr>
                <w:sz w:val="20"/>
                <w:szCs w:val="20"/>
                <w:color w:val="auto"/>
              </w:rPr>
            </w:pPr>
            <w:r>
              <w:rPr>
                <w:rFonts w:ascii="Arial" w:cs="Arial" w:eastAsia="Arial" w:hAnsi="Arial"/>
                <w:sz w:val="16"/>
                <w:szCs w:val="16"/>
                <w:b w:val="1"/>
                <w:bCs w:val="1"/>
                <w:color w:val="auto"/>
                <w:w w:val="90"/>
              </w:rPr>
              <w:t>in Last Fiscal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in Last Fiscal</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Last Fiscal</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4"/>
              </w:rPr>
              <w:t>Withdrawals/Distributions</w:t>
            </w: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auto"/>
                <w:w w:val="95"/>
              </w:rPr>
              <w:t>Year-End ($)</w:t>
            </w:r>
          </w:p>
        </w:tc>
      </w:tr>
      <w:tr>
        <w:trPr>
          <w:trHeight w:val="210"/>
        </w:trPr>
        <w:tc>
          <w:tcPr>
            <w:tcW w:w="14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120" w:type="dxa"/>
            <w:vAlign w:val="bottom"/>
          </w:tcPr>
          <w:p>
            <w:pPr>
              <w:jc w:val="center"/>
              <w:ind w:left="799"/>
              <w:spacing w:after="0"/>
              <w:rPr>
                <w:sz w:val="20"/>
                <w:szCs w:val="20"/>
                <w:color w:val="auto"/>
              </w:rPr>
            </w:pPr>
            <w:r>
              <w:rPr>
                <w:rFonts w:ascii="Arial" w:cs="Arial" w:eastAsia="Arial" w:hAnsi="Arial"/>
                <w:sz w:val="16"/>
                <w:szCs w:val="16"/>
                <w:b w:val="1"/>
                <w:bCs w:val="1"/>
                <w:color w:val="auto"/>
                <w:w w:val="97"/>
              </w:rPr>
              <w:t>Year ($)(1)</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5"/>
              </w:rPr>
              <w:t>Year ($)</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Year ($)</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(2)</w:t>
            </w:r>
          </w:p>
        </w:tc>
      </w:tr>
    </w:tbl>
    <w:p>
      <w:pPr>
        <w:spacing w:after="0" w:line="33"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4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320" w:type="dxa"/>
            <w:vAlign w:val="bottom"/>
          </w:tcPr>
          <w:p>
            <w:pPr>
              <w:spacing w:after="0"/>
              <w:rPr>
                <w:sz w:val="21"/>
                <w:szCs w:val="21"/>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108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448,352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449,422</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Joel L. Poppen</w:t>
            </w:r>
          </w:p>
        </w:tc>
        <w:tc>
          <w:tcPr>
            <w:tcW w:w="320" w:type="dxa"/>
            <w:vAlign w:val="bottom"/>
          </w:tcPr>
          <w:p>
            <w:pPr>
              <w:spacing w:after="0"/>
              <w:rPr>
                <w:sz w:val="21"/>
                <w:szCs w:val="21"/>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108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320" w:type="dxa"/>
            <w:vAlign w:val="bottom"/>
          </w:tcPr>
          <w:p>
            <w:pPr>
              <w:spacing w:after="0"/>
              <w:rPr>
                <w:sz w:val="21"/>
                <w:szCs w:val="21"/>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108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3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
        </w:trPr>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20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$92,308 included in the Summary Compensation table in the "Salary" column for fiscal 2017 and $356,044 in the "Non-Equity Incentive Plan" column for fiscal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introduced the Deferred Compensation Plan in fiscal 2017 and the balance only represents contributions and earnings for fiscal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Terms of Deferred Compensation Plan</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On October 19, 2016, the Compensation Committee adopted the Micron Technology, Inc. Deferred Compensation Plan (the "Deferred Compensation Plan"), effective as of March 1, 2017. 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0" w:right="239" w:bottom="1440" w:gutter="0" w:footer="0" w:header="0"/>
          <w:type w:val="continuous"/>
        </w:sectPr>
      </w:pPr>
    </w:p>
    <w:bookmarkStart w:id="41" w:name="page42"/>
    <w:bookmarkEnd w:id="41"/>
    <w:p>
      <w:pPr>
        <w:spacing w:after="0" w:line="270" w:lineRule="auto"/>
        <w:rPr>
          <w:sz w:val="20"/>
          <w:szCs w:val="20"/>
          <w:color w:val="auto"/>
        </w:rPr>
      </w:pPr>
      <w:r>
        <w:rPr>
          <w:rFonts w:ascii="Arial" w:cs="Arial" w:eastAsia="Arial" w:hAnsi="Arial"/>
          <w:sz w:val="17"/>
          <w:szCs w:val="17"/>
          <w:color w:val="auto"/>
        </w:rPr>
        <w:t>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Compensation deferred under the Deferred Compensation Plan represents an unsecured obligation of the Company. Amounts deferred under the Deferred Compensation Plan are expected to be held in a separate rabbi trust established to pay Plan benefits.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following tables quantify the estimated payments and benefits for each of the Named Executive Officers pursuant to the Executive Agreement and NEO Severance Agreements and in the event of a change of control as described in the "Severance and Change in Control Arrangements" section of the "Compensation Discussion and Analysis." The amounts listed for the currently-employed Named Executive Officers are estimated amounts that were calculated as if a change in control occurred on August 31, 2017, or the Named Executive Officers separated from service on August 31, 2017, the last day of fiscal 2017. The amounts listed for Mr. Durcan are based upon his separation from service on August 9,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Agreement and NEO Severance Agreements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(or, in the case of Mr. Mehrotra, in a lump sum if his termination occurs within 12 months following a change in control) subject to the possibility of a six-month delay that may be required by Section 409A of the Code ("Section 409A").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also would receive a bonus of two times his target annual bonus under the EIP for the year of termination paid on the anniversary of his termination.</w:t>
      </w:r>
    </w:p>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with the exception of Mr. Mehrotra, who would receive two times the monthly amount.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If Section 409A imposes a six-month delay, the payment would be made to the Named Executive Officer on the first day of the seventh month following the officer's separation from service.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42" w:name="page43"/>
    <w:bookmarkEnd w:id="42"/>
    <w:tbl>
      <w:tblPr>
        <w:tblLayout w:type="fixed"/>
        <w:tblInd w:w="112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Value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of Options</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 of</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Value of</w:t>
            </w:r>
          </w:p>
        </w:tc>
        <w:tc>
          <w:tcPr>
            <w:tcW w:w="10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Exercisable</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Extended</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Unearned</w:t>
            </w:r>
          </w:p>
        </w:tc>
        <w:tc>
          <w:tcPr>
            <w:tcW w:w="10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Cash in Lieu</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During the</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Restricted</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Performance</w:t>
            </w:r>
          </w:p>
        </w:tc>
        <w:tc>
          <w:tcPr>
            <w:tcW w:w="10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of Benefits</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Transition</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Stock</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-Based Stock</w:t>
            </w:r>
          </w:p>
        </w:tc>
        <w:tc>
          <w:tcPr>
            <w:tcW w:w="1000" w:type="dxa"/>
            <w:vAlign w:val="bottom"/>
          </w:tcPr>
          <w:p>
            <w:pPr>
              <w:spacing w:after="0"/>
              <w:rPr>
                <w:sz w:val="17"/>
                <w:szCs w:val="17"/>
                <w:color w:val="auto"/>
              </w:rPr>
            </w:pPr>
          </w:p>
        </w:tc>
      </w:tr>
      <w:tr>
        <w:trPr>
          <w:trHeight w:val="210"/>
        </w:trPr>
        <w:tc>
          <w:tcPr>
            <w:tcW w:w="20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Salary(1)</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Bonus(2)</w:t>
            </w: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Payment(3)</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Period(4)</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Vesting(5)</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Awards(6)</w:t>
            </w: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470,000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752,000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1,550,277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$ 1,358,373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238,240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4,447,519</w:t>
            </w:r>
          </w:p>
        </w:tc>
      </w:tr>
      <w:tr>
        <w:trPr>
          <w:trHeight w:val="243"/>
        </w:trPr>
        <w:tc>
          <w:tcPr>
            <w:tcW w:w="2020" w:type="dxa"/>
            <w:vAlign w:val="bottom"/>
            <w:gridSpan w:val="2"/>
          </w:tcPr>
          <w:p>
            <w:pPr>
              <w:ind w:left="40"/>
              <w:spacing w:after="0"/>
              <w:rPr>
                <w:sz w:val="20"/>
                <w:szCs w:val="20"/>
                <w:color w:val="auto"/>
              </w:rPr>
            </w:pPr>
            <w:r>
              <w:rPr>
                <w:rFonts w:ascii="Arial" w:cs="Arial" w:eastAsia="Arial" w:hAnsi="Arial"/>
                <w:sz w:val="18"/>
                <w:szCs w:val="18"/>
                <w:color w:val="auto"/>
              </w:rPr>
              <w:t>Ernest E. Maddock</w:t>
            </w:r>
          </w:p>
        </w:tc>
        <w:tc>
          <w:tcPr>
            <w:tcW w:w="840" w:type="dxa"/>
            <w:vAlign w:val="bottom"/>
          </w:tcPr>
          <w:p>
            <w:pPr>
              <w:jc w:val="right"/>
              <w:spacing w:after="0"/>
              <w:rPr>
                <w:sz w:val="20"/>
                <w:szCs w:val="20"/>
                <w:color w:val="auto"/>
              </w:rPr>
            </w:pPr>
            <w:r>
              <w:rPr>
                <w:rFonts w:ascii="Arial" w:cs="Arial" w:eastAsia="Arial" w:hAnsi="Arial"/>
                <w:sz w:val="16"/>
                <w:szCs w:val="16"/>
                <w:color w:val="auto"/>
              </w:rPr>
              <w:t>620,000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57,654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1,642,301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1,405,050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4,965,005</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Sanjay Mehrotra(7)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7,147,253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187,494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1,090,572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1,951,513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12,776,832</w:t>
            </w:r>
          </w:p>
        </w:tc>
      </w:tr>
      <w:tr>
        <w:trPr>
          <w:trHeight w:val="243"/>
        </w:trPr>
        <w:tc>
          <w:tcPr>
            <w:tcW w:w="2020" w:type="dxa"/>
            <w:vAlign w:val="bottom"/>
            <w:gridSpan w:val="2"/>
          </w:tcPr>
          <w:p>
            <w:pPr>
              <w:ind w:left="40"/>
              <w:spacing w:after="0"/>
              <w:rPr>
                <w:sz w:val="20"/>
                <w:szCs w:val="20"/>
                <w:color w:val="auto"/>
              </w:rPr>
            </w:pPr>
            <w:r>
              <w:rPr>
                <w:rFonts w:ascii="Arial" w:cs="Arial" w:eastAsia="Arial" w:hAnsi="Arial"/>
                <w:sz w:val="18"/>
                <w:szCs w:val="18"/>
                <w:color w:val="auto"/>
              </w:rPr>
              <w:t>Joel L. Poppen</w:t>
            </w:r>
          </w:p>
        </w:tc>
        <w:tc>
          <w:tcPr>
            <w:tcW w:w="840" w:type="dxa"/>
            <w:vAlign w:val="bottom"/>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58,045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4,612,638</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1,077,293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217,524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7,330,500</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1,755,958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238,240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4,710,070</w:t>
            </w:r>
          </w:p>
        </w:tc>
      </w:tr>
      <w:tr>
        <w:trPr>
          <w:trHeight w:val="243"/>
        </w:trPr>
        <w:tc>
          <w:tcPr>
            <w:tcW w:w="20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840" w:type="dxa"/>
            <w:vAlign w:val="bottom"/>
          </w:tcPr>
          <w:p>
            <w:pPr>
              <w:jc w:val="right"/>
              <w:spacing w:after="0"/>
              <w:rPr>
                <w:sz w:val="20"/>
                <w:szCs w:val="20"/>
                <w:color w:val="auto"/>
              </w:rPr>
            </w:pPr>
            <w:r>
              <w:rPr>
                <w:rFonts w:ascii="Arial" w:cs="Arial" w:eastAsia="Arial" w:hAnsi="Arial"/>
                <w:sz w:val="16"/>
                <w:szCs w:val="16"/>
                <w:color w:val="auto"/>
              </w:rPr>
              <w:t>1,050,000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106,384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40,891,644</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4,758,827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3,313,279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53,120,134</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630,000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5,266,860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440,227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10,060,933</w:t>
            </w:r>
          </w:p>
        </w:tc>
      </w:tr>
      <w:tr>
        <w:trPr>
          <w:trHeight w:val="27"/>
        </w:trPr>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August 31, 2017, exclusive of any temporary pay reductions, except for Mr. Mehrotra, which represents two years of salary as of August 31, 2017, and for Mr. Durcan, which represents one year of salary as of August 9, 2017, the date of his separation from service.</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2017, except for Mr. Mehrotra, which also includes two times his target annual bonus, subject to the maximum award limit imposed by the EIP.</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The amount listed includes a gross-up calculation for the tax impact of the payment.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total value of stock options that are exercisable as of August 31, 2017, and that are expected to vest during the Named Executive Officer's Transition Period. The fair value of each option award is estimated as of August 31, 2017, (August 9, 2017, for Mr. Durcan)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on August 31, 2017 (August 9, 2017 for Mr. Durcan).</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$31.97, our closing stock price on August 31, 2017 (for Mr. Durcan, $28.58, our closing stock price on August 9, 2017).</w:t>
      </w:r>
    </w:p>
    <w:p>
      <w:pPr>
        <w:spacing w:after="0" w:line="181"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performance-based and market-based stock awards have a measurement period of 3 years over which performance is assessed in order to vest in the awards. Except for Mr. Durcan, the amount shown is calculated as the number of such shares granted in fiscal 2015 that actually vested for the Named Executive Officer's Transition Period multiplied by $31.97, our closing stock price on August 31, 2017. The restrictions for awards granted in fiscal 2016 and fiscal 2017 would not have lapsed during the Named Executive Officer's Transition Period. Accordingly, no amount is assumed in the table above except for Mr. Durcan as his awards were modified. For Mr. Durcan, the amount shown is calculated as the total number of such shares granted in fiscal 2015 that actually vested and shares granted in fiscal 2016 and 2017 that were modified in fiscal 2017, that would have been achieved at the target level multiplied by $28.58, our closing stock price on August 9, 2017.</w:t>
      </w:r>
    </w:p>
    <w:p>
      <w:pPr>
        <w:spacing w:after="0" w:line="177"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estimated payments and benefits reflected in this table for Mr. Mehrotra are payable only if his employment with the Company terminates as a result of his death or disability, the Company terminates his employment without cause, or he resigns for good reason.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do not have change in control agreements with our Named Executive Officers. However, our equity plans, grant agreements, and EIP have change in control provisions. A change in control is generally defined as a change in the majority of the members of the Board of Directors within a specified time period or the acquisition of 35% or more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7" w:right="239" w:bottom="1440" w:gutter="0" w:footer="0" w:header="0"/>
        </w:sectPr>
      </w:pPr>
    </w:p>
    <w:bookmarkStart w:id="43" w:name="page44"/>
    <w:bookmarkEnd w:id="43"/>
    <w:p>
      <w:pPr>
        <w:ind w:right="40" w:firstLine="324"/>
        <w:spacing w:after="0" w:line="254" w:lineRule="auto"/>
        <w:rPr>
          <w:sz w:val="20"/>
          <w:szCs w:val="20"/>
          <w:color w:val="auto"/>
        </w:rPr>
      </w:pPr>
      <w:r>
        <w:rPr>
          <w:rFonts w:ascii="Arial" w:cs="Arial" w:eastAsia="Arial" w:hAnsi="Arial"/>
          <w:sz w:val="18"/>
          <w:szCs w:val="18"/>
          <w:color w:val="auto"/>
        </w:rPr>
        <w:t>In August 2016, the Compensation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Time-based awards granted prior to August 25, 2016, become fully vested or the applicable restrictions lapse upon a change in control. Performance-based awards granted prior to August 25, 2016, are treated as if all required performance goals were satisfied and are paid within 30 days on a pro-rata basis based on the amount of the performance period completed as of the date of the change in control.</w:t>
      </w:r>
    </w:p>
    <w:p>
      <w:pPr>
        <w:spacing w:after="0" w:line="19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compensation that executive officers could receive if a change of control occurs is intended to enable them to objectively evaluate whether a potential change in control is in the best interest of us and our shareholders.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equity awards, the impact of a change in control differs for outstanding time-based and performance-based awards. Outstanding time-based awards would automatically become fully vested or the applicable restrictions would lapse upon occurrence of the single- or double-trigger event (depending on when the award was granted). Upon the occurrence of a double-trigger, outstanding performance-based awards are treated as if all required performance goals were satisfied at the target level on the date of the change in control and are vested or have their restrictions lapse on a pro-rata basis based on the amount of the performance period completed as of the date of the change in control.</w:t>
      </w:r>
    </w:p>
    <w:p>
      <w:pPr>
        <w:spacing w:after="0" w:line="18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sets forth the estimated benefits payable to the continuing Named Executive Officers pursuant to the various change in control provisions, assuming a change in control occurred on August 31, 2017.</w:t>
      </w:r>
    </w:p>
    <w:p>
      <w:pPr>
        <w:spacing w:after="0" w:line="329"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c>
          <w:tcPr>
            <w:tcW w:w="10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tcPr>
          <w:p>
            <w:pPr>
              <w:spacing w:after="0"/>
              <w:rPr>
                <w:sz w:val="18"/>
                <w:szCs w:val="18"/>
                <w:color w:val="auto"/>
              </w:rPr>
            </w:pPr>
          </w:p>
        </w:tc>
      </w:tr>
      <w:tr>
        <w:trPr>
          <w:trHeight w:val="234"/>
        </w:trPr>
        <w:tc>
          <w:tcPr>
            <w:tcW w:w="45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Bonus(1)</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Options(2)</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Awards(3)</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2,480,477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4,896,003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8,128,480</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Ernest E. Maddock</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1,240,000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3,056,369</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5,823,026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10,119,395</w:t>
            </w: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Sanjay Mehrotra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1,147,253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2,156,350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7,806,147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11,109,750</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Joel L. Poppen</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840,000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5,339,859</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4,130,407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10,310,266</w:t>
            </w: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2,590,309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4,665,414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8,128,723</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1,260,000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6,858,130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8,599,717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16,717,847</w:t>
            </w:r>
          </w:p>
        </w:tc>
      </w:tr>
    </w:tbl>
    <w:p>
      <w:pPr>
        <w:spacing w:after="0" w:line="22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2017.</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outstanding options are time-based equity awards and would have fully vested on August 31, 2017. Amount shown is calculated as the excess of $31.97, the closing price of our stock on August 31, 2017, over the accelerated options' exercise price.</w:t>
      </w:r>
    </w:p>
    <w:p>
      <w:pPr>
        <w:spacing w:after="0" w:line="170"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outstanding time-based restricted stock awards would have fully vested on August 31, 2017. The fiscal 2016 and 2017 performance-based restricted stock awards have a performance period of three years and two-thirds and one-third of the awards would have vested on August 31, 2017, respectively. Amount shown is calculated as the number of shares on which restrictions would lapse multiplied by $31.97, our closing stock price on August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August 31, 2017, regarding shares of Common Stock that may be issued pursuant to our equity compensation plans:</w:t>
      </w:r>
    </w:p>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(a)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(b) Weighted</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Securities To Be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 Number of Securities</w:t>
            </w:r>
          </w:p>
        </w:tc>
      </w:t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Issued Upon</w:t>
            </w:r>
          </w:p>
        </w:tc>
        <w:tc>
          <w:tcPr>
            <w:tcW w:w="1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Exercise Price</w:t>
            </w: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Remaining Available for</w:t>
            </w:r>
          </w:p>
        </w:tc>
      </w:t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c>
          <w:tcPr>
            <w:tcW w:w="1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of Outstanding</w:t>
            </w: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Future Issuance Under</w:t>
            </w:r>
          </w:p>
        </w:tc>
      </w:t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Options,</w:t>
            </w: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Equity Compensation</w:t>
            </w:r>
          </w:p>
        </w:tc>
      </w:t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Warrants</w:t>
            </w:r>
          </w:p>
        </w:tc>
        <w:tc>
          <w:tcPr>
            <w:tcW w:w="1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Warrants and</w:t>
            </w: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Plans (Excluding Securities</w:t>
            </w:r>
          </w:p>
        </w:tc>
      </w:tr>
      <w:tr>
        <w:trPr>
          <w:trHeight w:val="210"/>
        </w:trPr>
        <w:tc>
          <w:tcPr>
            <w:tcW w:w="43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and Rights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Rights(1)</w:t>
            </w: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Reflected in Column (a))</w:t>
            </w:r>
          </w:p>
        </w:tc>
      </w:tr>
      <w:tr>
        <w:trPr>
          <w:trHeight w:val="33"/>
        </w:trPr>
        <w:tc>
          <w:tcPr>
            <w:tcW w:w="4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Shareholders(2)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37,504,040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97,494,631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w w:val="98"/>
              </w:rPr>
              <w:t>Equity Compensation Plans Not Approved by Shareholders(4)</w:t>
            </w:r>
          </w:p>
        </w:tc>
        <w:tc>
          <w:tcPr>
            <w:tcW w:w="1460" w:type="dxa"/>
            <w:vAlign w:val="bottom"/>
          </w:tcPr>
          <w:p>
            <w:pPr>
              <w:jc w:val="right"/>
              <w:spacing w:after="0"/>
              <w:rPr>
                <w:sz w:val="20"/>
                <w:szCs w:val="20"/>
                <w:color w:val="auto"/>
              </w:rPr>
            </w:pPr>
            <w:r>
              <w:rPr>
                <w:rFonts w:ascii="Arial" w:cs="Arial" w:eastAsia="Arial" w:hAnsi="Arial"/>
                <w:sz w:val="16"/>
                <w:szCs w:val="16"/>
                <w:color w:val="auto"/>
              </w:rPr>
              <w:t>12,536,094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3,209,654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4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Totals(6)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50,040,134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100,704,285</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225"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Equity Incentive Plan (the "2007 Plan") and an equity incentive plan we acquired as part of our 2010 acquisition of Numonyx B.V. (the "Numonyx Plan"). The 2004 Plan and the 2007 Plan provide for a maximum term for options and SARs of eight years, while the Numonyx Plan provides for a maximum option term of ten years. The 2004 Plan,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Plans permit granting options and full-value awards. If issuing full-value awards, the number of available shares is 50,374,533.</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Nonstatutory Stock Option Plan (the "NSOP"). Options granted under the aforementioned plan have terms ranging from six to ten years. The exercise price and the vesting schedule of the options granted under this plan are determined by the administrators of the plans or our Board of Directors. Executive officers and directors do not participate in the aforementioned plans.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388" w:lineRule="exact"/>
        <w:rPr>
          <w:sz w:val="20"/>
          <w:szCs w:val="20"/>
          <w:color w:val="auto"/>
        </w:rPr>
      </w:pPr>
    </w:p>
    <w:tbl>
      <w:tblPr>
        <w:tblLayout w:type="fixed"/>
        <w:tblInd w:w="248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left="279"/>
              <w:spacing w:after="0"/>
              <w:rPr>
                <w:sz w:val="20"/>
                <w:szCs w:val="20"/>
                <w:color w:val="auto"/>
              </w:rPr>
            </w:pPr>
            <w:r>
              <w:rPr>
                <w:rFonts w:ascii="Arial" w:cs="Arial" w:eastAsia="Arial" w:hAnsi="Arial"/>
                <w:sz w:val="16"/>
                <w:szCs w:val="16"/>
                <w:b w:val="1"/>
                <w:bCs w:val="1"/>
                <w:color w:val="auto"/>
              </w:rPr>
              <w:t>(a)</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r>
      <w:tr>
        <w:trPr>
          <w:trHeight w:val="203"/>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Number of Securities To</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w:t>
            </w:r>
          </w:p>
        </w:tc>
      </w:tr>
      <w:tr>
        <w:trPr>
          <w:trHeight w:val="203"/>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Be Issued Upon Exercise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9"/>
              </w:rPr>
              <w:t>Available for Issuance</w:t>
            </w:r>
          </w:p>
        </w:tc>
      </w:tr>
      <w:tr>
        <w:trPr>
          <w:trHeight w:val="203"/>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of Outstanding Options,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(Excluding Securities</w:t>
            </w:r>
          </w:p>
        </w:tc>
      </w:tr>
      <w:tr>
        <w:trPr>
          <w:trHeight w:val="210"/>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Equity Plan</w:t>
            </w:r>
          </w:p>
        </w:tc>
        <w:tc>
          <w:tcPr>
            <w:tcW w:w="1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Warrants and Rights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2"/>
              </w:rPr>
              <w:t>Reflected in Column (a))</w:t>
            </w:r>
          </w:p>
        </w:tc>
      </w:tr>
      <w:tr>
        <w:trPr>
          <w:trHeight w:val="33"/>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Plans Approved by Shareholders</w:t>
            </w:r>
          </w:p>
        </w:tc>
        <w:tc>
          <w:tcPr>
            <w:tcW w:w="1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gridSpan w:val="2"/>
          </w:tcPr>
          <w:p>
            <w:pPr>
              <w:ind w:left="160"/>
              <w:spacing w:after="0"/>
              <w:rPr>
                <w:sz w:val="20"/>
                <w:szCs w:val="20"/>
                <w:color w:val="auto"/>
              </w:rPr>
            </w:pPr>
            <w:r>
              <w:rPr>
                <w:rFonts w:ascii="Arial" w:cs="Arial" w:eastAsia="Arial" w:hAnsi="Arial"/>
                <w:sz w:val="16"/>
                <w:szCs w:val="16"/>
                <w:color w:val="auto"/>
              </w:rPr>
              <w:t>2004 Plan</w:t>
            </w:r>
          </w:p>
        </w:tc>
        <w:tc>
          <w:tcPr>
            <w:tcW w:w="1520" w:type="dxa"/>
            <w:vAlign w:val="bottom"/>
          </w:tcPr>
          <w:p>
            <w:pPr>
              <w:jc w:val="right"/>
              <w:spacing w:after="0"/>
              <w:rPr>
                <w:sz w:val="20"/>
                <w:szCs w:val="20"/>
                <w:color w:val="auto"/>
              </w:rPr>
            </w:pPr>
            <w:r>
              <w:rPr>
                <w:rFonts w:ascii="Arial" w:cs="Arial" w:eastAsia="Arial" w:hAnsi="Arial"/>
                <w:sz w:val="16"/>
                <w:szCs w:val="16"/>
                <w:color w:val="auto"/>
              </w:rPr>
              <w:t>12,514,293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w w:val="91"/>
              </w:rPr>
              <w:t>(1)</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23,681,033</w:t>
            </w: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2007 Plan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24,795,519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1"/>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70,559,162</w:t>
            </w:r>
          </w:p>
        </w:tc>
      </w:tr>
      <w:tr>
        <w:trPr>
          <w:trHeight w:val="237"/>
        </w:trPr>
        <w:tc>
          <w:tcPr>
            <w:tcW w:w="2620" w:type="dxa"/>
            <w:vAlign w:val="bottom"/>
            <w:gridSpan w:val="2"/>
          </w:tcPr>
          <w:p>
            <w:pPr>
              <w:ind w:left="160"/>
              <w:spacing w:after="0"/>
              <w:rPr>
                <w:sz w:val="20"/>
                <w:szCs w:val="20"/>
                <w:color w:val="auto"/>
              </w:rPr>
            </w:pPr>
            <w:r>
              <w:rPr>
                <w:rFonts w:ascii="Arial" w:cs="Arial" w:eastAsia="Arial" w:hAnsi="Arial"/>
                <w:sz w:val="16"/>
                <w:szCs w:val="16"/>
                <w:color w:val="auto"/>
              </w:rPr>
              <w:t>Numonyx Plan</w:t>
            </w:r>
          </w:p>
        </w:tc>
        <w:tc>
          <w:tcPr>
            <w:tcW w:w="1520" w:type="dxa"/>
            <w:vAlign w:val="bottom"/>
          </w:tcPr>
          <w:p>
            <w:pPr>
              <w:jc w:val="right"/>
              <w:spacing w:after="0"/>
              <w:rPr>
                <w:sz w:val="20"/>
                <w:szCs w:val="20"/>
                <w:color w:val="auto"/>
              </w:rPr>
            </w:pPr>
            <w:r>
              <w:rPr>
                <w:rFonts w:ascii="Arial" w:cs="Arial" w:eastAsia="Arial" w:hAnsi="Arial"/>
                <w:sz w:val="16"/>
                <w:szCs w:val="16"/>
                <w:color w:val="auto"/>
              </w:rPr>
              <w:t>194,228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3,254,436</w:t>
            </w:r>
          </w:p>
        </w:tc>
      </w:tr>
      <w:tr>
        <w:trPr>
          <w:trHeight w:val="33"/>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Approved Plan 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37,504,040</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97,494,631</w:t>
            </w:r>
          </w:p>
        </w:tc>
      </w:tr>
      <w:tr>
        <w:trPr>
          <w:trHeight w:val="264"/>
        </w:trPr>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Borders>
              <w:top w:val="single" w:sz="8" w:color="auto"/>
            </w:tcBorders>
          </w:tcPr>
          <w:p>
            <w:pPr>
              <w:spacing w:after="0"/>
              <w:rPr>
                <w:sz w:val="22"/>
                <w:szCs w:val="2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7"/>
              </w:rPr>
              <w:t>Plans Not Approved by Shareholders</w:t>
            </w:r>
          </w:p>
        </w:tc>
        <w:tc>
          <w:tcPr>
            <w:tcW w:w="1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gridSpan w:val="2"/>
          </w:tcPr>
          <w:p>
            <w:pPr>
              <w:ind w:left="160"/>
              <w:spacing w:after="0"/>
              <w:rPr>
                <w:sz w:val="20"/>
                <w:szCs w:val="20"/>
                <w:color w:val="auto"/>
              </w:rPr>
            </w:pPr>
            <w:r>
              <w:rPr>
                <w:rFonts w:ascii="Arial" w:cs="Arial" w:eastAsia="Arial" w:hAnsi="Arial"/>
                <w:sz w:val="16"/>
                <w:szCs w:val="16"/>
                <w:color w:val="auto"/>
              </w:rPr>
              <w:t>NSOP</w:t>
            </w:r>
          </w:p>
        </w:tc>
        <w:tc>
          <w:tcPr>
            <w:tcW w:w="1520" w:type="dxa"/>
            <w:vAlign w:val="bottom"/>
          </w:tcPr>
          <w:p>
            <w:pPr>
              <w:jc w:val="right"/>
              <w:spacing w:after="0"/>
              <w:rPr>
                <w:sz w:val="20"/>
                <w:szCs w:val="20"/>
                <w:color w:val="auto"/>
              </w:rPr>
            </w:pPr>
            <w:r>
              <w:rPr>
                <w:rFonts w:ascii="Arial" w:cs="Arial" w:eastAsia="Arial" w:hAnsi="Arial"/>
                <w:sz w:val="16"/>
                <w:szCs w:val="16"/>
                <w:color w:val="auto"/>
              </w:rPr>
              <w:t>12,536,094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3,209,654</w:t>
            </w:r>
          </w:p>
        </w:tc>
      </w:tr>
      <w:tr>
        <w:trPr>
          <w:trHeight w:val="33"/>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Not Approved Plan 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12,536,094</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3,209,654</w:t>
            </w:r>
          </w:p>
        </w:tc>
      </w:tr>
      <w:tr>
        <w:trPr>
          <w:trHeight w:val="244"/>
        </w:trPr>
        <w:tc>
          <w:tcPr>
            <w:tcW w:w="2620" w:type="dxa"/>
            <w:vAlign w:val="bottom"/>
            <w:gridSpan w:val="2"/>
          </w:tcPr>
          <w:p>
            <w:pPr>
              <w:ind w:left="480"/>
              <w:spacing w:after="0"/>
              <w:rPr>
                <w:sz w:val="20"/>
                <w:szCs w:val="20"/>
                <w:color w:val="auto"/>
              </w:rPr>
            </w:pPr>
            <w:r>
              <w:rPr>
                <w:rFonts w:ascii="Arial" w:cs="Arial" w:eastAsia="Arial" w:hAnsi="Arial"/>
                <w:sz w:val="16"/>
                <w:szCs w:val="16"/>
                <w:color w:val="auto"/>
              </w:rPr>
              <w:t>Grand 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50,040,134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100,704,285</w:t>
            </w: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20" w:hanging="315"/>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4,757,221 restricted stock units and excludes 1,877,165 shares of restricted stock.</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12,287,478 restricted stock units and excludes 86,160 shares of restricted stock.</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0" w:right="2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of Directors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Other than as noted below, there were no other related party transactions in excess of $120,000 for fiscal 2017 and through November 20, 2017.</w:t>
      </w:r>
    </w:p>
    <w:p>
      <w:pPr>
        <w:spacing w:after="0" w:line="16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Through December 6, 2016, we held a 33% ownership interest in Inotera (now known as MTTW), Nanya Technology Corporation ("Nanya") and certain of its affiliates held a 32% ownership interest, and the remaining ownership interest was publicly held. On December 6, 2016, we acquired the 67% remaining interest in Inotera not owned by us (the "Inotera Acquisition"). The cash paid for the Inotera Acquisition was funded, in part, with proceeds from the sale of 58 million shares of our common stock to Nanya for $986 million in cash. Through this transaction, Nanya became a beneficial owner of more than 5% of the Company's outstanding common stock. In a form filed with the SEC, Nanya indicated that as of June 28, 2017, their ownership interest was below 5%.</w:t>
      </w:r>
    </w:p>
    <w:p>
      <w:pPr>
        <w:spacing w:after="0" w:line="1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Since 2009, Inotera has leased production facilities from Nanya which we assumed through the Inotera Acquisition. Under this arrangement, we paid $10 million for facility rent and utility expenses to Nanya from December 6, 2016 through June 28, 2017. We received $10 million in exchange for the sale of intellectual property, consulting, facility and parking lot rent, and facility utilities from December 6, 2016 through June 28, 2017. Since 2010, we have received royalty payments from Nanya for sales of certain DRAM process nodes, including $8 million from the beginning of fiscal 2017 through June 28, 2017.</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All directors, executive officers, and greater than 10% beneficial owners complied with all applicable filing requirements during the fiscal year ended August 31, 2017, based on the reports received or written representations from reporting persons.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APPROVAL OF EMPLOYEE STOCK PURCHASE PLAN</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are seeking your vote to approve our Employee Stock Purchase Plan, which we refer to as the "ESPP." The ESPP was approved and adopted by our Board of Directors on December 5, 2017, subject to approval by the shareholders at the Fiscal 2017 Annual Meeting, and will become effective upon receiving shareholder approval at the Fiscal 2017 Annual Meeting.</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purpose of the ESPP is to provide eligible employees of the Company and certain of its affiliates and subsidiaries an opportunity to use payroll deductions to purchase shares of our common stock and thereby acquire an ownership interest in the Company. The ESPP consists of two components: a 423 component which is intended to (the "423 Component"), and a non-423 component (the "Non-423 Component") which does not, qualify as an "employee stock purchase plan" within the meaning of Section 423 of the Code ("Section 423").</w:t>
      </w:r>
    </w:p>
    <w:p>
      <w:pPr>
        <w:spacing w:after="0" w:line="18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maximum aggregate number of shares of our common stock that may be purchased under the ESPP will be 33 million shares, subject to adjustment as provided for in the ESPP. The share pool for the ESPP represents approximately 3% of the total number of shares of our common stock outstanding as of November 20, 2017. In determining the number of shares to reserve for the ESPP, our Board of Directors considered the potential dilutive impact to shareholders, the projected participation rate over the ten-year term of the ESPP, and equity plan guidelines established by certain proxy advisory firms.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013"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Summary of Material Terms of the ESPP</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summary of the material terms of the ESPP is set forth below. The summary is qualified in its entirety by reference to the full text of the ESPP, which is filed with this Proxy Statement as Appendix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adjustment as provided in the ESPP, a total of 33 million shares of our Common Stock will be made available for sale under the ESPP. In the event of a stock dividend, stock split or combination of shares, recapitalization or other change in the Company’s capitalization, or other distribution with respect to our shareholders other than normal cash dividends, an automatic adjustment will be made in the number and kind of shares as to which outstanding options then unexercised will be exercisable, in the available shares reserved for sale under the ESPP, and in the purchase period limit, in order to maintain the proportionate interest of the participants before and after the event.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20, 2017, the closing price of our common stock on NASDAQ was $47.64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Our Compensation Committee will administer the ESPP, and will have full and exclusive authority to interpret the terms of the ESPP and determine eligibility to participate, subject to the conditions of the ESPP. The Board of Directors and the Compensation Committee are also authorized to adopt rules, procedures and subplans with respect to the Non-423 Component of the ESPP and for the operation of the ESPP in jurisdictions outside of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Generally, employees of the Company and any of its designated subsidiaries and affiliates are eligible to participate in the ESPP, subject to the procedural enrollment and other requirements in the ESPP. However, our Compensation Committee may, in its discretion, determine prior to the beginning of an offering period that employees will not be eligible to participate if they: (i) have not completed at least two years of service since their last hire date (or such lesser period of time as may be determined by our Compensation Committee in its discretion), (ii) customarily work not more than 20 hours per week (or such lesser period of time as may be determined by our Compensation Committee in its discretion), (iii) customarily work not more than five months per calendar year (or such lesser period of time as may be determined by our Compensation Committee in its discretion), or (iv) are highly compensated employee within the meaning of Section 414(q) of the Code.</w:t>
      </w:r>
    </w:p>
    <w:p>
      <w:pPr>
        <w:spacing w:after="0" w:line="18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No employee may be granted options to purchase shares of our Common Stock under the 423 Component of the ESPP if such employee (i) immediately after the grant would own capital stock possessing 5% or more of the total combined voting power or value of all classes of our capital stock, or (ii) holds rights to purchase shares of our common stock under all of our employee stock purchase plans (as defined in Section 423) that accrue at a rate that exceeds $25,000 worth of shares of our common stock for each calendar year. Employees who are citizens or residents of a non-U.S. jurisdiction may be excluded from participation in the ESPP or a specific offering if such participation is prohibited under applicable local law or would violate Section 423 of the Internal Revenue Code.</w:t>
      </w:r>
    </w:p>
    <w:p>
      <w:pPr>
        <w:spacing w:after="0" w:line="193"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For purposes of the ESPP, designated subsidiaries include any subsidiary (within the meaning of Section 424(f) of the Code) of the Company that has been designated by our Compensation Committee as eligible to participate in the 423 Component of the ESPP and designated affiliates include any of our affiliates that have been designated by our Compensation Committee as eligible to participate in the Non-423 Component of the ESPP.</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20, 2017, approximately 33 thousand employees would be eligible to participate in the 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Pursuant to the terms of the ESPP, on the first trading day of an offering period, each eligible employee will be granted an option to purchase shares of our Common Stock on the last day of such offering period. Our Compensation Committee will determine the length of each offering period, provided that no offering period may exceed 27 months in length.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ESPP permits each participant to purchase shares of our common stock through payroll deductions of up to 10% of their eligible compensation; provided, however, that a participant may not purchase more than a specific maximum number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7" w:name="page48"/>
    <w:bookmarkEnd w:id="47"/>
    <w:p>
      <w:pPr>
        <w:jc w:val="both"/>
        <w:ind w:right="520"/>
        <w:spacing w:after="0" w:line="264" w:lineRule="auto"/>
        <w:rPr>
          <w:sz w:val="20"/>
          <w:szCs w:val="20"/>
          <w:color w:val="auto"/>
        </w:rPr>
      </w:pPr>
      <w:r>
        <w:rPr>
          <w:rFonts w:ascii="Arial" w:cs="Arial" w:eastAsia="Arial" w:hAnsi="Arial"/>
          <w:sz w:val="18"/>
          <w:szCs w:val="18"/>
          <w:color w:val="auto"/>
        </w:rPr>
        <w:t>shares, which limit will be determined by our Compensation Committee prior to the commencement of the offering period. No interest will accrue on a participant’s contributions to the ESPP, unless required by law in certain jurisdictions. A participant may withdraw during the offering period and may decrease (but not increase) their contributions.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Unless a participant terminates employment or withdraws from the ESPP or an offering period before the last trading day of an offering period, the participant’s option will automatically be exercised on the last trading day of each offering period. The number of shares of our Common Stock purchased will be determined by dividing the payroll contributions accumulated in the participant’s account by the applicable purchase price, subject to the maximum share limit discussed above. No fractional shares of our Common Stock will be purchased. Any contributions accumulated in a participant’s account which are not sufficient to purchase a full share of our Common Stock will be rolled over to the next offering period, without interest, or will be refunded to them, without interest.</w:t>
      </w:r>
    </w:p>
    <w:p>
      <w:pPr>
        <w:spacing w:after="0" w:line="193"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Until otherwise determined by our Compensation Committee, the purchase price of the shares will be 85% of the lower of the fair market value of our common stock on the first trading day of each offering period or on the last trading day of each offering period (which we refer to as the "purchase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Withdrawals; Termination of Employment</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 participant may end their participation at any time during an offering period and all, but not less than all, of their accrued contributions not yet used to purchase shares of our common stock will be returned to them, or will be rolled over to the next offering period, without interest. If a participant withdraws from an offering period, they must re-enroll in the ESPP in order to re-commence participation.</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a participant ceases to be an eligible employee for any reason, they will be deemed to have elected to withdraw from the ESPP and their contributions not yet used to purchase shares of our common stock will be returned to them.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participant may not assign, transfer, pledge or otherwise dispose of in any way (other than by will or the laws of descent and distribution) their rights with regard to options granted under the ESPP or contributions credited to their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ESPP provides that in the event of a reorganization, merger, or consolidation of the Company with one or more corporations in which the Company is not the surviving corporation (or survives as a direct or indirect subsidiary of such other constituent corporation or its parent), or upon a sale of substantially all of the property or stock of the Company to another corporation, a successor corporation may assume or substitute each outstanding option. If the successor corporation refuses to assume or substitute for the outstanding option, the offering period then in progress will be shortened, and a new purchase date will be set. The Company will notify each participant that the purchase date has been changed and that the participant’s option will be exercised automatically on the new purchase date unless prior to such date the participant has withdrawn from the offering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Subject to applicable law, our Compensation Committee, in its sole discretion, may amend, suspend, or terminate the ESPP at any time and for any reason, without shareholder approval.</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Compensation Committee may change the offering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our common stock for each participant properly correspond with contribution amounts, and establish such other limitations or procedures as our Compensation Committee determines in its sole discretion advisable that are consistent with the ESPP. Such modifications will not require shareholder approval or the consent of any ESPP participants.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ESPP automatically will terminate on January 17, 2028, unless we terminate it sooner.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Sub-Plans</w:t>
      </w:r>
    </w:p>
    <w:p>
      <w:pPr>
        <w:spacing w:after="0" w:line="22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Consistent with the requirements of Section 423, our Compensation Committee may amend the terms of the ESPP, or an offering, or provide for separate offerings under the ESPP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Effects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The following summary briefly describes U.S. federal income tax consequences of options granted under the ESPP, but is not a detailed or complete description of all U.S. federal tax laws or regulations that may apply, and does not address any local, state or other country laws. Therefore, no one should rely on this summary for individual tax compliance, planning or decisions. Participants in the ESPP should consult their own professional tax advisors concerning tax aspects of options granted under the ESPP. The discussion below concerning tax deductions that may become available to the Company under U.S. federal tax law is not intended to imply that the Company will necessarily obtain a tax benefit from those deductions. Taxation of equity-based payments in other countries is complex, does not generally correspond to U.S. federal tax laws, and is not covered by the summary below.</w:t>
      </w:r>
    </w:p>
    <w:p>
      <w:pPr>
        <w:spacing w:after="0" w:line="16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423 Component of the ESPP is intended to qualify as an "employee stock purchase plan" meeting the requirements of Section 423. Under these provisions, a participant will not recognize taxable income until they sell or otherwise dispose of the shares purchased under the ESPP. If a participant disposes of the shares acquired under the ESPP more than two years from the option grant date and more than one year from the date the stock is purchased, then the participant must treat as ordinary income the amount by which the lesser of (i) the fair market value of the shares at the time of disposition, or (ii) the fair market value of the shares at the option grant date, exceeds the purchase price. Any gain in addition to this amount will be treated as a capital gain. If a participant holds shares at the time of their death, the holding period requirements are automatically deemed to have been satisfied and they will realize ordinary income in the amount by which the lesser of (i) the fair market value of the shares at the time of death, or (ii) the fair market value of the shares at the option grant date exceeds the purchase price. The Company will not be allowed a deduction if the holding period requirements are satisfied.</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 participant disposes of shares before expiration of two years from the date of grant and one year from the date of exercise, then the participant must treat as ordinary income the excess of the fair market value of the shares on the purchase date over the purchase price. Any additional gain will be treated as long-term or short-term capital gain or loss, as the case may be. The Company will be allowed a deduction equal to the amount of ordinary income recognized by the participant.</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Non-423 Component of the ESPP does not qualify under the provisions of Section 423. Under the applicable Code provisions, a participant will recognize ordinary income at the time the shares are purchased measured as the excess of the fair market value of the shares purchased over the purchase price and the Company will be entitled to a corresponding deduction. Any additional gain or loss on the subsequent sale or disposition will be long-term or short-term capital gain or loss, depending on the capital gain holding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the date of this Proxy Statement, no employee has been granted any options under the proposed ESPP. Accordingly, the benefits to be received pursuant to the ESPP by the Company’s officers and employees are not determinable at this time.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Employee Stock Purchase Plan.</w:t>
      </w:r>
    </w:p>
    <w:p>
      <w:pPr>
        <w:spacing w:after="0" w:line="200" w:lineRule="exact"/>
        <w:rPr>
          <w:sz w:val="20"/>
          <w:szCs w:val="20"/>
          <w:color w:val="auto"/>
        </w:rPr>
      </w:pPr>
    </w:p>
    <w:p>
      <w:pPr>
        <w:spacing w:after="0" w:line="24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3 – APPROVAL OF THE MATERIAL TERMS OF PERFORMANCE GOALS UNDER THE EXECUTIVE OFFICER PERFORMANCE</w:t>
      </w:r>
    </w:p>
    <w:p>
      <w:pPr>
        <w:spacing w:after="0" w:line="16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Executive Officer Performance Incentive Plan (the "Plan") was first approved by our Board of Directors and shareholders in 2004, and most recently by our Board of Directors and shareholders in fiscal 2015. Our Board of Directors is requesting that our shareholders re-approve the material terms of the performance goals under the Plan in order to preserve the Company's ability to continue to grant fully tax-deductible performance-based awards thereunder. For purposes of Section 162(m), the material terms of the performance goals under the Plan must be approved by our shareholders every five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9" w:name="page50"/>
    <w:bookmarkEnd w:id="49"/>
    <w:p>
      <w:pPr>
        <w:ind w:right="80"/>
        <w:spacing w:after="0" w:line="302" w:lineRule="auto"/>
        <w:rPr>
          <w:sz w:val="20"/>
          <w:szCs w:val="20"/>
          <w:color w:val="auto"/>
        </w:rPr>
      </w:pPr>
      <w:r>
        <w:rPr>
          <w:rFonts w:ascii="Arial" w:cs="Arial" w:eastAsia="Arial" w:hAnsi="Arial"/>
          <w:sz w:val="16"/>
          <w:szCs w:val="16"/>
          <w:color w:val="auto"/>
        </w:rPr>
        <w:t>years. For purposes of Section 162(m), the material terms of the performance goals include: (i) the employees eligible to receive compensation; (ii) the description of the performance objectives on which the performance goals may be based; and (iii) the maximum amount, or the formula used to calculate the maximum amount, of compensation that can be paid to an employee under the performance goals. Each of these aspects is discussed below, and shareholder approval of this Proposal 3 constitutes approval of each of these aspects for purposes of the Section 162(m) shareholder approval requirements.</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August 2017, the Compensation Committee approved an amendment to the Plan to increase the maximum award limit under the Plan from $3,000,000 to $10,000,000, subject to shareholder approval at the Fiscal 2017 Annual Meeting of Shareholders. The original limit of $3,000,000 was set when the Plan was first adopted in 2004 and has never been increased. The Compensation Committee undertook a review of peer practices with regard to plan limits and determined it was appropriate to increase the maximum award limit to $10,000,000.</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the shareholders do not re-approve the material terms of the performance goals under the Plan at the Fiscal 2017 Annual Meeting of Shareholders, then the Plan will continue in effect with the material terms last approved by the shareholders in fiscal 2015.</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the Proxy Statement as Appendix 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Section 162(m) imposes a $1,000,000 limit on the amount that a public company may deduct for compensation paid to the company’s CEO or any of the company’s three most highly compensated executive officers (other than the Chief Financial Officer) who are employed as of the end of the year. This limitation does not apply to compensation that meets the requirements under Section 162(m) for "performance-based" compensation. Cash awards that are granted pursuant to pre-established objective performance formulas may qualify as fully-deductible performance-based compensation, so long as certain requirements are met. One of the requirements for compensation to qualify as performance-based under Section 162(m) is that the material terms of the performance goals, including the list of permissible business criteria for performance objectives under the plan, be disclosed to and approved by shareholders at least every five years.</w:t>
      </w:r>
    </w:p>
    <w:p>
      <w:pPr>
        <w:spacing w:after="0" w:line="18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Shareholder approval of the material terms of performance goals under the Plan is only one of several requirements under Section 162(m) that must be satisfied for amounts realized under the Plan to qualify for the performance-based compensation exemption under Section 162(m), and shareholder approval of the material terms of the performance goals of the Plan does not alone ensure that all compensation paid under the Plan will qualify as tax-deductible compensation. There can be no guarantee that amounts payable under the Plan will be treated as qualified performance-based compensation under Section 162(m). In addition, nothing in this proposal precludes us from granting awards that do not meet the requirements for tax-deductible compensation under Section 162(m).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purpose of the Plan is to attract, retain, and reward qualified executives who are important to our success by providing performance-based, incentive cash awards ("Awards") for outstanding performance at the individual, business-unit and company-wide level.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Individuals who are eligible to participate in the Plan are our officers who are subject to Section 16 of the Securities Exchange Act or identified as a "Senior Officer" in the charter of our Compensation Committee ("Eligible Participants"). Actual participation by any given Eligible Participant for any particular performance period ("Participant") is determined by the Compensation Committee. Currently, 8 of our officers participate in the Plan.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The Plan will be administered by the Compensation Committee of the Board of Directors (the "Committee") and will qualify as an independent compensation committee under Section 162(m). The Committee will have full power and authority to construe, interpret and administer the Plan.</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84" w:right="27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i w:val="1"/>
          <w:iCs w:val="1"/>
          <w:color w:val="auto"/>
        </w:rPr>
        <w:t>Performance Objectives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Committee may designate any award under the Plan as a "qualified performance-based award" intended to qualify for the Section 162(m) exemption. If an award is so designated, the Committee must establish objectively determinable performance goals for such award within the time period prescribed by Section 162(m) based on one or more of the following business criteria: (i) gross and/or net revenue (including whether in the aggregate or attributable to specific products); (ii) cost of goods sold and gross margin; (iii) costs and expenses, including research &amp; development and selling, general &amp; administrative;</w:t>
      </w:r>
    </w:p>
    <w:p>
      <w:pPr>
        <w:spacing w:after="0" w:line="2" w:lineRule="exact"/>
        <w:rPr>
          <w:sz w:val="20"/>
          <w:szCs w:val="20"/>
          <w:color w:val="auto"/>
        </w:rPr>
      </w:pPr>
    </w:p>
    <w:p>
      <w:pPr>
        <w:ind w:right="100" w:firstLine="8"/>
        <w:spacing w:after="0" w:line="268" w:lineRule="auto"/>
        <w:tabs>
          <w:tab w:leader="none" w:pos="30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income (gross, operating, net, etc.); (v) earnings, including before interest, taxes, depreciation and amortization (whether in the aggregate or on a per share basis); (vi) cash flows and share price; (vii) return on investment, capital and equity; (viii) manufacturing efficiency (including yield enhancement and cycle time reductions), quality improvements and customer satisfaction; (ix) product life cycle management (including product and technology design, development, transfer, manufacturing introduction, and sales price optimization and management); (x) economic profit or loss; (xi) market share; (xii) employee retention, compensation, training and development, including succession planning; and (xiii) objective goals consistent with the participant’s specific officer duties and responsibilities, designed to further the financial, operational and other business interests of the Company, including goals and objectives with respect to regulatory compliance matters. The business criteria may be expressed or measured at the individual, function, department, region, unit, subsidiary, affiliate or Company levels or any combination of the foregoing.</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With respect to each performance period, the Committee will establish the following: (1) the length of the performance period with respect to each participant (which will coincide with our fiscal year unless a shorter performance period is established);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w:t>
      </w:r>
    </w:p>
    <w:p>
      <w:pPr>
        <w:spacing w:after="0" w:line="2" w:lineRule="exact"/>
        <w:rPr>
          <w:sz w:val="20"/>
          <w:szCs w:val="20"/>
          <w:color w:val="auto"/>
        </w:rPr>
      </w:pPr>
    </w:p>
    <w:p>
      <w:pPr>
        <w:ind w:right="40" w:firstLine="8"/>
        <w:spacing w:after="0" w:line="273"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7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Committee will establish performance goals within the first 90 days after the beginning of the measurement period for which such performance goal relates (or such other time as may be required or permitted under Section 162(m)).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of Performance Goals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With respect to Awards not intended to satisfy Section 162(m), if the Committee determines that a change in the business, operations, corporate structure or capital structure of the Company, including any acquisition, disposition or merger, or the manner in which we or a subsidiary or affiliate conducts our or its business, or other events or circumstances (including a change in a Participant’s duties) render performance goals to be unsuitable for a performance period, the Committee may modify such performance period and/or performance goals in whole or in part, and/or such performance period, as the Committee deems appropriate.</w:t>
      </w:r>
    </w:p>
    <w:p>
      <w:pPr>
        <w:spacing w:after="0" w:line="18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Subject to the requirements of Section 162(m), in the event we acquire or dispose of significant interests or assets, as more fully defined in the Plan, the performance goals will be adjusted, as called for in the Plan, to reflect the business disposition or acquisition, effective as of the last day of the fiscal quarter immediately prior to the disposition or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Upon the occurrence of a "change in control" (as defined in the Plan), performance periods will be deemed to have ended and the Committee will determine whether the performance goals were "achieved" (as defined in the Plan) by the Participants. Subject to the Committee’s discretion to reduce an Award, any Awards achieved as of the last day of the fiscal month immediately preceding the change in control will be paid to the Participants within thirty days of the Committee’s certification of results.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800" w:right="25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i w:val="1"/>
          <w:iCs w:val="1"/>
          <w:color w:val="auto"/>
        </w:rPr>
        <w:t>Section 409A</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currently intend to operate the Plan in a manner exempt from Section 409A. If not exempt, awards under the Plan would need to be specially designed to meet the requirements of Section 409A in order to avoid early taxation and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Certification</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Any payment of an Award will be conditioned on the written certification of the Committee in each case that the performance goals and any other material conditions were satisfied.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 of Awards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Awards under the Plan are to be paid in cash, in a single lump sum unless, subject to applicable laws, the Committee permits or requires the Participant to defer the receipt of the Award.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on Awards</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Subject to shareholder approval, the maximum Award for any twelve-month period for any Participant will not exceed $10,000,000. The Committee will have the full and exclusive right to make reductions in Awards under the Plan. In determining whether to reduce any Award and the amount of any such reduction, the Committee will take into consideration such factors as the Committee determines appropriate, in its sole and absolute discretion.</w:t>
      </w:r>
    </w:p>
    <w:p>
      <w:pPr>
        <w:spacing w:after="0" w:line="143"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approval of the material terms of the performance goals under Executive Officer Performance Incentive Plan.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 RATIFICATION OF PRICEWATERHOUSECOOPERS LLP</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Audit Committee of the Board of Directors has retained PricewaterhouseCoopers LLP ("PwC") as our Independent Registered Public Accounting Firm to audit our consolidated financial statements for the fiscal year ending August 30, 2018.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Fees charged for services performed by PwC for fiscal 2017 and 2016 were as follows:</w:t>
      </w:r>
    </w:p>
    <w:p>
      <w:pPr>
        <w:spacing w:after="0" w:line="383" w:lineRule="exact"/>
        <w:rPr>
          <w:sz w:val="20"/>
          <w:szCs w:val="20"/>
          <w:color w:val="auto"/>
        </w:rPr>
      </w:pPr>
    </w:p>
    <w:tbl>
      <w:tblPr>
        <w:tblLayout w:type="fixed"/>
        <w:tblInd w:w="250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358"/>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(amounts in millions)</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2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64"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government grant certifications.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2" w:name="page53"/>
    <w:bookmarkEnd w:id="52"/>
    <w:p>
      <w:pPr>
        <w:ind w:left="1620" w:hanging="315"/>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and tax compliance.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fees for services in connection with our Conflict Mineral Reports.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In fiscal 2017 and 2016, all audit, non-audit, tax services, and all other fees provided by PwC were approved by the Audit Committee in advance of services being provided.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2017.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2017,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The Audit Committee and PWC also discussed PWC's independence, including the non-audit services PWC provided to us as described above, and concluded that PwC was independent for fiscal 2017.</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2017, appointed PwC as our Independent Registered Public Accounting Firm for the fiscal year ending August 30, 2018, and approved and authorized PwC to carry out and perform certain specified non-audit services for us in fiscal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ind w:firstLine="8"/>
        <w:spacing w:after="0" w:line="302" w:lineRule="auto"/>
        <w:tabs>
          <w:tab w:leader="none" w:pos="2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3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Robert E. Switz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PROPOSAL 5 – ADVISORY VOTE ON THE COMPENSATION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1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16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2017 Annual Meeting of Shareholders, our shareholders will vote on whether or not to have an annual advisory vote on say-on-pay and in accordance with the results of this vote, the Board of Directors may determine to implement an advisory vote on executive compensation every year until the next required vote on the frequency of shareholder votes on the compensation of executives, which is occurring at the Fiscal 2023 Annual Meeting of Shareholders.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our annual meeting of shareholders held in January 2017, over 96% of the votes cast on the say-on-pay proposal were voted in favor of the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"Consideration of the Fiscal 2016 Advisory Vote on Executive Compensation" on page 16.</w:t>
      </w:r>
    </w:p>
    <w:p>
      <w:pPr>
        <w:spacing w:after="0" w:line="21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Board of Directors invites you to review carefully the Compensation Discussion and Analysis beginning on page 13 and the tabular and other disclosures on executive compensation beginning on page 29, and cast a vote "for" the following resolution:</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However, the Board of Directors and Compensation Committee value the opinions of our shareholders and to the extent there is any significant vote against the Named Executive Officers' compensation as described in this proxy statement, the Board of Directors will carefully consider the shareholders' concerns and the Compensation Committee will evaluate whether any actions are necessary to address those concerns.</w:t>
      </w:r>
    </w:p>
    <w:p>
      <w:pPr>
        <w:spacing w:after="0" w:line="189"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Exchange Act (15 U.S.C. 78n-1). The shareholder vote will not be binding on us or the Board of Directors, and it will not be construed as overruling any decision by us or the Board of Directors, or creating or implying any change to, or additional, fiduciary duties for us or the Board of Directors.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ADVISORY VOTE ON THE FREQUENCY WITH WHICH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 VOTE ON SAY-ON-PAY PROPOSALS IN FUTURE YEARS</w:t>
      </w:r>
    </w:p>
    <w:p>
      <w:pPr>
        <w:spacing w:after="0" w:line="211" w:lineRule="exact"/>
        <w:rPr>
          <w:sz w:val="20"/>
          <w:szCs w:val="20"/>
          <w:color w:val="auto"/>
        </w:rPr>
      </w:pPr>
    </w:p>
    <w:p>
      <w:pPr>
        <w:jc w:val="both"/>
        <w:ind w:firstLine="429"/>
        <w:spacing w:after="0" w:line="286" w:lineRule="auto"/>
        <w:rPr>
          <w:sz w:val="20"/>
          <w:szCs w:val="20"/>
          <w:color w:val="auto"/>
        </w:rPr>
      </w:pPr>
      <w:r>
        <w:rPr>
          <w:rFonts w:ascii="Arial" w:cs="Arial" w:eastAsia="Arial" w:hAnsi="Arial"/>
          <w:sz w:val="17"/>
          <w:szCs w:val="17"/>
          <w:color w:val="auto"/>
        </w:rPr>
        <w:t>The Dodd-Frank Act also enables our shareholders to indicate how frequently we should seek an advisory say-on-pay vote on the compensation of its Named Executive Officers, such as Item 5 included on page 50 of this proxy statement. By voting on this Item 6, shareholders may indicate whether they would prefer an advisory say-on-pay vote on Named Executive Officer compensation once every one, two, or three years.</w:t>
      </w:r>
    </w:p>
    <w:p>
      <w:pPr>
        <w:spacing w:after="0" w:line="166" w:lineRule="exact"/>
        <w:rPr>
          <w:sz w:val="20"/>
          <w:szCs w:val="20"/>
          <w:color w:val="auto"/>
        </w:rPr>
      </w:pPr>
    </w:p>
    <w:p>
      <w:pPr>
        <w:jc w:val="both"/>
        <w:ind w:firstLine="498"/>
        <w:spacing w:after="0" w:line="259" w:lineRule="auto"/>
        <w:rPr>
          <w:sz w:val="20"/>
          <w:szCs w:val="20"/>
          <w:color w:val="auto"/>
        </w:rPr>
      </w:pPr>
      <w:r>
        <w:rPr>
          <w:rFonts w:ascii="Arial" w:cs="Arial" w:eastAsia="Arial" w:hAnsi="Arial"/>
          <w:sz w:val="18"/>
          <w:szCs w:val="18"/>
          <w:color w:val="auto"/>
        </w:rPr>
        <w:t>The Board of Directors has determined that an advisory say-on-pay vote on executive compensation that occurs every year is the most appropriate alternative for us, and therefore the Board recommends that you vote for a one-year interval for the advisory say-on-pay vote on executive compensation. We understand that our shareholders may have different views as to what is the best approach for us, and we look forward to hearing from our shareholders on this proposal.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4" w:name="page55"/>
    <w:bookmarkEnd w:id="54"/>
    <w:p>
      <w:pPr>
        <w:jc w:val="both"/>
        <w:ind w:firstLine="551"/>
        <w:spacing w:after="0" w:line="264" w:lineRule="auto"/>
        <w:rPr>
          <w:sz w:val="20"/>
          <w:szCs w:val="20"/>
          <w:color w:val="auto"/>
        </w:rPr>
      </w:pPr>
      <w:r>
        <w:rPr>
          <w:rFonts w:ascii="Arial" w:cs="Arial" w:eastAsia="Arial" w:hAnsi="Arial"/>
          <w:sz w:val="18"/>
          <w:szCs w:val="18"/>
          <w:color w:val="auto"/>
        </w:rPr>
        <w:t>Shareholders who have concerns about executive compensation during the interval between say-on-pay votes are welcome to bring their specific concerns to the attention of the Board. Please refer to "Communications with the Board of Directors" on page 9 for information about communicating with the Board.</w:t>
      </w:r>
    </w:p>
    <w:p>
      <w:pPr>
        <w:spacing w:after="0" w:line="181" w:lineRule="exact"/>
        <w:rPr>
          <w:sz w:val="20"/>
          <w:szCs w:val="20"/>
          <w:color w:val="auto"/>
        </w:rPr>
      </w:pPr>
    </w:p>
    <w:p>
      <w:pPr>
        <w:jc w:val="both"/>
        <w:ind w:firstLine="475"/>
        <w:spacing w:after="0" w:line="277" w:lineRule="auto"/>
        <w:rPr>
          <w:sz w:val="20"/>
          <w:szCs w:val="20"/>
          <w:color w:val="auto"/>
        </w:rPr>
      </w:pPr>
      <w:r>
        <w:rPr>
          <w:rFonts w:ascii="Arial" w:cs="Arial" w:eastAsia="Arial" w:hAnsi="Arial"/>
          <w:sz w:val="18"/>
          <w:szCs w:val="18"/>
          <w:color w:val="auto"/>
        </w:rPr>
        <w:t>Please mark on the proxy card your preference as to the frequency of holding shareholder advisory votes on executive compensation, as every year, every two years, or every three years, or you may abstain from voting.</w:t>
      </w:r>
    </w:p>
    <w:p>
      <w:pPr>
        <w:spacing w:after="0" w:line="170" w:lineRule="exact"/>
        <w:rPr>
          <w:sz w:val="20"/>
          <w:szCs w:val="20"/>
          <w:color w:val="auto"/>
        </w:rPr>
      </w:pPr>
    </w:p>
    <w:p>
      <w:pPr>
        <w:jc w:val="both"/>
        <w:ind w:firstLine="357"/>
        <w:spacing w:after="0" w:line="257"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shareholders will be the frequency for the advisory vote on executive compensation that has been selected by shareholders. The Board will take the results of the vote into account when deciding when to call for the next advisory vote on executive compensation. However, because this vote is advisory and not binding on the Board of Directors in any way, the Board may decide that it is in our and our shareholders best interests to hold an advisory vote on executive compensation more or less frequently than the option approved by our shareholders.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scheduling vote similar to this Item 6 will occur at least once every six years.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Every ONE Year" on Proposal 6.</w:t>
      </w:r>
    </w:p>
    <w:p>
      <w:pPr>
        <w:spacing w:after="0" w:line="229" w:lineRule="exact"/>
        <w:rPr>
          <w:sz w:val="20"/>
          <w:szCs w:val="20"/>
          <w:color w:val="auto"/>
        </w:rPr>
      </w:pPr>
    </w:p>
    <w:p>
      <w:pPr>
        <w:jc w:val="both"/>
        <w:ind w:firstLine="390"/>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17, 2018. The Proxy Statement and Annual Report on Form 10-K are available at www.proxydocs.com/mu.</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2017. The Annual Report on Form 10-K for fiscal 2017 accompanies this Proxy Statement. Copies of the Annual Report on Form 10-K for fiscal 2017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2017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1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you share an address with other registered shareholders and your household receives one copy of the notice of Internet availability or of this Proxy Statement and 2017 Annual Report on Form 10-K and you decide you want a separate copy of this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5" w:name="page56"/>
    <w:bookmarkEnd w:id="55"/>
    <w:p>
      <w:pPr>
        <w:spacing w:after="0" w:line="291" w:lineRule="auto"/>
        <w:rPr>
          <w:sz w:val="20"/>
          <w:szCs w:val="20"/>
          <w:color w:val="auto"/>
        </w:rPr>
      </w:pPr>
      <w:r>
        <w:rPr>
          <w:rFonts w:ascii="Arial" w:cs="Arial" w:eastAsia="Arial" w:hAnsi="Arial"/>
          <w:sz w:val="16"/>
          <w:szCs w:val="16"/>
          <w:color w:val="auto"/>
        </w:rPr>
        <w:t>Proxy Statement and 2017 Annual Report on Form 10-K through the date of the Annual Meeting, we will promptly deliver your separate copy if you contact us at Micron Technology, Inc., Attn.: Corporate Secretary, P.O. Box 6, MS-1-507, Boise, Idaho 83707-0006 or corporatesecretary@micron.com or (208) 368-4000.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6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2017 Annual Report on Form 10-K by contacting your bank, broker or other nominee.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ON FORWARD LOOKING STATEMENTS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Forward-looking statement include, but are not limited to, statements made in Executive Summary of the Compensation Discussion and Analysis and the Letter to Shareholders related to growth as a result of advances in data analytics and industry supply growth in fiscal 2018. Actual events or results could differ materially from those contained in the forward-looking statements. Please refer to the documents we file on a consolidated basis from time to time with the Securities and Exchange Commission, specifically our most recent Form 10-K and Form 10-Q. These documents contain and identify important factors that could cause our actual results on a consolidated basis to differ materially from those contained in the forward-looking statements (see Risk Factors). The forward-looking statements are based on information available to us as of the date hereof and are based on management's current views and assumptions and should not be relied upon as representing our views as of any subsequent date. Although we believe that the expectations reflected in the forward-looking statements are reasonable, we cannot guarantee future results, levels of activity, performance or achievements. We do not undertake any obligation to release publicly any revisions to these forward-looking statements to reflect events or circumstances after the date hereof or to reflect the occurrence of unanticipated events, unless the securities laws require us to do so.</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DEADLINE FOR RECEIPT OF SHAREHOLDER PROPOSALS FOR FISCAL 2018 ANNUAL MEETING</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Proposals by our shareholders which are intended to be presented at our Fiscal 2018 Annual Meeting of Shareholders, including proposals for director nominees, must be received by us at our principal executive offices located at 8000 South Federal Way, Boise, Idaho 83716-9632, no later than August 9, 2018, and must also be in compliance with our Restated Certificate of Incorporation and our Bylaws and with applicable laws and regulations in order to be included in the Proxy Statement and form of proxy relating to that meeting. Proposals which are received after August 9, 2018, will be untimely and will not be considered at the meeting.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7, 2017</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584"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11" w:lineRule="exact"/>
        <w:rPr>
          <w:sz w:val="20"/>
          <w:szCs w:val="20"/>
          <w:color w:val="auto"/>
        </w:rPr>
      </w:pPr>
    </w:p>
    <w:p>
      <w:pPr>
        <w:jc w:val="both"/>
        <w:ind w:firstLine="656"/>
        <w:spacing w:after="0" w:line="253" w:lineRule="auto"/>
        <w:tabs>
          <w:tab w:leader="none" w:pos="100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provide employees of the Company and its Designated Subsidiaries and Designated Affiliates with an opportunity to purchase shares of Common Stock through accumulated Contributions. This Plan includes two components: a Code Section 423 Component (the "423 Component") and a non-Code Section 423 Component (the "Non-423 Component"). It is the intention of the Company to have the 423 Component qualify as an "employee stock purchase plan" under Section 423 of the Code. The provisions of the 423 Component, accordingly, shall be construed so as to extend and limit participation in a uniform and nondiscriminatory basis consistent with the requirements of Section 423 of the Code. In addition, this Plan authorizes the grant of options under the Non-423 Component that does not qualify as an "employee stock purchase plan" under Section 423 of the Code; such options shall be granted pursuant to rules, procedures or subplans adopted by the Committee designed to achieve tax, securities laws or other objectives for Eligible Employees and the Company. Except as otherwise provided herein, the Non-423 Component will be operated and administered in the same manner as the 423 Component.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1293"/>
        <w:spacing w:after="0" w:line="277" w:lineRule="auto"/>
        <w:tabs>
          <w:tab w:leader="none" w:pos="2336"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subject to Applicable Laws, one or more of the Company’s officers or management team appointed by the Board or Committee to administer the day-to-day operations of the Plan.</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3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and the related issuance of shares of Common Stock under U.S. state corporate laws, U.S. federal and state securities laws, the Code, the rules of any Exchange or quotation system on which the Common Stock is listed or quoted and the applicable laws of any non-U.S. jurisdiction where options to purchase shares of Common Stock are, or will be, granted under the Plan.</w:t>
      </w:r>
    </w:p>
    <w:p>
      <w:pPr>
        <w:spacing w:after="0" w:line="186" w:lineRule="exact"/>
        <w:rPr>
          <w:rFonts w:ascii="Arial" w:cs="Arial" w:eastAsia="Arial" w:hAnsi="Arial"/>
          <w:sz w:val="18"/>
          <w:szCs w:val="18"/>
          <w:color w:val="auto"/>
        </w:rPr>
      </w:pPr>
    </w:p>
    <w:p>
      <w:pPr>
        <w:ind w:left="2340" w:hanging="387"/>
        <w:spacing w:after="0"/>
        <w:tabs>
          <w:tab w:leader="none" w:pos="2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left="660" w:firstLine="1293"/>
        <w:spacing w:after="0" w:line="259" w:lineRule="auto"/>
        <w:tabs>
          <w:tab w:leader="none" w:pos="24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86" w:lineRule="exact"/>
        <w:rPr>
          <w:rFonts w:ascii="Arial" w:cs="Arial" w:eastAsia="Arial" w:hAnsi="Arial"/>
          <w:sz w:val="18"/>
          <w:szCs w:val="18"/>
          <w:color w:val="auto"/>
        </w:rPr>
      </w:pPr>
    </w:p>
    <w:p>
      <w:pPr>
        <w:ind w:left="2320" w:hanging="367"/>
        <w:spacing w:after="0"/>
        <w:tabs>
          <w:tab w:leader="none" w:pos="23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subcommittee referred to in Section 14(d).</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 Delaware corporation, or any successor thereto.</w:t>
      </w:r>
    </w:p>
    <w:p>
      <w:pPr>
        <w:spacing w:after="0" w:line="225" w:lineRule="exact"/>
        <w:rPr>
          <w:rFonts w:ascii="Arial" w:cs="Arial" w:eastAsia="Arial" w:hAnsi="Arial"/>
          <w:sz w:val="18"/>
          <w:szCs w:val="18"/>
          <w:color w:val="auto"/>
        </w:rPr>
      </w:pPr>
    </w:p>
    <w:p>
      <w:pPr>
        <w:jc w:val="both"/>
        <w:ind w:left="660" w:firstLine="1293"/>
        <w:spacing w:after="0" w:line="271" w:lineRule="auto"/>
        <w:tabs>
          <w:tab w:leader="none" w:pos="2388"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shall be defined from time to time by the Committee in its sole discretion with respect to any Offering Period. Except as otherwise defined by the Committee from time to time in its sole discretion, "Compensation" means wages and salary. Except as otherwise determined by the Committee, "Compensation" does not include: (1) any bonuses or commissions, (2) overtime pay and regularly paid wage premiums (such as evening or shift premiums), (3) any amounts contributed by the Company or a Designated Subsidiary or Designated Affiliate to any pension plan, (4) any automobile or relocation allowances (or reimbursement for any such expenses), (5) any amounts realized from the exercise of any stock options or other equity incentive awards, (6) any amounts paid by the Company or a Designated Subsidiary or Designated Affiliate for other fringe benefits, such as health and welfare, hospitalization and group life insurance benefits, or perquisites, or paid in lieu of such benefits, or (7) other similar forms of extraordinary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compensation. The Administrator shall have the discretion to determine the application of this definition to employees outside the United States.</w:t>
      </w:r>
    </w:p>
    <w:p>
      <w:pPr>
        <w:spacing w:after="0" w:line="248" w:lineRule="exact"/>
        <w:rPr>
          <w:sz w:val="20"/>
          <w:szCs w:val="20"/>
          <w:color w:val="auto"/>
        </w:rPr>
      </w:pPr>
    </w:p>
    <w:p>
      <w:pPr>
        <w:ind w:firstLine="1293"/>
        <w:spacing w:after="0" w:line="308" w:lineRule="auto"/>
        <w:tabs>
          <w:tab w:leader="none" w:pos="1701"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Contributions</w:t>
      </w:r>
      <w:r>
        <w:rPr>
          <w:rFonts w:ascii="Arial" w:cs="Arial" w:eastAsia="Arial" w:hAnsi="Arial"/>
          <w:sz w:val="17"/>
          <w:szCs w:val="17"/>
          <w:color w:val="auto"/>
        </w:rPr>
        <w:t>" means the payroll deductions or, if permitted by the Administrator to comply with non-U.S. requirements, amounts contributed to the Plan via cash, check or other means, used to fund the exercise of options granted pursuant to the Plan.</w:t>
      </w:r>
    </w:p>
    <w:p>
      <w:pPr>
        <w:spacing w:after="0" w:line="146" w:lineRule="exact"/>
        <w:rPr>
          <w:rFonts w:ascii="Arial" w:cs="Arial" w:eastAsia="Arial" w:hAnsi="Arial"/>
          <w:sz w:val="17"/>
          <w:szCs w:val="17"/>
          <w:color w:val="auto"/>
        </w:rPr>
      </w:pPr>
    </w:p>
    <w:p>
      <w:pPr>
        <w:ind w:right="20" w:firstLine="1293"/>
        <w:spacing w:after="0" w:line="277" w:lineRule="auto"/>
        <w:tabs>
          <w:tab w:leader="none" w:pos="17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Affiliate</w:t>
      </w:r>
      <w:r>
        <w:rPr>
          <w:rFonts w:ascii="Arial" w:cs="Arial" w:eastAsia="Arial" w:hAnsi="Arial"/>
          <w:sz w:val="18"/>
          <w:szCs w:val="18"/>
          <w:color w:val="auto"/>
        </w:rPr>
        <w:t>" means any Affiliate that has been designated by the Administrator from time to time in its sole discretion as eligible to participate in the Non-423 Component.</w:t>
      </w:r>
    </w:p>
    <w:p>
      <w:pPr>
        <w:spacing w:after="0" w:line="170" w:lineRule="exact"/>
        <w:rPr>
          <w:rFonts w:ascii="Arial" w:cs="Arial" w:eastAsia="Arial" w:hAnsi="Arial"/>
          <w:sz w:val="18"/>
          <w:szCs w:val="18"/>
          <w:color w:val="auto"/>
        </w:rPr>
      </w:pPr>
    </w:p>
    <w:p>
      <w:pPr>
        <w:ind w:firstLine="1293"/>
        <w:spacing w:after="0" w:line="277" w:lineRule="auto"/>
        <w:tabs>
          <w:tab w:leader="none" w:pos="17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any Subsidiary that has been designated by the Administrator from time to time in its sole discretion as eligible to participate in the 423 Component.</w:t>
      </w:r>
    </w:p>
    <w:p>
      <w:pPr>
        <w:spacing w:after="0" w:line="170" w:lineRule="exact"/>
        <w:rPr>
          <w:rFonts w:ascii="Arial" w:cs="Arial" w:eastAsia="Arial" w:hAnsi="Arial"/>
          <w:sz w:val="18"/>
          <w:szCs w:val="18"/>
          <w:color w:val="auto"/>
        </w:rPr>
      </w:pPr>
    </w:p>
    <w:p>
      <w:pPr>
        <w:ind w:right="20" w:firstLine="1293"/>
        <w:spacing w:after="0" w:line="277" w:lineRule="auto"/>
        <w:tabs>
          <w:tab w:leader="none" w:pos="18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Percent</w:t>
      </w:r>
      <w:r>
        <w:rPr>
          <w:rFonts w:ascii="Arial" w:cs="Arial" w:eastAsia="Arial" w:hAnsi="Arial"/>
          <w:sz w:val="18"/>
          <w:szCs w:val="18"/>
          <w:color w:val="auto"/>
        </w:rPr>
        <w:t>" means the percentage of Fair Market Value determined by the Administrator for purposes of determining the Purchase Price.</w:t>
      </w:r>
    </w:p>
    <w:p>
      <w:pPr>
        <w:spacing w:after="0" w:line="170" w:lineRule="exact"/>
        <w:rPr>
          <w:rFonts w:ascii="Arial" w:cs="Arial" w:eastAsia="Arial" w:hAnsi="Arial"/>
          <w:sz w:val="18"/>
          <w:szCs w:val="18"/>
          <w:color w:val="auto"/>
        </w:rPr>
      </w:pPr>
    </w:p>
    <w:p>
      <w:pPr>
        <w:ind w:left="1680" w:hanging="387"/>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the Company’s stockholders approve the Plan.</w:t>
      </w:r>
    </w:p>
    <w:p>
      <w:pPr>
        <w:spacing w:after="0" w:line="225" w:lineRule="exact"/>
        <w:rPr>
          <w:rFonts w:ascii="Arial" w:cs="Arial" w:eastAsia="Arial" w:hAnsi="Arial"/>
          <w:sz w:val="18"/>
          <w:szCs w:val="18"/>
          <w:color w:val="auto"/>
        </w:rPr>
      </w:pPr>
    </w:p>
    <w:p>
      <w:pPr>
        <w:jc w:val="both"/>
        <w:ind w:firstLine="1293"/>
        <w:spacing w:after="0" w:line="285" w:lineRule="auto"/>
        <w:tabs>
          <w:tab w:leader="none" w:pos="17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(i) any individual who is an employee providing services to the Company or a Designated Subsidiary, or (ii) any individual who is an employee providing services to the Company or any Designated Affiliate, unless any such employee is specifically excluded by the Administrator from participation. The Administrator, in its discretion, from time to time may, prior to an Offering Date for all options to be granted on such Offering Date in an Offering, determine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or (iv) is a highly compensated employee within the meaning of Section 414(q) of the Code, provided that any such exclusion is applied with respect to each Offering in a uniform manner to all similarly-situated employees who otherwise would be Eligible Employees for that Offering. For purposes of the 423 Component, the employment relationship shall be treated as continuing intact while the individual is on military or sick leave or other bona fide leave of absence approved by the Company or the Designated Subsidiary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Subsidiaries and/or Designated Affiliates; provided, however, that an individual who is not employed by the Company or a Designated Subsidiary on the Offering Date and through a date that is no more than three (3) months prior to the Exercise Date will participate only in the Non-423 Component unless the individual continues to have a right to reemployment with the Company or a Designated Subsidiary provided by statute or contract or in a written policy of the Company which provides for a right of reemployment following the leave of absence. The Administrator shall establish rules to govern other transfers into the 423 Component, and between any separate Offerings established thereunder, consistent with the applicable requirements of Section 423 of the Code.</w:t>
      </w:r>
    </w:p>
    <w:p>
      <w:pPr>
        <w:spacing w:after="0" w:line="168" w:lineRule="exact"/>
        <w:rPr>
          <w:rFonts w:ascii="Arial" w:cs="Arial" w:eastAsia="Arial" w:hAnsi="Arial"/>
          <w:sz w:val="16"/>
          <w:szCs w:val="16"/>
          <w:color w:val="auto"/>
        </w:rPr>
      </w:pPr>
    </w:p>
    <w:p>
      <w:pPr>
        <w:ind w:left="1700" w:hanging="407"/>
        <w:spacing w:after="0"/>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w:t>
      </w:r>
      <w:r>
        <w:rPr>
          <w:rFonts w:ascii="Arial" w:cs="Arial" w:eastAsia="Arial" w:hAnsi="Arial"/>
          <w:sz w:val="16"/>
          <w:szCs w:val="16"/>
          <w:color w:val="auto"/>
        </w:rPr>
        <w:t>" means any national securities exchange or national market system on which the Stock may from time to time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listed or traded.</w:t>
      </w:r>
    </w:p>
    <w:p>
      <w:pPr>
        <w:spacing w:after="0" w:line="210" w:lineRule="exact"/>
        <w:rPr>
          <w:rFonts w:ascii="Arial" w:cs="Arial" w:eastAsia="Arial" w:hAnsi="Arial"/>
          <w:sz w:val="16"/>
          <w:szCs w:val="16"/>
          <w:color w:val="auto"/>
        </w:rPr>
      </w:pPr>
    </w:p>
    <w:p>
      <w:pPr>
        <w:ind w:left="1840" w:hanging="547"/>
        <w:spacing w:after="0"/>
        <w:tabs>
          <w:tab w:leader="none" w:pos="18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U.S. Securities Exchange Act of 1934, as amended, including the rules and regulations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promulgated thereunder.</w:t>
      </w:r>
    </w:p>
    <w:p>
      <w:pPr>
        <w:spacing w:after="0" w:line="210" w:lineRule="exact"/>
        <w:rPr>
          <w:rFonts w:ascii="Arial" w:cs="Arial" w:eastAsia="Arial" w:hAnsi="Arial"/>
          <w:sz w:val="17"/>
          <w:szCs w:val="17"/>
          <w:color w:val="auto"/>
        </w:rPr>
      </w:pPr>
    </w:p>
    <w:p>
      <w:pPr>
        <w:ind w:left="1660" w:hanging="367"/>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last Trading Day of the Offering Period.</w:t>
      </w:r>
    </w:p>
    <w:p>
      <w:pPr>
        <w:spacing w:after="0" w:line="225" w:lineRule="exact"/>
        <w:rPr>
          <w:rFonts w:ascii="Arial" w:cs="Arial" w:eastAsia="Arial" w:hAnsi="Arial"/>
          <w:sz w:val="18"/>
          <w:szCs w:val="18"/>
          <w:color w:val="auto"/>
        </w:rPr>
      </w:pPr>
    </w:p>
    <w:p>
      <w:pPr>
        <w:jc w:val="both"/>
        <w:ind w:firstLine="1293"/>
        <w:spacing w:after="0" w:line="273" w:lineRule="auto"/>
        <w:tabs>
          <w:tab w:leader="none" w:pos="1721"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and unless the Administrator determines otherwise, (i) if the Common Stock is listed or traded on any Exchange, the closing price for such Common Stock (or the closing bid, if no sales were reported) as quoted on such Exchange (or the Exchange with the greatest volume of trading in the Common Stock) for the last market trading day prior to the day of determination, as reported by Bloomberg L.P. or such other source as the Administrator deems reliable; (ii) if the Common Stock is quoted on the over-the-counter market or is regularly quoted by a recognized securities dealer, but selling prices are not reported, the Fair Market Value of the Common Stock shall be the mean between the high bid and low asked prices for the Common Stock on the last market</w:t>
      </w: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760"/>
          </w:cols>
          <w:pgMar w:left="900" w:top="584"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trading day prior to the day of determination, as reported by Bloomberg L.P. or such other source as the Administrator deems reliable, or (iii) in the absence of an established market for the Common Stock, the Fair Market Value shall be determined by such other method as the Administrator determines in good faith to be reasonable.</w:t>
      </w:r>
    </w:p>
    <w:p>
      <w:pPr>
        <w:spacing w:after="0" w:line="181" w:lineRule="exact"/>
        <w:rPr>
          <w:sz w:val="20"/>
          <w:szCs w:val="20"/>
          <w:color w:val="auto"/>
        </w:rPr>
      </w:pPr>
    </w:p>
    <w:p>
      <w:pPr>
        <w:ind w:firstLine="1293"/>
        <w:spacing w:after="0" w:line="308" w:lineRule="auto"/>
        <w:tabs>
          <w:tab w:leader="none" w:pos="1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Share Amount</w:t>
      </w:r>
      <w:r>
        <w:rPr>
          <w:rFonts w:ascii="Arial" w:cs="Arial" w:eastAsia="Arial" w:hAnsi="Arial"/>
          <w:sz w:val="17"/>
          <w:szCs w:val="17"/>
          <w:color w:val="auto"/>
        </w:rPr>
        <w:t>" means the maximum number of shares of Common Stock that a Participant may purchase on any given Exercise Date, as determined by the Committee in its sole discretion prior to the commencement of the Offering Period.</w:t>
      </w:r>
    </w:p>
    <w:p>
      <w:pPr>
        <w:spacing w:after="0" w:line="146" w:lineRule="exact"/>
        <w:rPr>
          <w:rFonts w:ascii="Arial" w:cs="Arial" w:eastAsia="Arial" w:hAnsi="Arial"/>
          <w:sz w:val="17"/>
          <w:szCs w:val="17"/>
          <w:color w:val="auto"/>
        </w:rPr>
      </w:pPr>
    </w:p>
    <w:p>
      <w:pPr>
        <w:ind w:left="1680" w:hanging="387"/>
        <w:spacing w:after="0"/>
        <w:tabs>
          <w:tab w:leader="none" w:pos="1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Exercise Date</w:t>
      </w:r>
      <w:r>
        <w:rPr>
          <w:rFonts w:ascii="Arial" w:cs="Arial" w:eastAsia="Arial" w:hAnsi="Arial"/>
          <w:sz w:val="17"/>
          <w:szCs w:val="17"/>
          <w:color w:val="auto"/>
        </w:rPr>
        <w:t>" means a new Exercise Date if the Administrator shortens any Offering Period then in progress.</w:t>
      </w:r>
    </w:p>
    <w:p>
      <w:pPr>
        <w:spacing w:after="0" w:line="236" w:lineRule="exact"/>
        <w:rPr>
          <w:rFonts w:ascii="Arial" w:cs="Arial" w:eastAsia="Arial" w:hAnsi="Arial"/>
          <w:sz w:val="17"/>
          <w:szCs w:val="17"/>
          <w:color w:val="auto"/>
        </w:rPr>
      </w:pPr>
    </w:p>
    <w:p>
      <w:pPr>
        <w:jc w:val="both"/>
        <w:ind w:firstLine="1293"/>
        <w:spacing w:after="0" w:line="259" w:lineRule="auto"/>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 under the Plan of an option that may be exercised during an Offering Period. For purposes of this Plan, the Committee may designate separate Offerings under the Plan (the terms of which need not be identical) in which Eligible Employees of one or more Designated Subsidiaries or Designated Affiliates will participate, even if the dates of the applicable Offering Periods of each such Offering are identical.</w:t>
      </w:r>
    </w:p>
    <w:p>
      <w:pPr>
        <w:spacing w:after="0" w:line="186" w:lineRule="exact"/>
        <w:rPr>
          <w:rFonts w:ascii="Arial" w:cs="Arial" w:eastAsia="Arial" w:hAnsi="Arial"/>
          <w:sz w:val="18"/>
          <w:szCs w:val="18"/>
          <w:color w:val="auto"/>
        </w:rPr>
      </w:pPr>
    </w:p>
    <w:p>
      <w:pPr>
        <w:ind w:left="1720" w:hanging="427"/>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the first Trading Day of each Offering Period.</w:t>
      </w:r>
    </w:p>
    <w:p>
      <w:pPr>
        <w:spacing w:after="0" w:line="225" w:lineRule="exact"/>
        <w:rPr>
          <w:rFonts w:ascii="Arial" w:cs="Arial" w:eastAsia="Arial" w:hAnsi="Arial"/>
          <w:sz w:val="18"/>
          <w:szCs w:val="18"/>
          <w:color w:val="auto"/>
        </w:rPr>
      </w:pPr>
    </w:p>
    <w:p>
      <w:pPr>
        <w:jc w:val="both"/>
        <w:ind w:firstLine="1293"/>
        <w:spacing w:after="0" w:line="279" w:lineRule="auto"/>
        <w:tabs>
          <w:tab w:leader="none" w:pos="1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Periods</w:t>
      </w:r>
      <w:r>
        <w:rPr>
          <w:rFonts w:ascii="Arial" w:cs="Arial" w:eastAsia="Arial" w:hAnsi="Arial"/>
          <w:sz w:val="17"/>
          <w:szCs w:val="17"/>
          <w:color w:val="auto"/>
        </w:rPr>
        <w:t>" means the period of time during which offers to purchase shares of Common Stock are outstanding under the Plan. The Committee shall determine the length of each Offering Period, which need not be uniform; provided that no Offering Period shall exceed twenty-seven (27) months in length. No voluntary payroll deductions shall be solicited until after the effective date of a registration statement on Form S-8 filed under the Securities Act of 1933, as amended, covering the shares to be issued under the Plan.</w:t>
      </w:r>
    </w:p>
    <w:p>
      <w:pPr>
        <w:spacing w:after="0" w:line="171" w:lineRule="exact"/>
        <w:rPr>
          <w:rFonts w:ascii="Arial" w:cs="Arial" w:eastAsia="Arial" w:hAnsi="Arial"/>
          <w:sz w:val="17"/>
          <w:szCs w:val="17"/>
          <w:color w:val="auto"/>
        </w:rPr>
      </w:pPr>
    </w:p>
    <w:p>
      <w:pPr>
        <w:ind w:left="1680" w:hanging="387"/>
        <w:spacing w:after="0"/>
        <w:tabs>
          <w:tab w:leader="none" w:pos="1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 "parent corporation," whether now or hereafter existing, as defined in Section 424(e) of the Code.</w:t>
      </w:r>
    </w:p>
    <w:p>
      <w:pPr>
        <w:spacing w:after="0" w:line="236" w:lineRule="exact"/>
        <w:rPr>
          <w:rFonts w:ascii="Arial" w:cs="Arial" w:eastAsia="Arial" w:hAnsi="Arial"/>
          <w:sz w:val="17"/>
          <w:szCs w:val="17"/>
          <w:color w:val="auto"/>
        </w:rPr>
      </w:pPr>
    </w:p>
    <w:p>
      <w:pPr>
        <w:ind w:left="1680" w:hanging="387"/>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22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Micron Technology, Inc. Employee Stock Purchase Plan, including both the 423 Component and the Non-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423 Component.</w:t>
      </w:r>
    </w:p>
    <w:p>
      <w:pPr>
        <w:spacing w:after="0" w:line="211" w:lineRule="exact"/>
        <w:rPr>
          <w:sz w:val="20"/>
          <w:szCs w:val="20"/>
          <w:color w:val="auto"/>
        </w:rPr>
      </w:pPr>
    </w:p>
    <w:p>
      <w:pPr>
        <w:jc w:val="both"/>
        <w:ind w:firstLine="1293"/>
        <w:spacing w:after="0" w:line="272" w:lineRule="auto"/>
        <w:tabs>
          <w:tab w:leader="none" w:pos="179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the Designated Percent of the Fair Market Value of a share of Common Stock on the Offering Date or on the Exercise Date, whichever is lower. Unless otherwise determined by the Administrator, the Designated Percent for purposes of the foregoing sentence is eighty-five percent (85%). The Administrator may change the Designated Percent for any Offering Period but in no event shall the Designated Percent be less than eighty-five percent (85%). Such Purchase Price may be established by the Committee by any manner or method the Committee determines, pursuant to Section 14, and subject to (i) with respect to the 423 Component, compliance with Section 423 of the Code (or any successor rule or provision or any other applicable law, regulation or Exchange rule) or (ii) with respect to the Non-423 Component, pursuant to such manner or method as determined by the Committee to comply with applicable local law.</w:t>
      </w:r>
    </w:p>
    <w:p>
      <w:pPr>
        <w:spacing w:after="0" w:line="177" w:lineRule="exact"/>
        <w:rPr>
          <w:rFonts w:ascii="Arial" w:cs="Arial" w:eastAsia="Arial" w:hAnsi="Arial"/>
          <w:sz w:val="17"/>
          <w:szCs w:val="17"/>
          <w:color w:val="auto"/>
        </w:rPr>
      </w:pPr>
    </w:p>
    <w:p>
      <w:pPr>
        <w:ind w:left="1760" w:hanging="467"/>
        <w:spacing w:after="0"/>
        <w:tabs>
          <w:tab w:leader="none" w:pos="1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rFonts w:ascii="Arial" w:cs="Arial" w:eastAsia="Arial" w:hAnsi="Arial"/>
          <w:sz w:val="18"/>
          <w:szCs w:val="18"/>
          <w:color w:val="auto"/>
        </w:rPr>
      </w:pPr>
    </w:p>
    <w:p>
      <w:pPr>
        <w:ind w:left="1780" w:hanging="487"/>
        <w:spacing w:after="0"/>
        <w:tabs>
          <w:tab w:leader="none" w:pos="1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Section 424(f) of the Code.</w:t>
      </w:r>
    </w:p>
    <w:p>
      <w:pPr>
        <w:spacing w:after="0" w:line="248" w:lineRule="exact"/>
        <w:rPr>
          <w:rFonts w:ascii="Arial" w:cs="Arial" w:eastAsia="Arial" w:hAnsi="Arial"/>
          <w:sz w:val="16"/>
          <w:szCs w:val="16"/>
          <w:color w:val="auto"/>
        </w:rPr>
      </w:pPr>
    </w:p>
    <w:p>
      <w:pPr>
        <w:ind w:left="1760" w:hanging="467"/>
        <w:spacing w:after="0"/>
        <w:tabs>
          <w:tab w:leader="none" w:pos="1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NASDAQ is open for trading.</w:t>
      </w:r>
    </w:p>
    <w:p>
      <w:pPr>
        <w:spacing w:after="0" w:line="225" w:lineRule="exact"/>
        <w:rPr>
          <w:rFonts w:ascii="Arial" w:cs="Arial" w:eastAsia="Arial" w:hAnsi="Arial"/>
          <w:sz w:val="18"/>
          <w:szCs w:val="18"/>
          <w:color w:val="auto"/>
        </w:rPr>
      </w:pPr>
    </w:p>
    <w:p>
      <w:pPr>
        <w:ind w:left="1700" w:hanging="407"/>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United States.</w:t>
      </w:r>
    </w:p>
    <w:p>
      <w:pPr>
        <w:spacing w:after="0" w:line="225" w:lineRule="exact"/>
        <w:rPr>
          <w:rFonts w:ascii="Arial" w:cs="Arial" w:eastAsia="Arial" w:hAnsi="Arial"/>
          <w:sz w:val="18"/>
          <w:szCs w:val="18"/>
          <w:color w:val="auto"/>
        </w:rPr>
      </w:pPr>
    </w:p>
    <w:p>
      <w:pPr>
        <w:jc w:val="both"/>
        <w:ind w:firstLine="1293"/>
        <w:spacing w:after="0" w:line="286" w:lineRule="auto"/>
        <w:tabs>
          <w:tab w:leader="none" w:pos="183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Regulations</w:t>
      </w:r>
      <w:r>
        <w:rPr>
          <w:rFonts w:ascii="Arial" w:cs="Arial" w:eastAsia="Arial" w:hAnsi="Arial"/>
          <w:sz w:val="17"/>
          <w:szCs w:val="17"/>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760"/>
          </w:cols>
          <w:pgMar w:left="900" w:top="584" w:right="239" w:bottom="1440" w:gutter="0" w:footer="0" w:header="0"/>
        </w:sectPr>
      </w:pPr>
    </w:p>
    <w:bookmarkStart w:id="59" w:name="page60"/>
    <w:bookmarkEnd w:id="59"/>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3"/>
        <w:spacing w:after="0" w:line="279" w:lineRule="auto"/>
        <w:tabs>
          <w:tab w:leader="none" w:pos="2377"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Any Eligible Employee on a given Offering Date will be eligible to participate in the Plan, subject to the requirements of Section 5, provided, however, that employees who are citizens or residents of a non-U.S. jurisdiction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w:t>
      </w:r>
    </w:p>
    <w:p>
      <w:pPr>
        <w:spacing w:after="0" w:line="171" w:lineRule="exact"/>
        <w:rPr>
          <w:rFonts w:ascii="Arial" w:cs="Arial" w:eastAsia="Arial" w:hAnsi="Arial"/>
          <w:sz w:val="17"/>
          <w:szCs w:val="17"/>
          <w:color w:val="auto"/>
        </w:rPr>
      </w:pPr>
    </w:p>
    <w:p>
      <w:pPr>
        <w:jc w:val="both"/>
        <w:ind w:left="660" w:firstLine="1293"/>
        <w:spacing w:after="0" w:line="270" w:lineRule="auto"/>
        <w:tabs>
          <w:tab w:leader="none" w:pos="2414"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Any provisions of the Plan to the contrary notwithstanding, no Eligible Employee will be granted an option under the 423 Component of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U.S. dollars (USD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81" w:lineRule="exact"/>
        <w:rPr>
          <w:rFonts w:ascii="Arial" w:cs="Arial" w:eastAsia="Arial" w:hAnsi="Arial"/>
          <w:sz w:val="17"/>
          <w:szCs w:val="17"/>
          <w:color w:val="auto"/>
        </w:rPr>
      </w:pPr>
    </w:p>
    <w:p>
      <w:pPr>
        <w:jc w:val="both"/>
        <w:ind w:firstLine="656"/>
        <w:spacing w:after="0" w:line="264" w:lineRule="auto"/>
        <w:tabs>
          <w:tab w:leader="none" w:pos="103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Within the limitations set forth in Section 2(w), the Administrator will have the power to change the duration of Offering Periods (including the commencement dates thereof) without stockholder approval. Any such change shall be announced prior to the scheduled beginning of the first Offering Period to be affected thereafter.</w:t>
      </w:r>
    </w:p>
    <w:p>
      <w:pPr>
        <w:spacing w:after="0" w:line="181" w:lineRule="exact"/>
        <w:rPr>
          <w:rFonts w:ascii="Arial" w:cs="Arial" w:eastAsia="Arial" w:hAnsi="Arial"/>
          <w:sz w:val="18"/>
          <w:szCs w:val="18"/>
          <w:color w:val="auto"/>
        </w:rPr>
      </w:pPr>
    </w:p>
    <w:p>
      <w:pPr>
        <w:ind w:firstLine="656"/>
        <w:spacing w:after="0" w:line="277" w:lineRule="auto"/>
        <w:tabs>
          <w:tab w:leader="none" w:pos="99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may become a participant in the Plan by following an electronic or other enrollment procedure as may be established by the Administrator from time to time.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3" w:lineRule="auto"/>
        <w:tabs>
          <w:tab w:leader="none" w:pos="2328" w:val="left"/>
        </w:tabs>
        <w:numPr>
          <w:ilvl w:val="1"/>
          <w:numId w:val="59"/>
        </w:numPr>
        <w:rPr>
          <w:rFonts w:ascii="Arial" w:cs="Arial" w:eastAsia="Arial" w:hAnsi="Arial"/>
          <w:sz w:val="17"/>
          <w:szCs w:val="17"/>
          <w:color w:val="auto"/>
        </w:rPr>
      </w:pPr>
      <w:r>
        <w:rPr>
          <w:rFonts w:ascii="Arial" w:cs="Arial" w:eastAsia="Arial" w:hAnsi="Arial"/>
          <w:sz w:val="17"/>
          <w:szCs w:val="17"/>
          <w:color w:val="auto"/>
        </w:rPr>
        <w:t>At the time a Participant enrolls in the Plan pursuant to Section 5, he or she will elect to have Contributions made on each pay day during the Offering Period in an amount not exceeding ten percent (10%) of the Compensation which he or she receives on each pay day during the Offering Period. The Administrator may permit Eligible Employees participating in a specified Offering to contribute amounts to the Plan through payment by cash, check or other means to comply with non-U.S. requirements, provided, that such contributions shall not exceed ten percent (10%) of the Compensation received each pay period, during the Offering Period. A Participant’s subscription agreement will remain in effect for successive Offering Periods unless terminated as provided in Section 10 hereof.</w:t>
      </w:r>
    </w:p>
    <w:p>
      <w:pPr>
        <w:spacing w:after="0" w:line="178" w:lineRule="exact"/>
        <w:rPr>
          <w:rFonts w:ascii="Arial" w:cs="Arial" w:eastAsia="Arial" w:hAnsi="Arial"/>
          <w:sz w:val="17"/>
          <w:szCs w:val="17"/>
          <w:color w:val="auto"/>
        </w:rPr>
      </w:pPr>
    </w:p>
    <w:p>
      <w:pPr>
        <w:jc w:val="both"/>
        <w:ind w:left="660" w:firstLine="1293"/>
        <w:spacing w:after="0" w:line="264" w:lineRule="auto"/>
        <w:tabs>
          <w:tab w:leader="none" w:pos="2346"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Payroll deductions or contributions, as applicable,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181" w:lineRule="exact"/>
        <w:rPr>
          <w:rFonts w:ascii="Arial" w:cs="Arial" w:eastAsia="Arial" w:hAnsi="Arial"/>
          <w:sz w:val="18"/>
          <w:szCs w:val="18"/>
          <w:color w:val="auto"/>
        </w:rPr>
      </w:pPr>
    </w:p>
    <w:p>
      <w:pPr>
        <w:ind w:left="660" w:firstLine="1293"/>
        <w:spacing w:after="0" w:line="277" w:lineRule="auto"/>
        <w:tabs>
          <w:tab w:leader="none" w:pos="234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only.</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3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Subject to Applicable Laws, a Participant may discontinue his or her participation in the Plan as provided in Section 10 by completing any forms and following any procedures (including specified deadlines) established by the Administrator or its designee. The change will become effective as soon as administratively practicable after receipt.</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410"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a Participant’s Contributions may be decreased to zero percent (0%) at any time during an Offering Period. Subject to Section 423(b)(8) of the Code, Contributions will recommence at the rate originally elected by the Participant effective as of the beginning of the first Offering Period scheduled to end in the following calendar year, unless terminated by the Participant as provided in Section 10.</w:t>
      </w:r>
    </w:p>
    <w:p>
      <w:pPr>
        <w:spacing w:after="0" w:line="186" w:lineRule="exact"/>
        <w:rPr>
          <w:rFonts w:ascii="Arial" w:cs="Arial" w:eastAsia="Arial" w:hAnsi="Arial"/>
          <w:sz w:val="18"/>
          <w:szCs w:val="18"/>
          <w:color w:val="auto"/>
        </w:rPr>
      </w:pPr>
    </w:p>
    <w:p>
      <w:pPr>
        <w:ind w:left="660" w:firstLine="1293"/>
        <w:spacing w:after="0" w:line="277" w:lineRule="auto"/>
        <w:tabs>
          <w:tab w:leader="none" w:pos="232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At the time the option is exercised, in whole or in part, or at the time some or all of the Common Stock issued under the Plan is disposed of (or any other time that a taxable event related to the Plan occurs),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584" w:right="239" w:bottom="1440" w:gutter="0" w:footer="0" w:header="0"/>
        </w:sectPr>
      </w:pPr>
    </w:p>
    <w:bookmarkStart w:id="60" w:name="page61"/>
    <w:bookmarkEnd w:id="60"/>
    <w:p>
      <w:pPr>
        <w:jc w:val="both"/>
        <w:ind w:left="660"/>
        <w:spacing w:after="0" w:line="269" w:lineRule="auto"/>
        <w:rPr>
          <w:sz w:val="20"/>
          <w:szCs w:val="20"/>
          <w:color w:val="auto"/>
        </w:rPr>
      </w:pPr>
      <w:r>
        <w:rPr>
          <w:rFonts w:ascii="Arial" w:cs="Arial" w:eastAsia="Arial" w:hAnsi="Arial"/>
          <w:sz w:val="17"/>
          <w:szCs w:val="17"/>
          <w:color w:val="auto"/>
        </w:rPr>
        <w:t>the Participant must make adequate provision for the Company’s or its Subsidiary’s or Affiliate’s federal, state, local or any other tax liability payable to any authority, national insurance, social security, payment-on-account or other tax obligations, if any, which arise upon the exercise of the option or the disposition of the Common Stock (or any other time that a taxable event related to the Plan occurs), including, for the avoidance of doubt, any liability of the Participant to pay an employer tax or social insurance contribution obligation, which liability has been shifted to the Participant as a matter of law or contract. At any time, the Company or its Subsidiary or Affiliate, as applicable, may, but will not be obligated to, withhold from the Participant’s compensation the amount necessary for the Company or its Subsidiary or Affiliate, as applicable, to meet applicable withholding obligations, including any withholding required to make available to the Company or its Subsidiary or Affiliate, as applicable, any tax deductions or benefits attributable to sale or early disposition of Common Stock by the Eligible Employee. In addition, the Company or its Subsidiary or Affiliate, as applicable, may (i) withhold from the proceeds of the sale of Common Stock, (ii) withhold a sufficient whole number of shares of Common Stock otherwise issuable following purchase having an aggregate fair market value sufficient to pay applicable withholding obligations, or (iii) may withhold by any other means set forth in the applicable subscription agreement.</w:t>
      </w:r>
    </w:p>
    <w:p>
      <w:pPr>
        <w:spacing w:after="0" w:line="183" w:lineRule="exact"/>
        <w:rPr>
          <w:sz w:val="20"/>
          <w:szCs w:val="20"/>
          <w:color w:val="auto"/>
        </w:rPr>
      </w:pPr>
    </w:p>
    <w:p>
      <w:pPr>
        <w:jc w:val="both"/>
        <w:ind w:firstLine="656"/>
        <w:spacing w:after="0" w:line="253" w:lineRule="auto"/>
        <w:tabs>
          <w:tab w:leader="none" w:pos="97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during such Offering Period prior to such Exercise Date and retained in the Eligible Employee’s account as of the Exercise Date by the applicable Purchase Price; provided that in no event will an Eligible Employee be permitted to purchase during each Offering Period more than the Maximum Share Amount, subject to adjustment pursuant to Section 19(a), and provided further that such purchase will be subject to the limitations set forth in Sections 3(b)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Offering Period. Exercise of the option will occur as provided in Section 8, unless the Participant has withdrawn pursuant to Section 10. The option will expire on the last day of the Offering Period.</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90" w:lineRule="auto"/>
        <w:tabs>
          <w:tab w:leader="none" w:pos="2429" w:val="left"/>
        </w:tabs>
        <w:numPr>
          <w:ilvl w:val="1"/>
          <w:numId w:val="60"/>
        </w:numPr>
        <w:rPr>
          <w:rFonts w:ascii="Arial" w:cs="Arial" w:eastAsia="Arial" w:hAnsi="Arial"/>
          <w:sz w:val="16"/>
          <w:szCs w:val="16"/>
          <w:color w:val="auto"/>
        </w:rPr>
      </w:pPr>
      <w:r>
        <w:rPr>
          <w:rFonts w:ascii="Arial" w:cs="Arial" w:eastAsia="Arial" w:hAnsi="Arial"/>
          <w:sz w:val="16"/>
          <w:szCs w:val="16"/>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provided that in no event will an Eligible Employee be permitted to purchase during each Offering Period more than the Maximum Share Amount, subject to adjustment pursuant to Section 19(a), and provided further that such purchase will be subject to the limitations set forth in Sections 3(b) and 13. No fractional shares of Common Stock will be purchased. Any Contributions accumulated in a Participant’s account which are not sufficient to purchase a full share will, at the discretion of the Administrator, be refunded to the Participant, without interest, or be retained in the Participant’s account for the subsequent Offering Period. During a Participant’s lifetime, a Participant’s option to purchase shares hereunder is exercisable only by him or her.</w:t>
      </w:r>
    </w:p>
    <w:p>
      <w:pPr>
        <w:spacing w:after="0" w:line="166" w:lineRule="exact"/>
        <w:rPr>
          <w:rFonts w:ascii="Arial" w:cs="Arial" w:eastAsia="Arial" w:hAnsi="Arial"/>
          <w:sz w:val="16"/>
          <w:szCs w:val="16"/>
          <w:color w:val="auto"/>
        </w:rPr>
      </w:pPr>
    </w:p>
    <w:p>
      <w:pPr>
        <w:jc w:val="both"/>
        <w:ind w:left="660" w:firstLine="1293"/>
        <w:spacing w:after="0" w:line="302" w:lineRule="auto"/>
        <w:tabs>
          <w:tab w:leader="none" w:pos="2377"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 the event that the number of shares of Common Stock to be purchased by all Participants in any Offering Period exceeds the number of shares of Common Stock then available for issuance under the Plan, (i) the Company shall make a pro rata allocation of the remaining shares of Common Stock in as uniform a manner as shall be practicable and as the Committee shall, in its sole discretion, determine to be equitable and (ii) all funds not used to purchase shares of Common Stock on the Exercise Date shall be returned, without interest to the Participants.</w:t>
      </w:r>
    </w:p>
    <w:p>
      <w:pPr>
        <w:spacing w:after="0" w:line="154" w:lineRule="exact"/>
        <w:rPr>
          <w:rFonts w:ascii="Arial" w:cs="Arial" w:eastAsia="Arial" w:hAnsi="Arial"/>
          <w:sz w:val="16"/>
          <w:szCs w:val="16"/>
          <w:color w:val="auto"/>
        </w:rPr>
      </w:pPr>
    </w:p>
    <w:p>
      <w:pPr>
        <w:jc w:val="both"/>
        <w:ind w:firstLine="656"/>
        <w:spacing w:after="0" w:line="254" w:lineRule="auto"/>
        <w:tabs>
          <w:tab w:leader="none" w:pos="99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By enrolling in the Plan, each Participant shall be deemed to have authorized the establishment of a brokerage account on his or her behalf at a securities brokerage firm selected by the Company. As soon as reasonably practicable after each Exercise Date on which a purchase of shares of Common Stock occurs, the Company shall arrange for the delivery to each Participant of the shares of Common Stock purchased upon exercise of his or her option to the Participant’s brokerage or Plan share account in a form determined by the Company. Notwithstanding any other provision of the Plan, unless otherwise determined by the Administrator or required by any applicable law, rule or regulation, the Company shall not deliver to any Participant certificates evidencing shares of Common Stock issued in connection with any purchase under the Plan, and instead such shares of Common Stock shall be recorded in the books of the brokerage firm or, as applicable, the Company, its transfer agent, stock plan administrator or such other outside entity which is not a brokerage firm.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584" w:right="239" w:bottom="1440" w:gutter="0" w:footer="0" w:header="0"/>
        </w:sectPr>
      </w:pPr>
    </w:p>
    <w:bookmarkStart w:id="61" w:name="page62"/>
    <w:bookmarkEnd w:id="61"/>
    <w:p>
      <w:pPr>
        <w:ind w:left="1060" w:hanging="40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3"/>
        <w:spacing w:after="0" w:line="271" w:lineRule="auto"/>
        <w:tabs>
          <w:tab w:leader="none" w:pos="241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 Participant may withdraw all but not less than all the Contributions credited to his or her account and not yet used to exercise his or her option under the Plan at any time by following an electronic or other withdrawal procedure determined by the Administrator from time to time. All of the Participant’s Contributions credited to his or her account will, at the discretion of the Administrator, (i) be retained in Participant’s account and used to purchase shares of Common Stock at the next Exercise Date, or (ii) be paid to such Participant as soon as reasonably practicable after receipt of notice of withdrawal and such Participant’s options for the Offering Period shall be terminated automatically, and no further payroll deductions or contributions for the purchase of shares of Common Stock shall be made for such Offering Period. If a Participant withdraws from an Offering Period, Contributions will not resume at the beginning of the succeeding Offering Period, unless the Participant re-enrolls in the Plan as prescribed by the Administrator from time to time.</w:t>
      </w:r>
    </w:p>
    <w:p>
      <w:pPr>
        <w:spacing w:after="0" w:line="178" w:lineRule="exact"/>
        <w:rPr>
          <w:rFonts w:ascii="Arial" w:cs="Arial" w:eastAsia="Arial" w:hAnsi="Arial"/>
          <w:sz w:val="17"/>
          <w:szCs w:val="17"/>
          <w:color w:val="auto"/>
        </w:rPr>
      </w:pPr>
    </w:p>
    <w:p>
      <w:pPr>
        <w:jc w:val="both"/>
        <w:ind w:left="660" w:firstLine="1293"/>
        <w:spacing w:after="0" w:line="264" w:lineRule="auto"/>
        <w:tabs>
          <w:tab w:leader="none" w:pos="23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0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Unless otherwise determined by the Administrator,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Unless determined otherwise by the Administrator in a manner that is permitted by, and compliant with, Section 423 of the Code, a Participant whose employment transfers between entities through a termination with an immediate rehire (with no break in service) by the Company or a Designated Subsidiary or Designated Affiliate shall not be treated as terminated under the Plan.</w:t>
      </w:r>
    </w:p>
    <w:p>
      <w:pPr>
        <w:spacing w:after="0" w:line="189" w:lineRule="exact"/>
        <w:rPr>
          <w:rFonts w:ascii="Arial" w:cs="Arial" w:eastAsia="Arial" w:hAnsi="Arial"/>
          <w:sz w:val="18"/>
          <w:szCs w:val="18"/>
          <w:color w:val="auto"/>
        </w:rPr>
      </w:pPr>
    </w:p>
    <w:p>
      <w:pPr>
        <w:ind w:firstLine="656"/>
        <w:spacing w:after="0" w:line="277" w:lineRule="auto"/>
        <w:tabs>
          <w:tab w:leader="none" w:pos="105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will accrue on the Contributions of a Participant in the Plan, except as may be required by applicable law, as determined by the Administrator.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 Subject to adjustment as provided in Section 19 hereof, the maximum number of shares of Common Stock that will be made available for sale under the Plan will be 33,000,000 shares of Common Stock. The limitation set forth in this section may be used to satisfy purchases of shares of Common Stock under either the 423 Component or the Non-423 Component of the Plan.</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87" w:lineRule="auto"/>
        <w:tabs>
          <w:tab w:leader="none" w:pos="2367" w:val="left"/>
        </w:tabs>
        <w:numPr>
          <w:ilvl w:val="1"/>
          <w:numId w:val="63"/>
        </w:numPr>
        <w:rPr>
          <w:rFonts w:ascii="Arial" w:cs="Arial" w:eastAsia="Arial" w:hAnsi="Arial"/>
          <w:sz w:val="16"/>
          <w:szCs w:val="16"/>
          <w:color w:val="auto"/>
        </w:rPr>
      </w:pPr>
      <w:r>
        <w:rPr>
          <w:rFonts w:ascii="Arial" w:cs="Arial" w:eastAsia="Arial" w:hAnsi="Arial"/>
          <w:sz w:val="16"/>
          <w:szCs w:val="16"/>
          <w:color w:val="auto"/>
        </w:rPr>
        <w:t>Unless otherwise designated by the Board, the Committee shall serve as the Administrator. The Administrator will have full and exclusive discretionary authority to construe, interpret and apply the terms of the Plan, to designate separate Offerings under the Plan, to designate Subsidiaries or Affiliates as participating in the Plan, to determine eligibility and adjudicate all disputed claims filed under the Plan, including whether Eligible Employees shall participate in the 423 Component or the Non-423 Component and which entities shall be Designated Subsidiaries or Designated Affiliates, and to establish such procedures that it deems necessary for the administration of the Plan. Notwithstanding any provision to the contrary in this Plan, the Administrator may adopt rules or procedures relating to the operation and administration of the Plan to accommodate the specific requirements of local laws and procedures for jurisdictions outside of the United States. Without limiting the generality of the foregoing, the Committee is specifically authorized to adopt rules, procedures and subplans, which, for purposes of the Non-423 Component, may be outside the scope of Section 423 of the Code, regarding, without limitation,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w:t>
      </w:r>
    </w:p>
    <w:p>
      <w:pPr>
        <w:spacing w:after="0" w:line="168" w:lineRule="exact"/>
        <w:rPr>
          <w:rFonts w:ascii="Arial" w:cs="Arial" w:eastAsia="Arial" w:hAnsi="Arial"/>
          <w:sz w:val="16"/>
          <w:szCs w:val="16"/>
          <w:color w:val="auto"/>
        </w:rPr>
      </w:pPr>
    </w:p>
    <w:p>
      <w:pPr>
        <w:jc w:val="both"/>
        <w:ind w:left="660" w:firstLine="1293"/>
        <w:spacing w:after="0" w:line="264" w:lineRule="auto"/>
        <w:tabs>
          <w:tab w:leader="none" w:pos="2393"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Every finding, decision and determination made by the Administrator will, to the full extent permitted by law, be final and binding upon all parties, including the Company, Designated Subsidiary, Designated Affiliate, Participant, Eligible Employee, or any beneficiary of such person, as applicable.</w:t>
      </w:r>
    </w:p>
    <w:p>
      <w:pPr>
        <w:spacing w:after="0" w:line="181" w:lineRule="exact"/>
        <w:rPr>
          <w:rFonts w:ascii="Arial" w:cs="Arial" w:eastAsia="Arial" w:hAnsi="Arial"/>
          <w:sz w:val="18"/>
          <w:szCs w:val="18"/>
          <w:color w:val="auto"/>
        </w:rPr>
      </w:pPr>
    </w:p>
    <w:p>
      <w:pPr>
        <w:ind w:left="660" w:firstLine="1293"/>
        <w:spacing w:after="0" w:line="277" w:lineRule="auto"/>
        <w:tabs>
          <w:tab w:leader="none" w:pos="24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the extent allowable pursuant to applicable law, each member of the Board, the Committee, the Administrator or any employee of the Company, a Designated Subsidiary, or a Designated Affiliate (each such person,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584" w:right="239" w:bottom="1440" w:gutter="0" w:footer="0" w:header="0"/>
        </w:sectPr>
      </w:pPr>
    </w:p>
    <w:bookmarkStart w:id="62" w:name="page63"/>
    <w:bookmarkEnd w:id="62"/>
    <w:p>
      <w:pPr>
        <w:jc w:val="both"/>
        <w:ind w:left="660"/>
        <w:spacing w:after="0" w:line="270" w:lineRule="auto"/>
        <w:rPr>
          <w:sz w:val="20"/>
          <w:szCs w:val="20"/>
          <w:color w:val="auto"/>
        </w:rPr>
      </w:pPr>
      <w:r>
        <w:rPr>
          <w:rFonts w:ascii="Arial" w:cs="Arial" w:eastAsia="Arial" w:hAnsi="Arial"/>
          <w:sz w:val="17"/>
          <w:szCs w:val="17"/>
          <w:color w:val="auto"/>
        </w:rPr>
        <w:t xml:space="preserve">a "Covered Person") shall be indemnified and held harmless by the Company from any loss, cost, liability, or expense that may be imposed upon or reasonably incurred by such Covered Person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he or she has acted in accordance with his or her duties and responsibilities to the Company under applicable law, and provided that he or she gives the Company an opportunity, at its own expense, to handle and defend any claim, action, suit, or proceeding to which he or she is a party before he or she undertakes to handle and defend it on his or her own behalf. The foregoing right of indemnification shall not be exclusive of any other rights of indemnification to which such Covered Persons may be entitled pursuant to the Company’s Certificate of Incorporation or Bylaws, as a matter of law, or otherwise, or any power that the Company may have to indemnify them or hold them harmless.</w:t>
      </w:r>
    </w:p>
    <w:p>
      <w:pPr>
        <w:spacing w:after="0" w:line="182" w:lineRule="exact"/>
        <w:rPr>
          <w:sz w:val="20"/>
          <w:szCs w:val="20"/>
          <w:color w:val="auto"/>
        </w:rPr>
      </w:pPr>
    </w:p>
    <w:p>
      <w:pPr>
        <w:jc w:val="both"/>
        <w:ind w:left="660" w:firstLine="1293"/>
        <w:spacing w:after="0" w:line="257" w:lineRule="auto"/>
        <w:tabs>
          <w:tab w:leader="none" w:pos="23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the extent not prohibited by Applicable Law, the Committee may, from time to time, delegate some or all of its authority under the Plan to a subcommittee or subcommittees of the Committee, the Administrator or other persons or groups of persons as it deems necessary, appropriate or advisable under conditions or limitations that it may set at or after the time of the delegation. For purposes of the Plan, reference to the Committee will be deemed to refer to any subcommittee, subcommittees, or other persons or groups of persons to whom the Committee delegates authority pursuant to this Section 14(d).</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5" w:lineRule="auto"/>
        <w:tabs>
          <w:tab w:leader="none" w:pos="24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93" w:lineRule="exact"/>
        <w:rPr>
          <w:rFonts w:ascii="Arial" w:cs="Arial" w:eastAsia="Arial" w:hAnsi="Arial"/>
          <w:sz w:val="18"/>
          <w:szCs w:val="18"/>
          <w:color w:val="auto"/>
        </w:rPr>
      </w:pPr>
    </w:p>
    <w:p>
      <w:pPr>
        <w:jc w:val="both"/>
        <w:ind w:left="660" w:firstLine="1293"/>
        <w:spacing w:after="0" w:line="273" w:lineRule="auto"/>
        <w:tabs>
          <w:tab w:leader="none" w:pos="2376" w:val="left"/>
        </w:tabs>
        <w:numPr>
          <w:ilvl w:val="1"/>
          <w:numId w:val="65"/>
        </w:numPr>
        <w:rPr>
          <w:rFonts w:ascii="Arial" w:cs="Arial" w:eastAsia="Arial" w:hAnsi="Arial"/>
          <w:sz w:val="17"/>
          <w:szCs w:val="17"/>
          <w:color w:val="auto"/>
        </w:rPr>
      </w:pPr>
      <w:r>
        <w:rPr>
          <w:rFonts w:ascii="Arial" w:cs="Arial" w:eastAsia="Arial" w:hAnsi="Arial"/>
          <w:sz w:val="17"/>
          <w:szCs w:val="17"/>
          <w:color w:val="auto"/>
        </w:rPr>
        <w:t>Such designation of beneficiary, if permitted,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8" w:lineRule="exact"/>
        <w:rPr>
          <w:rFonts w:ascii="Arial" w:cs="Arial" w:eastAsia="Arial" w:hAnsi="Arial"/>
          <w:sz w:val="17"/>
          <w:szCs w:val="17"/>
          <w:color w:val="auto"/>
        </w:rPr>
      </w:pPr>
    </w:p>
    <w:p>
      <w:pPr>
        <w:ind w:left="2320" w:hanging="367"/>
        <w:spacing w:after="0"/>
        <w:tabs>
          <w:tab w:leader="none" w:pos="23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beneficiary designations will be in such form and manner as the Administrator may designate from time to time.</w:t>
      </w:r>
    </w:p>
    <w:p>
      <w:pPr>
        <w:spacing w:after="0" w:line="225" w:lineRule="exact"/>
        <w:rPr>
          <w:rFonts w:ascii="Arial" w:cs="Arial" w:eastAsia="Arial" w:hAnsi="Arial"/>
          <w:sz w:val="18"/>
          <w:szCs w:val="18"/>
          <w:color w:val="auto"/>
        </w:rPr>
      </w:pPr>
    </w:p>
    <w:p>
      <w:pPr>
        <w:jc w:val="both"/>
        <w:ind w:firstLine="656"/>
        <w:spacing w:after="0" w:line="302" w:lineRule="auto"/>
        <w:tabs>
          <w:tab w:leader="none" w:pos="109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06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The Company may use all Contributions received or held by it under the Plan for any corporate purpose, and the Company will not be obligated to segregate such Contributions, except as may be required by applicable local law, as determined by the Administrator. Until shares of Common Stock are issued, Participants will only have the rights of an unsecured creditor with respect to the Plan, although Participants in specified Offerings may have additional rights where required under local law, as determined by the Administrator.</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584" w:right="239" w:bottom="1440" w:gutter="0" w:footer="0" w:header="0"/>
        </w:sectPr>
      </w:pPr>
    </w:p>
    <w:bookmarkStart w:id="63" w:name="page64"/>
    <w:bookmarkEnd w:id="63"/>
    <w:p>
      <w:pPr>
        <w:ind w:left="404" w:hanging="404"/>
        <w:spacing w:after="0"/>
        <w:tabs>
          <w:tab w:leader="none" w:pos="40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Corporate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3"/>
        <w:spacing w:after="0" w:line="269" w:lineRule="auto"/>
        <w:tabs>
          <w:tab w:leader="none" w:pos="168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Subject to any required action by the shareholders of the Company, the maximum number of shares of Common Stock that shall be made available for sale under the Plan, the maximum number of shares of Common Stock that each Participant may purchase during the Offering Period pursuant to the Maximum Share Amount or over a calendar year under the USD 25,000 limitation (pursuant to Section 3(b)) and the per share price used to determine the Purchase Price shall be proportionately adjusted for any increase or decrease in the number of issued shares of Common Stock resulting from any nonreciprocal transaction between the Company and its shareholders, (such as a stock dividend, stock split, spin-off, rights offering or recapitalization through a large, nonrecurring cash dividend), that affects the Common Stock (or other securities of the Company) or the price of shares of Common Stock (or other securities) and causes a change in the per share value of the Common Stock underlying outstanding options.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2" w:lineRule="exact"/>
        <w:rPr>
          <w:rFonts w:ascii="Arial" w:cs="Arial" w:eastAsia="Arial" w:hAnsi="Arial"/>
          <w:sz w:val="17"/>
          <w:szCs w:val="17"/>
          <w:color w:val="auto"/>
        </w:rPr>
      </w:pPr>
    </w:p>
    <w:p>
      <w:pPr>
        <w:jc w:val="both"/>
        <w:ind w:left="4" w:firstLine="1293"/>
        <w:spacing w:after="0" w:line="255" w:lineRule="auto"/>
        <w:tabs>
          <w:tab w:leader="none" w:pos="170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9" w:lineRule="exact"/>
        <w:rPr>
          <w:rFonts w:ascii="Arial" w:cs="Arial" w:eastAsia="Arial" w:hAnsi="Arial"/>
          <w:sz w:val="18"/>
          <w:szCs w:val="18"/>
          <w:color w:val="auto"/>
        </w:rPr>
      </w:pPr>
    </w:p>
    <w:p>
      <w:pPr>
        <w:jc w:val="both"/>
        <w:ind w:left="4" w:firstLine="1293"/>
        <w:spacing w:after="0" w:line="253" w:lineRule="auto"/>
        <w:tabs>
          <w:tab w:leader="none" w:pos="170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Certain Corporate Transactions</w:t>
      </w:r>
      <w:r>
        <w:rPr>
          <w:rFonts w:ascii="Arial" w:cs="Arial" w:eastAsia="Arial" w:hAnsi="Arial"/>
          <w:sz w:val="18"/>
          <w:szCs w:val="18"/>
          <w:color w:val="auto"/>
        </w:rPr>
        <w:t>. In the event of a reorganization, merger, or consolidation of the Company with one or more corporations in which the Company is not the surviving corporation (or survives as a direct or indirect subsidiary of such other constituent corporation or its parent), or upon a sale of substantially all of the property or stock of the Company to another corporation,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94" w:lineRule="exact"/>
        <w:rPr>
          <w:rFonts w:ascii="Arial" w:cs="Arial" w:eastAsia="Arial" w:hAnsi="Arial"/>
          <w:sz w:val="18"/>
          <w:szCs w:val="18"/>
          <w:color w:val="auto"/>
        </w:rPr>
      </w:pPr>
    </w:p>
    <w:p>
      <w:pPr>
        <w:ind w:left="404" w:hanging="404"/>
        <w:spacing w:after="0"/>
        <w:tabs>
          <w:tab w:leader="none" w:pos="40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3"/>
        <w:spacing w:after="0" w:line="293" w:lineRule="auto"/>
        <w:tabs>
          <w:tab w:leader="none" w:pos="1721"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Subject to any applicable law or government regulation and to the rules of any Exchange or quotation system on which the shares of Common Stock may be listed or quoted, the Plan may be amended, modified, suspended or terminated by the Board without the approval of the shareholders of the Company. Except as provided in Section 19, no amendment may make any change in any option previously granted which adversely affects the rights of any Participant or any beneficiary (as applicable) without the consent of the affected Participant or beneficiary. To the extent necessary to comply with Section 423 of the Code (or any successor rule or provision or any other applicable law, regulation or Exchange rule), the Company shall obtain shareholder approval of any amendment in such a manner and to such a degree as required.</w:t>
      </w:r>
    </w:p>
    <w:p>
      <w:pPr>
        <w:spacing w:after="0" w:line="164" w:lineRule="exact"/>
        <w:rPr>
          <w:rFonts w:ascii="Arial" w:cs="Arial" w:eastAsia="Arial" w:hAnsi="Arial"/>
          <w:sz w:val="16"/>
          <w:szCs w:val="16"/>
          <w:color w:val="auto"/>
        </w:rPr>
      </w:pPr>
    </w:p>
    <w:p>
      <w:pPr>
        <w:jc w:val="both"/>
        <w:ind w:left="4" w:firstLine="1293"/>
        <w:spacing w:after="0" w:line="272" w:lineRule="auto"/>
        <w:tabs>
          <w:tab w:leader="none" w:pos="1844" w:val="left"/>
        </w:tabs>
        <w:numPr>
          <w:ilvl w:val="1"/>
          <w:numId w:val="66"/>
        </w:numPr>
        <w:rPr>
          <w:rFonts w:ascii="Arial" w:cs="Arial" w:eastAsia="Arial" w:hAnsi="Arial"/>
          <w:sz w:val="17"/>
          <w:szCs w:val="17"/>
          <w:color w:val="auto"/>
        </w:rPr>
      </w:pPr>
      <w:r>
        <w:rPr>
          <w:rFonts w:ascii="Arial" w:cs="Arial" w:eastAsia="Arial" w:hAnsi="Arial"/>
          <w:sz w:val="17"/>
          <w:szCs w:val="17"/>
          <w:color w:val="auto"/>
        </w:rPr>
        <w:t>Without shareholder approval and without regard to whether any Participant rights may be considered to have been "adversely affected," the Administrator or its delegate, to the extent permitted under the terms of the Plan, applicable law, the Bylaws of the Company and under the Committee charter, may change the Offering Periods, limit the frequency or number of changes in the amount withheld during an Offering Period, establish the exchange rate applicable to amounts withheld in a currency other than U.S. dollars, permit payroll withholding in excess of the amount designated by a Participant to adjust for delays or mistakes in the Company’s processing of properly completed Contribution elections, establish reasonable waiting and adjustment periods and/or accounting and crediting procedures to ensure that amounts applied toward the purchase of shares of Common Stock for each Participant properly</w:t>
      </w:r>
    </w:p>
    <w:p>
      <w:pPr>
        <w:spacing w:after="0" w:line="20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764"/>
          </w:cols>
          <w:pgMar w:left="896" w:top="584" w:right="239" w:bottom="1440" w:gutter="0" w:footer="0" w:header="0"/>
        </w:sectPr>
      </w:pPr>
    </w:p>
    <w:bookmarkStart w:id="64" w:name="page65"/>
    <w:bookmarkEnd w:id="64"/>
    <w:p>
      <w:pPr>
        <w:ind w:left="660"/>
        <w:spacing w:after="0" w:line="277" w:lineRule="auto"/>
        <w:rPr>
          <w:sz w:val="20"/>
          <w:szCs w:val="20"/>
          <w:color w:val="auto"/>
        </w:rPr>
      </w:pPr>
      <w:r>
        <w:rPr>
          <w:rFonts w:ascii="Arial" w:cs="Arial" w:eastAsia="Arial" w:hAnsi="Arial"/>
          <w:sz w:val="18"/>
          <w:szCs w:val="18"/>
          <w:color w:val="auto"/>
        </w:rPr>
        <w:t>correspond with amounts withheld from the Participant’s Compensation, and establish such other limitations or procedures as the Committee deems appropriate.</w:t>
      </w:r>
    </w:p>
    <w:p>
      <w:pPr>
        <w:spacing w:after="0" w:line="170" w:lineRule="exact"/>
        <w:rPr>
          <w:sz w:val="20"/>
          <w:szCs w:val="20"/>
          <w:color w:val="auto"/>
        </w:rPr>
      </w:pPr>
    </w:p>
    <w:p>
      <w:pPr>
        <w:jc w:val="both"/>
        <w:ind w:firstLine="656"/>
        <w:spacing w:after="0" w:line="264" w:lineRule="auto"/>
        <w:tabs>
          <w:tab w:leader="none" w:pos="109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 Shares of Common Stock will not be issued with respect to an option unless the exercise of such option and the issuance and delivery of such shares pursuant thereto will comply with all applicable provisions of U.S. and non-U.S. law, including, without limitation, the Securities Act, the Exchange Act, the rules and regulations promulgated thereunder, and the requirements of any Exchange, and will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89" w:lineRule="exact"/>
        <w:rPr>
          <w:rFonts w:ascii="Arial" w:cs="Arial" w:eastAsia="Arial" w:hAnsi="Arial"/>
          <w:sz w:val="18"/>
          <w:szCs w:val="18"/>
          <w:color w:val="auto"/>
        </w:rPr>
      </w:pPr>
    </w:p>
    <w:p>
      <w:pPr>
        <w:jc w:val="both"/>
        <w:ind w:firstLine="656"/>
        <w:spacing w:after="0" w:line="25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Notification of Sale of Shares of Common Stock</w:t>
      </w:r>
      <w:r>
        <w:rPr>
          <w:rFonts w:ascii="Arial" w:cs="Arial" w:eastAsia="Arial" w:hAnsi="Arial"/>
          <w:sz w:val="18"/>
          <w:szCs w:val="18"/>
          <w:color w:val="auto"/>
        </w:rPr>
        <w:t>. Each Participant shall give the Administrator prompt notice of any disposition of Common Stock acquired pursuant to the option granted under the Plan in accordance with such procedures as may be established by the Administrator. The Administrator may require that until such time as a Participant disposes of shares of Common Stock acquired pursuant to the option granted under the Plan, the Participant shall hold all such shares of Common Stock in the Participant's name and with a third-party broker/administrator designated by the Company until the lapse of any time period(s) established by the Administrator.</w:t>
      </w:r>
    </w:p>
    <w:p>
      <w:pPr>
        <w:spacing w:after="0" w:line="188" w:lineRule="exact"/>
        <w:rPr>
          <w:rFonts w:ascii="Arial" w:cs="Arial" w:eastAsia="Arial" w:hAnsi="Arial"/>
          <w:sz w:val="18"/>
          <w:szCs w:val="18"/>
          <w:color w:val="auto"/>
        </w:rPr>
      </w:pPr>
    </w:p>
    <w:p>
      <w:pPr>
        <w:jc w:val="both"/>
        <w:ind w:firstLine="656"/>
        <w:spacing w:after="0" w:line="312" w:lineRule="auto"/>
        <w:tabs>
          <w:tab w:leader="none" w:pos="1094"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Clawback/Recoupment Policy</w:t>
      </w:r>
      <w:r>
        <w:rPr>
          <w:rFonts w:ascii="Arial" w:cs="Arial" w:eastAsia="Arial" w:hAnsi="Arial"/>
          <w:sz w:val="16"/>
          <w:szCs w:val="16"/>
          <w:color w:val="auto"/>
        </w:rPr>
        <w:t>. Notwithstanding anything contained herein to the contrary, all shares of Common Stock acquired pursuant to the Plan shall be and remain subject to any incentive compensation clawback or recoupment policy currently in effect or as may be adopted by the Board and, in each case, as may be amended from time to time. No such policy adoption or amendment shall in any event require the prior consent of any Participant.</w:t>
      </w:r>
    </w:p>
    <w:p>
      <w:pPr>
        <w:spacing w:after="0" w:line="146" w:lineRule="exact"/>
        <w:rPr>
          <w:rFonts w:ascii="Arial" w:cs="Arial" w:eastAsia="Arial" w:hAnsi="Arial"/>
          <w:sz w:val="16"/>
          <w:szCs w:val="16"/>
          <w:color w:val="auto"/>
        </w:rPr>
      </w:pPr>
    </w:p>
    <w:p>
      <w:pPr>
        <w:ind w:left="1060" w:hanging="40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Code Section 409A; Tax Qualification.</w:t>
      </w:r>
    </w:p>
    <w:p>
      <w:pPr>
        <w:spacing w:after="0" w:line="225" w:lineRule="exact"/>
        <w:rPr>
          <w:rFonts w:ascii="Arial" w:cs="Arial" w:eastAsia="Arial" w:hAnsi="Arial"/>
          <w:sz w:val="18"/>
          <w:szCs w:val="18"/>
          <w:color w:val="auto"/>
        </w:rPr>
      </w:pPr>
    </w:p>
    <w:p>
      <w:pPr>
        <w:jc w:val="both"/>
        <w:ind w:left="660" w:firstLine="1293"/>
        <w:spacing w:after="0" w:line="269" w:lineRule="auto"/>
        <w:tabs>
          <w:tab w:leader="none" w:pos="2393" w:val="left"/>
        </w:tabs>
        <w:numPr>
          <w:ilvl w:val="1"/>
          <w:numId w:val="67"/>
        </w:numPr>
        <w:rPr>
          <w:rFonts w:ascii="Arial" w:cs="Arial" w:eastAsia="Arial" w:hAnsi="Arial"/>
          <w:sz w:val="17"/>
          <w:szCs w:val="17"/>
          <w:color w:val="auto"/>
        </w:rPr>
      </w:pPr>
      <w:r>
        <w:rPr>
          <w:rFonts w:ascii="Arial" w:cs="Arial" w:eastAsia="Arial" w:hAnsi="Arial"/>
          <w:sz w:val="17"/>
          <w:szCs w:val="17"/>
          <w:color w:val="auto"/>
        </w:rPr>
        <w:t>Options granted under the 423 Component are exempt from the application of Section 409A of the Code. Options granted under the Non-423 Component to U.S. taxpayers are intended to be exempt from the application of Section 409A under the short-term deferral exception and any ambiguities shall be construed and interpreted in accordance with such intent. Subject to Section 23(b), options granted to U.S. taxpayers under the Non-423 Component are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Section 23(b), in the case of a Participant who would otherwise be subject to Section 409A of the Code, to the extent the Company determines that an option or the exercise, payment, settlement or deferral is subject to Section 409A of the Code, the option shall be granted, exercised, paid, settled or deferred in a manner that will comply with Section 409A of the Code, including Department of Treasury regulations and other interpretive guidance issued thereunder, including without limitation any such regulations or other guidance that may be issued after the Effective Date. Anything in the foregoing to the contrary notwithstanding, the Company shall have no liability to a Participant or any other party if the option that is intended to be exempt from, or compliant with Section 409A of the Code is not so exempt or compliant or for any action taken by the Company with respect thereto.</w:t>
      </w:r>
    </w:p>
    <w:p>
      <w:pPr>
        <w:spacing w:after="0" w:line="179" w:lineRule="exact"/>
        <w:rPr>
          <w:rFonts w:ascii="Arial" w:cs="Arial" w:eastAsia="Arial" w:hAnsi="Arial"/>
          <w:sz w:val="17"/>
          <w:szCs w:val="17"/>
          <w:color w:val="auto"/>
        </w:rPr>
      </w:pPr>
    </w:p>
    <w:p>
      <w:pPr>
        <w:jc w:val="both"/>
        <w:ind w:left="660" w:firstLine="1293"/>
        <w:spacing w:after="0" w:line="257" w:lineRule="auto"/>
        <w:tabs>
          <w:tab w:leader="none" w:pos="243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Although the Company may endeavor to (i) qualify an option for favorable tax treatment under the laws of the U.S. or jurisdictions outside of the U.S. or (ii) avoid adverse tax treatment (e.g., under Section 409A of the Code), the Company </w:t>
      </w:r>
      <w:r>
        <w:rPr>
          <w:rFonts w:ascii="Arial" w:cs="Arial" w:eastAsia="Arial" w:hAnsi="Arial"/>
          <w:sz w:val="18"/>
          <w:szCs w:val="18"/>
          <w:u w:val="single" w:color="auto"/>
          <w:color w:val="auto"/>
        </w:rPr>
        <w:t>makes</w:t>
      </w:r>
      <w:r>
        <w:rPr>
          <w:rFonts w:ascii="Arial" w:cs="Arial" w:eastAsia="Arial" w:hAnsi="Arial"/>
          <w:sz w:val="18"/>
          <w:szCs w:val="18"/>
          <w:color w:val="auto"/>
        </w:rPr>
        <w:t xml:space="preserve"> no representation to that effect and expressly disavows any covenant to maintain favorable or avoid unfavorable tax treatment, notwithstanding anything to the contrary in this Plan, including Section 26(a). The Company is not constrained in its corporate activities by any potential negative tax impact on Participants under the Plan.</w:t>
      </w:r>
    </w:p>
    <w:p>
      <w:pPr>
        <w:spacing w:after="0" w:line="188" w:lineRule="exact"/>
        <w:rPr>
          <w:rFonts w:ascii="Arial" w:cs="Arial" w:eastAsia="Arial" w:hAnsi="Arial"/>
          <w:sz w:val="18"/>
          <w:szCs w:val="18"/>
          <w:color w:val="auto"/>
        </w:rPr>
      </w:pPr>
    </w:p>
    <w:p>
      <w:pPr>
        <w:ind w:right="20" w:firstLine="656"/>
        <w:spacing w:after="0" w:line="216" w:lineRule="auto"/>
        <w:tabs>
          <w:tab w:leader="none" w:pos="106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 effective as of the Effective Date and will continue in effect through the tenth (10</w:t>
      </w:r>
      <w:r>
        <w:rPr>
          <w:rFonts w:ascii="Arial" w:cs="Arial" w:eastAsia="Arial" w:hAnsi="Arial"/>
          <w:sz w:val="25"/>
          <w:szCs w:val="25"/>
          <w:color w:val="auto"/>
          <w:vertAlign w:val="superscript"/>
        </w:rPr>
        <w:t>th</w:t>
      </w:r>
      <w:r>
        <w:rPr>
          <w:rFonts w:ascii="Arial" w:cs="Arial" w:eastAsia="Arial" w:hAnsi="Arial"/>
          <w:sz w:val="18"/>
          <w:szCs w:val="18"/>
          <w:color w:val="auto"/>
        </w:rPr>
        <w:t>) anniversary thereof, unless sooner terminated under Section 20.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584" w:right="239" w:bottom="1440" w:gutter="0" w:footer="0" w:header="0"/>
        </w:sectPr>
      </w:pPr>
    </w:p>
    <w:bookmarkStart w:id="65" w:name="page66"/>
    <w:bookmarkEnd w:id="65"/>
    <w:p>
      <w:pPr>
        <w:ind w:right="20" w:firstLine="656"/>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10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The Plan shall be governed by, and construed in accordance with, the laws of the U.S. State of Delaware (except its choice-of-law provisions). The jurisdiction and venue for any disputes arising under, or any action brought to enforce (or otherwise relating to) this Plan shall be exclusively in the courts in the U.S. State of [____], County of [__] including the U.S. federal courts located therein (should federal jurisdiction exist).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6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Participation in the Plan by a Participant shall not be construed as giving a Participant the right to be retained as an employee of the Company, a Subsidiary or an Affiliate, as applicable. Furthermore, the Company, a Subsidiary or an Affiliate may dismiss a Participant from employment at any time, free from any liability or any claim under the Plan.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5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Laws</w:t>
      </w:r>
      <w:r>
        <w:rPr>
          <w:rFonts w:ascii="Arial" w:cs="Arial" w:eastAsia="Arial" w:hAnsi="Arial"/>
          <w:sz w:val="16"/>
          <w:szCs w:val="16"/>
          <w:color w:val="auto"/>
        </w:rPr>
        <w:t>. The terms of this Plan are intended to comply with all Applicable Laws and will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58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September 3,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August 22, 2017</w:t>
      </w:r>
    </w:p>
    <w:p>
      <w:pPr>
        <w:spacing w:after="0" w:line="21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purpose of the Plan is to promote the success of the Company by providing performance-based incentive compensation in the form of cash payments to Executive Officers (as defined herein) of the Company, which are designed to attract, retain and reward such Executive Officers for outstanding business performance.</w:t>
      </w:r>
    </w:p>
    <w:p>
      <w:pPr>
        <w:spacing w:after="0" w:line="18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terms shall have the following meanings for purposes of this Plan, unless the context in which they are used clearly indicates that some other meaning is intended.</w:t>
      </w:r>
    </w:p>
    <w:p>
      <w:pPr>
        <w:spacing w:after="0" w:line="170" w:lineRule="exact"/>
        <w:rPr>
          <w:sz w:val="20"/>
          <w:szCs w:val="20"/>
          <w:color w:val="auto"/>
        </w:rPr>
      </w:pPr>
    </w:p>
    <w:p>
      <w:pPr>
        <w:ind w:left="980" w:right="54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the cash incentive award payable to a Participant under this Plan calculated by reference to the achievement of applicable Performance Goals, as determined in accordance with Article 5 and 6.</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and includes the occurrence of any one of the following events:</w:t>
      </w:r>
    </w:p>
    <w:p>
      <w:pPr>
        <w:spacing w:after="0" w:line="225" w:lineRule="exact"/>
        <w:rPr>
          <w:rFonts w:ascii="Arial" w:cs="Arial" w:eastAsia="Arial" w:hAnsi="Arial"/>
          <w:sz w:val="18"/>
          <w:szCs w:val="18"/>
          <w:color w:val="auto"/>
        </w:rPr>
      </w:pPr>
    </w:p>
    <w:p>
      <w:pPr>
        <w:ind w:left="660" w:right="60" w:firstLine="645"/>
        <w:spacing w:after="0" w:line="272" w:lineRule="auto"/>
        <w:tabs>
          <w:tab w:leader="none" w:pos="1523"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7" w:lineRule="exact"/>
        <w:rPr>
          <w:rFonts w:ascii="Arial" w:cs="Arial" w:eastAsia="Arial" w:hAnsi="Arial"/>
          <w:sz w:val="17"/>
          <w:szCs w:val="17"/>
          <w:color w:val="auto"/>
        </w:rPr>
      </w:pPr>
    </w:p>
    <w:p>
      <w:pPr>
        <w:ind w:left="660" w:right="40" w:firstLine="645"/>
        <w:spacing w:after="0" w:line="285" w:lineRule="auto"/>
        <w:tabs>
          <w:tab w:leader="none" w:pos="1573"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acquisition by any employee benefit plan (or related trust) sponsored or maintained by the Company or any subsidiary of the Company, or</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acquisition pursuant to a Non-Qualifying Transaction (as defined in subsection (iii) below); or</w:t>
      </w:r>
    </w:p>
    <w:p>
      <w:pPr>
        <w:spacing w:after="0" w:line="210" w:lineRule="exact"/>
        <w:rPr>
          <w:rFonts w:ascii="Arial" w:cs="Arial" w:eastAsia="Arial" w:hAnsi="Arial"/>
          <w:sz w:val="18"/>
          <w:szCs w:val="18"/>
          <w:color w:val="auto"/>
        </w:rPr>
      </w:pPr>
    </w:p>
    <w:p>
      <w:pPr>
        <w:ind w:left="660" w:right="20" w:firstLine="645"/>
        <w:spacing w:after="0" w:line="287" w:lineRule="auto"/>
        <w:tabs>
          <w:tab w:leader="none" w:pos="1623"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80" w:right="239" w:bottom="1440" w:gutter="0" w:footer="0" w:header="0"/>
        </w:sectPr>
      </w:pPr>
    </w:p>
    <w:bookmarkStart w:id="67" w:name="page68"/>
    <w:bookmarkEnd w:id="67"/>
    <w:p>
      <w:pPr>
        <w:ind w:left="660" w:right="20"/>
        <w:spacing w:after="0" w:line="273" w:lineRule="auto"/>
        <w:rPr>
          <w:sz w:val="20"/>
          <w:szCs w:val="20"/>
          <w:color w:val="auto"/>
        </w:rPr>
      </w:pPr>
      <w:r>
        <w:rPr>
          <w:rFonts w:ascii="Arial" w:cs="Arial" w:eastAsia="Arial" w:hAnsi="Arial"/>
          <w:sz w:val="17"/>
          <w:szCs w:val="17"/>
          <w:color w:val="auto"/>
        </w:rPr>
        <w:t>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stockholders of the Company of a complete liquidation or dissolution of the Company.</w:t>
      </w:r>
    </w:p>
    <w:p>
      <w:pPr>
        <w:spacing w:after="0" w:line="178" w:lineRule="exact"/>
        <w:rPr>
          <w:sz w:val="20"/>
          <w:szCs w:val="20"/>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Micron Technology, Inc., a Delaware corporation, or any successor corporation.</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xml:space="preserve">" for purposes of </w:t>
      </w:r>
      <w:r>
        <w:rPr>
          <w:rFonts w:ascii="Arial" w:cs="Arial" w:eastAsia="Arial" w:hAnsi="Arial"/>
          <w:sz w:val="18"/>
          <w:szCs w:val="18"/>
          <w:color w:val="333333"/>
        </w:rPr>
        <w:t>this Plan means a Participant who, as of the beginning of the applicable Measurement Period, is (i) an officer</w:t>
      </w:r>
      <w:r>
        <w:rPr>
          <w:rFonts w:ascii="Arial" w:cs="Arial" w:eastAsia="Arial" w:hAnsi="Arial"/>
          <w:sz w:val="18"/>
          <w:szCs w:val="18"/>
          <w:color w:val="auto"/>
        </w:rPr>
        <w:t xml:space="preserve"> </w:t>
      </w:r>
      <w:r>
        <w:rPr>
          <w:rFonts w:ascii="Arial" w:cs="Arial" w:eastAsia="Arial" w:hAnsi="Arial"/>
          <w:sz w:val="18"/>
          <w:szCs w:val="18"/>
          <w:color w:val="333333"/>
        </w:rPr>
        <w:t>subject to Section 16 of the Securities Exchange Act of 1934, as amended from time to time, or (ii) is identified as a Senior Officer in the Committee’s Charter</w:t>
      </w:r>
      <w:r>
        <w:rPr>
          <w:rFonts w:ascii="Arial" w:cs="Arial" w:eastAsia="Arial" w:hAnsi="Arial"/>
          <w:sz w:val="18"/>
          <w:szCs w:val="18"/>
          <w:color w:val="000000"/>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Measurement Period</w:t>
      </w:r>
      <w:r>
        <w:rPr>
          <w:rFonts w:ascii="Arial" w:cs="Arial" w:eastAsia="Arial" w:hAnsi="Arial"/>
          <w:sz w:val="18"/>
          <w:szCs w:val="18"/>
          <w:color w:val="auto"/>
        </w:rPr>
        <w:t>" means the period with respect to which a Participant may be granted an Award.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Executive Officer who has been selected by the Committee to participate in the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the performance goals established by the Committee for a Measurement Period.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Micron Technology, Inc. Executive Officer Performance Incentive Plan, as amended and restated as of October 20, 2014, together with any subsequent amendments hereto.</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Performance-Based Award</w:t>
      </w:r>
      <w:r>
        <w:rPr>
          <w:rFonts w:ascii="Arial" w:cs="Arial" w:eastAsia="Arial" w:hAnsi="Arial"/>
          <w:sz w:val="18"/>
          <w:szCs w:val="18"/>
          <w:color w:val="auto"/>
        </w:rPr>
        <w:t>" means an Award that is intended to satisfy the requirements for "qualified performance-based compensation" under Section 162(m) of the Code. The Committee shall designate any Qualified Performance-Based Award as such at the time of grant.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Plan shall be administered by the Committee. The Committee shall be composed solely of two or more outside directors as defined in Section 162(m) of the Code and shall qualify as an independent compensation committee under Section 162(m) of the Code. The Committee shall have full power and authority to (i) designate Participants for each Measurement Period; (ii) establish and review Performance Goals and weightings for each Measurement Period; (iii) establish target Awards for Participants for each Measurement Period; (iv) determine whether and to what extent Performance Goals were achieved for each Measurement Period; (v) increase or decrease the Award otherwise payable to any Participant resulting from the achievement of Performance Goals in any Measurement Period, based on such objective or subjective factors as the Committee shall deem relevant; (vi) establish, adopt or revise any rules and regulations as it may deem necessary or advisable to administer this Plan; (vii) make all other decisions and determinations that may be required under this Plan or as the Committee deems necessary or advisable to administer this Plan; and (viii) amend this Plan as provided herein.</w:t>
      </w:r>
    </w:p>
    <w:p>
      <w:pPr>
        <w:spacing w:after="0" w:line="166"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All decisions of the Committee with respect to matters related to the Plan shall be final, conclusive and binding upon all persons, including the Company, stockholders, employees, Company successors and assigns and a Participant’s spouse, if any, and his or her guardian, estate and/or heirs. All expenses of the administration of the Plan shall be borne by the Company, including all Awards, if any, paid pursuant to the terms of the Plan.</w:t>
      </w:r>
    </w:p>
    <w:p>
      <w:pPr>
        <w:spacing w:after="0" w:line="14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For each Measurement Period, the Committee will choose, in its sole discretion, the Executive Officers who will participate in the Plan. No employee shall have any right to be selected to participate in this Plan. Nothing in this Plan shall be construed as precluding or prohibiting an employee from being eligible to participate in any other bonus or compensation arrangement of the Company, whether or not currently established. Inclusion as a Participant in the Plan for any Measurement Period does not guarantee that such Participant will be included as a Participant in the Plan for any future Measurement Period, nor does it guarantee that such Participant will receive any amount in payment of an Award.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584" w:right="259" w:bottom="1440" w:gutter="0" w:footer="0" w:header="0"/>
        </w:sectPr>
      </w:pPr>
    </w:p>
    <w:bookmarkStart w:id="68" w:name="page69"/>
    <w:bookmarkEnd w:id="68"/>
    <w:p>
      <w:pPr>
        <w:ind w:left="660" w:hanging="652"/>
        <w:spacing w:after="0"/>
        <w:tabs>
          <w:tab w:leader="none" w:pos="6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Criteria on Which Performance Goals Shall be Based.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Awards under the Plan shall be based on the attainment of Performance Goals for the specified Measurement Period. Any Performance Goal applicable to an Award intended to qualify as a Qualified Performance-Based Award shall be limited to specified levels of one or more of the following objective business criteria, or any combination or portion thereof:</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and/or net revenue (including whether in the aggregate or attributable to specific products)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Goods Sold and Gross Margin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Costs and expenses, including Research &amp; Development and Selling, General &amp; Administrative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(gross, operating, net, etc.)</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flows and share price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Return on investment, capital, equity, assets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Manufacturing efficiency (including yield enhancement and cycle time reductions), quality improvements and customer satisfaction</w:t>
      </w:r>
    </w:p>
    <w:p>
      <w:pPr>
        <w:spacing w:after="0" w:line="237" w:lineRule="exact"/>
        <w:rPr>
          <w:sz w:val="20"/>
          <w:szCs w:val="20"/>
          <w:color w:val="auto"/>
        </w:rPr>
      </w:pPr>
    </w:p>
    <w:p>
      <w:pPr>
        <w:ind w:left="980" w:right="60" w:firstLine="648"/>
        <w:spacing w:after="0" w:line="277" w:lineRule="auto"/>
        <w:rPr>
          <w:sz w:val="20"/>
          <w:szCs w:val="20"/>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Economic profit or loss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Employee retention, compensation, training and development, including succession planning</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Results of customer satisfaction surveys, questionnaires or other measures of customer satisfaction or performance to customer</w:t>
      </w:r>
    </w:p>
    <w:p>
      <w:pPr>
        <w:spacing w:after="0" w:line="237" w:lineRule="exact"/>
        <w:rPr>
          <w:sz w:val="20"/>
          <w:szCs w:val="20"/>
          <w:color w:val="auto"/>
        </w:rPr>
      </w:pPr>
    </w:p>
    <w:p>
      <w:pPr>
        <w:ind w:left="980" w:right="760" w:firstLine="648"/>
        <w:spacing w:after="0" w:line="342" w:lineRule="auto"/>
        <w:rPr>
          <w:sz w:val="20"/>
          <w:szCs w:val="20"/>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2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With respect to Awards not intended to qualify as Qualified Performance-Based Awards, the Committee may establish Performance Goals based on any criteria selected by the Committee.</w:t>
      </w:r>
    </w:p>
    <w:p>
      <w:pPr>
        <w:spacing w:after="0" w:line="17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Performance Goals.</w:t>
      </w:r>
    </w:p>
    <w:p>
      <w:pPr>
        <w:spacing w:after="0" w:line="225" w:lineRule="exact"/>
        <w:rPr>
          <w:rFonts w:ascii="Arial" w:cs="Arial" w:eastAsia="Arial" w:hAnsi="Arial"/>
          <w:sz w:val="18"/>
          <w:szCs w:val="18"/>
          <w:b w:val="1"/>
          <w:bCs w:val="1"/>
          <w:i w:val="1"/>
          <w:iCs w:val="1"/>
          <w:color w:val="auto"/>
        </w:rPr>
      </w:pPr>
    </w:p>
    <w:p>
      <w:pPr>
        <w:ind w:right="100" w:firstLine="656"/>
        <w:spacing w:after="0" w:line="264" w:lineRule="auto"/>
        <w:tabs>
          <w:tab w:leader="none" w:pos="893"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Committee Action. </w:t>
      </w:r>
      <w:r>
        <w:rPr>
          <w:rFonts w:ascii="Arial" w:cs="Arial" w:eastAsia="Arial" w:hAnsi="Arial"/>
          <w:sz w:val="18"/>
          <w:szCs w:val="18"/>
          <w:color w:val="auto"/>
        </w:rPr>
        <w:t>For each Measurement Period the Committee shall establish the following: (1) the length of the Measurement Period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each Participant; (2) the Participants in the Plan for such Measurement Period; (3) the specific Company, subsidiary, affiliate, group, division, unit, department, function and/or individual business criterion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584" w:right="239" w:bottom="1440" w:gutter="0" w:footer="0" w:header="0"/>
        </w:sectPr>
      </w:pPr>
    </w:p>
    <w:bookmarkStart w:id="69" w:name="page70"/>
    <w:bookmarkEnd w:id="69"/>
    <w:p>
      <w:pPr>
        <w:ind w:right="100"/>
        <w:spacing w:after="0" w:line="257" w:lineRule="auto"/>
        <w:rPr>
          <w:sz w:val="20"/>
          <w:szCs w:val="20"/>
          <w:color w:val="auto"/>
        </w:rPr>
      </w:pPr>
      <w:r>
        <w:rPr>
          <w:rFonts w:ascii="Arial" w:cs="Arial" w:eastAsia="Arial" w:hAnsi="Arial"/>
          <w:sz w:val="18"/>
          <w:szCs w:val="18"/>
          <w:color w:val="auto"/>
        </w:rPr>
        <w:t>criteria, or combination thereof, that will be measured with respect to each Participant; (4) the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 Awards (expressed in absolute terms or as a percentage of base compensation fixed at the time the performance formula is established) for each Participant.</w:t>
      </w:r>
    </w:p>
    <w:p>
      <w:pPr>
        <w:spacing w:after="0" w:line="188" w:lineRule="exact"/>
        <w:rPr>
          <w:sz w:val="20"/>
          <w:szCs w:val="20"/>
          <w:color w:val="auto"/>
        </w:rPr>
      </w:pPr>
    </w:p>
    <w:p>
      <w:pPr>
        <w:ind w:right="160" w:firstLine="656"/>
        <w:spacing w:after="0" w:line="264"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Timing of Action. </w:t>
      </w:r>
      <w:r>
        <w:rPr>
          <w:rFonts w:ascii="Arial" w:cs="Arial" w:eastAsia="Arial" w:hAnsi="Arial"/>
          <w:sz w:val="18"/>
          <w:szCs w:val="18"/>
          <w:color w:val="auto"/>
        </w:rPr>
        <w:t>The Committee shall make the above determinations in writing no later than ninety (90) days after the start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on or before twenty-five percent (25%) of the Measurement Period has elapsed, and while the outcome of achievement of the relevant Performance Goals is substantially uncertain.</w:t>
      </w:r>
    </w:p>
    <w:p>
      <w:pPr>
        <w:spacing w:after="0" w:line="181" w:lineRule="exact"/>
        <w:rPr>
          <w:rFonts w:ascii="Arial" w:cs="Arial" w:eastAsia="Arial" w:hAnsi="Arial"/>
          <w:sz w:val="18"/>
          <w:szCs w:val="18"/>
          <w:color w:val="auto"/>
        </w:rPr>
      </w:pPr>
    </w:p>
    <w:p>
      <w:pPr>
        <w:ind w:right="120" w:firstLine="656"/>
        <w:spacing w:after="0" w:line="277" w:lineRule="auto"/>
        <w:tabs>
          <w:tab w:leader="none" w:pos="893"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w:t>
      </w:r>
      <w:r>
        <w:rPr>
          <w:rFonts w:ascii="Arial" w:cs="Arial" w:eastAsia="Arial" w:hAnsi="Arial"/>
          <w:sz w:val="18"/>
          <w:szCs w:val="18"/>
          <w:color w:val="auto"/>
        </w:rPr>
        <w:t>The maximum Award that may be paid to any one Participant with respect to the aggregate of all Measurement Periods in any</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shall not exceed $10,000,000.</w:t>
      </w:r>
    </w:p>
    <w:p>
      <w:pPr>
        <w:spacing w:after="0" w:line="170" w:lineRule="exact"/>
        <w:rPr>
          <w:rFonts w:ascii="Arial" w:cs="Arial" w:eastAsia="Arial" w:hAnsi="Arial"/>
          <w:sz w:val="18"/>
          <w:szCs w:val="18"/>
          <w:color w:val="auto"/>
        </w:rPr>
      </w:pPr>
    </w:p>
    <w:p>
      <w:pPr>
        <w:jc w:val="both"/>
        <w:ind w:right="120" w:firstLine="656"/>
        <w:spacing w:after="0" w:line="264"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Measurement Periods. </w:t>
      </w:r>
      <w:r>
        <w:rPr>
          <w:rFonts w:ascii="Arial" w:cs="Arial" w:eastAsia="Arial" w:hAnsi="Arial"/>
          <w:sz w:val="18"/>
          <w:szCs w:val="18"/>
          <w:color w:val="auto"/>
        </w:rPr>
        <w:t>Measurement Periods need not be the same for each Participant. Measurement Periods will coincide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fiscal year unless the Committee determines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in no event will a Measurement Period be less than a three-month period for any Participant.</w:t>
      </w:r>
    </w:p>
    <w:p>
      <w:pPr>
        <w:spacing w:after="0" w:line="181" w:lineRule="exact"/>
        <w:rPr>
          <w:rFonts w:ascii="Arial" w:cs="Arial" w:eastAsia="Arial" w:hAnsi="Arial"/>
          <w:sz w:val="18"/>
          <w:szCs w:val="18"/>
          <w:color w:val="auto"/>
        </w:rPr>
      </w:pPr>
    </w:p>
    <w:p>
      <w:pPr>
        <w:ind w:right="60" w:firstLine="656"/>
        <w:spacing w:after="0" w:line="272" w:lineRule="auto"/>
        <w:tabs>
          <w:tab w:leader="none" w:pos="893"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Awards Intended to be "performance based compensation" under Section 409A. </w:t>
      </w:r>
      <w:r>
        <w:rPr>
          <w:rFonts w:ascii="Arial" w:cs="Arial" w:eastAsia="Arial" w:hAnsi="Arial"/>
          <w:sz w:val="17"/>
          <w:szCs w:val="17"/>
          <w:color w:val="auto"/>
        </w:rPr>
        <w:t>With respect to Awards intended to be "performance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 defined in Treas. Reg. §1.409A-1(e), (1) the Measurement Period shall be at least 12 consecutive months; (2) Performance Goals shall be established in writing no later than ninety (90) days after the commencement of the period of service to which the criteria relates, provided that the outcome must be substantially uncertain at the time the criteria are established; (3) the Performance Goals may include subjective performance criteria, provided that the subjective performance criteria are bona fide and relate to the performance of the Participant, a group of service providers that includes the Participant, or a business unit for which the Participant provides services (which may include the entire organization); and (4) the Award must meet other applicable requirements of Code Section 409A.</w:t>
      </w:r>
    </w:p>
    <w:p>
      <w:pPr>
        <w:spacing w:after="0" w:line="177" w:lineRule="exact"/>
        <w:rPr>
          <w:rFonts w:ascii="Arial" w:cs="Arial" w:eastAsia="Arial" w:hAnsi="Arial"/>
          <w:sz w:val="17"/>
          <w:szCs w:val="17"/>
          <w:color w:val="auto"/>
        </w:rPr>
      </w:pPr>
    </w:p>
    <w:p>
      <w:pPr>
        <w:ind w:left="1020" w:hanging="364"/>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Changes in the Business; Promotions, Demotions and Transfers.</w:t>
      </w:r>
    </w:p>
    <w:p>
      <w:pPr>
        <w:spacing w:after="0" w:line="225" w:lineRule="exact"/>
        <w:rPr>
          <w:rFonts w:ascii="Arial" w:cs="Arial" w:eastAsia="Arial" w:hAnsi="Arial"/>
          <w:sz w:val="18"/>
          <w:szCs w:val="18"/>
          <w:color w:val="auto"/>
        </w:rPr>
      </w:pPr>
    </w:p>
    <w:p>
      <w:pPr>
        <w:ind w:left="660" w:right="60" w:firstLine="645"/>
        <w:spacing w:after="0" w:line="289" w:lineRule="auto"/>
        <w:tabs>
          <w:tab w:leader="none" w:pos="1563"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Awards Not Intended to Qualify as Qualified Performance-Based Awards. </w:t>
      </w:r>
      <w:r>
        <w:rPr>
          <w:rFonts w:ascii="Arial" w:cs="Arial" w:eastAsia="Arial" w:hAnsi="Arial"/>
          <w:sz w:val="16"/>
          <w:szCs w:val="16"/>
          <w:color w:val="auto"/>
        </w:rPr>
        <w:t>With respect to Awards not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Awards: (i) if the Committee determines that a 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or (ii) if a Participant is promoted, demoted or transferred to a different business unit or function during a Measurement Period, the Committee may determine that the Performance Goals or Measurement Period are no longer appropriate and may (A) adjust, change or eliminate the Performance Goals or the applicable Measurement Period as it deems appropriate to make such goals and period comparable to the initial Performance Goals and Measurement Period, or (B) make an Award to the Participant in amount determined by the Committee to be in the best interests of the Company, in the sole discretion of the Committee.</w:t>
      </w:r>
    </w:p>
    <w:p>
      <w:pPr>
        <w:spacing w:after="0" w:line="166" w:lineRule="exact"/>
        <w:rPr>
          <w:rFonts w:ascii="Arial" w:cs="Arial" w:eastAsia="Arial" w:hAnsi="Arial"/>
          <w:sz w:val="16"/>
          <w:szCs w:val="16"/>
          <w:color w:val="auto"/>
        </w:rPr>
      </w:pPr>
    </w:p>
    <w:p>
      <w:pPr>
        <w:ind w:left="660" w:firstLine="645"/>
        <w:spacing w:after="0" w:line="268" w:lineRule="auto"/>
        <w:tabs>
          <w:tab w:leader="none" w:pos="1563"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Awards Intended to Qualify as Qualified Performance-Based Awards. </w:t>
      </w:r>
      <w:r>
        <w:rPr>
          <w:rFonts w:ascii="Arial" w:cs="Arial" w:eastAsia="Arial" w:hAnsi="Arial"/>
          <w:sz w:val="17"/>
          <w:szCs w:val="17"/>
          <w:color w:val="auto"/>
        </w:rPr>
        <w:t>With respect to Awards intended to qualify as 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Awards, unless otherwise specified by the Committee in its written 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(as defined below), in each case a "Re-Set Event," then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4 and 5 (a) through (c) above, as the Committee deems appropriate, with respect to the acquired business (which business shall be tracked separately as an independent business unit for purposes of any such supplemental performance criteria). For purposes of this Section, a "Triggering Acquisition"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584" w:right="259" w:bottom="1440" w:gutter="0" w:footer="0" w:header="0"/>
        </w:sectPr>
      </w:pPr>
    </w:p>
    <w:bookmarkStart w:id="70" w:name="page71"/>
    <w:bookmarkEnd w:id="70"/>
    <w:p>
      <w:pPr>
        <w:ind w:left="660" w:right="20"/>
        <w:spacing w:after="0" w:line="271" w:lineRule="auto"/>
        <w:rPr>
          <w:sz w:val="20"/>
          <w:szCs w:val="20"/>
          <w:color w:val="auto"/>
        </w:rPr>
      </w:pPr>
      <w:r>
        <w:rPr>
          <w:rFonts w:ascii="Arial" w:cs="Arial" w:eastAsia="Arial" w:hAnsi="Arial"/>
          <w:sz w:val="17"/>
          <w:szCs w:val="17"/>
          <w:color w:val="auto"/>
        </w:rPr>
        <w:t>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5(f)(2) will be construed to authorize the Committee to take actions under this Section 5(f)(2) that are not permitted by Section 162(m) of the Code.</w:t>
      </w:r>
    </w:p>
    <w:p>
      <w:pPr>
        <w:spacing w:after="0" w:line="179" w:lineRule="exact"/>
        <w:rPr>
          <w:sz w:val="20"/>
          <w:szCs w:val="20"/>
          <w:color w:val="auto"/>
        </w:rPr>
      </w:pPr>
    </w:p>
    <w:p>
      <w:pPr>
        <w:ind w:firstLine="656"/>
        <w:spacing w:after="0" w:line="289" w:lineRule="auto"/>
        <w:tabs>
          <w:tab w:leader="none" w:pos="903"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Notwithstanding Section 5(d), in the event of a Change in Control, each Measurement Period shall be deemed to have ended</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last day of the fiscal month immediately preceding such Change in Control (the "CIC Termination Date"). The Committee shall determine with respect to each Participant whether his or her Performance Goal(s) were "Achieved" (as defined below) as of the CIC Termination Date and, in the case of any such achievement, a Participant shall receive, subject to the terms and conditions of the Plan, payment within thirty days following such determination by the Committee. Subject to the Committee’s discretion set forth in Section 6(b), Awards that are Achieved as defined in clause (i) of the definition of "Achieved" shall not be pro-rated and Awards that are Achieved as defined in clause (ii) of such definition shall be pro-rated. For purposes of this Section 5(g), "Achieved" shall mean with respect to (i) a non-financial or non-numerical Performance Goal, the full achievement of such Performance Goal [as of the CIC Termination Date];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 and Certification of Attainment of Performance Goals; Committee Discretion.</w:t>
      </w:r>
    </w:p>
    <w:p>
      <w:pPr>
        <w:spacing w:after="0" w:line="225" w:lineRule="exact"/>
        <w:rPr>
          <w:rFonts w:ascii="Arial" w:cs="Arial" w:eastAsia="Arial" w:hAnsi="Arial"/>
          <w:sz w:val="18"/>
          <w:szCs w:val="18"/>
          <w:b w:val="1"/>
          <w:bCs w:val="1"/>
          <w:i w:val="1"/>
          <w:iCs w:val="1"/>
          <w:color w:val="auto"/>
        </w:rPr>
      </w:pPr>
    </w:p>
    <w:p>
      <w:pPr>
        <w:ind w:right="100" w:firstLine="656"/>
        <w:spacing w:after="0" w:line="276" w:lineRule="auto"/>
        <w:tabs>
          <w:tab w:leader="none" w:pos="893" w:val="left"/>
        </w:tabs>
        <w:numPr>
          <w:ilvl w:val="1"/>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and Certification of Awards. </w:t>
      </w:r>
      <w:r>
        <w:rPr>
          <w:rFonts w:ascii="Arial" w:cs="Arial" w:eastAsia="Arial" w:hAnsi="Arial"/>
          <w:sz w:val="17"/>
          <w:szCs w:val="17"/>
          <w:color w:val="auto"/>
        </w:rPr>
        <w:t>As soon as practicable following the completion of a Measurement Period, the Committee shall</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and to what extent the Performance Goals and other requirements established pursuant to Section 5 above have been satisfied. The Committee shall certify in writing whether the Performance Goals for the Measurement Period have been met and, if they have been met, certify the amount of the applicable Award, prior to the payment of any such Award, which writing may take the form of a Committee resolution passed by a majority of the Committee at a properly convened meeting or through unanimous action by the Committee via action by written consent.</w:t>
      </w:r>
    </w:p>
    <w:p>
      <w:pPr>
        <w:spacing w:after="0" w:line="172" w:lineRule="exact"/>
        <w:rPr>
          <w:rFonts w:ascii="Arial" w:cs="Arial" w:eastAsia="Arial" w:hAnsi="Arial"/>
          <w:sz w:val="17"/>
          <w:szCs w:val="17"/>
          <w:color w:val="auto"/>
        </w:rPr>
      </w:pPr>
    </w:p>
    <w:p>
      <w:pPr>
        <w:ind w:right="180" w:firstLine="656"/>
        <w:spacing w:after="0" w:line="297" w:lineRule="auto"/>
        <w:tabs>
          <w:tab w:leader="none" w:pos="903"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The Committee, in its sole discretion, based on any factors the Committee deems appropriate, may reduce the Award to</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Awards.</w:t>
      </w:r>
    </w:p>
    <w:p>
      <w:pPr>
        <w:spacing w:after="0" w:line="225"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Awards shall be paid in cash, in a single lump sum, to the Participants as soon as practicable after the Committee determines whether and to what extent Performance Goals were achieved, provided that any Award intended to satisfy the short-term deferral exemption specified in Treas. Reg. §1.409A-1(b)(4) will be paid on or before later of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Participant’s first taxable year in which the right to the payment is no longer subject to a substantial risk of forfeiture or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Company’s first taxable year in which the right to the payment is no longer subject to a substantial risk of forfeiture.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 which are compliant with Section 409A.</w:t>
      </w:r>
    </w:p>
    <w:p>
      <w:pPr>
        <w:spacing w:after="0" w:line="20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Unless otherwise determined by the Committee in its discretion, and subject to any contrary provision in an individual employment, severance or similar agreement with a Participant, a Participant must be actively employed and in good standing or on approved leave of absence as of the date of payment in order to be eligible to receive payment of an Award for such Measurement Period and a Participant whose employment terminates for any reason prior to the date of payment shall forfeit his or her right to receive payment of an Award for such Measurement Period. Notwithstanding the foregoing, with respect to any given Measurement Period, a Participant who (i) terminates employment (regardless of cause)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584" w:right="279" w:bottom="1440" w:gutter="0" w:footer="0" w:header="0"/>
        </w:sectPr>
      </w:pPr>
    </w:p>
    <w:bookmarkStart w:id="71" w:name="page72"/>
    <w:bookmarkEnd w:id="71"/>
    <w:p>
      <w:pPr>
        <w:ind w:right="260"/>
        <w:spacing w:after="0" w:line="264" w:lineRule="auto"/>
        <w:rPr>
          <w:sz w:val="20"/>
          <w:szCs w:val="20"/>
          <w:color w:val="auto"/>
        </w:rPr>
      </w:pPr>
      <w:r>
        <w:rPr>
          <w:rFonts w:ascii="Arial" w:cs="Arial" w:eastAsia="Arial" w:hAnsi="Arial"/>
          <w:sz w:val="18"/>
          <w:szCs w:val="18"/>
          <w:color w:val="auto"/>
        </w:rPr>
        <w:t>prior to the payment date, and (ii) pursuant to a separate contractual arrangement with the Company is entitled to receive payments from the Company thereunder extending to or beyond such payment date as a result of such termination, shall be deemed to have been employed by the Company through the payment date for purposes of Award eligibility.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8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Termination.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stockholder approval of any amendment determined to require stockholder approval pursuant to Section 162(m) of the Code or any other applicable law, rule regulation or listing requirement.</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Notwithstanding anything in the Plan or the terms of any Award or other applicable agreement to the contrary, the Committee may amend the Plan or any Award or other applicable agreement, to take effect retroactively or otherwise, as deemed necessary or advisable for the purpose of conforming the Plan, Award or other applicable agreement to any present or future law relating to plans of this or similar nature (including, but not limited to, Section 409A of the Code), and to the administrative regulations and rulings promulgated thereunder. By participating in this Plan, a Participant agrees to any amendment made pursuant to this Section to any Award under the Plan without further consideration or action.</w:t>
      </w:r>
    </w:p>
    <w:p>
      <w:pPr>
        <w:spacing w:after="0" w:line="173"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Nonassignability.</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70"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Right to Continued Employment.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Nothing in this Plan shall confer upon any Participant any right to continue in the employ of the Company or shall interfere with or restrict in any way the right of the Company to discharge such employee at any time for any reason whatsoever, with or without good cause.</w:t>
      </w:r>
    </w:p>
    <w:p>
      <w:pPr>
        <w:spacing w:after="0" w:line="17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Effectiveness.</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Plan is effective for Measurement Periods beginning on or after September 3, 2004.</w:t>
      </w:r>
    </w:p>
    <w:p>
      <w:pPr>
        <w:spacing w:after="0" w:line="225" w:lineRule="exact"/>
        <w:rPr>
          <w:rFonts w:ascii="Arial" w:cs="Arial" w:eastAsia="Arial" w:hAnsi="Arial"/>
          <w:sz w:val="18"/>
          <w:szCs w:val="18"/>
          <w:b w:val="1"/>
          <w:bCs w:val="1"/>
          <w:i w:val="1"/>
          <w:iCs w:val="1"/>
          <w:color w:val="auto"/>
        </w:rPr>
      </w:pPr>
    </w:p>
    <w:p>
      <w:pPr>
        <w:ind w:left="660" w:hanging="652"/>
        <w:spacing w:after="0"/>
        <w:tabs>
          <w:tab w:leader="none" w:pos="6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Recoupment Policy.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Awards granted under this Plan shall be subject to any compensation recoupment policy that the Company may adopt from time to time that is applicable by its terms to the recipient of such Award.</w:t>
      </w:r>
    </w:p>
    <w:p>
      <w:pPr>
        <w:spacing w:after="0" w:line="17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Special Provisions Related To Section 409A of the Code.</w:t>
      </w:r>
    </w:p>
    <w:p>
      <w:pPr>
        <w:spacing w:after="0" w:line="225" w:lineRule="exact"/>
        <w:rPr>
          <w:rFonts w:ascii="Arial" w:cs="Arial" w:eastAsia="Arial" w:hAnsi="Arial"/>
          <w:sz w:val="18"/>
          <w:szCs w:val="18"/>
          <w:b w:val="1"/>
          <w:bCs w:val="1"/>
          <w:i w:val="1"/>
          <w:iCs w:val="1"/>
          <w:color w:val="auto"/>
        </w:rPr>
      </w:pPr>
    </w:p>
    <w:p>
      <w:pPr>
        <w:ind w:right="280" w:firstLine="656"/>
        <w:spacing w:after="0" w:line="276" w:lineRule="auto"/>
        <w:tabs>
          <w:tab w:leader="none" w:pos="893" w:val="left"/>
        </w:tabs>
        <w:numPr>
          <w:ilvl w:val="1"/>
          <w:numId w:val="85"/>
        </w:numPr>
        <w:rPr>
          <w:rFonts w:ascii="Arial" w:cs="Arial" w:eastAsia="Arial" w:hAnsi="Arial"/>
          <w:sz w:val="17"/>
          <w:szCs w:val="17"/>
          <w:color w:val="auto"/>
        </w:rPr>
      </w:pPr>
      <w:r>
        <w:rPr>
          <w:rFonts w:ascii="Arial" w:cs="Arial" w:eastAsia="Arial" w:hAnsi="Arial"/>
          <w:sz w:val="17"/>
          <w:szCs w:val="17"/>
          <w:color w:val="auto"/>
        </w:rPr>
        <w:t>It is intended that the payments and benefits provided under the Plan and any Award shall either be exempt from the application of, or comply with, the requirements of Section 409A of the Code. The Plan and all Awards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72" w:lineRule="exact"/>
        <w:rPr>
          <w:rFonts w:ascii="Arial" w:cs="Arial" w:eastAsia="Arial" w:hAnsi="Arial"/>
          <w:sz w:val="17"/>
          <w:szCs w:val="17"/>
          <w:color w:val="auto"/>
        </w:rPr>
      </w:pPr>
    </w:p>
    <w:p>
      <w:pPr>
        <w:jc w:val="both"/>
        <w:ind w:right="80" w:firstLine="656"/>
        <w:spacing w:after="0" w:line="259" w:lineRule="auto"/>
        <w:tabs>
          <w:tab w:leader="none" w:pos="9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or other applicable agreement to the contrary, to the extent that any amount or benefit that would constitute non-exempt "deferred compensation" for purposes of Section 409A of the Code would otherwise be payable or distributable under the Plan or any Award or other applicable agreement by reason of the occurrence of a change in control, or the participant’s disability or separation from service, such amount or benefit will not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584" w:right="259" w:bottom="1440" w:gutter="0" w:footer="0" w:header="0"/>
        </w:sectPr>
      </w:pPr>
    </w:p>
    <w:bookmarkStart w:id="72" w:name="page73"/>
    <w:bookmarkEnd w:id="72"/>
    <w:p>
      <w:pPr>
        <w:ind w:right="60"/>
        <w:spacing w:after="0" w:line="272" w:lineRule="auto"/>
        <w:rPr>
          <w:sz w:val="20"/>
          <w:szCs w:val="20"/>
          <w:color w:val="auto"/>
        </w:rPr>
      </w:pPr>
      <w:r>
        <w:rPr>
          <w:rFonts w:ascii="Arial" w:cs="Arial" w:eastAsia="Arial" w:hAnsi="Arial"/>
          <w:sz w:val="17"/>
          <w:szCs w:val="17"/>
          <w:color w:val="auto"/>
        </w:rPr>
        <w:t>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and applicable regulations (without giving effect to any elective provisions that may be available under such definition), or (ii) the payment or distribution of such amount or benefit would be exempt from the application of Section 409A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or other applicable agreement that is permissible under Section 409A.</w:t>
      </w:r>
    </w:p>
    <w:p>
      <w:pPr>
        <w:spacing w:after="0" w:line="178" w:lineRule="exact"/>
        <w:rPr>
          <w:sz w:val="20"/>
          <w:szCs w:val="20"/>
          <w:color w:val="auto"/>
        </w:rPr>
      </w:pPr>
    </w:p>
    <w:p>
      <w:pPr>
        <w:ind w:right="60" w:firstLine="656"/>
        <w:spacing w:after="0" w:line="286" w:lineRule="auto"/>
        <w:tabs>
          <w:tab w:leader="none" w:pos="893"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any one or more Awards granted under the Plan to a Participant could qualify for any separation pay exemption described in Treas. Reg. Section 1.409A-1(b)(9), but such Awards in the aggregate exceeds the dollar limit permitted for the separation pay exemptions, the Company (acting through the Committee or the Head of Human Resources) shall determine which Awards or portions thereof will be subject to such exemptions.</w:t>
      </w:r>
    </w:p>
    <w:p>
      <w:pPr>
        <w:spacing w:after="0" w:line="165" w:lineRule="exact"/>
        <w:rPr>
          <w:rFonts w:ascii="Arial" w:cs="Arial" w:eastAsia="Arial" w:hAnsi="Arial"/>
          <w:sz w:val="17"/>
          <w:szCs w:val="17"/>
          <w:color w:val="auto"/>
        </w:rPr>
      </w:pPr>
    </w:p>
    <w:p>
      <w:pPr>
        <w:ind w:firstLine="656"/>
        <w:spacing w:after="0" w:line="286" w:lineRule="auto"/>
        <w:tabs>
          <w:tab w:leader="none" w:pos="9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if any amount or benefit that would constitute non-exempt "deferred compensation" for purposes of Section 409A would otherwise be payable or distributable under this Plan or in any Award or other applicable agreement by reason of Participant’s separation from service during a period in which the Participant is a Specified Employee (as defined below), then, subject to any permissible acceleration of payment by the Committee under Treas. Reg. Section 1.409A-3(j)(4)(ii) (domestic relations order), (j)</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(conflicts of interest), or (j)(4)(vi) (payment of employment taxes):</w:t>
      </w:r>
    </w:p>
    <w:p>
      <w:pPr>
        <w:spacing w:after="0" w:line="210" w:lineRule="exact"/>
        <w:rPr>
          <w:rFonts w:ascii="Arial" w:cs="Arial" w:eastAsia="Arial" w:hAnsi="Arial"/>
          <w:sz w:val="16"/>
          <w:szCs w:val="16"/>
          <w:color w:val="auto"/>
        </w:rPr>
      </w:pPr>
    </w:p>
    <w:p>
      <w:pPr>
        <w:jc w:val="both"/>
        <w:ind w:left="660" w:right="320" w:firstLine="645"/>
        <w:spacing w:after="0" w:line="264" w:lineRule="auto"/>
        <w:tabs>
          <w:tab w:leader="none" w:pos="152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1" w:lineRule="exact"/>
        <w:rPr>
          <w:rFonts w:ascii="Arial" w:cs="Arial" w:eastAsia="Arial" w:hAnsi="Arial"/>
          <w:sz w:val="18"/>
          <w:szCs w:val="18"/>
          <w:color w:val="auto"/>
        </w:rPr>
      </w:pPr>
    </w:p>
    <w:p>
      <w:pPr>
        <w:ind w:left="660" w:right="80" w:firstLine="645"/>
        <w:spacing w:after="0" w:line="276" w:lineRule="auto"/>
        <w:tabs>
          <w:tab w:leader="none" w:pos="1573" w:val="left"/>
        </w:tabs>
        <w:numPr>
          <w:ilvl w:val="1"/>
          <w:numId w:val="86"/>
        </w:numPr>
        <w:rPr>
          <w:rFonts w:ascii="Arial" w:cs="Arial" w:eastAsia="Arial" w:hAnsi="Arial"/>
          <w:sz w:val="17"/>
          <w:szCs w:val="17"/>
          <w:color w:val="auto"/>
        </w:rPr>
      </w:pPr>
      <w:r>
        <w:rPr>
          <w:rFonts w:ascii="Arial" w:cs="Arial" w:eastAsia="Arial" w:hAnsi="Arial"/>
          <w:sz w:val="17"/>
          <w:szCs w:val="17"/>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 purposes of this Plan, the term "Specified Employee" has the meaning given such term in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40" w:top="584" w:right="27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05805" cy="4459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0580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o"/>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o"/>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o"/>
      <w:numFmt w:val="bullet"/>
      <w:start w:val="1"/>
    </w:lvl>
    <w:lvl w:ilvl="1">
      <w:lvlJc w:val="left"/>
      <w:lvlText w:val="(%2)"/>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lvl w:ilvl="1">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lvl w:ilvl="1">
      <w:lvlJc w:val="left"/>
      <w:lvlText w:val="(%2)"/>
      <w:numFmt w:val="decimal"/>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3"/>
    </w:lvl>
  </w:abstractNum>
  <w:abstractNum w:abstractNumId="34">
    <w:nsid w:val="D34B6A8"/>
    <w:multiLevelType w:val="hybridMultilevel"/>
    <w:lvl w:ilvl="0">
      <w:lvlJc w:val="left"/>
      <w:lvlText w:val="(%1)"/>
      <w:numFmt w:val="decimal"/>
      <w:start w:val="4"/>
    </w:lvl>
  </w:abstractNum>
  <w:abstractNum w:abstractNumId="35">
    <w:nsid w:val="10233C99"/>
    <w:multiLevelType w:val="hybridMultilevel"/>
    <w:lvl w:ilvl="0">
      <w:lvlJc w:val="left"/>
      <w:lvlText w:val="(%1)"/>
      <w:numFmt w:val="decimal"/>
      <w:start w:val="5"/>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5"/>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4"/>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lowerRoman"/>
      <w:start w:val="4"/>
    </w:lvl>
  </w:abstractNum>
  <w:abstractNum w:abstractNumId="48">
    <w:nsid w:val="1381823A"/>
    <w:multiLevelType w:val="hybridMultilevel"/>
    <w:lvl w:ilvl="0">
      <w:lvlJc w:val="left"/>
      <w:lvlText w:val="(%1)"/>
      <w:numFmt w:val="decimal"/>
      <w:start w:val="5"/>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3"/>
    </w:lvl>
  </w:abstractNum>
  <w:abstractNum w:abstractNumId="51">
    <w:nsid w:val="6590700B"/>
    <w:multiLevelType w:val="hybridMultilevel"/>
    <w:lvl w:ilvl="0">
      <w:lvlJc w:val="left"/>
      <w:lvlText w:val="(%1)"/>
      <w:numFmt w:val="lowerRoman"/>
      <w:start w:val="1"/>
    </w:lvl>
  </w:abstractNum>
  <w:abstractNum w:abstractNumId="52">
    <w:nsid w:val="15014ACB"/>
    <w:multiLevelType w:val="hybridMultilevel"/>
    <w:lvl w:ilvl="0">
      <w:lvlJc w:val="left"/>
      <w:lvlText w:val="%1."/>
      <w:numFmt w:val="decimal"/>
      <w:start w:val="1"/>
    </w:lvl>
    <w:lvl w:ilvl="1">
      <w:lvlJc w:val="left"/>
      <w:lvlText w:val="(%2)"/>
      <w:numFmt w:val="lowerLetter"/>
      <w:start w:val="1"/>
    </w:lvl>
  </w:abstractNum>
  <w:abstractNum w:abstractNumId="53">
    <w:nsid w:val="5F5E7FD0"/>
    <w:multiLevelType w:val="hybridMultilevel"/>
    <w:lvl w:ilvl="0">
      <w:lvlJc w:val="left"/>
      <w:lvlText w:val="(%1)"/>
      <w:numFmt w:val="lowerLetter"/>
      <w:start w:val="10"/>
    </w:lvl>
  </w:abstractNum>
  <w:abstractNum w:abstractNumId="54">
    <w:nsid w:val="98A3148"/>
    <w:multiLevelType w:val="hybridMultilevel"/>
    <w:lvl w:ilvl="0">
      <w:lvlJc w:val="left"/>
      <w:lvlText w:val="(%1)"/>
      <w:numFmt w:val="lowerLetter"/>
      <w:start w:val="20"/>
    </w:lvl>
  </w:abstractNum>
  <w:abstractNum w:abstractNumId="55">
    <w:nsid w:val="799D0247"/>
    <w:multiLevelType w:val="hybridMultilevel"/>
    <w:lvl w:ilvl="0">
      <w:lvlJc w:val="left"/>
      <w:lvlText w:val="(%1)"/>
      <w:numFmt w:val="lowerLetter"/>
      <w:start w:val="28"/>
    </w:lvl>
  </w:abstractNum>
  <w:abstractNum w:abstractNumId="56">
    <w:nsid w:val="6B94764"/>
    <w:multiLevelType w:val="hybridMultilevel"/>
    <w:lvl w:ilvl="0">
      <w:lvlJc w:val="left"/>
      <w:lvlText w:val="%1."/>
      <w:numFmt w:val="decimal"/>
      <w:start w:val="3"/>
    </w:lvl>
  </w:abstractNum>
  <w:abstractNum w:abstractNumId="57">
    <w:nsid w:val="42C296BD"/>
    <w:multiLevelType w:val="hybridMultilevel"/>
    <w:lvl w:ilvl="0">
      <w:lvlJc w:val="left"/>
      <w:lvlText w:val="%1"/>
      <w:numFmt w:val="decimal"/>
      <w:start w:val="1"/>
    </w:lvl>
    <w:lvl w:ilvl="1">
      <w:lvlJc w:val="left"/>
      <w:lvlText w:val="(%2)"/>
      <w:numFmt w:val="lowerLetter"/>
      <w:start w:val="1"/>
    </w:lvl>
  </w:abstractNum>
  <w:abstractNum w:abstractNumId="58">
    <w:nsid w:val="168E121F"/>
    <w:multiLevelType w:val="hybridMultilevel"/>
    <w:lvl w:ilvl="0">
      <w:lvlJc w:val="left"/>
      <w:lvlText w:val="%1."/>
      <w:numFmt w:val="decimal"/>
      <w:start w:val="4"/>
    </w:lvl>
    <w:lvl w:ilvl="1">
      <w:lvlJc w:val="left"/>
      <w:lvlText w:val="(%2)"/>
      <w:numFmt w:val="lowerLetter"/>
      <w:start w:val="1"/>
    </w:lvl>
  </w:abstractNum>
  <w:abstractNum w:abstractNumId="59">
    <w:nsid w:val="1EBA5D23"/>
    <w:multiLevelType w:val="hybridMultilevel"/>
    <w:lvl w:ilvl="0">
      <w:lvlJc w:val="left"/>
      <w:lvlText w:val="%1."/>
      <w:numFmt w:val="decimal"/>
      <w:start w:val="7"/>
    </w:lvl>
    <w:lvl w:ilvl="1">
      <w:lvlJc w:val="left"/>
      <w:lvlText w:val="(%2)"/>
      <w:numFmt w:val="lowerLetter"/>
      <w:start w:val="1"/>
    </w:lvl>
  </w:abstractNum>
  <w:abstractNum w:abstractNumId="60">
    <w:nsid w:val="661E3F1E"/>
    <w:multiLevelType w:val="hybridMultilevel"/>
    <w:lvl w:ilvl="0">
      <w:lvlJc w:val="left"/>
      <w:lvlText w:val="%1."/>
      <w:numFmt w:val="decimal"/>
      <w:start w:val="10"/>
    </w:lvl>
  </w:abstractNum>
  <w:abstractNum w:abstractNumId="61">
    <w:nsid w:val="5DC79EA8"/>
    <w:multiLevelType w:val="hybridMultilevel"/>
    <w:lvl w:ilvl="0">
      <w:lvlJc w:val="left"/>
      <w:lvlText w:val="%1"/>
      <w:numFmt w:val="decimal"/>
      <w:start w:val="1"/>
    </w:lvl>
    <w:lvl w:ilvl="1">
      <w:lvlJc w:val="left"/>
      <w:lvlText w:val="(%2)"/>
      <w:numFmt w:val="lowerLetter"/>
      <w:start w:val="1"/>
    </w:lvl>
  </w:abstractNum>
  <w:abstractNum w:abstractNumId="62">
    <w:nsid w:val="540A471C"/>
    <w:multiLevelType w:val="hybridMultilevel"/>
    <w:lvl w:ilvl="0">
      <w:lvlJc w:val="left"/>
      <w:lvlText w:val="%1."/>
      <w:numFmt w:val="decimal"/>
      <w:start w:val="11"/>
    </w:lvl>
    <w:lvl w:ilvl="1">
      <w:lvlJc w:val="left"/>
      <w:lvlText w:val="(%2)"/>
      <w:numFmt w:val="lowerLetter"/>
      <w:start w:val="1"/>
    </w:lvl>
  </w:abstractNum>
  <w:abstractNum w:abstractNumId="63">
    <w:nsid w:val="7BD3EE7B"/>
    <w:multiLevelType w:val="hybridMultilevel"/>
    <w:lvl w:ilvl="0">
      <w:lvlJc w:val="left"/>
      <w:lvlText w:val="%1"/>
      <w:numFmt w:val="decimal"/>
      <w:start w:val="1"/>
    </w:lvl>
    <w:lvl w:ilvl="1">
      <w:lvlJc w:val="left"/>
      <w:lvlText w:val="(%2)"/>
      <w:numFmt w:val="lowerLetter"/>
      <w:start w:val="4"/>
    </w:lvl>
  </w:abstractNum>
  <w:abstractNum w:abstractNumId="64">
    <w:nsid w:val="51D9C564"/>
    <w:multiLevelType w:val="hybridMultilevel"/>
    <w:lvl w:ilvl="0">
      <w:lvlJc w:val="left"/>
      <w:lvlText w:val="%1."/>
      <w:numFmt w:val="decimal"/>
      <w:start w:val="15"/>
    </w:lvl>
    <w:lvl w:ilvl="1">
      <w:lvlJc w:val="left"/>
      <w:lvlText w:val="(%2)"/>
      <w:numFmt w:val="lowerLetter"/>
      <w:start w:val="1"/>
    </w:lvl>
  </w:abstractNum>
  <w:abstractNum w:abstractNumId="65">
    <w:nsid w:val="613EFDC5"/>
    <w:multiLevelType w:val="hybridMultilevel"/>
    <w:lvl w:ilvl="0">
      <w:lvlJc w:val="left"/>
      <w:lvlText w:val="%1."/>
      <w:numFmt w:val="decimal"/>
      <w:start w:val="19"/>
    </w:lvl>
    <w:lvl w:ilvl="1">
      <w:lvlJc w:val="left"/>
      <w:lvlText w:val="(%2)"/>
      <w:numFmt w:val="lowerLetter"/>
      <w:start w:val="1"/>
    </w:lvl>
  </w:abstractNum>
  <w:abstractNum w:abstractNumId="66">
    <w:nsid w:val="BF72B14"/>
    <w:multiLevelType w:val="hybridMultilevel"/>
    <w:lvl w:ilvl="0">
      <w:lvlJc w:val="left"/>
      <w:lvlText w:val="%1."/>
      <w:numFmt w:val="decimal"/>
      <w:start w:val="21"/>
    </w:lvl>
    <w:lvl w:ilvl="1">
      <w:lvlJc w:val="left"/>
      <w:lvlText w:val="(%2)"/>
      <w:numFmt w:val="lowerLetter"/>
      <w:start w:val="1"/>
    </w:lvl>
  </w:abstractNum>
  <w:abstractNum w:abstractNumId="67">
    <w:nsid w:val="11447B73"/>
    <w:multiLevelType w:val="hybridMultilevel"/>
    <w:lvl w:ilvl="0">
      <w:lvlJc w:val="left"/>
      <w:lvlText w:val="%1."/>
      <w:numFmt w:val="decimal"/>
      <w:start w:val="27"/>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2"/>
    </w:lvl>
  </w:abstractNum>
  <w:abstractNum w:abstractNumId="70">
    <w:nsid w:val="8F2B15E"/>
    <w:multiLevelType w:val="hybridMultilevel"/>
    <w:lvl w:ilvl="0">
      <w:lvlJc w:val="left"/>
      <w:lvlText w:val="(%1)"/>
      <w:numFmt w:val="lowerLetter"/>
      <w:start w:val="1"/>
    </w:lvl>
    <w:lvl w:ilvl="1">
      <w:lvlJc w:val="left"/>
      <w:lvlText w:val="(%2)"/>
      <w:numFmt w:val="lowerRoman"/>
      <w:start w:val="1"/>
    </w:lvl>
  </w:abstractNum>
  <w:abstractNum w:abstractNumId="71">
    <w:nsid w:val="1A32234B"/>
    <w:multiLevelType w:val="hybridMultilevel"/>
    <w:lvl w:ilvl="0">
      <w:lvlJc w:val="left"/>
      <w:lvlText w:val="(%1)"/>
      <w:numFmt w:val="lowerLetter"/>
      <w:start w:val="25"/>
    </w:lvl>
    <w:lvl w:ilvl="1">
      <w:lvlJc w:val="left"/>
      <w:lvlText w:val="(%2)"/>
      <w:numFmt w:val="lowerRoman"/>
      <w:start w:val="3"/>
    </w:lvl>
  </w:abstractNum>
  <w:abstractNum w:abstractNumId="72">
    <w:nsid w:val="3B0FD379"/>
    <w:multiLevelType w:val="hybridMultilevel"/>
    <w:lvl w:ilvl="0">
      <w:lvlJc w:val="left"/>
      <w:lvlText w:val="%1"/>
      <w:numFmt w:val="decimal"/>
      <w:start w:val="1"/>
    </w:lvl>
    <w:lvl w:ilvl="1">
      <w:lvlJc w:val="left"/>
      <w:lvlText w:val="(%2)"/>
      <w:numFmt w:val="lowerLetter"/>
      <w:start w:val="3"/>
    </w:lvl>
  </w:abstractNum>
  <w:abstractNum w:abstractNumId="73">
    <w:nsid w:val="68EB2F63"/>
    <w:multiLevelType w:val="hybridMultilevel"/>
    <w:lvl w:ilvl="0">
      <w:lvlJc w:val="left"/>
      <w:lvlText w:val="%1."/>
      <w:numFmt w:val="decimal"/>
      <w:start w:val="2"/>
    </w:lvl>
    <w:lvl w:ilvl="1">
      <w:lvlJc w:val="left"/>
      <w:lvlText w:val="%2"/>
      <w:numFmt w:val="lowerLetter"/>
      <w:start w:val="1"/>
    </w:lvl>
  </w:abstractNum>
  <w:abstractNum w:abstractNumId="74">
    <w:nsid w:val="4962813B"/>
    <w:multiLevelType w:val="hybridMultilevel"/>
    <w:lvl w:ilvl="0">
      <w:lvlJc w:val="left"/>
      <w:lvlText w:val="%1."/>
      <w:numFmt w:val="decimal"/>
      <w:start w:val="3"/>
    </w:lvl>
  </w:abstractNum>
  <w:abstractNum w:abstractNumId="75">
    <w:nsid w:val="60B6DF70"/>
    <w:multiLevelType w:val="hybridMultilevel"/>
    <w:lvl w:ilvl="0">
      <w:lvlJc w:val="left"/>
      <w:lvlText w:val="%1."/>
      <w:numFmt w:val="decimal"/>
      <w:start w:val="4"/>
    </w:lvl>
  </w:abstractNum>
  <w:abstractNum w:abstractNumId="76">
    <w:nsid w:val="6A5EE64"/>
    <w:multiLevelType w:val="hybridMultilevel"/>
    <w:lvl w:ilvl="0">
      <w:lvlJc w:val="left"/>
      <w:lvlText w:val="%1."/>
      <w:numFmt w:val="decimal"/>
      <w:start w:val="5"/>
    </w:lvl>
    <w:lvl w:ilvl="1">
      <w:lvlJc w:val="left"/>
      <w:lvlText w:val="(%2)"/>
      <w:numFmt w:val="lowerLetter"/>
      <w:start w:val="1"/>
    </w:lvl>
  </w:abstractNum>
  <w:abstractNum w:abstractNumId="77">
    <w:nsid w:val="14330624"/>
    <w:multiLevelType w:val="hybridMultilevel"/>
    <w:lvl w:ilvl="0">
      <w:lvlJc w:val="left"/>
      <w:lvlText w:val="(%1)"/>
      <w:numFmt w:val="lowerLetter"/>
      <w:start w:val="2"/>
    </w:lvl>
    <w:lvl w:ilvl="1">
      <w:lvlJc w:val="left"/>
      <w:lvlText w:val="(%2)"/>
      <w:numFmt w:val="decimal"/>
      <w:start w:val="1"/>
    </w:lvl>
  </w:abstractNum>
  <w:abstractNum w:abstractNumId="78">
    <w:nsid w:val="7FFFCA11"/>
    <w:multiLevelType w:val="hybridMultilevel"/>
    <w:lvl w:ilvl="0">
      <w:lvlJc w:val="left"/>
      <w:lvlText w:val="%1"/>
      <w:numFmt w:val="decimal"/>
      <w:start w:val="1"/>
    </w:lvl>
    <w:lvl w:ilvl="1">
      <w:lvlJc w:val="left"/>
      <w:lvlText w:val="(%2)"/>
      <w:numFmt w:val="lowerLetter"/>
      <w:start w:val="7"/>
    </w:lvl>
  </w:abstractNum>
  <w:abstractNum w:abstractNumId="79">
    <w:nsid w:val="1A27709E"/>
    <w:multiLevelType w:val="hybridMultilevel"/>
    <w:lvl w:ilvl="0">
      <w:lvlJc w:val="left"/>
      <w:lvlText w:val="%1."/>
      <w:numFmt w:val="decimal"/>
      <w:start w:val="6"/>
    </w:lvl>
    <w:lvl w:ilvl="1">
      <w:lvlJc w:val="left"/>
      <w:lvlText w:val="(%2)"/>
      <w:numFmt w:val="lowerLetter"/>
      <w:start w:val="1"/>
    </w:lvl>
  </w:abstractNum>
  <w:abstractNum w:abstractNumId="80">
    <w:nsid w:val="71EA1109"/>
    <w:multiLevelType w:val="hybridMultilevel"/>
    <w:lvl w:ilvl="0">
      <w:lvlJc w:val="left"/>
      <w:lvlText w:val="%1."/>
      <w:numFmt w:val="decimal"/>
      <w:start w:val="8"/>
    </w:lvl>
  </w:abstractNum>
  <w:abstractNum w:abstractNumId="81">
    <w:nsid w:val="100F59DC"/>
    <w:multiLevelType w:val="hybridMultilevel"/>
    <w:lvl w:ilvl="0">
      <w:lvlJc w:val="left"/>
      <w:lvlText w:val="%1."/>
      <w:numFmt w:val="decimal"/>
      <w:start w:val="9"/>
    </w:lvl>
  </w:abstractNum>
  <w:abstractNum w:abstractNumId="82">
    <w:nsid w:val="7FB7E0AA"/>
    <w:multiLevelType w:val="hybridMultilevel"/>
    <w:lvl w:ilvl="0">
      <w:lvlJc w:val="left"/>
      <w:lvlText w:val="%1."/>
      <w:numFmt w:val="decimal"/>
      <w:start w:val="10"/>
    </w:lvl>
  </w:abstractNum>
  <w:abstractNum w:abstractNumId="83">
    <w:nsid w:val="6EB5BD4"/>
    <w:multiLevelType w:val="hybridMultilevel"/>
    <w:lvl w:ilvl="0">
      <w:lvlJc w:val="left"/>
      <w:lvlText w:val="%1."/>
      <w:numFmt w:val="decimal"/>
      <w:start w:val="11"/>
    </w:lvl>
  </w:abstractNum>
  <w:abstractNum w:abstractNumId="84">
    <w:nsid w:val="6F6DD9AC"/>
    <w:multiLevelType w:val="hybridMultilevel"/>
    <w:lvl w:ilvl="0">
      <w:lvlJc w:val="left"/>
      <w:lvlText w:val="%1."/>
      <w:numFmt w:val="decimal"/>
      <w:start w:val="13"/>
    </w:lvl>
    <w:lvl w:ilvl="1">
      <w:lvlJc w:val="left"/>
      <w:lvlText w:val="(%2)"/>
      <w:numFmt w:val="lowerLetter"/>
      <w:start w:val="1"/>
    </w:lvl>
  </w:abstractNum>
  <w:abstractNum w:abstractNumId="85">
    <w:nsid w:val="94211F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2019-12-05T11:26:56Z</dcterms:created>
  <dcterms:modified xsi:type="dcterms:W3CDTF">2019-12-05T11:26:56Z</dcterms:modified>
</cp:coreProperties>
</file>