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8305d1_8k.htm"/>
      <w:bookmarkStart w:id="1" w:name="kstm248305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UNITED STATES</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 xml:space="preserve">FORM </w:t>
      </w:r>
      <w:bookmarkStart w:id="2" w:name="xdx_90A_edei--DocumentType_c20240311__20"/>
      <w:bookmarkEnd w:id="2"/>
      <w:r>
        <w:rPr>
          <w:rFonts w:ascii="Arial;Helvetica;Sans-Serif" w:hAnsi="Arial;Helvetica;San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CURRENT REPORT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3" w:name="xdx_908_edei--DocumentPeriodEndDate_c202"/>
      <w:bookmarkEnd w:id="3"/>
      <w:r>
        <w:rPr>
          <w:rFonts w:ascii="Arial;Helvetica;Sans-Serif" w:hAnsi="Arial;Helvetica;Sans-Serif"/>
          <w:b/>
          <w:i w:val="false"/>
          <w:caps w:val="false"/>
          <w:smallCaps w:val="false"/>
          <w:sz w:val="20"/>
        </w:rPr>
        <w:t>March 11, 2024</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85975" cy="647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5975" cy="647700"/>
                    </a:xfrm>
                    <a:prstGeom prst="rect">
                      <a:avLst/>
                    </a:prstGeom>
                  </pic:spPr>
                </pic:pic>
              </a:graphicData>
            </a:graphic>
          </wp:inline>
        </w:drawing>
      </w:r>
      <w:r>
        <w:rPr>
          <w:caps w:val="false"/>
          <w:smallCaps w:val="false"/>
        </w:rPr>
        <w:t> </w:t>
      </w:r>
    </w:p>
    <w:p>
      <w:pPr>
        <w:pStyle w:val="TextBody"/>
        <w:pBdr>
          <w:bottom w:val="single" w:sz="8" w:space="1" w:color="000000"/>
        </w:pBdr>
        <w:bidi w:val="0"/>
        <w:spacing w:before="0" w:after="0"/>
        <w:ind w:left="0" w:right="0" w:hanging="0"/>
        <w:jc w:val="center"/>
        <w:rPr>
          <w:rFonts w:ascii="Arial;Helvetica;Sans-Serif" w:hAnsi="Arial;Helvetica;Sans-Serif"/>
          <w:b/>
          <w:i w:val="false"/>
          <w:caps/>
          <w:sz w:val="32"/>
        </w:rPr>
      </w:pPr>
      <w:bookmarkStart w:id="4" w:name="xdx_90B_edei--EntityRegistrantName_c2024"/>
      <w:bookmarkEnd w:id="4"/>
      <w:r>
        <w:rPr>
          <w:rFonts w:ascii="Arial;Helvetica;Sans-Serif" w:hAnsi="Arial;Helvetica;Sans-Serif"/>
          <w:b/>
          <w:i w:val="false"/>
          <w:caps/>
          <w:sz w:val="32"/>
        </w:rPr>
        <w:t>Micron Technology,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2495"/>
        <w:gridCol w:w="60"/>
        <w:gridCol w:w="1595"/>
        <w:gridCol w:w="60"/>
        <w:gridCol w:w="1565"/>
      </w:tblGrid>
      <w:tr>
        <w:trPr/>
        <w:tc>
          <w:tcPr>
            <w:tcW w:w="2495" w:type="dxa"/>
            <w:tcBorders/>
            <w:vAlign w:val="center"/>
          </w:tcPr>
          <w:p>
            <w:pPr>
              <w:pStyle w:val="TableContents"/>
              <w:bidi w:val="0"/>
              <w:spacing w:before="0" w:after="283"/>
              <w:jc w:val="center"/>
              <w:rPr>
                <w:rFonts w:ascii="Arial;Helvetica;Sans-Serif" w:hAnsi="Arial;Helvetica;Sans-Serif"/>
                <w:b/>
                <w:sz w:val="20"/>
              </w:rPr>
            </w:pPr>
            <w:bookmarkStart w:id="5" w:name="xdx_903_edei--EntityIncorporationStateCo"/>
            <w:bookmarkEnd w:id="5"/>
            <w:r>
              <w:rPr>
                <w:rFonts w:ascii="Arial;Helvetica;Sans-Serif" w:hAnsi="Arial;Helvetica;Sans-Serif"/>
                <w:b/>
                <w:sz w:val="20"/>
              </w:rPr>
              <w:t>Delaware</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rFonts w:ascii="Arial;Helvetica;Sans-Serif" w:hAnsi="Arial;Helvetica;Sans-Serif"/>
                <w:b/>
                <w:sz w:val="20"/>
              </w:rPr>
            </w:pPr>
            <w:bookmarkStart w:id="6" w:name="xdx_902_edei--EntityFileNumber_c20240311"/>
            <w:bookmarkEnd w:id="6"/>
            <w:r>
              <w:rPr>
                <w:rFonts w:ascii="Arial;Helvetica;Sans-Serif" w:hAnsi="Arial;Helvetica;Sans-Serif"/>
                <w:b/>
                <w:sz w:val="20"/>
              </w:rPr>
              <w:t>1-10658</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Arial;Helvetica;Sans-Serif" w:hAnsi="Arial;Helvetica;Sans-Serif"/>
                <w:b/>
                <w:sz w:val="20"/>
              </w:rPr>
            </w:pPr>
            <w:bookmarkStart w:id="7" w:name="xdx_902_edei--EntityTaxIdentificationNum"/>
            <w:bookmarkEnd w:id="7"/>
            <w:r>
              <w:rPr>
                <w:rFonts w:ascii="Arial;Helvetica;Sans-Serif" w:hAnsi="Arial;Helvetica;Sans-Serif"/>
                <w:b/>
                <w:sz w:val="20"/>
              </w:rPr>
              <w:t>75-1618004</w:t>
            </w:r>
          </w:p>
        </w:tc>
      </w:tr>
      <w:tr>
        <w:trPr/>
        <w:tc>
          <w:tcPr>
            <w:tcW w:w="249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(State or other jurisdiction of</w:t>
              <w:br/>
              <w:t>incorporation)</w:t>
            </w:r>
          </w:p>
        </w:tc>
        <w:tc>
          <w:tcPr>
            <w:tcW w:w="60" w:type="dxa"/>
            <w:tcBorders/>
            <w:vAlign w:val="center"/>
          </w:tcPr>
          <w:p>
            <w:pPr>
              <w:pStyle w:val="TableContents"/>
              <w:bidi w:val="0"/>
              <w:spacing w:before="0" w:after="283"/>
              <w:jc w:val="center"/>
              <w:rPr/>
            </w:pPr>
            <w:r>
              <w:rPr/>
              <w:t> </w:t>
            </w:r>
          </w:p>
        </w:tc>
        <w:tc>
          <w:tcPr>
            <w:tcW w:w="159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 xml:space="preserve">(Commission File </w:t>
              <w:br/>
              <w:t>Number)</w:t>
            </w:r>
          </w:p>
        </w:tc>
        <w:tc>
          <w:tcPr>
            <w:tcW w:w="6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6_edei--EntityAddressAddressLine1_"/>
      <w:bookmarkEnd w:id="8"/>
      <w:r>
        <w:rPr>
          <w:rFonts w:ascii="Arial;Helvetica;Sans-Serif" w:hAnsi="Arial;Helvetica;San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D_edei--EntityAddressCityOrTown_c2"/>
      <w:bookmarkEnd w:id="9"/>
      <w:r>
        <w:rPr>
          <w:rFonts w:ascii="Arial;Helvetica;Sans-Serif" w:hAnsi="Arial;Helvetica;Sans-Serif"/>
          <w:b/>
          <w:i w:val="false"/>
          <w:caps w:val="false"/>
          <w:smallCaps w:val="false"/>
          <w:sz w:val="20"/>
        </w:rPr>
        <w:t xml:space="preserve">Boise, </w:t>
      </w:r>
      <w:bookmarkStart w:id="10" w:name="xdx_905_edei--EntityAddressStateOrProvin"/>
      <w:bookmarkEnd w:id="10"/>
      <w:r>
        <w:rPr>
          <w:rFonts w:ascii="Arial;Helvetica;Sans-Serif" w:hAnsi="Arial;Helvetica;San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1_edei--EntityAddressPostalZipCode"/>
      <w:bookmarkEnd w:id="11"/>
      <w:r>
        <w:rPr>
          <w:rFonts w:ascii="Arial;Helvetica;Sans-Serif" w:hAnsi="Arial;Helvetica;Sans-Serif"/>
          <w:b/>
          <w:i w:val="false"/>
          <w:caps w:val="false"/>
          <w:smallCaps w:val="false"/>
          <w:sz w:val="20"/>
        </w:rPr>
        <w:t>83716-9632</w:t>
      </w:r>
    </w:p>
    <w:tbl>
      <w:tblPr>
        <w:tblW w:w="4775" w:type="dxa"/>
        <w:jc w:val="left"/>
        <w:tblInd w:w="0" w:type="dxa"/>
        <w:tblLayout w:type="fixed"/>
        <w:tblCellMar>
          <w:top w:w="0" w:type="dxa"/>
          <w:left w:w="0" w:type="dxa"/>
          <w:bottom w:w="0" w:type="dxa"/>
          <w:right w:w="0" w:type="dxa"/>
        </w:tblCellMar>
      </w:tblPr>
      <w:tblGrid>
        <w:gridCol w:w="75"/>
        <w:gridCol w:w="4625"/>
        <w:gridCol w:w="75"/>
      </w:tblGrid>
      <w:tr>
        <w:trPr/>
        <w:tc>
          <w:tcPr>
            <w:tcW w:w="75" w:type="dxa"/>
            <w:tcBorders/>
            <w:vAlign w:val="center"/>
          </w:tcPr>
          <w:p>
            <w:pPr>
              <w:pStyle w:val="TableContents"/>
              <w:bidi w:val="0"/>
              <w:spacing w:before="0" w:after="283"/>
              <w:jc w:val="left"/>
              <w:rPr/>
            </w:pPr>
            <w:r>
              <w:rPr/>
              <w:t> </w:t>
            </w:r>
          </w:p>
        </w:tc>
        <w:tc>
          <w:tcPr>
            <w:tcW w:w="4625"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w:t>
      </w:r>
      <w:bookmarkStart w:id="12" w:name="xdx_90B_edei--CityAreaCode_c20240311__20"/>
      <w:bookmarkEnd w:id="12"/>
      <w:r>
        <w:rPr>
          <w:rFonts w:ascii="Arial;Helvetica;Sans-Serif" w:hAnsi="Arial;Helvetica;Sans-Serif"/>
          <w:b/>
          <w:i w:val="false"/>
          <w:caps w:val="false"/>
          <w:smallCaps w:val="false"/>
          <w:sz w:val="20"/>
        </w:rPr>
        <w:t xml:space="preserve">208) </w:t>
      </w:r>
      <w:bookmarkStart w:id="13" w:name="xdx_902_edei--LocalPhoneNumber_c20240311"/>
      <w:bookmarkEnd w:id="13"/>
      <w:r>
        <w:rPr>
          <w:rFonts w:ascii="Arial;Helvetica;Sans-Serif" w:hAnsi="Arial;Helvetica;Sans-Serif"/>
          <w:b/>
          <w:i w:val="false"/>
          <w:caps w:val="false"/>
          <w:smallCaps w:val="false"/>
          <w:sz w:val="20"/>
        </w:rPr>
        <w:t>368-4000</w:t>
      </w:r>
    </w:p>
    <w:tbl>
      <w:tblPr>
        <w:tblW w:w="4730" w:type="dxa"/>
        <w:jc w:val="left"/>
        <w:tblInd w:w="0" w:type="dxa"/>
        <w:tblLayout w:type="fixed"/>
        <w:tblCellMar>
          <w:top w:w="0" w:type="dxa"/>
          <w:left w:w="0" w:type="dxa"/>
          <w:bottom w:w="0" w:type="dxa"/>
          <w:right w:w="0" w:type="dxa"/>
        </w:tblCellMar>
      </w:tblPr>
      <w:tblGrid>
        <w:gridCol w:w="75"/>
        <w:gridCol w:w="4580"/>
        <w:gridCol w:w="75"/>
      </w:tblGrid>
      <w:tr>
        <w:trPr/>
        <w:tc>
          <w:tcPr>
            <w:tcW w:w="75" w:type="dxa"/>
            <w:tcBorders/>
            <w:vAlign w:val="center"/>
          </w:tcPr>
          <w:p>
            <w:pPr>
              <w:pStyle w:val="TableContents"/>
              <w:bidi w:val="0"/>
              <w:spacing w:before="0" w:after="283"/>
              <w:jc w:val="left"/>
              <w:rPr/>
            </w:pPr>
            <w:r>
              <w:rPr/>
              <w:t> </w:t>
            </w:r>
          </w:p>
        </w:tc>
        <w:tc>
          <w:tcPr>
            <w:tcW w:w="4580" w:type="dxa"/>
            <w:tcBorders>
              <w:top w:val="single" w:sz="8" w:space="0" w:color="000000"/>
            </w:tcBorders>
            <w:tcMar>
              <w:top w:w="28"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4" w:name="xdx_900_edei--WrittenCommunications_c202"/>
      <w:bookmarkEnd w:id="14"/>
      <w:r>
        <w:rPr>
          <w:caps w:val="false"/>
          <w:smallCaps w:val="false"/>
        </w:rPr>
        <w:t xml:space="preserve">☐ </w:t>
      </w:r>
      <w:r>
        <w:rPr>
          <w:rFonts w:ascii="Arial;Helvetica;Sans-Serif" w:hAnsi="Arial;Helvetica;Sans-Serif"/>
          <w:b w:val="false"/>
          <w:i w:val="false"/>
          <w:caps w:val="false"/>
          <w:smallCaps w:val="false"/>
          <w:sz w:val="20"/>
        </w:rPr>
        <w:t>Written communications pursuant to Rule 425 under the Securities Act (17 CFR 230.425)</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5" w:name="xdx_908_edei--SolicitingMaterial_c202403"/>
      <w:bookmarkEnd w:id="15"/>
      <w:r>
        <w:rPr>
          <w:caps w:val="false"/>
          <w:smallCaps w:val="false"/>
        </w:rPr>
        <w:t xml:space="preserve">☐ </w:t>
      </w:r>
      <w:r>
        <w:rPr>
          <w:rFonts w:ascii="Arial;Helvetica;Sans-Serif" w:hAnsi="Arial;Helvetica;Sans-Serif"/>
          <w:b w:val="false"/>
          <w:i w:val="false"/>
          <w:caps w:val="false"/>
          <w:smallCaps w:val="false"/>
          <w:sz w:val="20"/>
        </w:rPr>
        <w:t>Soliciting material pursuant to Rule 14a-12 under the Exchange Act (17 CFR 240.14a-12)</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6" w:name="xdx_900_edei--PreCommencementTenderOffer"/>
      <w:bookmarkEnd w:id="16"/>
      <w:r>
        <w:rPr>
          <w:caps w:val="false"/>
          <w:smallCaps w:val="false"/>
        </w:rPr>
        <w:t xml:space="preserve">☐ </w:t>
      </w:r>
      <w:r>
        <w:rPr>
          <w:rFonts w:ascii="Arial;Helvetica;Sans-Serif" w:hAnsi="Arial;Helvetica;Sans-Serif"/>
          <w:b w:val="false"/>
          <w:i w:val="false"/>
          <w:caps w:val="false"/>
          <w:smallCaps w:val="false"/>
          <w:sz w:val="20"/>
        </w:rPr>
        <w:t>Pre-commencement communications pursuant to Rule 14d-2(b) under the Exchange Act (17 CFR 240.14d-2(b))</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7" w:name="xdx_900_edei--PreCommencementIssuerTende"/>
      <w:bookmarkEnd w:id="17"/>
      <w:r>
        <w:rPr>
          <w:caps w:val="false"/>
          <w:smallCaps w:val="false"/>
        </w:rPr>
        <w:t xml:space="preserve">☐ </w:t>
      </w:r>
      <w:r>
        <w:rPr>
          <w:rFonts w:ascii="Arial;Helvetica;Sans-Serif" w:hAnsi="Arial;Helvetica;San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85" w:type="dxa"/>
        <w:jc w:val="left"/>
        <w:tblInd w:w="0" w:type="dxa"/>
        <w:tblLayout w:type="fixed"/>
        <w:tblCellMar>
          <w:top w:w="0" w:type="dxa"/>
          <w:left w:w="0" w:type="dxa"/>
          <w:bottom w:w="28" w:type="dxa"/>
          <w:right w:w="0" w:type="dxa"/>
        </w:tblCellMar>
      </w:tblPr>
      <w:tblGrid>
        <w:gridCol w:w="3710"/>
        <w:gridCol w:w="60"/>
        <w:gridCol w:w="770"/>
        <w:gridCol w:w="60"/>
        <w:gridCol w:w="3185"/>
      </w:tblGrid>
      <w:tr>
        <w:trPr/>
        <w:tc>
          <w:tcPr>
            <w:tcW w:w="3710" w:type="dxa"/>
            <w:tcBorders>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770" w:type="dxa"/>
            <w:tcBorders>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Trading </w:t>
              <w:br/>
              <w:t>symbol</w:t>
            </w:r>
          </w:p>
        </w:tc>
        <w:tc>
          <w:tcPr>
            <w:tcW w:w="60" w:type="dxa"/>
            <w:tcBorders/>
            <w:tcMar>
              <w:bottom w:w="0" w:type="dxa"/>
            </w:tcMar>
            <w:vAlign w:val="center"/>
          </w:tcPr>
          <w:p>
            <w:pPr>
              <w:pStyle w:val="TableContents"/>
              <w:bidi w:val="0"/>
              <w:spacing w:before="0" w:after="283"/>
              <w:jc w:val="left"/>
              <w:rPr/>
            </w:pPr>
            <w:r>
              <w:rPr/>
              <w:t> </w:t>
            </w:r>
          </w:p>
        </w:tc>
        <w:tc>
          <w:tcPr>
            <w:tcW w:w="3185" w:type="dxa"/>
            <w:tcBorders>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Name of each exchange on which </w:t>
              <w:br/>
              <w:t>registered</w:t>
            </w:r>
          </w:p>
        </w:tc>
      </w:tr>
      <w:tr>
        <w:trPr/>
        <w:tc>
          <w:tcPr>
            <w:tcW w:w="3710" w:type="dxa"/>
            <w:tcBorders/>
            <w:tcMar>
              <w:bottom w:w="0" w:type="dxa"/>
            </w:tcMar>
            <w:vAlign w:val="center"/>
          </w:tcPr>
          <w:p>
            <w:pPr>
              <w:pStyle w:val="TableContents"/>
              <w:bidi w:val="0"/>
              <w:spacing w:before="0" w:after="283"/>
              <w:jc w:val="center"/>
              <w:rPr>
                <w:rFonts w:ascii="Arial;Helvetica;Sans-Serif" w:hAnsi="Arial;Helvetica;Sans-Serif"/>
                <w:sz w:val="20"/>
              </w:rPr>
            </w:pPr>
            <w:bookmarkStart w:id="18" w:name="xdx_900_edei--Security12bTitle_c20240311"/>
            <w:bookmarkEnd w:id="18"/>
            <w:r>
              <w:rPr>
                <w:rFonts w:ascii="Arial;Helvetica;Sans-Serif" w:hAnsi="Arial;Helvetica;Sans-Serif"/>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770" w:type="dxa"/>
            <w:tcBorders/>
            <w:tcMar>
              <w:bottom w:w="0" w:type="dxa"/>
            </w:tcMar>
            <w:vAlign w:val="center"/>
          </w:tcPr>
          <w:p>
            <w:pPr>
              <w:pStyle w:val="TableContents"/>
              <w:bidi w:val="0"/>
              <w:spacing w:before="0" w:after="283"/>
              <w:jc w:val="center"/>
              <w:rPr>
                <w:rFonts w:ascii="Arial;Helvetica;Sans-Serif" w:hAnsi="Arial;Helvetica;Sans-Serif"/>
                <w:sz w:val="20"/>
              </w:rPr>
            </w:pPr>
            <w:bookmarkStart w:id="19" w:name="xdx_903_edei--TradingSymbol_c20240311__2"/>
            <w:bookmarkEnd w:id="19"/>
            <w:r>
              <w:rPr>
                <w:rFonts w:ascii="Arial;Helvetica;Sans-Serif" w:hAnsi="Arial;Helvetica;Sans-Serif"/>
                <w:sz w:val="20"/>
              </w:rPr>
              <w:t>MU</w:t>
            </w:r>
          </w:p>
        </w:tc>
        <w:tc>
          <w:tcPr>
            <w:tcW w:w="60" w:type="dxa"/>
            <w:tcBorders/>
            <w:tcMar>
              <w:bottom w:w="0" w:type="dxa"/>
            </w:tcMar>
            <w:vAlign w:val="center"/>
          </w:tcPr>
          <w:p>
            <w:pPr>
              <w:pStyle w:val="TableContents"/>
              <w:bidi w:val="0"/>
              <w:spacing w:before="0" w:after="283"/>
              <w:jc w:val="left"/>
              <w:rPr/>
            </w:pPr>
            <w:r>
              <w:rPr/>
              <w:t> </w:t>
            </w:r>
          </w:p>
        </w:tc>
        <w:tc>
          <w:tcPr>
            <w:tcW w:w="3185" w:type="dxa"/>
            <w:tcBorders/>
            <w:tcMar>
              <w:bottom w:w="0" w:type="dxa"/>
            </w:tcMar>
            <w:vAlign w:val="center"/>
          </w:tcPr>
          <w:p>
            <w:pPr>
              <w:pStyle w:val="TableContents"/>
              <w:bidi w:val="0"/>
              <w:spacing w:before="0" w:after="283"/>
              <w:jc w:val="center"/>
              <w:rPr>
                <w:rFonts w:ascii="Arial;Helvetica;Sans-Serif" w:hAnsi="Arial;Helvetica;Sans-Serif"/>
                <w:sz w:val="20"/>
              </w:rPr>
            </w:pPr>
            <w:bookmarkStart w:id="20" w:name="xdx_907_edei--SecurityExchangeName_c2024"/>
            <w:bookmarkEnd w:id="20"/>
            <w:r>
              <w:rPr>
                <w:rFonts w:ascii="Arial;Helvetica;Sans-Serif" w:hAnsi="Arial;Helvetica;Sans-Serif"/>
                <w:sz w:val="20"/>
              </w:rPr>
              <w:t>Nasdaq Global Select Market</w:t>
            </w:r>
          </w:p>
        </w:tc>
      </w:tr>
    </w:tbl>
    <w:p>
      <w:pPr>
        <w:pStyle w:val="TextBody"/>
        <w:bidi w:val="0"/>
        <w:spacing w:before="0" w:after="283"/>
        <w:jc w:val="left"/>
        <w:rPr/>
      </w:pPr>
      <w:r>
        <w:rPr/>
        <w:t> </w:t>
      </w:r>
    </w:p>
    <w:p>
      <w:pPr>
        <w:pStyle w:val="TextBody"/>
        <w:bidi w:val="0"/>
        <w:jc w:val="left"/>
        <w:rPr>
          <w:rFonts w:ascii="Arial;Helvetica;Sans-Serif" w:hAnsi="Arial;Helvetica;Sans-Serif"/>
        </w:rPr>
      </w:pPr>
      <w:r>
        <w:rPr>
          <w:rFonts w:ascii="Arial;Helvetica;Sans-Serif" w:hAnsi="Arial;Helvetica;Sans-Serif"/>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Emerging growth company </w:t>
      </w:r>
      <w:bookmarkStart w:id="21" w:name="xdx_90F_edei--EntityEmergingGrowthCompan"/>
      <w:bookmarkEnd w:id="21"/>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801"/>
        <w:gridCol w:w="9366"/>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801"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Item 5.02.</w:t>
            </w:r>
          </w:p>
        </w:tc>
        <w:tc>
          <w:tcPr>
            <w:tcW w:w="9366" w:type="dxa"/>
            <w:tcBorders/>
            <w:shd w:fill="FFFFFF" w:val="clear"/>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144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 Election of New Director – Robert Swan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On March 11, 2024, the Board of Directors (the “Board”) of Micron Technology, Inc. (the “Company”) appointed Robert Swan as a member of the Board. Mr. Swan has also been appointed to the Audit Committee of the Board and the Finance Committee of the Board. Mr. Swan will participate in the Company’s non-employee director compensation program consistent with past practice, including a grant on the date of his appointment equal to the pro rata portion of the annual grant of restricted stock provided to non-employee directors under the Company’s director compensation plan. Mr. Swan will also enter into the Company’s standard form of indemnification agreement. The full text of the press release issued on March 11, 2024, in connection with Mr. Swan’s appointment to the Board is attached as Exhibit 99.1 to this report.</w:t>
      </w:r>
    </w:p>
    <w:p>
      <w:pPr>
        <w:pStyle w:val="TextBody"/>
        <w:bidi w:val="0"/>
        <w:spacing w:before="0" w:after="0"/>
        <w:ind w:left="0" w:right="0" w:hanging="0"/>
        <w:jc w:val="left"/>
        <w:rPr>
          <w:caps w:val="false"/>
          <w:smallCaps w:val="false"/>
        </w:rPr>
      </w:pPr>
      <w:r>
        <w:rPr>
          <w:caps w:val="false"/>
          <w:smallCaps w:val="false"/>
        </w:rPr>
        <w:t> </w:t>
      </w:r>
    </w:p>
    <w:tbl>
      <w:tblPr>
        <w:tblW w:w="9678" w:type="dxa"/>
        <w:jc w:val="left"/>
        <w:tblInd w:w="0" w:type="dxa"/>
        <w:tblLayout w:type="fixed"/>
        <w:tblCellMar>
          <w:top w:w="0" w:type="dxa"/>
          <w:left w:w="0" w:type="dxa"/>
          <w:bottom w:w="0" w:type="dxa"/>
          <w:right w:w="0" w:type="dxa"/>
        </w:tblCellMar>
      </w:tblPr>
      <w:tblGrid>
        <w:gridCol w:w="38"/>
        <w:gridCol w:w="1025"/>
        <w:gridCol w:w="861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Item 5.03</w:t>
            </w:r>
          </w:p>
        </w:tc>
        <w:tc>
          <w:tcPr>
            <w:tcW w:w="8615" w:type="dxa"/>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Amendments to Articles of Incorporation or Bylaws; Changes in Fiscal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March 11, 2024, the Board amended and restated the Company’s bylaws (the “Amended and Restated Bylaws”) to increase the size of the Board from eight to nine. This description of the amendment to the Company’s bylaws is qualified in its entirety by reference to the text of the Amended and Restated Bylaws filed as Exhibit 3.1 to this report.</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085"/>
        <w:gridCol w:w="3965"/>
      </w:tblGrid>
      <w:tr>
        <w:trPr/>
        <w:tc>
          <w:tcPr>
            <w:tcW w:w="3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Item 9.01.</w:t>
            </w:r>
          </w:p>
        </w:tc>
        <w:tc>
          <w:tcPr>
            <w:tcW w:w="3965" w:type="dxa"/>
            <w:tcBorders/>
            <w:vAlign w:val="center"/>
          </w:tcPr>
          <w:p>
            <w:pPr>
              <w:pStyle w:val="TableContents"/>
              <w:bidi w:val="0"/>
              <w:spacing w:before="0" w:after="283"/>
              <w:jc w:val="left"/>
              <w:rPr>
                <w:rFonts w:ascii="Arial;Helvetica;Sans-Serif" w:hAnsi="Arial;Helvetica;Sans-Serif"/>
                <w:b/>
              </w:rPr>
            </w:pPr>
            <w:r>
              <w:rPr>
                <w:rFonts w:ascii="Arial;Helvetica;Sans-Serif" w:hAnsi="Arial;Helvetica;Sans-Serif"/>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975" w:type="dxa"/>
        <w:jc w:val="left"/>
        <w:tblInd w:w="0" w:type="dxa"/>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845" w:type="dxa"/>
            <w:tcBorders>
              <w:bottom w:val="single" w:sz="8" w:space="0" w:color="000000"/>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Description</w:t>
            </w:r>
          </w:p>
        </w:tc>
      </w:tr>
      <w:tr>
        <w:trPr/>
        <w:tc>
          <w:tcPr>
            <w:tcW w:w="1070" w:type="dxa"/>
            <w:tcBorders/>
            <w:tcMar>
              <w:bottom w:w="0" w:type="dxa"/>
            </w:tcMar>
            <w:vAlign w:val="center"/>
          </w:tcPr>
          <w:p>
            <w:pPr>
              <w:pStyle w:val="TableContents"/>
              <w:bidi w:val="0"/>
              <w:spacing w:before="0" w:after="283"/>
              <w:jc w:val="left"/>
              <w:rPr/>
            </w:pPr>
            <w:hyperlink w:anchor="tm248305d1_ex3-1.htm">
              <w:r>
                <w:rPr>
                  <w:rStyle w:val="InternetLink"/>
                  <w:rFonts w:ascii="Arial;Helvetica;Sans-Serif" w:hAnsi="Arial;Helvetica;Sans-Serif"/>
                </w:rPr>
                <w:t>3.1</w:t>
              </w:r>
            </w:hyperlink>
          </w:p>
        </w:tc>
        <w:tc>
          <w:tcPr>
            <w:tcW w:w="60" w:type="dxa"/>
            <w:tcBorders/>
            <w:tcMar>
              <w:bottom w:w="0" w:type="dxa"/>
            </w:tcMar>
            <w:vAlign w:val="center"/>
          </w:tcPr>
          <w:p>
            <w:pPr>
              <w:pStyle w:val="TableContents"/>
              <w:bidi w:val="0"/>
              <w:spacing w:before="0" w:after="283"/>
              <w:jc w:val="left"/>
              <w:rPr/>
            </w:pPr>
            <w:r>
              <w:rPr/>
              <w:t> </w:t>
            </w:r>
          </w:p>
        </w:tc>
        <w:tc>
          <w:tcPr>
            <w:tcW w:w="6845" w:type="dxa"/>
            <w:tcBorders/>
            <w:tcMar>
              <w:bottom w:w="0" w:type="dxa"/>
            </w:tcMar>
            <w:vAlign w:val="center"/>
          </w:tcPr>
          <w:p>
            <w:pPr>
              <w:pStyle w:val="TableContents"/>
              <w:bidi w:val="0"/>
              <w:spacing w:before="0" w:after="283"/>
              <w:jc w:val="left"/>
              <w:rPr/>
            </w:pPr>
            <w:hyperlink w:anchor="tm248305d1_ex3-1.htm">
              <w:r>
                <w:rPr>
                  <w:rStyle w:val="InternetLink"/>
                  <w:rFonts w:ascii="Arial;Helvetica;Sans-Serif" w:hAnsi="Arial;Helvetica;Sans-Serif"/>
                </w:rPr>
                <w:t>Amended and Restated Bylaws as of March 11, 2024</w:t>
              </w:r>
            </w:hyperlink>
          </w:p>
        </w:tc>
      </w:tr>
      <w:tr>
        <w:trPr/>
        <w:tc>
          <w:tcPr>
            <w:tcW w:w="1070" w:type="dxa"/>
            <w:tcBorders/>
            <w:tcMar>
              <w:bottom w:w="0" w:type="dxa"/>
            </w:tcMar>
            <w:vAlign w:val="center"/>
          </w:tcPr>
          <w:p>
            <w:pPr>
              <w:pStyle w:val="TableContents"/>
              <w:bidi w:val="0"/>
              <w:spacing w:before="0" w:after="283"/>
              <w:jc w:val="left"/>
              <w:rPr/>
            </w:pPr>
            <w:hyperlink w:anchor="tm248305d1_ex99-1.htm">
              <w:r>
                <w:rPr>
                  <w:rStyle w:val="InternetLink"/>
                  <w:rFonts w:ascii="Arial;Helvetica;Sans-Serif" w:hAnsi="Arial;Helvetica;Sans-Serif"/>
                </w:rPr>
                <w:t>99.1</w:t>
              </w:r>
            </w:hyperlink>
          </w:p>
        </w:tc>
        <w:tc>
          <w:tcPr>
            <w:tcW w:w="60" w:type="dxa"/>
            <w:tcBorders/>
            <w:tcMar>
              <w:bottom w:w="0" w:type="dxa"/>
            </w:tcMar>
            <w:vAlign w:val="center"/>
          </w:tcPr>
          <w:p>
            <w:pPr>
              <w:pStyle w:val="TableContents"/>
              <w:bidi w:val="0"/>
              <w:spacing w:before="0" w:after="283"/>
              <w:jc w:val="left"/>
              <w:rPr/>
            </w:pPr>
            <w:r>
              <w:rPr/>
              <w:t> </w:t>
            </w:r>
          </w:p>
        </w:tc>
        <w:tc>
          <w:tcPr>
            <w:tcW w:w="6845" w:type="dxa"/>
            <w:tcBorders/>
            <w:tcMar>
              <w:bottom w:w="0" w:type="dxa"/>
            </w:tcMar>
            <w:vAlign w:val="center"/>
          </w:tcPr>
          <w:p>
            <w:pPr>
              <w:pStyle w:val="TableContents"/>
              <w:bidi w:val="0"/>
              <w:spacing w:before="0" w:after="283"/>
              <w:jc w:val="left"/>
              <w:rPr/>
            </w:pPr>
            <w:hyperlink w:anchor="tm248305d1_ex99-1.htm">
              <w:r>
                <w:rPr>
                  <w:rStyle w:val="InternetLink"/>
                  <w:rFonts w:ascii="Arial;Helvetica;Sans-Serif" w:hAnsi="Arial;Helvetica;Sans-Serif"/>
                </w:rPr>
                <w:t>Press Release dated March 11, 2024</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845" w:type="dxa"/>
            <w:tcBorders/>
            <w:tcMar>
              <w:bottom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9590" w:type="dxa"/>
        <w:jc w:val="left"/>
        <w:tblInd w:w="0" w:type="dxa"/>
        <w:tblLayout w:type="fixed"/>
        <w:tblCellMar>
          <w:top w:w="0" w:type="dxa"/>
          <w:left w:w="0" w:type="dxa"/>
          <w:bottom w:w="0" w:type="dxa"/>
          <w:right w:w="0" w:type="dxa"/>
        </w:tblCellMar>
      </w:tblPr>
      <w:tblGrid>
        <w:gridCol w:w="500"/>
        <w:gridCol w:w="1370"/>
        <w:gridCol w:w="590"/>
        <w:gridCol w:w="7130"/>
      </w:tblGrid>
      <w:tr>
        <w:trPr/>
        <w:tc>
          <w:tcPr>
            <w:tcW w:w="50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7720"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MICRON TECHNOLOGY, INC.</w:t>
            </w:r>
          </w:p>
        </w:tc>
      </w:tr>
      <w:tr>
        <w:trPr/>
        <w:tc>
          <w:tcPr>
            <w:tcW w:w="50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283"/>
              <w:jc w:val="left"/>
              <w:rPr/>
            </w:pPr>
            <w:r>
              <w:rPr/>
              <w:t> </w:t>
            </w:r>
          </w:p>
        </w:tc>
      </w:tr>
      <w:tr>
        <w:trPr/>
        <w:tc>
          <w:tcPr>
            <w:tcW w:w="5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c>
          <w:tcPr>
            <w:tcW w:w="13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March 11, 2024</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713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Michael Ray</w:t>
            </w:r>
          </w:p>
        </w:tc>
      </w:tr>
      <w:tr>
        <w:trPr/>
        <w:tc>
          <w:tcPr>
            <w:tcW w:w="50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Name:</w:t>
            </w:r>
          </w:p>
        </w:tc>
        <w:tc>
          <w:tcPr>
            <w:tcW w:w="713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Michael Ray</w:t>
            </w:r>
          </w:p>
        </w:tc>
      </w:tr>
      <w:tr>
        <w:trPr/>
        <w:tc>
          <w:tcPr>
            <w:tcW w:w="50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7130"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48305d1_ex3-1.htm"/>
      <w:bookmarkStart w:id="23" w:name="kstm248305d1_ex31"/>
      <w:bookmarkEnd w:id="22"/>
      <w:bookmarkEnd w:id="23"/>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Bylaws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Micron Technology, Inc.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(Amended and Restated as of March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 – CORPORATE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registered office shall be fixed in the corporation’s Certificate of Incorporation, as the same may be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Other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may also have offices at such other places both within and without the State of Delaware as the Board of Directors may from time to time determine or the business of the corporation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II - MEETINGS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3. Notice of Stockholder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4. List of Stockholders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5.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Special meetings of the stockholders, for any purpose or purposes, unless otherwise prescribed by law or by the Certificate of Incorporation, may be called by the Board of Directors, the Chair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6.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7. Adjourned Meeting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8.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 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9.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10.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r>
        <w:rPr>
          <w:rFonts w:ascii="Arial;Helvetica;Sans-Serif" w:hAnsi="Arial;Helvetica;Sans-Serif"/>
          <w:b w:val="false"/>
          <w:i/>
          <w:caps w:val="false"/>
          <w:smallCaps w:val="false"/>
          <w:sz w:val="20"/>
        </w:rPr>
        <w:t>Notice</w:t>
      </w:r>
      <w:r>
        <w:rPr>
          <w:rFonts w:ascii="Arial;Helvetica;Sans-Serif" w:hAnsi="Arial;Helvetica;Sans-Serif"/>
          <w:b w:val="false"/>
          <w:i w:val="false"/>
          <w:caps w:val="false"/>
          <w:smallCaps w:val="false"/>
          <w:sz w:val="20"/>
        </w:rPr>
        <w:t>. Unless otherwise restricted by the Certificate of Incorporation, any action required to be taken at any annual or special meeting of 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r>
        <w:rPr>
          <w:rFonts w:ascii="Arial;Helvetica;Sans-Serif" w:hAnsi="Arial;Helvetica;Sans-Serif"/>
          <w:b w:val="false"/>
          <w:i/>
          <w:caps w:val="false"/>
          <w:smallCaps w:val="false"/>
          <w:sz w:val="20"/>
        </w:rPr>
        <w:t>Record Date</w:t>
      </w:r>
      <w:r>
        <w:rPr>
          <w:rFonts w:ascii="Arial;Helvetica;Sans-Serif" w:hAnsi="Arial;Helvetica;Sans-Serif"/>
          <w:b w:val="false"/>
          <w:i w:val="false"/>
          <w:caps w:val="false"/>
          <w:smallCaps w:val="false"/>
          <w:sz w:val="20"/>
        </w:rPr>
        <w:t>. Unless otherwise restricted by the Certificate of Incorporation,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w:t>
      </w:r>
      <w:r>
        <w:rPr>
          <w:rFonts w:ascii="Arial;Helvetica;Sans-Serif" w:hAnsi="Arial;Helvetica;Sans-Serif"/>
          <w:b w:val="false"/>
          <w:i/>
          <w:caps w:val="false"/>
          <w:smallCaps w:val="false"/>
          <w:sz w:val="20"/>
        </w:rPr>
        <w:t>Inspector of Elections</w:t>
      </w:r>
      <w:r>
        <w:rPr>
          <w:rFonts w:ascii="Arial;Helvetica;Sans-Serif" w:hAnsi="Arial;Helvetica;Sans-Serif"/>
          <w:b w:val="false"/>
          <w:i w:val="false"/>
          <w:caps w:val="false"/>
          <w:smallCaps w:val="false"/>
          <w:sz w:val="20"/>
        </w:rPr>
        <w:t>. In the event of the delivery, in the manner provided by this Article II, Section 10 and applicable law, to the corporation 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w:t>
      </w:r>
      <w:r>
        <w:rPr>
          <w:rFonts w:ascii="Arial;Helvetica;Sans-Serif" w:hAnsi="Arial;Helvetica;Sans-Serif"/>
          <w:b w:val="false"/>
          <w:i/>
          <w:caps w:val="false"/>
          <w:smallCaps w:val="false"/>
          <w:sz w:val="20"/>
        </w:rPr>
        <w:t>Effective Date</w:t>
      </w:r>
      <w:r>
        <w:rPr>
          <w:rFonts w:ascii="Arial;Helvetica;Sans-Serif" w:hAnsi="Arial;Helvetica;Sans-Serif"/>
          <w:b w:val="false"/>
          <w:i w:val="false"/>
          <w:caps w:val="false"/>
          <w:smallCaps w:val="false"/>
          <w:sz w:val="20"/>
        </w:rPr>
        <w:t>. Every written consent shall bear the date of signature of each stockholder who signs the consent and no written consent shall be effective to take the corporate action referred to therein unless, within sixty (60) days after the earliest dated written consent delivered in the manner prescribed in this Article II, Section 10 to the corporation, written consents signed by a sufficient number of holders to take such action are delivered to the corporation in the manner prescribed in this Article II, Section 10 and applicable law, and not revoked.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11. Advance Notice of Stockholder Nominees, Proxy Access and Stockholder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specified in the notice of meeting (or any supplement thereto) given by or at the direction of the Board of Directors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otherwise properly brought before the meeting by or at the direction of the Board of Directors or any committee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persons who are nominated in accordance with the procedures set forth in Article II, Section 11(b) and (c) shall be eligible for election as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Article II, Section 11(a). For the nomination of any person or persons for election to the Board of Directors by any stockholder, whether at an annual meeting or a properly called special meeting of stockholders, the stockholder's notice to the Secretary shall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the name, age, business address and residence address of each nominee proposed in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the principal occupation or employment of each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 election contest (even if an election contest is not involved) or that is otherwise required to be disclosed, under Section 14(a) of the Securities Exchange Act of 1934, as amended, and the rules and regulations promulgated thereunder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 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 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 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 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(vii) 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 mail) of the record date (if such notice is provided after the record date); and (2) immediate notice if the Eligible Stockholder ceases to own any of the Required Shares prior to the date of the annual meeting of stockholders; (C) 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(viii) 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(ix) 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 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 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(xi) 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(xii) 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(xiii) This Article II, Section 11(c) provides the exclusive method for stockholders to include nominees for director in the corporation’s proxy materials with respect to an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For all business other than director nominations, a stockholder's notice to the Secretary shall set forth as to each matter the stockholder proposes to bring before the annual meeting or properly called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a brief description of the business desired to be brought before the meeting and the reasons for conducting such business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the information required by Article II, Section 11(b)(vi)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 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by or at the direction of the Board of Directors or any committee thereof (or stockholders pursuant to Article II, Section 5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(10th)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 Notwithstanding anything in these Bylaws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no nominations shall be made or business shall be conducted at any annual meeting or special meeting except in accordance with the procedures set forth in this Article II, Section 11,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12. Conduct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Meetings of stockholders shall be presided over by the Chair of the Board of Directors, if any, or in his or her absence, the Chief Executive Officer, if any, or in his or her absence by the President, if any, or in the absence of the foregoing persons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13. Inspector of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III -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Number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authorized number of directors of the corporation shall be nine.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3. Majority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and Sustainability Committee has established procedures under which any incumbent director that fails to receive a majority of the votes cast in an election that is not a Contested Election shall offer to tender his or her resignation to the Board. The Governance and Sustainability Committee shall make a recommendation to the Board on whether to accept or reject the resignation of such incumbent director, or whether other action should be taken. The Board shall act on the resignation, taking into account the Governance and Sustainability Committee’s recommendation, and publicly disclose its decision and the rationale behind it within ninety (90) days from the date of the certification of the election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4. Resignation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director may resign effective upon giving notice in writing or by electronic transmission to the Chair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5. Removal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6. Vacancies.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7.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8. Place of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of the corporation may hold meetings, both regular and special, either within or without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9.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Regular meetings of the Board of Directors may be held without notice at such time and at such place as shall from time to time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10. Special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Special meetings of the Board may be called by the Chair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 of the Board of Directors or two (2)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11.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12.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13. Meeting by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14. 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r>
        <w:rPr>
          <w:rFonts w:ascii="Arial;Helvetica;Sans-Serif" w:hAnsi="Arial;Helvetica;Sans-Serif"/>
          <w:b w:val="false"/>
          <w:i/>
          <w:caps w:val="false"/>
          <w:smallCaps w:val="false"/>
          <w:sz w:val="20"/>
        </w:rPr>
        <w:t>Executive Committee.</w:t>
      </w:r>
      <w:r>
        <w:rPr>
          <w:rFonts w:ascii="Arial;Helvetica;Sans-Serif" w:hAnsi="Arial;Helvetica;Sans-Serif"/>
          <w:b w:val="false"/>
          <w:i w:val="false"/>
          <w:caps w:val="false"/>
          <w:smallCaps w:val="false"/>
          <w:sz w:val="20"/>
        </w:rPr>
        <w:t> The Board of Directors may designate an executive committee consisting of one or more of the directors of the 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r>
        <w:rPr>
          <w:rFonts w:ascii="Arial;Helvetica;Sans-Serif" w:hAnsi="Arial;Helvetica;Sans-Serif"/>
          <w:b w:val="false"/>
          <w:i/>
          <w:caps w:val="false"/>
          <w:smallCaps w:val="false"/>
          <w:sz w:val="20"/>
        </w:rPr>
        <w:t>Other Committees.</w:t>
      </w:r>
      <w:r>
        <w:rPr>
          <w:rFonts w:ascii="Arial;Helvetica;Sans-Serif" w:hAnsi="Arial;Helvetica;Sans-Serif"/>
          <w:b w:val="false"/>
          <w:i w:val="false"/>
          <w:caps w:val="false"/>
          <w:smallCaps w:val="false"/>
          <w:sz w:val="20"/>
        </w:rPr>
        <w:t> The Board of Directors may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w:t>
      </w:r>
      <w:r>
        <w:rPr>
          <w:rFonts w:ascii="Arial;Helvetica;Sans-Serif" w:hAnsi="Arial;Helvetica;Sans-Serif"/>
          <w:b w:val="false"/>
          <w:i/>
          <w:caps w:val="false"/>
          <w:smallCaps w:val="false"/>
          <w:sz w:val="20"/>
        </w:rPr>
        <w:t>Conduct of Committee Meetings.</w:t>
      </w:r>
      <w:r>
        <w:rPr>
          <w:rFonts w:ascii="Arial;Helvetica;Sans-Serif" w:hAnsi="Arial;Helvetica;Sans-Serif"/>
          <w:b w:val="false"/>
          <w:i w:val="false"/>
          <w:caps w:val="false"/>
          <w:smallCaps w:val="false"/>
          <w:sz w:val="20"/>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15. Compensation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IV -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Notice to Directors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V –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officers of the corporation shall be a Chief Executive Officer and a Secretary. The corporation may also have, at the discretion of the Board of Directors, a Chair of the Board of Directors, a Vice Chair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Appointment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3. Subordinate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4. Removal and Resignation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r>
        <w:rPr>
          <w:rFonts w:ascii="Arial;Helvetica;Sans-Serif" w:hAnsi="Arial;Helvetica;Sans-Serif"/>
          <w:b w:val="false"/>
          <w:i/>
          <w:caps w:val="false"/>
          <w:smallCaps w:val="false"/>
          <w:sz w:val="20"/>
        </w:rPr>
        <w:t>Removal.</w:t>
      </w:r>
      <w:r>
        <w:rPr>
          <w:rFonts w:ascii="Arial;Helvetica;Sans-Serif" w:hAnsi="Arial;Helvetica;Sans-Serif"/>
          <w:b w:val="false"/>
          <w:i w:val="false"/>
          <w:caps w:val="false"/>
          <w:smallCaps w:val="false"/>
          <w:sz w:val="20"/>
        </w:rPr>
        <w:t> Subject to the rights, if any, of an officer under any contract of employment, any officer may be removed, either with or without 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r>
        <w:rPr>
          <w:rFonts w:ascii="Arial;Helvetica;Sans-Serif" w:hAnsi="Arial;Helvetica;Sans-Serif"/>
          <w:b w:val="false"/>
          <w:i/>
          <w:caps w:val="false"/>
          <w:smallCaps w:val="false"/>
          <w:sz w:val="20"/>
        </w:rPr>
        <w:t>Resignation.</w:t>
      </w:r>
      <w:r>
        <w:rPr>
          <w:rFonts w:ascii="Arial;Helvetica;Sans-Serif" w:hAnsi="Arial;Helvetica;Sans-Serif"/>
          <w:b w:val="false"/>
          <w:i w:val="false"/>
          <w:caps w:val="false"/>
          <w:smallCaps w:val="false"/>
          <w:sz w:val="20"/>
        </w:rPr>
        <w:t> 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5. Vacancies in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vacancy occurring in any office of the corporation shall be filled by the Board of Directors or as provided in Article V,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6. Representation of Shares of Other Corporations.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Chair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7. Authority and Duties of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VI – CERTIFICATES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 or Vice Chair of the Board of Directors, if any, or the President or a Vice President and the Treasurer or an Assistant Treasurer, or the Secretary or an Assistant Secretary certifying the number of shares owned by such holder in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Signatures on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3. Lost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 against any claim that may be made against the corporation with respect to the certificate alleged to have been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4. Transfer of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5.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6. Registered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VII - FORUM FOR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Forum for Disputes.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 Failure to enforce the foregoing provisions would cause the corporation irreparable harm and the corporation shall be entitled to equitable relief, including injunctive relief and specific performance, to enforce the foregoing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Any person or entity purchasing or otherwise acquiring any interest in shares of capital stock of the corporation shall be deemed to have notice of and consented to the provisions of this Article VII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ARTICLE VIII – 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1.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w:t>
      </w:r>
      <w:r>
        <w:rPr>
          <w:rFonts w:ascii="Arial;Helvetica;Sans-Serif" w:hAnsi="Arial;Helvetica;Sans-Serif"/>
          <w:b w:val="false"/>
          <w:i/>
          <w:caps w:val="false"/>
          <w:smallCaps w:val="false"/>
          <w:sz w:val="20"/>
        </w:rPr>
        <w:t>Declaration of Dividends.</w:t>
      </w:r>
      <w:r>
        <w:rPr>
          <w:rFonts w:ascii="Arial;Helvetica;Sans-Serif" w:hAnsi="Arial;Helvetica;Sans-Serif"/>
          <w:b w:val="false"/>
          <w:i w:val="false"/>
          <w:caps w:val="false"/>
          <w:smallCaps w:val="false"/>
          <w:sz w:val="20"/>
        </w:rPr>
        <w:t>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 </w:t>
      </w:r>
      <w:r>
        <w:rPr>
          <w:rFonts w:ascii="Arial;Helvetica;Sans-Serif" w:hAnsi="Arial;Helvetica;Sans-Serif"/>
          <w:b w:val="false"/>
          <w:i/>
          <w:caps w:val="false"/>
          <w:smallCaps w:val="false"/>
          <w:sz w:val="20"/>
        </w:rPr>
        <w:t>Payment of Dividends.</w:t>
      </w:r>
      <w:r>
        <w:rPr>
          <w:rFonts w:ascii="Arial;Helvetica;Sans-Serif" w:hAnsi="Arial;Helvetica;Sans-Serif"/>
          <w:b w:val="false"/>
          <w:i w:val="false"/>
          <w:caps w:val="false"/>
          <w:smallCaps w:val="false"/>
          <w:sz w:val="20"/>
        </w:rPr>
        <w:t>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2. Checks.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checks or demands for money and notes of the corporation shall be signed by such officer or officers or such other person or persons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3.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fiscal year of the corporation shall be fixed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4. 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5.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shall indemnify its officers, directors, employees and agents to the extent set forth in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6. Advancement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Section 7.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48305d1_ex99-1.htm"/>
      <w:bookmarkStart w:id="25" w:name="kstm248305d1_ex991"/>
      <w:bookmarkEnd w:id="24"/>
      <w:bookmarkEnd w:id="25"/>
      <w:r>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676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81250"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Appoints Robert Swan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BOISE, Idaho, March 11, 2024</w:t>
      </w:r>
      <w:r>
        <w:rPr>
          <w:rFonts w:ascii="Times New Roman;Times;Serif" w:hAnsi="Times New Roman;Times;Serif"/>
          <w:b w:val="false"/>
          <w:i w:val="false"/>
          <w:caps w:val="false"/>
          <w:smallCaps w:val="false"/>
          <w:sz w:val="20"/>
        </w:rPr>
        <w:t xml:space="preserve"> – Micron Technology, Inc. (Nasdaq: MU), an industry leader in innovative memory and storage solutions, today announced the appointment of Robert (Bob) Swan to its board of directors. A recognized leader with a distinguished career in the semiconductor, technology and industrial sectors, Swan currently serves as operating partner at Andreessen Horowitz, where he advises growth-stage portfolio companies.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Swan’s extensive background includes his tenure as CFO and later CEO of Intel Corporation, where he oversaw 110,000 employees and $78B in annual sales. Prior to joining Intel, as CFO of eBay, Swan played a significant role in driving the company’s global expansion strategy. Swan also held notable roles as CFO at Electronic Data Systems Corp., TRW Inc., and Webvan Group, Inc., where he additionally served as COO and CEO.</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Bob’s track record in driving growth and operational excellence at some of the world’s leading technology companies will be invaluable to Micron as we continue to scale our business and solidify our position at the forefront of the memory and storage industry,” said Micron President and CEO Sanjay Mehrotra. “We are thrilled to welcome Bob to our board and look forward to his contributions to our strategic direction and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his new position at Micron, Swan is on the boards of several organizations, including the board of directors for Nike, Inc., Flexport and the board of commissioners of GoTo Group. He previously served on the board of directors for eBay, Applied Materials, Intel and Skype.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Bob’s proven ability to navigate complex market dynamics and foster innovation will be pivotal for Micron as we advance our strategic objectives and uphold our commitment to delivering state-of-the-art memory and storage solutions,” said Robert E. Switz, Chairman of the Board at Micron. “We are eager to collaborate with Bob and benefit from his vision, financial acumen and leadership experience.”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Swan began his career at General Electric, where he spent 15 years in numerous senior finance roles, including divisional CFO for GE Transportation Systems, GE Healthcare Europe, and GE Lighting. Swan received his B.S. from the University at Buffalo and his M.B.A. from the State University of New York at Binghamton. He received his honorary doctorate from Binghamton in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676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676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Micron Technology,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industry leader in innovative memory and storage solutions transforming how the world uses information to enrich life </w:t>
      </w:r>
      <w:r>
        <w:rPr>
          <w:rFonts w:ascii="Times New Roman;Times;Serif" w:hAnsi="Times New Roman;Times;Serif"/>
          <w:b w:val="false"/>
          <w:i/>
          <w:caps w:val="false"/>
          <w:smallCaps w:val="false"/>
          <w:sz w:val="20"/>
        </w:rPr>
        <w:t>for all</w:t>
      </w:r>
      <w:r>
        <w:rPr>
          <w:rFonts w:ascii="Times New Roman;Times;Serif" w:hAnsi="Times New Roman;Times;Serif"/>
          <w:b w:val="false"/>
          <w:i w:val="false"/>
          <w:caps w:val="false"/>
          <w:smallCaps w:val="false"/>
          <w:sz w:val="20"/>
        </w:rPr>
        <w:t>. With a relentless focus on our customers, technology leadership, and manufacturing and operational excellence, Micron delivers a rich portfolio of high-performance DRAM, NAND and NOR memory and storage products through our Micron</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and Crucial</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brands. Every day, the innovations that our people create fuel the data economy, enabling advances in artificial intelligence and 5G applications that unleash opportunities — from the data center to the intelligent edge and across the client and mobile user experience. To learn more about Micron Technology, Inc. (Nasdaq: MU), visit micron.com.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2024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Media Relations Contact</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Erica Rodriguez Pompen</w:t>
        <w:br/>
        <w:t>Micron Technology, Inc.</w:t>
        <w:br/>
        <w:t>+1 (408) 834-1873</w:t>
        <w:br/>
      </w:r>
      <w:r>
        <w:rPr>
          <w:rFonts w:ascii="Times New Roman;Times;Serif" w:hAnsi="Times New Roman;Times;Serif"/>
          <w:b w:val="false"/>
          <w:i w:val="false"/>
          <w:caps w:val="false"/>
          <w:smallCaps w:val="false"/>
          <w:sz w:val="20"/>
          <w:u w:val="single"/>
        </w:rPr>
        <w:t>epompen@micron.com</w:t>
      </w:r>
      <w:r>
        <w:rPr>
          <w:rFonts w:ascii="Times New Roman;Times;Serif" w:hAnsi="Times New Roman;Times;Serif"/>
          <w:b w:val="false"/>
          <w:i w:val="false"/>
          <w:caps w:val="false"/>
          <w:smallCaps w:val="false"/>
          <w:sz w:val="20"/>
        </w:rPr>
        <w:br/>
        <w:br/>
      </w:r>
      <w:r>
        <w:rPr>
          <w:rFonts w:ascii="Times New Roman;Times;Serif" w:hAnsi="Times New Roman;Times;Serif"/>
          <w:b/>
          <w:i w:val="false"/>
          <w:caps w:val="false"/>
          <w:smallCaps w:val="false"/>
          <w:sz w:val="20"/>
        </w:rPr>
        <w:t>Micron Investor Relations Contact</w:t>
      </w:r>
      <w:r>
        <w:rPr>
          <w:rFonts w:ascii="Times New Roman;Times;Serif" w:hAnsi="Times New Roman;Times;Serif"/>
          <w:b w:val="false"/>
          <w:i w:val="false"/>
          <w:caps w:val="false"/>
          <w:smallCaps w:val="false"/>
          <w:sz w:val="20"/>
        </w:rPr>
        <w:br/>
        <w:t>Satya Kumar</w:t>
        <w:br/>
        <w:t>Micron Technology, Inc.</w:t>
        <w:br/>
        <w:t>+1 (408) 450-6199</w:t>
        <w:br/>
      </w:r>
      <w:r>
        <w:rPr>
          <w:rFonts w:ascii="Times New Roman;Times;Serif" w:hAnsi="Times New Roman;Times;Serif"/>
          <w:b w:val="false"/>
          <w:i w:val="false"/>
          <w:caps w:val="false"/>
          <w:smallCaps w:val="false"/>
          <w:sz w:val="20"/>
          <w:u w:val="single"/>
        </w:rPr>
        <w:t>satyakumar@micron.com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15681</Words>
  <Characters>79621</Characters>
  <CharactersWithSpaces>95390</CharactersWithSpaces>
  <Paragraphs>585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