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13,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142875</wp:posOffset>
            </wp:positionV>
            <wp:extent cx="1714500"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310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75-1618004</w:t>
            </w:r>
          </w:p>
        </w:tc>
      </w:tr>
      <w:tr>
        <w:trPr>
          <w:trHeight w:val="191"/>
        </w:trPr>
        <w:tc>
          <w:tcPr>
            <w:tcW w:w="330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rPr>
              <w:t>(Commission File</w:t>
            </w:r>
          </w:p>
        </w:tc>
        <w:tc>
          <w:tcPr>
            <w:tcW w:w="310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incorporation)</w:t>
            </w:r>
          </w:p>
        </w:tc>
        <w:tc>
          <w:tcPr>
            <w:tcW w:w="4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Number)</w:t>
            </w:r>
          </w:p>
        </w:tc>
        <w:tc>
          <w:tcPr>
            <w:tcW w:w="31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300" w:type="dxa"/>
            <w:vAlign w:val="bottom"/>
          </w:tcPr>
          <w:p>
            <w:pPr>
              <w:spacing w:after="0"/>
              <w:rPr>
                <w:sz w:val="24"/>
                <w:szCs w:val="24"/>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100" w:type="dxa"/>
            <w:vAlign w:val="bottom"/>
          </w:tcPr>
          <w:p>
            <w:pPr>
              <w:spacing w:after="0"/>
              <w:rPr>
                <w:sz w:val="24"/>
                <w:szCs w:val="24"/>
                <w:color w:val="auto"/>
              </w:rPr>
            </w:pPr>
          </w:p>
        </w:tc>
      </w:tr>
      <w:tr>
        <w:trPr>
          <w:trHeight w:val="238"/>
        </w:trPr>
        <w:tc>
          <w:tcPr>
            <w:tcW w:w="33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Boise, Idaho 83716-9632</w:t>
            </w:r>
          </w:p>
        </w:tc>
        <w:tc>
          <w:tcPr>
            <w:tcW w:w="3100" w:type="dxa"/>
            <w:vAlign w:val="bottom"/>
            <w:tcBorders>
              <w:bottom w:val="single" w:sz="8" w:color="auto"/>
            </w:tcBorders>
          </w:tcPr>
          <w:p>
            <w:pPr>
              <w:spacing w:after="0"/>
              <w:rPr>
                <w:sz w:val="20"/>
                <w:szCs w:val="20"/>
                <w:color w:val="auto"/>
              </w:rPr>
            </w:pPr>
          </w:p>
        </w:tc>
      </w:tr>
      <w:tr>
        <w:trPr>
          <w:trHeight w:val="228"/>
        </w:trPr>
        <w:tc>
          <w:tcPr>
            <w:tcW w:w="3300" w:type="dxa"/>
            <w:vAlign w:val="bottom"/>
          </w:tcPr>
          <w:p>
            <w:pPr>
              <w:spacing w:after="0"/>
              <w:rPr>
                <w:sz w:val="19"/>
                <w:szCs w:val="19"/>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00" w:type="dxa"/>
            <w:vAlign w:val="bottom"/>
          </w:tcPr>
          <w:p>
            <w:pPr>
              <w:spacing w:after="0"/>
              <w:rPr>
                <w:sz w:val="19"/>
                <w:szCs w:val="19"/>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7" w:lineRule="exact"/>
        <w:rPr>
          <w:sz w:val="24"/>
          <w:szCs w:val="24"/>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January 16, 2025, Micron Technology, Inc. ("Micron," "we," "us," or "our") settled its offering of $1,000,000,000 aggregate principal amount of 5.80% senior notes due 2035 (the "Notes"). The Notes were issued and sold in a public offering pursuant to a registration statement on Form S-3 (File No. 333-275276), including the prospectus contained therein (the "Base Prospectus"), filed with the Securities and Exchange Commission under the Securities Act of 1933, as amended, a preliminary prospectus supplement dated January 13, 2025, a related final prospectus supplement dated January 13, 2025 (together with the Base Prospectus, the "Prospectus"), and a free writing prospectus dated January 13, 2025.</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Notes were issued pursuant to an indenture, dated as of February 6, 2019 (the "Base Indenture"), between Micron and U.S. Bank Trust Company, National Association (as successor in interest to U.S. Bank National Association), as trustee, as supplemented by a ninth supplemental indenture, dated as of January 16, 2025 (the "Supplemental Indenture" and, together with the Base Indenture, the "Indenture"). The Indenture contains certain covenants, events of default and other customary provisions.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5.80% per year and will mature on January 15, 2035. Interest on the Notes is payable on January 15 and July 15 of each year, beginning on July 15, 2025.</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Prior to the Par Call Date (as defined below), we may redeem the Notes at our option, in whole or in part, at any time and from time to time, at a redemption price equal to the greater of (i)(a) the sum of the present values of the remaining scheduled payments of principal and interest thereon discounted to the redemption date (assuming the Notes matured on the Par Call Date) on a semi-annual basis (assuming a 360-day year consisting of twelve 30-day months) at the then current treasury rate plus 20 basis points, less (b) interest accrued to the date of redemption, and (ii) 100% of the principal amount of the Notes to be redeemed, and plus, in each case, accrued and unpaid interest, if any, on the amount being redeemed to, but excluding, the date of redemption. In addition, we may, at our option, redeem the Notes on or after the Par Call Date, in whole or in part, at any time and from time to time, at a redemption price equal to 100% of the principal amount of the Notes to be redeemed, plus accrued and unpaid interest thereon, if any, to, but excluding, the date of redemption. "Par Call Date" means October 15, 2034 (three months prior to the maturity date).</w:t>
      </w:r>
    </w:p>
    <w:p>
      <w:pPr>
        <w:spacing w:after="0" w:line="19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If we experience specified change of control triggering events with respect to the Notes, we must offer to repurchase the Notes at a price equal to 101% of the principal amount of the Notes repurchased, plus accrued and unpaid interest, if any.</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Indenture contains limited affirmative and negative covenants of Micron, each of which is subject to a number of limitations and exceptions in the Indenture. The negative covenants restrict our ability and certain of our subsidiaries to incur liens on Principal Property (as defined in the Indenture); to engage in sale and lease-back transactions with respect to any Principal Property; and our ability to consolidate, merge or convey, transfer or lease all or substantially all of our properties and assets.</w:t>
      </w:r>
    </w:p>
    <w:p>
      <w:pPr>
        <w:spacing w:after="0" w:line="18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Events of default under the Indenture include a failure to make payments, non-performance of affirmative and negative covenants, and the occurrence of bankruptcy and insolvency-related events. Our obligations may be accelerated upon an event of default, in which case the entire principal amount of the Notes would become immediately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Notes to pay the redemption price of the 2026 Notes (as defined below) and any remainder of the net proceeds for general corporate purposes, which may include the repayment of other indebtedness.</w:t>
      </w:r>
    </w:p>
    <w:p>
      <w:pPr>
        <w:spacing w:after="0" w:line="162"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17"/>
          <w:szCs w:val="17"/>
          <w:color w:val="auto"/>
        </w:rPr>
        <w:t>The foregoing description of certain terms of the Indenture does not purport to be complete and is qualified in its entirety by reference to the full text of the Base Indenture, the Supplemental Indenture, and the form of the Notes, which are filed with this report as Exhibits 4.1, 4.2 and 4.3 respectively.</w:t>
      </w:r>
    </w:p>
    <w:p>
      <w:pPr>
        <w:spacing w:after="0" w:line="13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Wilson Sonsini Goodrich &amp; Rosati, Professional Corporation, counsel to Micron, has issued an opinion to Micron dated January 16, 2025 regarding the legality of the Notes. A copy of the opinion is filed as Exhibit 5.1 hereto.</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January 13, 2025, we issued a notice to redeem in full our outstanding 4.975% Senior Notes due 2026 (the "2026 Notes"). The redemption of the 2026 Notes will be effected pursuant to the terms of the First Supplemental Indenture, dated as of February 6, 2019 (the "2026 Indenture"), that governs the 2026 Notes. We will redeem $500,000,000 in aggregate principal amount at a price equal to 100% of the principal amount thereof, plus a make-whole premium determined pursuant to the terms of the 2026 Indenture, plus any accrued and unpaid interest to, but excluding, such redemption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(d) Exhibits.</w:t>
            </w:r>
          </w:p>
        </w:tc>
      </w:tr>
      <w:tr>
        <w:trPr>
          <w:trHeight w:val="410"/>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8"/>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340" w:type="dxa"/>
            <w:vAlign w:val="bottom"/>
          </w:tcPr>
          <w:p>
            <w:pPr>
              <w:spacing w:after="0"/>
              <w:rPr>
                <w:sz w:val="20"/>
                <w:szCs w:val="20"/>
                <w:color w:val="auto"/>
              </w:rPr>
            </w:pPr>
          </w:p>
        </w:tc>
        <w:tc>
          <w:tcPr>
            <w:tcW w:w="7760" w:type="dxa"/>
            <w:vAlign w:val="bottom"/>
            <w:gridSpan w:val="7"/>
          </w:tcPr>
          <w:p>
            <w:pPr>
              <w:ind w:left="2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240" w:type="dxa"/>
            <w:vAlign w:val="bottom"/>
            <w:tcBorders>
              <w:top w:val="single" w:sz="8" w:color="auto"/>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tcBorders>
              <w:top w:val="single" w:sz="8" w:color="auto"/>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Indenture, dated February 6, 2019, by and between Micron Technology, Inc. and U.S. Bank Trust Company, National Association (as</w:t>
              </w:r>
            </w:hyperlink>
          </w:p>
        </w:tc>
        <w:tc>
          <w:tcPr>
            <w:tcW w:w="500" w:type="dxa"/>
            <w:vAlign w:val="bottom"/>
            <w:tcBorders>
              <w:top w:val="single" w:sz="8" w:color="auto"/>
            </w:tcBorders>
            <w:gridSpan w:val="3"/>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8"/>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successor in interest to U.S. Bank National Association), as Trustee, filed as Exhibit 4.1 to Micron’s Form 8-K filed on February 6, 2019</w:t>
              </w:r>
            </w:hyperlink>
          </w:p>
        </w:tc>
      </w:tr>
      <w:tr>
        <w:trPr>
          <w:trHeight w:val="223"/>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Ninth Supplemental Indenture, dated as of January 16, 2025, by and between Micron Technology, Inc. and U.S. Bank Trust Company,</w:t>
            </w:r>
          </w:p>
        </w:tc>
        <w:tc>
          <w:tcPr>
            <w:tcW w:w="18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National Association, as Trustee</w:t>
            </w:r>
          </w:p>
        </w:tc>
        <w:tc>
          <w:tcPr>
            <w:tcW w:w="7760" w:type="dxa"/>
            <w:vAlign w:val="bottom"/>
            <w:gridSpan w:val="7"/>
          </w:tcPr>
          <w:p>
            <w:pPr>
              <w:spacing w:after="0"/>
              <w:rPr>
                <w:sz w:val="17"/>
                <w:szCs w:val="17"/>
                <w:color w:val="auto"/>
              </w:rPr>
            </w:pPr>
          </w:p>
        </w:tc>
      </w:tr>
      <w:tr>
        <w:trPr>
          <w:trHeight w:val="22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Note for Micron Technology, Inc.’s 5.80% Senior Notes due 2035 (incorporated by reference from Exhibit 4.2 hereto)</w:t>
            </w:r>
          </w:p>
        </w:tc>
      </w:tr>
      <w:tr>
        <w:trPr>
          <w:trHeight w:val="223"/>
        </w:trPr>
        <w:tc>
          <w:tcPr>
            <w:tcW w:w="2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Opinion of Wilson Sonsini Goodrich &amp; Rosati, Professional Corporation</w:t>
            </w:r>
          </w:p>
        </w:tc>
        <w:tc>
          <w:tcPr>
            <w:tcW w:w="3880" w:type="dxa"/>
            <w:vAlign w:val="bottom"/>
            <w:tcBorders>
              <w:top w:val="single" w:sz="8" w:color="0000EE"/>
            </w:tcBorders>
            <w:gridSpan w:val="2"/>
          </w:tcPr>
          <w:p>
            <w:pPr>
              <w:spacing w:after="0"/>
              <w:rPr>
                <w:sz w:val="19"/>
                <w:szCs w:val="19"/>
                <w:color w:val="auto"/>
              </w:rPr>
            </w:pPr>
          </w:p>
        </w:tc>
        <w:tc>
          <w:tcPr>
            <w:tcW w:w="980" w:type="dxa"/>
            <w:vAlign w:val="bottom"/>
            <w:gridSpan w:val="4"/>
          </w:tcPr>
          <w:p>
            <w:pPr>
              <w:spacing w:after="0"/>
              <w:rPr>
                <w:sz w:val="19"/>
                <w:szCs w:val="19"/>
                <w:color w:val="auto"/>
              </w:rPr>
            </w:pPr>
          </w:p>
        </w:tc>
      </w:tr>
      <w:tr>
        <w:trPr>
          <w:trHeight w:val="223"/>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9"/>
                <w:szCs w:val="19"/>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Consent of Wilson Sonsini Goodrich &amp; Rosati, Professional Corporation (included in Exhibit 5.1)</w:t>
            </w:r>
          </w:p>
        </w:tc>
      </w:tr>
      <w:tr>
        <w:trPr>
          <w:trHeight w:val="264"/>
        </w:trPr>
        <w:tc>
          <w:tcPr>
            <w:tcW w:w="3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040" w:type="dxa"/>
            <w:vAlign w:val="bottom"/>
            <w:gridSpan w:val="5"/>
          </w:tcPr>
          <w:p>
            <w:pPr>
              <w:spacing w:after="0"/>
              <w:rPr>
                <w:sz w:val="22"/>
                <w:szCs w:val="22"/>
                <w:color w:val="auto"/>
              </w:rPr>
            </w:pPr>
          </w:p>
        </w:tc>
      </w:tr>
      <w:tr>
        <w:trPr>
          <w:trHeight w:val="675"/>
        </w:trPr>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16, 2025</w:t>
      </w:r>
      <w:r>
        <w:rPr>
          <w:sz w:val="20"/>
          <w:szCs w:val="20"/>
          <w:color w:val="auto"/>
        </w:rPr>
        <w:tab/>
      </w:r>
      <w:r>
        <w:rPr>
          <w:rFonts w:ascii="Times New Roman" w:cs="Times New Roman" w:eastAsia="Times New Roman" w:hAnsi="Times New Roman"/>
          <w:sz w:val="17"/>
          <w:szCs w:val="17"/>
          <w:b w:val="1"/>
          <w:bCs w:val="1"/>
          <w:color w:val="auto"/>
        </w:rPr>
        <w:t>MICRON TECHNOLOGY,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Murphy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0" w:right="1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$1,000,000,000 5.80% SENIOR NOTES DUE 2035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NINTH SUPPLEMENTAL INDENTURE</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 January 16, 2025</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 February 6, 2019</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2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670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980" w:type="dxa"/>
            <w:vAlign w:val="bottom"/>
          </w:tcPr>
          <w:p>
            <w:pPr>
              <w:spacing w:after="0"/>
              <w:rPr>
                <w:sz w:val="20"/>
                <w:szCs w:val="20"/>
                <w:color w:val="auto"/>
              </w:rPr>
            </w:pPr>
          </w:p>
        </w:tc>
      </w:tr>
      <w:tr>
        <w:trPr>
          <w:trHeight w:val="41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INCORPORATION BY REFERENCE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Relationship with Base Indenture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NOTES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Form and Dating</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Transfer and Exchange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2.3.</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Issuance of Additional Notes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2.4.</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Execution and Authentication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 AND PREPAYMENT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Optional Redemption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PARTICULAR COVENANTS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4"/>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4.1.</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 to Purchase Upon Change of Control Triggering Event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4.2.</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Liens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4.3.</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Sale and Lease Back Transactions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4.4.</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Covenants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SATISFACTION AND DISCHARGE; DEFEASANCE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Satisfaction and Discharge of Indenture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5.2.</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Legal Defeasance of Securities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5.3.</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Covenant Defeasance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MISCELLANEOUS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Trust Indenture Act Controls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6.2.</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Governing Law</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6.3.</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Successors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6.4.</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6.5.</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Counterpart Originals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6.6.</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Table of Contents, Headings, Etc.</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6.7.</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Waiver of Jury Trial</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6.8.</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Interpretation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6.9.</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Instruction by Electronic Transmissions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6.10.</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6.11.</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670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OF NOTE</w:t>
            </w:r>
          </w:p>
        </w:tc>
      </w:tr>
      <w:tr>
        <w:trPr>
          <w:trHeight w:val="675"/>
        </w:trPr>
        <w:tc>
          <w:tcPr>
            <w:tcW w:w="15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NINTH SUPPLEMENTAL INDENTURE dated as of January 16, 2025 by and between Micron Technology,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U.S. Bank Trust Company, National Association,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420" w:firstLine="648"/>
        <w:spacing w:after="0" w:line="312" w:lineRule="auto"/>
        <w:rPr>
          <w:sz w:val="20"/>
          <w:szCs w:val="20"/>
          <w:color w:val="auto"/>
        </w:rPr>
      </w:pPr>
      <w:r>
        <w:rPr>
          <w:rFonts w:ascii="Times New Roman" w:cs="Times New Roman" w:eastAsia="Times New Roman" w:hAnsi="Times New Roman"/>
          <w:sz w:val="17"/>
          <w:szCs w:val="17"/>
          <w:color w:val="auto"/>
        </w:rPr>
        <w:t>The Company has heretofore executed and delivered to the Trustee (as successor in interest to U.S. Bank National Association) an indenture, dated as of February 6, 2019 (the “</w:t>
      </w:r>
      <w:r>
        <w:rPr>
          <w:rFonts w:ascii="Times New Roman" w:cs="Times New Roman" w:eastAsia="Times New Roman" w:hAnsi="Times New Roman"/>
          <w:sz w:val="17"/>
          <w:szCs w:val="17"/>
          <w:b w:val="1"/>
          <w:bCs w:val="1"/>
          <w:i w:val="1"/>
          <w:iCs w:val="1"/>
          <w:color w:val="auto"/>
        </w:rPr>
        <w:t>Base Indenture</w:t>
      </w:r>
      <w:r>
        <w:rPr>
          <w:rFonts w:ascii="Times New Roman" w:cs="Times New Roman" w:eastAsia="Times New Roman" w:hAnsi="Times New Roman"/>
          <w:sz w:val="17"/>
          <w:szCs w:val="17"/>
          <w:color w:val="auto"/>
        </w:rPr>
        <w:t>”), providing for the issuance from time to time of one or more Series of the Company’s Securities.</w:t>
      </w:r>
    </w:p>
    <w:p>
      <w:pPr>
        <w:spacing w:after="0" w:line="14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Section 9.1 of the Base Indenture provides that the Company and the Trustee, without the consent of any holders of the Company’s Securities, from time to time may amend or supplement certain terms and conditions in the Base Indenture, including to provide for the issuance of and establishment of terms of a Series of Securities as permitted by Sections 2.1 and 2.2 thereof.</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desires and has requested the Trustee pursuant to Section 9.1 of the Base Indenture to join with it in the execution and delivery of this Supplemental Indenture (together with the Base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in order to supplement the Base Indenture as, and to the extent set forth herein, to provide for the issuance of and establish the forms and terms and conditions of the Notes (as defined below).</w:t>
      </w:r>
    </w:p>
    <w:p>
      <w:pPr>
        <w:spacing w:after="0" w:line="17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execution and delivery of this Supplemental Indenture has been duly authorized by votes of the Board of Directors or a duly authorized committee thereof.</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Trustee agree as follows for the benefit of each other and for the equal and ratable benefit of the Holders (as defined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5.80% Senior Notes due 2035:</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 REFERENCE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i w:val="1"/>
          <w:iCs w:val="1"/>
          <w:color w:val="auto"/>
        </w:rPr>
        <w:t>Relationship with Base Indenture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or the Notes, the provisions of this Supplemental Indenture or the Notes, as applicable, will govern and be controlling.</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Trustee accepts the amendment of the Base Indenture effected by this Supplemental Indenture and agrees to execute the trust created by the Base Indenture as hereby amended, but only upon the terms and conditions set forth in this Supplemental Indenture, including the rights, privileges and immunities of the Trustee set forth in the Base Indenture and the terms and provisions defining and limiting the liabilities and responsibilities of the Trustee in the performance of the trust created by the Base Indenture, and without 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Further, the Trustee shall not be responsible or liable for any failure or delay in the performance of its obligations under this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herein without definition shall have the respective meanings set forth in the Base Indenture. The following terms have the meanings given to them in this Section 1.2:</w:t>
      </w:r>
    </w:p>
    <w:p>
      <w:pPr>
        <w:spacing w:after="0" w:line="158"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Notes</w:t>
      </w:r>
      <w:r>
        <w:rPr>
          <w:rFonts w:ascii="Times New Roman" w:cs="Times New Roman" w:eastAsia="Times New Roman" w:hAnsi="Times New Roman"/>
          <w:sz w:val="18"/>
          <w:szCs w:val="18"/>
          <w:color w:val="auto"/>
        </w:rPr>
        <w:t>” means any Notes (other than the Initial Notes) issued under this Supplemental Indenture in accordance with Section 2.3 hereof, as part of the same Series as the Initial Notes.</w:t>
      </w:r>
    </w:p>
    <w:p>
      <w:pPr>
        <w:spacing w:after="0" w:line="15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Debt</w:t>
      </w:r>
      <w:r>
        <w:rPr>
          <w:rFonts w:ascii="Times New Roman" w:cs="Times New Roman" w:eastAsia="Times New Roman" w:hAnsi="Times New Roman"/>
          <w:sz w:val="18"/>
          <w:szCs w:val="18"/>
          <w:color w:val="auto"/>
        </w:rPr>
        <w:t>” means the sum of the following as of the date of determination: (1) the then aggregate outstanding amount of the Indebtedness of the Company and its Restricted Subsidiaries, without duplication, incurred after the Issue Date and secured by Liens not otherwise permitted by Section 4.2(a) hereof; and (2) the then existing Attributable Debt of the Company and its Restricted Subsidiaries in respect of Sale and Lease Back Transactions, without duplication, entered into after the Issue Date pursuant to the last paragraph of Section 4.3 hereof;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Section 4.2 hereof),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right="7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Procedures</w:t>
      </w:r>
      <w:r>
        <w:rPr>
          <w:rFonts w:ascii="Times New Roman" w:cs="Times New Roman" w:eastAsia="Times New Roman" w:hAnsi="Times New Roman"/>
          <w:sz w:val="18"/>
          <w:szCs w:val="18"/>
          <w:color w:val="auto"/>
        </w:rPr>
        <w:t>” means, with respect to any transfer or exchange of or for beneficial interests in any Global Note, the rules and procedures established by and customary for the Depositary that apply to such transfer or exchange.</w:t>
      </w:r>
    </w:p>
    <w:p>
      <w:pPr>
        <w:spacing w:after="0" w:line="15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Attributable Debt</w:t>
      </w:r>
      <w:r>
        <w:rPr>
          <w:rFonts w:ascii="Times New Roman" w:cs="Times New Roman" w:eastAsia="Times New Roman" w:hAnsi="Times New Roman"/>
          <w:sz w:val="18"/>
          <w:szCs w:val="18"/>
          <w:color w:val="auto"/>
        </w:rPr>
        <w:t>” means in connection with a Sale and Lease 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76"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has the meaning set forth in the preamble to this Supplemental Indenture, as it may be amended, supplemented or otherwise modified from time to time in accordance with the terms thereof.</w:t>
      </w:r>
    </w:p>
    <w:p>
      <w:pPr>
        <w:spacing w:after="0" w:line="15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Below Investment Grade Rating Event</w:t>
      </w:r>
      <w:r>
        <w:rPr>
          <w:rFonts w:ascii="Times New Roman" w:cs="Times New Roman" w:eastAsia="Times New Roman" w:hAnsi="Times New Roman"/>
          <w:sz w:val="18"/>
          <w:szCs w:val="18"/>
          <w:color w:val="auto"/>
        </w:rPr>
        <w:t>” means the rating on the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the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Notes are rated Investment Grade by two or more of the Rating Agencies.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60" w:right="80" w:firstLine="648"/>
        <w:spacing w:after="0" w:line="270" w:lineRule="auto"/>
        <w:rPr>
          <w:sz w:val="20"/>
          <w:szCs w:val="20"/>
          <w:color w:val="auto"/>
        </w:rPr>
      </w:pPr>
      <w:r>
        <w:rPr>
          <w:rFonts w:ascii="Times New Roman" w:cs="Times New Roman" w:eastAsia="Times New Roman" w:hAnsi="Times New Roman"/>
          <w:sz w:val="17"/>
          <w:szCs w:val="17"/>
          <w:color w:val="auto"/>
        </w:rPr>
        <w:t>(i)          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w:t>
      </w:r>
    </w:p>
    <w:p>
      <w:pPr>
        <w:spacing w:after="0" w:line="3" w:lineRule="exact"/>
        <w:rPr>
          <w:sz w:val="20"/>
          <w:szCs w:val="20"/>
          <w:color w:val="auto"/>
        </w:rPr>
      </w:pPr>
    </w:p>
    <w:p>
      <w:pPr>
        <w:ind w:left="660" w:right="40" w:hanging="4"/>
        <w:spacing w:after="0" w:line="251" w:lineRule="auto"/>
        <w:tabs>
          <w:tab w:leader="none" w:pos="9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 w:name="page10"/>
    <w:bookmarkEnd w:id="9"/>
    <w:p>
      <w:pPr>
        <w:ind w:left="660" w:right="60" w:firstLine="648"/>
        <w:spacing w:after="0" w:line="258" w:lineRule="auto"/>
        <w:rPr>
          <w:sz w:val="20"/>
          <w:szCs w:val="20"/>
          <w:color w:val="auto"/>
        </w:rPr>
      </w:pPr>
      <w:r>
        <w:rPr>
          <w:rFonts w:ascii="Times New Roman" w:cs="Times New Roman" w:eastAsia="Times New Roman" w:hAnsi="Times New Roman"/>
          <w:sz w:val="18"/>
          <w:szCs w:val="18"/>
          <w:color w:val="auto"/>
        </w:rPr>
        <w:t>(ii)         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adoption of a plan relating to the Company’s liquidation or dissolution.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Below Investment Grade Rating Event.</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Net Tangible Assets</w:t>
      </w:r>
      <w:r>
        <w:rPr>
          <w:rFonts w:ascii="Times New Roman" w:cs="Times New Roman" w:eastAsia="Times New Roman" w:hAnsi="Times New Roman"/>
          <w:sz w:val="18"/>
          <w:szCs w:val="18"/>
          <w:color w:val="auto"/>
        </w:rPr>
        <w:t>”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85"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Subsidiaries</w:t>
      </w:r>
      <w:r>
        <w:rPr>
          <w:rFonts w:ascii="Times New Roman" w:cs="Times New Roman" w:eastAsia="Times New Roman" w:hAnsi="Times New Roman"/>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55"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Definitive Note</w:t>
      </w:r>
      <w:r>
        <w:rPr>
          <w:rFonts w:ascii="Times New Roman" w:cs="Times New Roman" w:eastAsia="Times New Roman" w:hAnsi="Times New Roman"/>
          <w:sz w:val="18"/>
          <w:szCs w:val="18"/>
          <w:color w:val="auto"/>
        </w:rPr>
        <w:t xml:space="preserve">” means a certificated Note registered in the name of the Holder thereof and issued in accordance with Section 2.2 hereof,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Note will not bear the Global Note Legend.</w:t>
      </w:r>
    </w:p>
    <w:p>
      <w:pPr>
        <w:spacing w:after="0" w:line="15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the Notes issuable or issued in whole or in part in global form, the person specified in Section 2.1 hereof as the Depositary with respect to such Notes, and any and all successors thereto appointed as depositary hereunder.</w:t>
      </w:r>
    </w:p>
    <w:p>
      <w:pPr>
        <w:spacing w:after="0" w:line="15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Interests</w:t>
      </w:r>
      <w:r>
        <w:rPr>
          <w:rFonts w:ascii="Times New Roman" w:cs="Times New Roman" w:eastAsia="Times New Roman" w:hAnsi="Times New Roman"/>
          <w:sz w:val="18"/>
          <w:szCs w:val="18"/>
          <w:color w:val="auto"/>
        </w:rPr>
        <w:t>” means all Capital Stock and all warrants or options with respect to, or other rights to purchase, Capital Stock, but excluding Indebtedness convertible into or exchangeable for equity.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Fitch</w:t>
      </w:r>
      <w:r>
        <w:rPr>
          <w:rFonts w:ascii="Times New Roman" w:cs="Times New Roman" w:eastAsia="Times New Roman" w:hAnsi="Times New Roman"/>
          <w:sz w:val="18"/>
          <w:szCs w:val="18"/>
          <w:color w:val="auto"/>
        </w:rPr>
        <w:t>” means Fitch Ratings Inc. and any successor to its rating agency business.</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Subsidiary</w:t>
      </w:r>
      <w:r>
        <w:rPr>
          <w:rFonts w:ascii="Times New Roman" w:cs="Times New Roman" w:eastAsia="Times New Roman" w:hAnsi="Times New Roman"/>
          <w:sz w:val="18"/>
          <w:szCs w:val="18"/>
          <w:color w:val="auto"/>
        </w:rPr>
        <w:t>” means, with respect to any person, any Subsidiary of such person other than one that is organized or existing under the laws of the United States, any state thereof or the District of Columbia.</w:t>
      </w:r>
    </w:p>
    <w:p>
      <w:pPr>
        <w:spacing w:after="0" w:line="15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Note Legend</w:t>
      </w:r>
      <w:r>
        <w:rPr>
          <w:rFonts w:ascii="Times New Roman" w:cs="Times New Roman" w:eastAsia="Times New Roman" w:hAnsi="Times New Roman"/>
          <w:sz w:val="18"/>
          <w:szCs w:val="18"/>
          <w:color w:val="auto"/>
        </w:rPr>
        <w:t>” means the legend set forth in Section 2.2(e) hereof, which is required to be placed on all Global Notes issued under this Supplemental Indenture.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right="6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Notes</w:t>
      </w:r>
      <w:r>
        <w:rPr>
          <w:rFonts w:ascii="Times New Roman" w:cs="Times New Roman" w:eastAsia="Times New Roman" w:hAnsi="Times New Roman"/>
          <w:sz w:val="18"/>
          <w:szCs w:val="18"/>
          <w:color w:val="auto"/>
        </w:rPr>
        <w:t xml:space="preserve">” means, individually and collectively, each of the Global Notes,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issued in accordance with Section 2.1 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 person in whose name a Note is registered.</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of any Indebtedness outstanding as of any date will be: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accreted value of the Indebtedness, in the case of any Indebtedness that does not require the current payment of interest;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principal amount of the Indebtedness, in the case of any other Indebtedness; and</w:t>
      </w:r>
    </w:p>
    <w:p>
      <w:pPr>
        <w:spacing w:after="0" w:line="225" w:lineRule="exact"/>
        <w:rPr>
          <w:sz w:val="20"/>
          <w:szCs w:val="20"/>
          <w:color w:val="auto"/>
        </w:rPr>
      </w:pPr>
    </w:p>
    <w:p>
      <w:pPr>
        <w:jc w:val="both"/>
        <w:ind w:left="660" w:right="140" w:firstLine="648"/>
        <w:spacing w:after="0" w:line="266" w:lineRule="auto"/>
        <w:rPr>
          <w:sz w:val="20"/>
          <w:szCs w:val="20"/>
          <w:color w:val="auto"/>
        </w:rPr>
      </w:pPr>
      <w:r>
        <w:rPr>
          <w:rFonts w:ascii="Times New Roman" w:cs="Times New Roman" w:eastAsia="Times New Roman" w:hAnsi="Times New Roman"/>
          <w:sz w:val="18"/>
          <w:szCs w:val="18"/>
          <w:color w:val="auto"/>
        </w:rPr>
        <w:t>(3)         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accrual of interest and accretion or amortization of original issue discount will not be deemed to be an incurrence of Indebtedness for any purpose under this Indenture.</w:t>
      </w:r>
    </w:p>
    <w:p>
      <w:pPr>
        <w:spacing w:after="0" w:line="158"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the Base Indenture, as supplemented by this Supplemental Indenture, governing the Notes, in each case, as amended, supplemented 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Indirect Participant</w:t>
      </w:r>
      <w:r>
        <w:rPr>
          <w:rFonts w:ascii="Times New Roman" w:cs="Times New Roman" w:eastAsia="Times New Roman" w:hAnsi="Times New Roman"/>
          <w:sz w:val="18"/>
          <w:szCs w:val="18"/>
          <w:color w:val="auto"/>
        </w:rPr>
        <w:t>” means a person who holds a beneficial interest in a Global Note through a Participant.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Notes</w:t>
      </w:r>
      <w:r>
        <w:rPr>
          <w:rFonts w:ascii="Times New Roman" w:cs="Times New Roman" w:eastAsia="Times New Roman" w:hAnsi="Times New Roman"/>
          <w:sz w:val="18"/>
          <w:szCs w:val="18"/>
          <w:color w:val="auto"/>
        </w:rPr>
        <w:t>” means the $1,000,000,000 aggregate principal amount of Notes issued under this Supplemental Indenture on the date hereof.</w:t>
      </w:r>
    </w:p>
    <w:p>
      <w:pPr>
        <w:spacing w:after="0" w:line="225" w:lineRule="exact"/>
        <w:rPr>
          <w:sz w:val="20"/>
          <w:szCs w:val="20"/>
          <w:color w:val="auto"/>
        </w:rPr>
      </w:pPr>
    </w:p>
    <w:p>
      <w:pPr>
        <w:jc w:val="both"/>
        <w:ind w:right="20"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Investment Grade</w:t>
      </w:r>
      <w:r>
        <w:rPr>
          <w:rFonts w:ascii="Times New Roman" w:cs="Times New Roman" w:eastAsia="Times New Roman" w:hAnsi="Times New Roman"/>
          <w:sz w:val="17"/>
          <w:szCs w:val="17"/>
          <w:color w:val="auto"/>
        </w:rPr>
        <w:t>”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the Company.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 means the date hereof.</w:t>
      </w:r>
    </w:p>
    <w:p>
      <w:pPr>
        <w:spacing w:after="0" w:line="22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Joint Venture</w:t>
      </w:r>
      <w:r>
        <w:rPr>
          <w:rFonts w:ascii="Times New Roman" w:cs="Times New Roman" w:eastAsia="Times New Roman" w:hAnsi="Times New Roman"/>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Lien</w:t>
      </w:r>
      <w:r>
        <w:rPr>
          <w:rFonts w:ascii="Times New Roman" w:cs="Times New Roman" w:eastAsia="Times New Roman" w:hAnsi="Times New Roman"/>
          <w:sz w:val="17"/>
          <w:szCs w:val="17"/>
          <w:color w:val="auto"/>
        </w:rPr>
        <w:t>”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Nonrecourse Obligation</w:t>
      </w:r>
      <w:r>
        <w:rPr>
          <w:rFonts w:ascii="Times New Roman" w:cs="Times New Roman" w:eastAsia="Times New Roman" w:hAnsi="Times New Roman"/>
          <w:sz w:val="18"/>
          <w:szCs w:val="18"/>
          <w:color w:val="auto"/>
        </w:rPr>
        <w:t>”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79"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means the Company’s 5.80% Senior Notes due 2035; provided that the Initial Notes and the Additional Notes, if any, will be treated as a single Series for all purposes under this Supplemental Indenture, and unless the context otherwise requires, all references to the Notes will include the Initial Notes and any Additional Notes.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 Call Date</w:t>
      </w:r>
      <w:r>
        <w:rPr>
          <w:rFonts w:ascii="Times New Roman" w:cs="Times New Roman" w:eastAsia="Times New Roman" w:hAnsi="Times New Roman"/>
          <w:sz w:val="18"/>
          <w:szCs w:val="18"/>
          <w:color w:val="auto"/>
        </w:rPr>
        <w:t>” means October 15, 2034.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with respect to the Depositary, a person who has an account with the Depositary.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Issue Date or arising thereafter pursuant to related agreements existing as of the Issue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Issue Date created in favor of the Holders of the Notes;</w:t>
      </w:r>
    </w:p>
    <w:p>
      <w:pPr>
        <w:spacing w:after="0" w:line="225" w:lineRule="exact"/>
        <w:rPr>
          <w:rFonts w:ascii="Times New Roman" w:cs="Times New Roman" w:eastAsia="Times New Roman" w:hAnsi="Times New Roman"/>
          <w:sz w:val="18"/>
          <w:szCs w:val="18"/>
          <w:color w:val="auto"/>
        </w:rPr>
      </w:pPr>
    </w:p>
    <w:p>
      <w:pPr>
        <w:ind w:left="980" w:right="40" w:hanging="324"/>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Principal Property or Liens on the Capital Stock of any Person formed to acquire or hold such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by the time of or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188" w:lineRule="exact"/>
        <w:rPr>
          <w:rFonts w:ascii="Times New Roman" w:cs="Times New Roman" w:eastAsia="Times New Roman" w:hAnsi="Times New Roman"/>
          <w:sz w:val="18"/>
          <w:szCs w:val="18"/>
          <w:color w:val="auto"/>
        </w:rPr>
      </w:pPr>
    </w:p>
    <w:p>
      <w:pPr>
        <w:ind w:left="980" w:right="120" w:hanging="324"/>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2" w:name="page13"/>
    <w:bookmarkEnd w:id="12"/>
    <w:p>
      <w:pPr>
        <w:ind w:left="324" w:right="140" w:hanging="324"/>
        <w:spacing w:after="0" w:line="254"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191" w:lineRule="exact"/>
        <w:rPr>
          <w:rFonts w:ascii="Times New Roman" w:cs="Times New Roman" w:eastAsia="Times New Roman" w:hAnsi="Times New Roman"/>
          <w:sz w:val="18"/>
          <w:szCs w:val="18"/>
          <w:color w:val="auto"/>
        </w:rPr>
      </w:pPr>
    </w:p>
    <w:p>
      <w:pPr>
        <w:ind w:left="324" w:right="60" w:hanging="324"/>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a Restricted Subsidiary of the Company;</w:t>
      </w:r>
    </w:p>
    <w:p>
      <w:pPr>
        <w:spacing w:after="0" w:line="225" w:lineRule="exact"/>
        <w:rPr>
          <w:rFonts w:ascii="Times New Roman" w:cs="Times New Roman" w:eastAsia="Times New Roman" w:hAnsi="Times New Roman"/>
          <w:sz w:val="18"/>
          <w:szCs w:val="18"/>
          <w:color w:val="auto"/>
        </w:rPr>
      </w:pPr>
    </w:p>
    <w:p>
      <w:pPr>
        <w:ind w:left="324" w:right="160" w:hanging="324"/>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175" w:lineRule="exact"/>
        <w:rPr>
          <w:rFonts w:ascii="Times New Roman" w:cs="Times New Roman" w:eastAsia="Times New Roman" w:hAnsi="Times New Roman"/>
          <w:sz w:val="18"/>
          <w:szCs w:val="18"/>
          <w:color w:val="auto"/>
        </w:rPr>
      </w:pPr>
    </w:p>
    <w:p>
      <w:pPr>
        <w:ind w:left="324" w:right="100"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61" w:lineRule="exact"/>
        <w:rPr>
          <w:rFonts w:ascii="Times New Roman" w:cs="Times New Roman" w:eastAsia="Times New Roman" w:hAnsi="Times New Roman"/>
          <w:sz w:val="18"/>
          <w:szCs w:val="18"/>
          <w:color w:val="auto"/>
        </w:rPr>
      </w:pPr>
    </w:p>
    <w:p>
      <w:pPr>
        <w:ind w:left="324" w:right="60" w:hanging="324"/>
        <w:spacing w:after="0" w:line="25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87" w:lineRule="exact"/>
        <w:rPr>
          <w:rFonts w:ascii="Times New Roman" w:cs="Times New Roman" w:eastAsia="Times New Roman" w:hAnsi="Times New Roman"/>
          <w:sz w:val="18"/>
          <w:szCs w:val="18"/>
          <w:color w:val="auto"/>
        </w:rPr>
      </w:pPr>
    </w:p>
    <w:p>
      <w:pPr>
        <w:ind w:left="324" w:hanging="324"/>
        <w:spacing w:after="0" w:line="261"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79" w:lineRule="exact"/>
        <w:rPr>
          <w:rFonts w:ascii="Times New Roman" w:cs="Times New Roman" w:eastAsia="Times New Roman" w:hAnsi="Times New Roman"/>
          <w:sz w:val="18"/>
          <w:szCs w:val="18"/>
          <w:color w:val="auto"/>
        </w:rPr>
      </w:pPr>
    </w:p>
    <w:p>
      <w:pPr>
        <w:ind w:left="324" w:right="60" w:hanging="324"/>
        <w:spacing w:after="0" w:line="312" w:lineRule="auto"/>
        <w:tabs>
          <w:tab w:leader="none" w:pos="32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35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4" w:right="379" w:bottom="1440" w:gutter="0" w:footer="0" w:header="0"/>
        </w:sectPr>
      </w:pPr>
    </w:p>
    <w:bookmarkStart w:id="13" w:name="page14"/>
    <w:bookmarkEnd w:id="13"/>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in connection with the acquisition of assets or a project financed with, and created to secure a Nonrecourse Obligation; and</w:t>
      </w:r>
    </w:p>
    <w:p>
      <w:pPr>
        <w:spacing w:after="0" w:line="225" w:lineRule="exact"/>
        <w:rPr>
          <w:rFonts w:ascii="Times New Roman" w:cs="Times New Roman" w:eastAsia="Times New Roman" w:hAnsi="Times New Roman"/>
          <w:sz w:val="18"/>
          <w:szCs w:val="18"/>
          <w:color w:val="auto"/>
        </w:rPr>
      </w:pPr>
    </w:p>
    <w:p>
      <w:pPr>
        <w:ind w:left="980" w:right="80" w:hanging="324"/>
        <w:spacing w:after="0" w:line="255"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substitution, reinstatement or replacement (or successive extensions, renewals, substitutions, reinstatements or replacements), in whole or in part, of any Lien referred to in this or the preceding clauses (1) through (13),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clauses (1) through (13).</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5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Property</w:t>
      </w:r>
      <w:r>
        <w:rPr>
          <w:rFonts w:ascii="Times New Roman" w:cs="Times New Roman" w:eastAsia="Times New Roman" w:hAnsi="Times New Roman"/>
          <w:sz w:val="18"/>
          <w:szCs w:val="18"/>
          <w:color w:val="auto"/>
        </w:rPr>
        <w:t>”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83"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Rating Agency</w:t>
      </w:r>
      <w:r>
        <w:rPr>
          <w:rFonts w:ascii="Times New Roman" w:cs="Times New Roman" w:eastAsia="Times New Roman" w:hAnsi="Times New Roman"/>
          <w:sz w:val="18"/>
          <w:szCs w:val="18"/>
          <w:color w:val="auto"/>
        </w:rPr>
        <w:t>”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17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Remaining Scheduled Payments</w:t>
      </w:r>
      <w:r>
        <w:rPr>
          <w:rFonts w:ascii="Times New Roman" w:cs="Times New Roman" w:eastAsia="Times New Roman" w:hAnsi="Times New Roman"/>
          <w:sz w:val="18"/>
          <w:szCs w:val="18"/>
          <w:color w:val="auto"/>
        </w:rPr>
        <w:t>” means, with respect to any Notes being redeemed, the sum of the present values of the remaining scheduled payments of the principal and interest thereon discounted to the redemption date (assuming the Notes matured on the Par Call Date) on a semi-annual basis (assuming a 360-day year consisting of twelve 30-day months) at the Treasury Rate plus 20 basis points.</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Subsidiary</w:t>
      </w:r>
      <w:r>
        <w:rPr>
          <w:rFonts w:ascii="Times New Roman" w:cs="Times New Roman" w:eastAsia="Times New Roman" w:hAnsi="Times New Roman"/>
          <w:sz w:val="18"/>
          <w:szCs w:val="18"/>
          <w:color w:val="auto"/>
        </w:rPr>
        <w:t>”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means S&amp;P Global Ratings, and any successor to its rating agency business.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4" w:name="page15"/>
    <w:bookmarkEnd w:id="14"/>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and Lease Back Transaction</w:t>
      </w:r>
      <w:r>
        <w:rPr>
          <w:rFonts w:ascii="Times New Roman" w:cs="Times New Roman" w:eastAsia="Times New Roman" w:hAnsi="Times New Roman"/>
          <w:sz w:val="18"/>
          <w:szCs w:val="18"/>
          <w:color w:val="auto"/>
        </w:rPr>
        <w:t>” means an arrangement with any lender or investor or to which such lender or investor is a party providing for the leasing by the Company or any Subsidiary of the Company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of the Company to such lender or investor or to any person to whom funds have been or are to be advanced by such lender on the security of such Principal Property.</w:t>
      </w:r>
    </w:p>
    <w:p>
      <w:pPr>
        <w:spacing w:after="0" w:line="182"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Senior Officer</w:t>
      </w:r>
      <w:r>
        <w:rPr>
          <w:rFonts w:ascii="Times New Roman" w:cs="Times New Roman" w:eastAsia="Times New Roman" w:hAnsi="Times New Roman"/>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71"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means this Ninth Supplemental Indenture, dated as of the date hereof, by and between the Company and the Trustee, governing the Notes, as it may be amended, supplemented or otherwise modified from time to time in accordance with the Base Indenture and the terms 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Company in the following manner:</w:t>
      </w:r>
    </w:p>
    <w:p>
      <w:pPr>
        <w:spacing w:after="0" w:line="229"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b w:val="1"/>
          <w:bCs w:val="1"/>
          <w:i w:val="1"/>
          <w:iCs w:val="1"/>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b w:val="1"/>
          <w:bCs w:val="1"/>
          <w:i w:val="1"/>
          <w:iCs w:val="1"/>
          <w:color w:val="auto"/>
        </w:rPr>
        <w:t>H.15 TCM</w:t>
      </w:r>
      <w:r>
        <w:rPr>
          <w:rFonts w:ascii="Times New Roman" w:cs="Times New Roman" w:eastAsia="Times New Roman" w:hAnsi="Times New Roman"/>
          <w:sz w:val="18"/>
          <w:szCs w:val="18"/>
          <w:color w:val="auto"/>
        </w:rPr>
        <w:t>”). In determining the Treasury Rate, the Company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i w:val="1"/>
          <w:i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5" w:name="page16"/>
    <w:bookmarkEnd w:id="15"/>
    <w:p>
      <w:pPr>
        <w:ind w:left="66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6" w:lineRule="exact"/>
        <w:rPr>
          <w:sz w:val="20"/>
          <w:szCs w:val="20"/>
          <w:color w:val="auto"/>
        </w:rPr>
      </w:pPr>
    </w:p>
    <w:p>
      <w:pPr>
        <w:ind w:right="30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Voting Stock</w:t>
      </w:r>
      <w:r>
        <w:rPr>
          <w:rFonts w:ascii="Times New Roman" w:cs="Times New Roman" w:eastAsia="Times New Roman" w:hAnsi="Times New Roman"/>
          <w:sz w:val="17"/>
          <w:szCs w:val="17"/>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Other Definitions</w:t>
            </w: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Defined in</w:t>
            </w:r>
          </w:p>
        </w:tc>
        <w:tc>
          <w:tcPr>
            <w:tcW w:w="0" w:type="dxa"/>
            <w:vAlign w:val="bottom"/>
          </w:tcPr>
          <w:p>
            <w:pPr>
              <w:spacing w:after="0"/>
              <w:rPr>
                <w:sz w:val="1"/>
                <w:szCs w:val="1"/>
                <w:color w:val="auto"/>
              </w:rPr>
            </w:pPr>
          </w:p>
        </w:tc>
      </w:tr>
      <w:tr>
        <w:trPr>
          <w:trHeight w:val="238"/>
        </w:trPr>
        <w:tc>
          <w:tcPr>
            <w:tcW w:w="510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Section</w:t>
            </w:r>
          </w:p>
        </w:tc>
        <w:tc>
          <w:tcPr>
            <w:tcW w:w="0" w:type="dxa"/>
            <w:vAlign w:val="bottom"/>
          </w:tcPr>
          <w:p>
            <w:pPr>
              <w:spacing w:after="0"/>
              <w:rPr>
                <w:sz w:val="1"/>
                <w:szCs w:val="1"/>
                <w:color w:val="auto"/>
              </w:rPr>
            </w:pPr>
          </w:p>
        </w:tc>
      </w:tr>
      <w:tr>
        <w:trPr>
          <w:trHeight w:val="209"/>
        </w:trPr>
        <w:tc>
          <w:tcPr>
            <w:tcW w:w="5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 of Control Purchase Date”</w:t>
            </w:r>
          </w:p>
        </w:tc>
        <w:tc>
          <w:tcPr>
            <w:tcW w:w="4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 of Control Purchase Price”</w:t>
            </w:r>
          </w:p>
        </w:tc>
        <w:tc>
          <w:tcPr>
            <w:tcW w:w="6040" w:type="dxa"/>
            <w:vAlign w:val="bottom"/>
            <w:gridSpan w:val="3"/>
          </w:tcPr>
          <w:p>
            <w:pPr>
              <w:jc w:val="center"/>
              <w:ind w:left="48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“DTC”</w:t>
            </w:r>
          </w:p>
        </w:tc>
        <w:tc>
          <w:tcPr>
            <w:tcW w:w="6040" w:type="dxa"/>
            <w:vAlign w:val="bottom"/>
            <w:gridSpan w:val="3"/>
            <w:shd w:val="clear" w:color="auto" w:fill="CCEEFF"/>
          </w:tcPr>
          <w:p>
            <w:pPr>
              <w:jc w:val="center"/>
              <w:ind w:left="4810"/>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“Expiration Date”</w:t>
            </w:r>
          </w:p>
        </w:tc>
        <w:tc>
          <w:tcPr>
            <w:tcW w:w="6040" w:type="dxa"/>
            <w:vAlign w:val="bottom"/>
            <w:gridSpan w:val="3"/>
          </w:tcPr>
          <w:p>
            <w:pPr>
              <w:jc w:val="center"/>
              <w:ind w:left="48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“Interest Payment Date”</w:t>
            </w:r>
          </w:p>
        </w:tc>
        <w:tc>
          <w:tcPr>
            <w:tcW w:w="4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Paragraph 1 of</w:t>
            </w:r>
          </w:p>
        </w:tc>
        <w:tc>
          <w:tcPr>
            <w:tcW w:w="0" w:type="dxa"/>
            <w:vAlign w:val="bottom"/>
          </w:tcPr>
          <w:p>
            <w:pPr>
              <w:spacing w:after="0"/>
              <w:rPr>
                <w:sz w:val="1"/>
                <w:szCs w:val="1"/>
                <w:color w:val="auto"/>
              </w:rPr>
            </w:pPr>
          </w:p>
        </w:tc>
      </w:tr>
      <w:tr>
        <w:trPr>
          <w:trHeight w:val="234"/>
        </w:trPr>
        <w:tc>
          <w:tcPr>
            <w:tcW w:w="5100" w:type="dxa"/>
            <w:vAlign w:val="bottom"/>
            <w:vMerge w:val="continue"/>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“Offer to Purchase”</w:t>
            </w:r>
          </w:p>
        </w:tc>
        <w:tc>
          <w:tcPr>
            <w:tcW w:w="6040" w:type="dxa"/>
            <w:vAlign w:val="bottom"/>
            <w:gridSpan w:val="3"/>
          </w:tcPr>
          <w:p>
            <w:pPr>
              <w:jc w:val="center"/>
              <w:ind w:left="48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“Second Change of Control Purchase Date”</w:t>
            </w:r>
          </w:p>
        </w:tc>
        <w:tc>
          <w:tcPr>
            <w:tcW w:w="6040" w:type="dxa"/>
            <w:vAlign w:val="bottom"/>
            <w:gridSpan w:val="3"/>
            <w:shd w:val="clear" w:color="auto" w:fill="CCEEFF"/>
          </w:tcPr>
          <w:p>
            <w:pPr>
              <w:jc w:val="center"/>
              <w:ind w:left="48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5100" w:type="dxa"/>
            <w:vAlign w:val="bottom"/>
          </w:tcPr>
          <w:p>
            <w:pPr>
              <w:spacing w:after="0"/>
              <w:rPr>
                <w:sz w:val="24"/>
                <w:szCs w:val="24"/>
                <w:color w:val="auto"/>
              </w:rPr>
            </w:pPr>
          </w:p>
        </w:tc>
        <w:tc>
          <w:tcPr>
            <w:tcW w:w="61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ARTICLE 2.</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6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THE NOTES</w:t>
            </w:r>
          </w:p>
        </w:tc>
        <w:tc>
          <w:tcPr>
            <w:tcW w:w="0" w:type="dxa"/>
            <w:vAlign w:val="bottom"/>
          </w:tcPr>
          <w:p>
            <w:pPr>
              <w:spacing w:after="0"/>
              <w:rPr>
                <w:sz w:val="1"/>
                <w:szCs w:val="1"/>
                <w:color w:val="auto"/>
              </w:rPr>
            </w:pPr>
          </w:p>
        </w:tc>
      </w:tr>
      <w:tr>
        <w:trPr>
          <w:trHeight w:val="432"/>
        </w:trPr>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i w:val="1"/>
                <w:iCs w:val="1"/>
                <w:color w:val="auto"/>
              </w:rPr>
              <w:t>Form and Dating</w:t>
            </w:r>
            <w:r>
              <w:rPr>
                <w:rFonts w:ascii="Times New Roman" w:cs="Times New Roman" w:eastAsia="Times New Roman" w:hAnsi="Times New Roman"/>
                <w:sz w:val="18"/>
                <w:szCs w:val="18"/>
                <w:color w:val="auto"/>
              </w:rPr>
              <w:t>.</w:t>
            </w: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80" w:firstLine="1296"/>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The Notes and the Trustee’s certificate of authentication with respect thereto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hereto</w:t>
      </w:r>
      <w:r>
        <w:rPr>
          <w:rFonts w:ascii="Times New Roman" w:cs="Times New Roman" w:eastAsia="Times New Roman" w:hAnsi="Times New Roman"/>
          <w:sz w:val="18"/>
          <w:szCs w:val="18"/>
          <w:color w:val="auto"/>
        </w:rPr>
        <w:t>. The Notes may have notations, legends or endorsements required by law, stock exchange rule or usage. Each Note will be dated the date of its authentication. The Notes will be in minimum denominations of $2,000 with integral multiples of $1,000 in excess thereof.</w:t>
      </w:r>
    </w:p>
    <w:p>
      <w:pPr>
        <w:spacing w:after="0" w:line="17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Global Notes.</w:t>
      </w:r>
    </w:p>
    <w:p>
      <w:pPr>
        <w:spacing w:after="0" w:line="227" w:lineRule="exact"/>
        <w:rPr>
          <w:sz w:val="20"/>
          <w:szCs w:val="20"/>
          <w:color w:val="auto"/>
        </w:rPr>
      </w:pPr>
    </w:p>
    <w:p>
      <w:pPr>
        <w:ind w:right="480" w:firstLine="1944"/>
        <w:spacing w:after="0" w:line="266" w:lineRule="auto"/>
        <w:rPr>
          <w:sz w:val="20"/>
          <w:szCs w:val="20"/>
          <w:color w:val="auto"/>
        </w:rPr>
      </w:pPr>
      <w:r>
        <w:rPr>
          <w:rFonts w:ascii="Times New Roman" w:cs="Times New Roman" w:eastAsia="Times New Roman" w:hAnsi="Times New Roman"/>
          <w:sz w:val="18"/>
          <w:szCs w:val="18"/>
          <w:color w:val="auto"/>
        </w:rPr>
        <w:t xml:space="preserve">(1)         Notes issued in global form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(including the Global Note Legend thereon). Notes issued in definitive form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(but without the Global Note Legend thereon).</w:t>
      </w:r>
    </w:p>
    <w:p>
      <w:pPr>
        <w:spacing w:after="0" w:line="176" w:lineRule="exact"/>
        <w:rPr>
          <w:sz w:val="20"/>
          <w:szCs w:val="20"/>
          <w:color w:val="auto"/>
        </w:rPr>
      </w:pPr>
    </w:p>
    <w:p>
      <w:pPr>
        <w:ind w:firstLine="1944"/>
        <w:spacing w:after="0" w:line="256" w:lineRule="auto"/>
        <w:rPr>
          <w:sz w:val="20"/>
          <w:szCs w:val="20"/>
          <w:color w:val="auto"/>
        </w:rPr>
      </w:pPr>
      <w:r>
        <w:rPr>
          <w:rFonts w:ascii="Times New Roman" w:cs="Times New Roman" w:eastAsia="Times New Roman" w:hAnsi="Times New Roman"/>
          <w:sz w:val="18"/>
          <w:szCs w:val="18"/>
          <w:color w:val="auto"/>
        </w:rPr>
        <w:t>(2)         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act as Depositary with respect to the Global Notes.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i w:val="1"/>
          <w:iCs w:val="1"/>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90"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Transfer and Exchange of Global Notes</w:t>
      </w:r>
      <w:r>
        <w:rPr>
          <w:rFonts w:ascii="Times New Roman" w:cs="Times New Roman" w:eastAsia="Times New Roman" w:hAnsi="Times New Roman"/>
          <w:sz w:val="17"/>
          <w:szCs w:val="17"/>
          <w:color w:val="auto"/>
        </w:rPr>
        <w:t>. 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157"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(1)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w:t>
      </w:r>
    </w:p>
    <w:p>
      <w:pPr>
        <w:spacing w:after="0" w:line="176"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(2)           an Event of Default has occurred and the Trustee has received a written request from DTC that the Global Notes (in whole but not in part) should be exchanged for Definitive Notes; or</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(3)           the Company in its sole discretion and subject to the procedures of the Depositary determines that the Global Notes (in whole but not in part) should be exchanged for Definitive Notes and delivers a written notice to such effect to the Trustee.</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Upon the occurrence of either of the preceding events in (1), (2) or (3) above, Definitive Notes will be issued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 Sections 2.2(b) or (f) hereof.</w:t>
      </w:r>
    </w:p>
    <w:p>
      <w:pPr>
        <w:spacing w:after="0" w:line="185" w:lineRule="exact"/>
        <w:rPr>
          <w:sz w:val="20"/>
          <w:szCs w:val="20"/>
          <w:color w:val="auto"/>
        </w:rPr>
      </w:pPr>
    </w:p>
    <w:p>
      <w:pPr>
        <w:jc w:val="both"/>
        <w:ind w:right="160"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Transfer and Exchange of Beneficial Interests in the Global Notes</w:t>
      </w:r>
      <w:r>
        <w:rPr>
          <w:rFonts w:ascii="Times New Roman" w:cs="Times New Roman" w:eastAsia="Times New Roman" w:hAnsi="Times New Roman"/>
          <w:sz w:val="18"/>
          <w:szCs w:val="18"/>
          <w:color w:val="auto"/>
        </w:rPr>
        <w:t>. The transfer and exchange of beneficial interests in the Global 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7" w:name="page18"/>
    <w:bookmarkEnd w:id="17"/>
    <w:p>
      <w:pPr>
        <w:ind w:right="140" w:firstLine="1944"/>
        <w:spacing w:after="0" w:line="267"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Transfer of Beneficial Interests in the Same Global Note</w:t>
      </w:r>
      <w:r>
        <w:rPr>
          <w:rFonts w:ascii="Times New Roman" w:cs="Times New Roman" w:eastAsia="Times New Roman" w:hAnsi="Times New Roman"/>
          <w:sz w:val="18"/>
          <w:szCs w:val="18"/>
          <w:color w:val="auto"/>
        </w:rPr>
        <w:t>. Beneficial interests in any Global Note may be transferred to persons who take delivery thereof in the form of a beneficial interest in a Global Note. No written orders or instructions will be required to be delivered to the Registrar to effect the transfers described in this Section 2.2(b)(1).</w:t>
      </w:r>
    </w:p>
    <w:p>
      <w:pPr>
        <w:spacing w:after="0" w:line="173" w:lineRule="exact"/>
        <w:rPr>
          <w:sz w:val="20"/>
          <w:szCs w:val="20"/>
          <w:color w:val="auto"/>
        </w:rPr>
      </w:pPr>
    </w:p>
    <w:p>
      <w:pPr>
        <w:ind w:right="60" w:firstLine="1944"/>
        <w:spacing w:after="0" w:line="284"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All Other Transfers and Exchanges of Beneficial Interests in Global Notes</w:t>
      </w:r>
      <w:r>
        <w:rPr>
          <w:rFonts w:ascii="Times New Roman" w:cs="Times New Roman" w:eastAsia="Times New Roman" w:hAnsi="Times New Roman"/>
          <w:sz w:val="18"/>
          <w:szCs w:val="18"/>
          <w:color w:val="auto"/>
        </w:rPr>
        <w:t>. In connection with all transfers and exchanges of beneficial interests that are not subject to Section 2.2(b)(1) above, the transferor of such beneficial interest must deliver to the Registrar:</w:t>
      </w:r>
    </w:p>
    <w:p>
      <w:pPr>
        <w:spacing w:after="0" w:line="160" w:lineRule="exact"/>
        <w:rPr>
          <w:sz w:val="20"/>
          <w:szCs w:val="20"/>
          <w:color w:val="auto"/>
        </w:rPr>
      </w:pPr>
    </w:p>
    <w:p>
      <w:pPr>
        <w:ind w:right="480" w:firstLine="2592"/>
        <w:spacing w:after="0" w:line="266" w:lineRule="auto"/>
        <w:rPr>
          <w:sz w:val="20"/>
          <w:szCs w:val="20"/>
          <w:color w:val="auto"/>
        </w:rPr>
      </w:pPr>
      <w:r>
        <w:rPr>
          <w:rFonts w:ascii="Times New Roman" w:cs="Times New Roman" w:eastAsia="Times New Roman" w:hAnsi="Times New Roman"/>
          <w:sz w:val="18"/>
          <w:szCs w:val="18"/>
          <w:color w:val="auto"/>
        </w:rPr>
        <w:t>(i)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76" w:lineRule="exact"/>
        <w:rPr>
          <w:sz w:val="20"/>
          <w:szCs w:val="20"/>
          <w:color w:val="auto"/>
        </w:rPr>
      </w:pPr>
    </w:p>
    <w:p>
      <w:pPr>
        <w:ind w:right="80" w:firstLine="2592"/>
        <w:spacing w:after="0" w:line="282" w:lineRule="auto"/>
        <w:rPr>
          <w:sz w:val="20"/>
          <w:szCs w:val="20"/>
          <w:color w:val="auto"/>
        </w:rPr>
      </w:pPr>
      <w:r>
        <w:rPr>
          <w:rFonts w:ascii="Times New Roman" w:cs="Times New Roman" w:eastAsia="Times New Roman" w:hAnsi="Times New Roman"/>
          <w:sz w:val="18"/>
          <w:szCs w:val="18"/>
          <w:color w:val="auto"/>
        </w:rPr>
        <w:t>(ii)        instructions given in accordance with the Applicable Procedures containing information regarding the Participant account to be credited with such increase.</w:t>
      </w:r>
    </w:p>
    <w:p>
      <w:pPr>
        <w:spacing w:after="0" w:line="162"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Upon satisfaction of all of the requirements for transfer or exchange of beneficial interests in Global Notes contained in this Supplemental Indenture and the Notes, as evidenced by an Officer’s Certificate delivered to the Trustee, the Trustee will adjust the principal amount of the relevant Global Note(s) pursuant to Section 2.2(f) hereof.</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Transfer and Exchange of Definitive Notes for Beneficial Interests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 Holder of a Definitive Note may exchange such Note for a beneficial interest in a Global Note or transfer such Definitive Notes to a person who takes delivery thereof in the form of a beneficial interest in a Global Note at any time. Upon receipt of a request for such an exchange or transfer, the Trustee will cancel the applicable Definitive Note and increase, or cause to be increased, the aggregate principal amount of one of the applicable Global Notes.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any such exchange or transfer from a Definitive Note to a beneficial interest is effected pursuant to the previous paragraph at a time when a Global Note has not yet been issued, the Company will issue and, upon receipt of a Company Order, the Trustee will authenticate one or more Global Notes in an aggregate principal amount equal to the principal amount of Definitive Notes so transferred.</w:t>
      </w:r>
    </w:p>
    <w:p>
      <w:pPr>
        <w:spacing w:after="0" w:line="174" w:lineRule="exact"/>
        <w:rPr>
          <w:sz w:val="20"/>
          <w:szCs w:val="20"/>
          <w:color w:val="auto"/>
        </w:rPr>
      </w:pPr>
    </w:p>
    <w:p>
      <w:pPr>
        <w:ind w:right="140" w:firstLine="1296"/>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Transfer and Exchange of Definitive Notes for Definitive Notes</w:t>
      </w:r>
      <w:r>
        <w:rPr>
          <w:rFonts w:ascii="Times New Roman" w:cs="Times New Roman" w:eastAsia="Times New Roman" w:hAnsi="Times New Roman"/>
          <w:sz w:val="18"/>
          <w:szCs w:val="18"/>
          <w:color w:val="auto"/>
        </w:rPr>
        <w:t>. A Holder of Definitive Notes may transfer such Notes to a person who takes delivery thereof in the form of a Definitive Note.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w:t>
      </w:r>
    </w:p>
    <w:p>
      <w:pPr>
        <w:spacing w:after="0" w:line="182" w:lineRule="exact"/>
        <w:rPr>
          <w:sz w:val="20"/>
          <w:szCs w:val="20"/>
          <w:color w:val="auto"/>
        </w:rPr>
      </w:pPr>
    </w:p>
    <w:p>
      <w:pPr>
        <w:ind w:right="560" w:firstLine="1296"/>
        <w:spacing w:after="0" w:line="28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following legends will appear on the face of all Global Notes issued under this Supplemental Indenture unless specifically stated otherwise in the applicable provisions of this Supplemental Indenture.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ind w:firstLine="648"/>
        <w:spacing w:after="0" w:line="254" w:lineRule="auto"/>
        <w:rPr>
          <w:sz w:val="20"/>
          <w:szCs w:val="20"/>
          <w:color w:val="auto"/>
        </w:rPr>
      </w:pPr>
      <w:r>
        <w:rPr>
          <w:rFonts w:ascii="Times New Roman" w:cs="Times New Roman" w:eastAsia="Times New Roman" w:hAnsi="Times New Roman"/>
          <w:sz w:val="18"/>
          <w:szCs w:val="18"/>
          <w:color w:val="auto"/>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(570 WASHINGTON BOULEVARD, JERSEY CITY, NEW JERSEY)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Cancellation and/or Adjustment of Global Notes</w:t>
      </w:r>
      <w:r>
        <w:rPr>
          <w:rFonts w:ascii="Times New Roman" w:cs="Times New Roman" w:eastAsia="Times New Roman" w:hAnsi="Times New Roman"/>
          <w:sz w:val="18"/>
          <w:szCs w:val="18"/>
          <w:color w:val="auto"/>
        </w:rPr>
        <w:t>. 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General Provisions Relating to Transfers and Exchanges.</w:t>
      </w:r>
    </w:p>
    <w:p>
      <w:pPr>
        <w:spacing w:after="0" w:line="227" w:lineRule="exact"/>
        <w:rPr>
          <w:sz w:val="20"/>
          <w:szCs w:val="20"/>
          <w:color w:val="auto"/>
        </w:rPr>
      </w:pPr>
    </w:p>
    <w:p>
      <w:pPr>
        <w:ind w:right="320" w:firstLine="1944"/>
        <w:spacing w:after="0" w:line="282" w:lineRule="auto"/>
        <w:rPr>
          <w:sz w:val="20"/>
          <w:szCs w:val="20"/>
          <w:color w:val="auto"/>
        </w:rPr>
      </w:pPr>
      <w:r>
        <w:rPr>
          <w:rFonts w:ascii="Times New Roman" w:cs="Times New Roman" w:eastAsia="Times New Roman" w:hAnsi="Times New Roman"/>
          <w:sz w:val="18"/>
          <w:szCs w:val="18"/>
          <w:color w:val="auto"/>
        </w:rPr>
        <w:t>(1)           To permit registrations of transfers and exchanges, the Company will execute and the Trustee will authenticate Global Notes and Definitive Notes upon the receipt of a Company Order.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firstLine="1944"/>
        <w:spacing w:after="0" w:line="261" w:lineRule="auto"/>
        <w:rPr>
          <w:sz w:val="20"/>
          <w:szCs w:val="20"/>
          <w:color w:val="auto"/>
        </w:rPr>
      </w:pPr>
      <w:r>
        <w:rPr>
          <w:rFonts w:ascii="Times New Roman" w:cs="Times New Roman" w:eastAsia="Times New Roman" w:hAnsi="Times New Roman"/>
          <w:sz w:val="18"/>
          <w:szCs w:val="18"/>
          <w:color w:val="auto"/>
        </w:rPr>
        <w:t>(2)           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 2.11, Section 3.6 and Section 9.6 of the Base Indenture).</w:t>
      </w:r>
    </w:p>
    <w:p>
      <w:pPr>
        <w:spacing w:after="0" w:line="180" w:lineRule="exact"/>
        <w:rPr>
          <w:sz w:val="20"/>
          <w:szCs w:val="20"/>
          <w:color w:val="auto"/>
        </w:rPr>
      </w:pPr>
    </w:p>
    <w:p>
      <w:pPr>
        <w:ind w:right="140" w:firstLine="1944"/>
        <w:spacing w:after="0" w:line="282" w:lineRule="auto"/>
        <w:rPr>
          <w:sz w:val="20"/>
          <w:szCs w:val="20"/>
          <w:color w:val="auto"/>
        </w:rPr>
      </w:pPr>
      <w:r>
        <w:rPr>
          <w:rFonts w:ascii="Times New Roman" w:cs="Times New Roman" w:eastAsia="Times New Roman" w:hAnsi="Times New Roman"/>
          <w:sz w:val="18"/>
          <w:szCs w:val="18"/>
          <w:color w:val="auto"/>
        </w:rPr>
        <w:t>(3)           The Registrar will not be required to register the transfer of or exchange any Note selected for redemption in whole or in part, except the unredeemed portion of any Note being redeemed in part.</w:t>
      </w:r>
    </w:p>
    <w:p>
      <w:pPr>
        <w:spacing w:after="0" w:line="162" w:lineRule="exact"/>
        <w:rPr>
          <w:sz w:val="20"/>
          <w:szCs w:val="20"/>
          <w:color w:val="auto"/>
        </w:rPr>
      </w:pPr>
    </w:p>
    <w:p>
      <w:pPr>
        <w:ind w:right="100" w:firstLine="1944"/>
        <w:spacing w:after="0" w:line="266" w:lineRule="auto"/>
        <w:rPr>
          <w:sz w:val="20"/>
          <w:szCs w:val="20"/>
          <w:color w:val="auto"/>
        </w:rPr>
      </w:pPr>
      <w:r>
        <w:rPr>
          <w:rFonts w:ascii="Times New Roman" w:cs="Times New Roman" w:eastAsia="Times New Roman" w:hAnsi="Times New Roman"/>
          <w:sz w:val="18"/>
          <w:szCs w:val="18"/>
          <w:color w:val="auto"/>
        </w:rPr>
        <w:t>(4)           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(5)           If the Company elects to redeem or make an Offer to Purchase, neither the Company nor the Trustee will be required to:</w:t>
      </w:r>
    </w:p>
    <w:p>
      <w:pPr>
        <w:spacing w:after="0" w:line="237" w:lineRule="exact"/>
        <w:rPr>
          <w:sz w:val="20"/>
          <w:szCs w:val="20"/>
          <w:color w:val="auto"/>
        </w:rPr>
      </w:pPr>
    </w:p>
    <w:p>
      <w:pPr>
        <w:ind w:right="100" w:firstLine="2592"/>
        <w:spacing w:after="0" w:line="266" w:lineRule="auto"/>
        <w:rPr>
          <w:sz w:val="20"/>
          <w:szCs w:val="20"/>
          <w:color w:val="auto"/>
        </w:rPr>
      </w:pPr>
      <w:r>
        <w:rPr>
          <w:rFonts w:ascii="Times New Roman" w:cs="Times New Roman" w:eastAsia="Times New Roman" w:hAnsi="Times New Roman"/>
          <w:sz w:val="18"/>
          <w:szCs w:val="18"/>
          <w:color w:val="auto"/>
        </w:rPr>
        <w:t>(i)         issue, register the transfer of or exchange any Notes during a period beginning at the opening of business 15 days before the Company sends the notice of redemption under Section 3.3 of the Base Indenture or makes an Offer to Purchase and ending at the close of business on the day the notice is sent or the Offer to Purchase is made;</w:t>
      </w:r>
    </w:p>
    <w:p>
      <w:pPr>
        <w:spacing w:after="0" w:line="176" w:lineRule="exact"/>
        <w:rPr>
          <w:sz w:val="20"/>
          <w:szCs w:val="20"/>
          <w:color w:val="auto"/>
        </w:rPr>
      </w:pPr>
    </w:p>
    <w:p>
      <w:pPr>
        <w:ind w:right="60" w:firstLine="2592"/>
        <w:spacing w:after="0" w:line="282" w:lineRule="auto"/>
        <w:rPr>
          <w:sz w:val="20"/>
          <w:szCs w:val="20"/>
          <w:color w:val="auto"/>
        </w:rPr>
      </w:pPr>
      <w:r>
        <w:rPr>
          <w:rFonts w:ascii="Times New Roman" w:cs="Times New Roman" w:eastAsia="Times New Roman" w:hAnsi="Times New Roman"/>
          <w:sz w:val="18"/>
          <w:szCs w:val="18"/>
          <w:color w:val="auto"/>
        </w:rPr>
        <w:t>(ii)         register the transfer of or to exchange any Note so selected for redemption or subject to purchase in such Offer to Purchase in whole or in part, except the unredeemed portion of any Note being redeemed or purchased in part; or</w:t>
      </w:r>
    </w:p>
    <w:p>
      <w:pPr>
        <w:spacing w:after="0" w:line="162" w:lineRule="exact"/>
        <w:rPr>
          <w:sz w:val="20"/>
          <w:szCs w:val="20"/>
          <w:color w:val="auto"/>
        </w:rPr>
      </w:pPr>
    </w:p>
    <w:p>
      <w:pPr>
        <w:ind w:right="80" w:firstLine="2592"/>
        <w:spacing w:after="0" w:line="266" w:lineRule="auto"/>
        <w:rPr>
          <w:sz w:val="20"/>
          <w:szCs w:val="20"/>
          <w:color w:val="auto"/>
        </w:rPr>
      </w:pPr>
      <w:r>
        <w:rPr>
          <w:rFonts w:ascii="Times New Roman" w:cs="Times New Roman" w:eastAsia="Times New Roman" w:hAnsi="Times New Roman"/>
          <w:sz w:val="18"/>
          <w:szCs w:val="18"/>
          <w:color w:val="auto"/>
        </w:rPr>
        <w:t>(iii)         in the case of a redemption or a purchase date pursuant to an Offer to Purchase occurring after a regular record date but on or before the corresponding Interest Payment Date, register the transfer of or exchange a Note on or after the regular record date and before the date of redemption or purchase.</w:t>
      </w:r>
    </w:p>
    <w:p>
      <w:pPr>
        <w:spacing w:after="0" w:line="176" w:lineRule="exact"/>
        <w:rPr>
          <w:sz w:val="20"/>
          <w:szCs w:val="20"/>
          <w:color w:val="auto"/>
        </w:rPr>
      </w:pPr>
    </w:p>
    <w:p>
      <w:pPr>
        <w:ind w:right="20" w:firstLine="1944"/>
        <w:spacing w:after="0" w:line="261" w:lineRule="auto"/>
        <w:rPr>
          <w:sz w:val="20"/>
          <w:szCs w:val="20"/>
          <w:color w:val="auto"/>
        </w:rPr>
      </w:pPr>
      <w:r>
        <w:rPr>
          <w:rFonts w:ascii="Times New Roman" w:cs="Times New Roman" w:eastAsia="Times New Roman" w:hAnsi="Times New Roman"/>
          <w:sz w:val="18"/>
          <w:szCs w:val="18"/>
          <w:color w:val="auto"/>
        </w:rPr>
        <w:t>(6)           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           The Trustee will authenticate Global Notes and Definitive Notes in accordance with the provisions of Section 2.3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Indenture.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           [Reserved].</w:t>
      </w:r>
    </w:p>
    <w:p>
      <w:pPr>
        <w:spacing w:after="0" w:line="225" w:lineRule="exact"/>
        <w:rPr>
          <w:sz w:val="20"/>
          <w:szCs w:val="20"/>
          <w:color w:val="auto"/>
        </w:rPr>
      </w:pPr>
    </w:p>
    <w:p>
      <w:pPr>
        <w:ind w:right="200" w:firstLine="1944"/>
        <w:spacing w:after="0" w:line="282" w:lineRule="auto"/>
        <w:rPr>
          <w:sz w:val="20"/>
          <w:szCs w:val="20"/>
          <w:color w:val="auto"/>
        </w:rPr>
      </w:pPr>
      <w:r>
        <w:rPr>
          <w:rFonts w:ascii="Times New Roman" w:cs="Times New Roman" w:eastAsia="Times New Roman" w:hAnsi="Times New Roman"/>
          <w:sz w:val="18"/>
          <w:szCs w:val="18"/>
          <w:color w:val="auto"/>
        </w:rPr>
        <w:t>(9)           Any Officer’s Certificate or Opinion of Counsel required to be submitted to the Registrar pursuant to this Section 2.2 to effect a registration of transfer or exchange may be submitted by facsimile.</w:t>
      </w:r>
    </w:p>
    <w:p>
      <w:pPr>
        <w:spacing w:after="0" w:line="162" w:lineRule="exact"/>
        <w:rPr>
          <w:sz w:val="20"/>
          <w:szCs w:val="20"/>
          <w:color w:val="auto"/>
        </w:rPr>
      </w:pPr>
    </w:p>
    <w:p>
      <w:pPr>
        <w:ind w:right="60" w:firstLine="1944"/>
        <w:spacing w:after="0" w:line="261" w:lineRule="auto"/>
        <w:rPr>
          <w:sz w:val="20"/>
          <w:szCs w:val="20"/>
          <w:color w:val="auto"/>
        </w:rPr>
      </w:pPr>
      <w:r>
        <w:rPr>
          <w:rFonts w:ascii="Times New Roman" w:cs="Times New Roman" w:eastAsia="Times New Roman" w:hAnsi="Times New Roman"/>
          <w:sz w:val="18"/>
          <w:szCs w:val="18"/>
          <w:color w:val="auto"/>
        </w:rPr>
        <w:t>(10)         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ind w:left="1960"/>
        <w:spacing w:after="0"/>
        <w:rPr>
          <w:sz w:val="20"/>
          <w:szCs w:val="20"/>
          <w:color w:val="auto"/>
        </w:rPr>
      </w:pPr>
      <w:r>
        <w:rPr>
          <w:rFonts w:ascii="Times New Roman" w:cs="Times New Roman" w:eastAsia="Times New Roman" w:hAnsi="Times New Roman"/>
          <w:sz w:val="18"/>
          <w:szCs w:val="18"/>
          <w:color w:val="auto"/>
        </w:rPr>
        <w:t>(11)         Neither the Trustee nor any Agent shall have any responsibility for any actions taken or not taken by the Depositary.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i w:val="1"/>
          <w:iCs w:val="1"/>
          <w:color w:val="auto"/>
        </w:rPr>
        <w:t>Issuance of Additional Notes.</w:t>
      </w:r>
    </w:p>
    <w:p>
      <w:pPr>
        <w:spacing w:after="0" w:line="227"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(a)           The Company will be entitled, upon delivery of a Company Order, Officer’s Certificate and an Opinion of Counsel, to issue Additional Notes under this Supplemental Indenture which will have identical terms as the Initial Notes issued on the date hereof, other than with respect to the date of issuance and issue price and, if applicable, the first Interest Payment Date and the initial interest accrual date. The Initial Notes issued on the date hereof and any Additional Notes issued will be treated as a single Series for all purposes under this Supplemental Indenture.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With respect to any Additional Notes, the Company will set forth in the Company Order, the following information:</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the aggregate principal amount of such Additional Notes to be authenticated and delivered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and</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(ii)         the issue price, the issue date, the CUSIP number(s), the first Interest Payment Date and the initial interest accrual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such Additional Notes.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For the avoidance of doubt, the issuance of Additional Notes pursuant to this Section 2.3 is subject to Section 2.3 of the Base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(d)          Any Additional Notes issued pursuant to this Section 2.3 shall only bear the same CUSIP number as any existing Notes if they would be fungible for United States tax purposes with such existing Notes.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i w:val="1"/>
          <w:iCs w:val="1"/>
          <w:color w:val="auto"/>
        </w:rPr>
        <w:t>Execution and 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least one Officer shall execute the Notes on behalf of the Company by manual, electronic or facsimile signature.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 AND PREPAYMENT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(a)          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         the Remaining Scheduled Payments of such Notes to be redeemed, less interest accrued to the date of redemption;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ind w:left="2600"/>
        <w:spacing w:after="0"/>
        <w:rPr>
          <w:sz w:val="20"/>
          <w:szCs w:val="20"/>
          <w:color w:val="auto"/>
        </w:rPr>
      </w:pPr>
      <w:r>
        <w:rPr>
          <w:rFonts w:ascii="Times New Roman" w:cs="Times New Roman" w:eastAsia="Times New Roman" w:hAnsi="Times New Roman"/>
          <w:sz w:val="18"/>
          <w:szCs w:val="18"/>
          <w:color w:val="auto"/>
        </w:rPr>
        <w:t>(ii)       100% of the principal amount of the Notes to be redeemed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each case, accrued and unpaid interest, if any, on the amount being redeemed to, but excluding, the date of redemption.</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at its option, redeem any Notes, in whole or in part, at any time and from time to time, at a redemption price equal to 100% of the principal amount of the Notes redeemed, plus accrued and unpaid interest thereon, if any, to, but excluding, the date of redemption.</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any redemption of the Notes, calculation of the redemption price therefor shall be made by the Company or on the Company’s behalf by such person as the Company shall designate;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calculation shall not be a duty or obligation of the Trustee or any Agent. Notwithstanding Section 3.3 of the Base Indenture, the notice of any redemption of the Notes pursuant to that Section in respect of a redemption date occurring prior to the maturity date of the Notes need not set forth the redemption price but only the manner of calculation thereof. Notice of any redemption will be mailed or electronically delivered (or otherwise transmitted in accordance with the Depositary’s procedures) at least 10 calendar days but not more than 60 calendar days prior to the redemption date to each Holder of the Notes to be redeemed (with a copy to the Trustee). Any redemption or notice of redemption may, at the Company’s discretion, be subject to one or more conditions precedent.</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or portions thereof called for redemption.</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case of a partial redemption of the Notes, selection of the Notes for redemption will be made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by lot or by such other method as the Trustee deems fair and appropriate (provided that if the Notes are represented by one or more Global Notes, the Notes shall be selected for redemption by the Depositary in accordance with its standard procedures therefor) and may provide for the selection for redemption of a portion of the principal amount of the Notes equal to an authorized denomination.</w:t>
      </w:r>
    </w:p>
    <w:p>
      <w:pPr>
        <w:spacing w:after="0" w:line="18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 Notes of a principal amount of $2,000 or less will be redeemed in part. Notes in denominations larger than $2,000 may be redeemed in part but only in whole multiples of $1,000, unless all of the Notes held by a Holder are to be redeemed. If any Note is to be redeemed in part only, the notice of redemption that relates to such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the Depositary.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w:t>
      </w:r>
      <w:r>
        <w:rPr>
          <w:rFonts w:ascii="Times New Roman" w:cs="Times New Roman" w:eastAsia="Times New Roman" w:hAnsi="Times New Roman"/>
          <w:sz w:val="18"/>
          <w:szCs w:val="18"/>
          <w:i w:val="1"/>
          <w:iCs w:val="1"/>
          <w:color w:val="auto"/>
        </w:rPr>
        <w:t>           Mandatory 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not required to make any mandatory redemption or sinking fund payments with respect to the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PARTICULAR COVENANTS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i w:val="1"/>
          <w:iCs w:val="1"/>
          <w:color w:val="auto"/>
        </w:rPr>
        <w:t>Offer to Purchase Upon Change of Control Triggering Event.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If a Change of Control Triggering Event occurs, unless the Company has exercised its option to redeem all Notes in full pursuant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 or has defeased the Notes or satisfied and discharged the Notes, the Company shall be required to make an offer (an “</w:t>
      </w:r>
      <w:r>
        <w:rPr>
          <w:rFonts w:ascii="Times New Roman" w:cs="Times New Roman" w:eastAsia="Times New Roman" w:hAnsi="Times New Roman"/>
          <w:sz w:val="18"/>
          <w:szCs w:val="18"/>
          <w:b w:val="1"/>
          <w:bCs w:val="1"/>
          <w:i w:val="1"/>
          <w:iCs w:val="1"/>
          <w:color w:val="auto"/>
        </w:rPr>
        <w:t>Offer to Purchase</w:t>
      </w:r>
      <w:r>
        <w:rPr>
          <w:rFonts w:ascii="Times New Roman" w:cs="Times New Roman" w:eastAsia="Times New Roman" w:hAnsi="Times New Roman"/>
          <w:sz w:val="18"/>
          <w:szCs w:val="18"/>
          <w:color w:val="auto"/>
        </w:rPr>
        <w: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the Notes to purchase all or any part (equal to $2,000 and in integral multiples of $1,000 in excess thereof) of that Holder’s Notes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offer set forth below. In an Offer to Purchase, the Company shall be required to offer payment in cash equal to 101% of the aggregate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 Notes, plus accrued and unpaid interest, if any, to, but excluding, the date of purchase of such Notes (a “</w:t>
      </w:r>
      <w:r>
        <w:rPr>
          <w:rFonts w:ascii="Times New Roman" w:cs="Times New Roman" w:eastAsia="Times New Roman" w:hAnsi="Times New Roman"/>
          <w:sz w:val="18"/>
          <w:szCs w:val="18"/>
          <w:b w:val="1"/>
          <w:bCs w:val="1"/>
          <w:i w:val="1"/>
          <w:iCs w:val="1"/>
          <w:color w:val="auto"/>
        </w:rPr>
        <w:t>Change of Control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 Not later than 60 days following any Change of Control Triggering Event, the Company shall deliver or cause to be delivered (or if the Notes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 one or more Global Notes, transmitted in accordance with the Depositary’s standard procedures therefor) a notice to Holders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describing the transaction that constitutes or may constitute the Change of Control Triggering Event and offering to purchase such Notes on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in the notice, which date shall be no earlier than 30 days and no later than 60 days after the date such notice is delivered or transmitted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and a settlement date for purchase (a “</w:t>
      </w:r>
      <w:r>
        <w:rPr>
          <w:rFonts w:ascii="Times New Roman" w:cs="Times New Roman" w:eastAsia="Times New Roman" w:hAnsi="Times New Roman"/>
          <w:sz w:val="18"/>
          <w:szCs w:val="18"/>
          <w:b w:val="1"/>
          <w:bCs w:val="1"/>
          <w:i w:val="1"/>
          <w:iCs w:val="1"/>
          <w:color w:val="auto"/>
        </w:rPr>
        <w:t>Change of Control Purchase Date</w:t>
      </w:r>
      <w:r>
        <w:rPr>
          <w:rFonts w:ascii="Times New Roman" w:cs="Times New Roman" w:eastAsia="Times New Roman" w:hAnsi="Times New Roman"/>
          <w:sz w:val="18"/>
          <w:szCs w:val="18"/>
          <w:color w:val="auto"/>
        </w:rPr>
        <w:t>”) for such Offer to Purchase of not more than five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after the Expiration Date. The notice shall also contain instructions and materials necessary to enable Holders to tender Notes pursuant to the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shall, if delivered or transmitted prior to the date of consummation of the Change of Control, state that the offer to purchase is conditioned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of Control Triggering Event occurring on or prior to the Change of Control Purchase Date.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Such notice shall also state:</w:t>
      </w:r>
    </w:p>
    <w:p>
      <w:pPr>
        <w:spacing w:after="0" w:line="225" w:lineRule="exact"/>
        <w:rPr>
          <w:sz w:val="20"/>
          <w:szCs w:val="20"/>
          <w:color w:val="auto"/>
        </w:rPr>
      </w:pPr>
    </w:p>
    <w:p>
      <w:pPr>
        <w:ind w:right="260" w:firstLine="1944"/>
        <w:spacing w:after="0" w:line="282" w:lineRule="auto"/>
        <w:rPr>
          <w:sz w:val="20"/>
          <w:szCs w:val="20"/>
          <w:color w:val="auto"/>
        </w:rPr>
      </w:pPr>
      <w:r>
        <w:rPr>
          <w:rFonts w:ascii="Times New Roman" w:cs="Times New Roman" w:eastAsia="Times New Roman" w:hAnsi="Times New Roman"/>
          <w:sz w:val="18"/>
          <w:szCs w:val="18"/>
          <w:color w:val="auto"/>
        </w:rPr>
        <w:t>(1)           that the Offer to Purchase is being made pursuant to this Section 4.1 and that all Notes or portion of such Notes validly tendered and not withdrawn will be accepted for payment;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           the Change of Control Purchase Price and the Change of Control Purchase Date;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           that any Note not tendered will continue to accrue interest;</w:t>
      </w:r>
    </w:p>
    <w:p>
      <w:pPr>
        <w:spacing w:after="0" w:line="225" w:lineRule="exact"/>
        <w:rPr>
          <w:sz w:val="20"/>
          <w:szCs w:val="20"/>
          <w:color w:val="auto"/>
        </w:rPr>
      </w:pPr>
    </w:p>
    <w:p>
      <w:pPr>
        <w:ind w:right="60" w:firstLine="1944"/>
        <w:spacing w:after="0" w:line="266" w:lineRule="auto"/>
        <w:rPr>
          <w:sz w:val="20"/>
          <w:szCs w:val="20"/>
          <w:color w:val="auto"/>
        </w:rPr>
      </w:pPr>
      <w:r>
        <w:rPr>
          <w:rFonts w:ascii="Times New Roman" w:cs="Times New Roman" w:eastAsia="Times New Roman" w:hAnsi="Times New Roman"/>
          <w:sz w:val="18"/>
          <w:szCs w:val="18"/>
          <w:color w:val="auto"/>
        </w:rPr>
        <w:t>(4)           that any Note accepted for payment pursuant to the Offer to Purchase shall cease to accrue interest after the Change of Control Purchase Date unless the Company shall default in the payment of the Change of Control Purchase Price of the Notes and the only remaining right of the Holder is to receive payment of the Change of Control Purchase Price upon surrender of the Notes to the Paying Agent;</w:t>
      </w:r>
    </w:p>
    <w:p>
      <w:pPr>
        <w:spacing w:after="0" w:line="176" w:lineRule="exact"/>
        <w:rPr>
          <w:sz w:val="20"/>
          <w:szCs w:val="20"/>
          <w:color w:val="auto"/>
        </w:rPr>
      </w:pPr>
    </w:p>
    <w:p>
      <w:pPr>
        <w:jc w:val="both"/>
        <w:ind w:right="140" w:firstLine="1944"/>
        <w:spacing w:after="0" w:line="266" w:lineRule="auto"/>
        <w:rPr>
          <w:sz w:val="20"/>
          <w:szCs w:val="20"/>
          <w:color w:val="auto"/>
        </w:rPr>
      </w:pPr>
      <w:r>
        <w:rPr>
          <w:rFonts w:ascii="Times New Roman" w:cs="Times New Roman" w:eastAsia="Times New Roman" w:hAnsi="Times New Roman"/>
          <w:sz w:val="18"/>
          <w:szCs w:val="18"/>
          <w:color w:val="auto"/>
        </w:rPr>
        <w:t xml:space="preserve">(5)           that Holders electing to have a portion of a Note purchased pursuant to an Offer to Purchase may only elect to have such Note purchased in a minimum principal amount of $2,000 and integral multiples of $1,000 in excess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unrepurchased portion of a Note must be in a minimum principal amount of $2,000;</w:t>
      </w:r>
    </w:p>
    <w:p>
      <w:pPr>
        <w:spacing w:after="0" w:line="176" w:lineRule="exact"/>
        <w:rPr>
          <w:sz w:val="20"/>
          <w:szCs w:val="20"/>
          <w:color w:val="auto"/>
        </w:rPr>
      </w:pPr>
    </w:p>
    <w:p>
      <w:pPr>
        <w:ind w:right="40" w:firstLine="1944"/>
        <w:spacing w:after="0" w:line="261" w:lineRule="auto"/>
        <w:rPr>
          <w:sz w:val="20"/>
          <w:szCs w:val="20"/>
          <w:color w:val="auto"/>
        </w:rPr>
      </w:pPr>
      <w:r>
        <w:rPr>
          <w:rFonts w:ascii="Times New Roman" w:cs="Times New Roman" w:eastAsia="Times New Roman" w:hAnsi="Times New Roman"/>
          <w:sz w:val="18"/>
          <w:szCs w:val="18"/>
          <w:color w:val="auto"/>
        </w:rPr>
        <w:t>(6)           that if a Holder elects to have a Note purchased pursuant to the Offer to Purchase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Purchase Date, or, in the case of Global Notes, in accordance with the Applicable Procedures;</w:t>
      </w:r>
    </w:p>
    <w:p>
      <w:pPr>
        <w:spacing w:after="0" w:line="180" w:lineRule="exact"/>
        <w:rPr>
          <w:sz w:val="20"/>
          <w:szCs w:val="20"/>
          <w:color w:val="auto"/>
        </w:rPr>
      </w:pPr>
    </w:p>
    <w:p>
      <w:pPr>
        <w:ind w:right="40" w:firstLine="1944"/>
        <w:spacing w:after="0" w:line="266" w:lineRule="auto"/>
        <w:rPr>
          <w:sz w:val="20"/>
          <w:szCs w:val="20"/>
          <w:color w:val="auto"/>
        </w:rPr>
      </w:pPr>
      <w:r>
        <w:rPr>
          <w:rFonts w:ascii="Times New Roman" w:cs="Times New Roman" w:eastAsia="Times New Roman" w:hAnsi="Times New Roman"/>
          <w:sz w:val="18"/>
          <w:szCs w:val="18"/>
          <w:color w:val="auto"/>
        </w:rPr>
        <w:t>(7)           that a Holder will be entitled to withdraw its election if the Company receives, not later than the close of business on the Expiration Date, a facsimile transmission or letter setting forth the name of such Holder, the principal amount of Notes such Holder delivered for purchase, and a statement that such Holder is withdrawing its election to have such Note purchased; and</w:t>
      </w:r>
    </w:p>
    <w:p>
      <w:pPr>
        <w:spacing w:after="0" w:line="176" w:lineRule="exact"/>
        <w:rPr>
          <w:sz w:val="20"/>
          <w:szCs w:val="20"/>
          <w:color w:val="auto"/>
        </w:rPr>
      </w:pPr>
    </w:p>
    <w:p>
      <w:pPr>
        <w:ind w:right="160" w:firstLine="1944"/>
        <w:spacing w:after="0" w:line="282" w:lineRule="auto"/>
        <w:rPr>
          <w:sz w:val="20"/>
          <w:szCs w:val="20"/>
          <w:color w:val="auto"/>
        </w:rPr>
      </w:pPr>
      <w:r>
        <w:rPr>
          <w:rFonts w:ascii="Times New Roman" w:cs="Times New Roman" w:eastAsia="Times New Roman" w:hAnsi="Times New Roman"/>
          <w:sz w:val="18"/>
          <w:szCs w:val="18"/>
          <w:color w:val="auto"/>
        </w:rPr>
        <w:t>(8)           that if Notes are purchased only in part by the Company, a new Note of the same type will be issued in principal amount equal to the unpurchased portion of the Notes surrendered.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3" w:name="page24"/>
    <w:bookmarkEnd w:id="23"/>
    <w:p>
      <w:pPr>
        <w:ind w:left="1300"/>
        <w:spacing w:after="0"/>
        <w:rPr>
          <w:sz w:val="20"/>
          <w:szCs w:val="20"/>
          <w:color w:val="auto"/>
        </w:rPr>
      </w:pPr>
      <w:r>
        <w:rPr>
          <w:rFonts w:ascii="Times New Roman" w:cs="Times New Roman" w:eastAsia="Times New Roman" w:hAnsi="Times New Roman"/>
          <w:sz w:val="18"/>
          <w:szCs w:val="18"/>
          <w:color w:val="auto"/>
        </w:rPr>
        <w:t>(c)           On the Change of Control Purchase Date, the Company shall, to the extent lawful:</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accept for payment all Notes or portions of such Notes properly tendered pursuant to the Offer to Purchase;</w:t>
      </w:r>
    </w:p>
    <w:p>
      <w:pPr>
        <w:spacing w:after="0" w:line="225" w:lineRule="exact"/>
        <w:rPr>
          <w:sz w:val="20"/>
          <w:szCs w:val="20"/>
          <w:color w:val="auto"/>
        </w:rPr>
      </w:pPr>
    </w:p>
    <w:p>
      <w:pPr>
        <w:ind w:firstLine="1944"/>
        <w:spacing w:after="0" w:line="282" w:lineRule="auto"/>
        <w:rPr>
          <w:sz w:val="20"/>
          <w:szCs w:val="20"/>
          <w:color w:val="auto"/>
        </w:rPr>
      </w:pPr>
      <w:r>
        <w:rPr>
          <w:rFonts w:ascii="Times New Roman" w:cs="Times New Roman" w:eastAsia="Times New Roman" w:hAnsi="Times New Roman"/>
          <w:sz w:val="18"/>
          <w:szCs w:val="18"/>
          <w:color w:val="auto"/>
        </w:rPr>
        <w:t>(2)           deposit with the Paying Agent an amount equal to the Change of Control Purchase Price in respect of all Notes or portions of such Notes properly tendered; and</w:t>
      </w:r>
    </w:p>
    <w:p>
      <w:pPr>
        <w:spacing w:after="0" w:line="162" w:lineRule="exact"/>
        <w:rPr>
          <w:sz w:val="20"/>
          <w:szCs w:val="20"/>
          <w:color w:val="auto"/>
        </w:rPr>
      </w:pPr>
    </w:p>
    <w:p>
      <w:pPr>
        <w:ind w:right="240" w:firstLine="1944"/>
        <w:spacing w:after="0" w:line="282" w:lineRule="auto"/>
        <w:rPr>
          <w:sz w:val="20"/>
          <w:szCs w:val="20"/>
          <w:color w:val="auto"/>
        </w:rPr>
      </w:pPr>
      <w:r>
        <w:rPr>
          <w:rFonts w:ascii="Times New Roman" w:cs="Times New Roman" w:eastAsia="Times New Roman" w:hAnsi="Times New Roman"/>
          <w:sz w:val="18"/>
          <w:szCs w:val="18"/>
          <w:color w:val="auto"/>
        </w:rPr>
        <w:t>(3)           deliver or cause to be delivered to the Trustee the Notes properly accepted together with an Officer’s Certificate stating the aggregate principal amount of such Notes or portions of such Notes being repurchased.</w:t>
      </w:r>
    </w:p>
    <w:p>
      <w:pPr>
        <w:spacing w:after="0" w:line="162"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(d)          On the Change of Control Purchase Date the Change of Control Purchase Price will become due and payable on each Note accepted for purchase pursuant to the Offer to Purchase, and, unless the Company defaults in the payment of the Change of Control Purchase Price, interest on Notes purchased will cease to accrue on and after the Change of Control Purchase Date.</w:t>
      </w:r>
    </w:p>
    <w:p>
      <w:pPr>
        <w:spacing w:after="0" w:line="176"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(e)           The Company shall not be required to make an Offer to Purchase upon the occurrence of a Change of Control Triggering Event with respect to Notes if (i) a third party makes such an offer in the manner, at the times and otherwise in compliance with the requirements for an offer made by the Company and the third party purchases all Notes validly tendered and not withdrawn under its offer or (ii) the Company has sent a notice of redemption pursuant to Section 3.1 of this Supplemental Indenture.</w:t>
      </w:r>
    </w:p>
    <w:p>
      <w:pPr>
        <w:spacing w:after="0" w:line="180" w:lineRule="exact"/>
        <w:rPr>
          <w:sz w:val="20"/>
          <w:szCs w:val="20"/>
          <w:color w:val="auto"/>
        </w:rPr>
      </w:pPr>
    </w:p>
    <w:p>
      <w:pPr>
        <w:ind w:right="400" w:firstLine="1296"/>
        <w:spacing w:after="0" w:line="258" w:lineRule="auto"/>
        <w:rPr>
          <w:sz w:val="20"/>
          <w:szCs w:val="20"/>
          <w:color w:val="auto"/>
        </w:rPr>
      </w:pPr>
      <w:r>
        <w:rPr>
          <w:rFonts w:ascii="Times New Roman" w:cs="Times New Roman" w:eastAsia="Times New Roman" w:hAnsi="Times New Roman"/>
          <w:sz w:val="18"/>
          <w:szCs w:val="18"/>
          <w:color w:val="auto"/>
        </w:rPr>
        <w:t>(f)           The Company shall comply with the requirements of Rule 14e-1 under the Exchange Act and all other applicable laws and regulations thereunder to the extent such securities laws and regulations are applicable in connection with the repurchase of the Notes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w:t>
      </w:r>
    </w:p>
    <w:p>
      <w:pPr>
        <w:spacing w:after="0" w:line="183"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(g)          Notwithstanding anything to the contrary herein this Section 4.1,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76"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(h)          No Notes of $2,000 or less can be repurchased in part pursuant to this Section 4.1. Notes in denominations larger than $2,000 may be repurchased in part but only in whole multiples of $1,000, unless all of the Notes held by a Holder are to be repurchased.</w:t>
      </w:r>
    </w:p>
    <w:p>
      <w:pPr>
        <w:spacing w:after="0" w:line="162" w:lineRule="exact"/>
        <w:rPr>
          <w:sz w:val="20"/>
          <w:szCs w:val="20"/>
          <w:color w:val="auto"/>
        </w:rPr>
      </w:pPr>
    </w:p>
    <w:p>
      <w:pPr>
        <w:ind w:right="160" w:firstLine="1296"/>
        <w:spacing w:after="0" w:line="255" w:lineRule="auto"/>
        <w:rPr>
          <w:sz w:val="20"/>
          <w:szCs w:val="20"/>
          <w:color w:val="auto"/>
        </w:rPr>
      </w:pPr>
      <w:r>
        <w:rPr>
          <w:rFonts w:ascii="Times New Roman" w:cs="Times New Roman" w:eastAsia="Times New Roman" w:hAnsi="Times New Roman"/>
          <w:sz w:val="18"/>
          <w:szCs w:val="18"/>
          <w:color w:val="auto"/>
        </w:rPr>
        <w:t>(i)            If Holders of not less than 90% in aggregate principal amount of the outstanding Notes validly tender and do not withdraw such Notes in an Offer to Purchase and the Company, or any third party approved in writing by the Company making an Offer to Purchase in lieu of the Company pursuant to Section 4.1(e) above, purchases all of the Notes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that remain outstanding following such purchase on a date (the “</w:t>
      </w:r>
      <w:r>
        <w:rPr>
          <w:rFonts w:ascii="Times New Roman" w:cs="Times New Roman" w:eastAsia="Times New Roman" w:hAnsi="Times New Roman"/>
          <w:sz w:val="18"/>
          <w:szCs w:val="18"/>
          <w:b w:val="1"/>
          <w:bCs w:val="1"/>
          <w:i w:val="1"/>
          <w:iCs w:val="1"/>
          <w:color w:val="auto"/>
        </w:rPr>
        <w:t>Second Change of Control Purchase Date</w:t>
      </w:r>
      <w:r>
        <w:rPr>
          <w:rFonts w:ascii="Times New Roman" w:cs="Times New Roman" w:eastAsia="Times New Roman" w:hAnsi="Times New Roman"/>
          <w:sz w:val="18"/>
          <w:szCs w:val="18"/>
          <w:color w:val="auto"/>
        </w:rPr>
        <w:t>”) at a purchase price equal to 101% of the principal amount thereof plus accrued and unpaid interest, if any, to, but excluding, the Second Change of Control Purchase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i w:val="1"/>
          <w:iCs w:val="1"/>
          <w:color w:val="auto"/>
        </w:rPr>
        <w:t>Liens.</w:t>
      </w:r>
    </w:p>
    <w:p>
      <w:pPr>
        <w:spacing w:after="0" w:line="22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(a)         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87" w:lineRule="exact"/>
        <w:rPr>
          <w:sz w:val="20"/>
          <w:szCs w:val="20"/>
          <w:color w:val="auto"/>
        </w:rPr>
      </w:pPr>
    </w:p>
    <w:p>
      <w:pPr>
        <w:ind w:right="40" w:firstLine="1296"/>
        <w:spacing w:after="0" w:line="267" w:lineRule="auto"/>
        <w:rPr>
          <w:sz w:val="20"/>
          <w:szCs w:val="20"/>
          <w:color w:val="auto"/>
        </w:rPr>
      </w:pPr>
      <w:r>
        <w:rPr>
          <w:rFonts w:ascii="Times New Roman" w:cs="Times New Roman" w:eastAsia="Times New Roman" w:hAnsi="Times New Roman"/>
          <w:sz w:val="17"/>
          <w:szCs w:val="17"/>
          <w:color w:val="auto"/>
        </w:rPr>
        <w:t>(b)         Notwithstanding Section 4.2(a) above, the Company or any Restricted Subsidiary of the Company may, without equally and ratably securing the Notes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4.2(a) above or this Section 4.2(b).</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For purposes of this Section 4.2,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Section 4.2(b) above,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94"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(d)         Any Lien created for the benefit of the Holders of the Notes pursuant to Section 4.2(a) above may provide by its terms that such Lien shall be automatically and unconditionally released and discharged upon the release and discharge of the Lien that gave rise to the obligation to secure the Notes.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i w:val="1"/>
          <w:iCs w:val="1"/>
          <w:color w:val="auto"/>
        </w:rPr>
        <w:t>Sale and Lease Back Transactions.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will not, and will not permit any of its Restricted Subsidiaries, to enter into any Sale and Lease Back Transaction with respect to any Principal Property owned by the Company or any Restricted Subsidiary, whether now owned or hereafter acquired, unless: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such transaction was entered into prior to the Issue Date;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(b)          such transaction was for the sale and leasing back to the Company or a Restricted Subsidiary by the Company or any Subsidiary of any Principal Property;</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(c)          such transaction involves a lease of a Principal Property executed by the time of or within 24 months after the later of (i) the acquisition or the completion of any such development, operation, construction, alteration, repair or improvement of such property, assets or equipment or</w:t>
      </w:r>
    </w:p>
    <w:p>
      <w:pPr>
        <w:ind w:right="20" w:firstLine="8"/>
        <w:spacing w:after="0" w:line="260" w:lineRule="auto"/>
        <w:tabs>
          <w:tab w:leader="none" w:pos="2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placing into commercial operation of such Principal Property after the acquisition or completion of any such development, operation, construction, alteration, repair or improvement;</w:t>
      </w:r>
    </w:p>
    <w:p>
      <w:pPr>
        <w:spacing w:after="0" w:line="181"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such transaction involves a lease for not more than three years (or which may be terminated by the Company or the applicable Restricted Subsidiary within a period of not more than three years);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 Company or the applicable Restricted Subsidiary would be entitled to incur Indebtedness secured by a Lien on the property to be leased in an amount equal to Attributable Debt with respect to such Sale and Lease Back Transaction without equally and ratably securing the Notes pursuant to Section 4.2(a) above; or</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 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Company and its Restricted Subsidiaries may enter into any Sale and Lease 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 Back Transaction.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covenants set forth in Sections 4.2 and 4.3 above are and are intended solely for the benefit of the Notes.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i w:val="1"/>
          <w:iCs w:val="1"/>
          <w:color w:val="auto"/>
        </w:rPr>
        <w:t>Satisfaction and Discharge of Indenture.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satisfy and discharge the Notes in accordance with and subject to the terms of Section 8.1 of the Base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i w:val="1"/>
          <w:iCs w:val="1"/>
          <w:color w:val="auto"/>
        </w:rPr>
        <w:t>Legal Defeasance of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8.3 of the Base Indenture shall be applicable to the Notes.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i w:val="1"/>
          <w:iCs w:val="1"/>
          <w:color w:val="auto"/>
        </w:rPr>
        <w:t>Covenant Defeasance.</w:t>
      </w:r>
    </w:p>
    <w:p>
      <w:pPr>
        <w:spacing w:after="0" w:line="22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covenants specified in Section 8.4 of the Base Indenture, the Company may omit to comply with any term, provision or condition set forth in Section 4.1, Section 4.2 and Section 4.3 of this Supplemental Indenture by complying with the requirements of Section 8.4 of the Base Indenture.</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i w:val="1"/>
          <w:iCs w:val="1"/>
          <w:color w:val="auto"/>
        </w:rPr>
        <w:t>Trust Indenture Act Controls.</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Supplemental Indenture limits, qualifies or conflicts with another provision which is required or deemed to be included in this Supplemental Indenture by the TIA, such required or deemed provision shall control.</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SUPPLEMENTAL INDENTURE AND THE NOTES SHALL BE GOVERNED BY THE LAW OF THE STATE OF NEW YORK.</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i w:val="1"/>
          <w:iCs w:val="1"/>
          <w:color w:val="auto"/>
        </w:rPr>
        <w:t>Successors.</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Supplemental Indenture and the Notes shall bind its successors. All agreements of the Trustee in this Supplemental Indenture shall bind its successors.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in this Supplemental Indenture or in the Notes shall be invalid, illegal or unenforceable, the validity, legality and enforceability of the remaining provisions shall not in any way be affected or impaired thereby.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i w:val="1"/>
          <w:iCs w:val="1"/>
          <w:color w:val="auto"/>
        </w:rPr>
        <w:t>Counterpart Originals.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Supplemental Indenture may be executed in any number of counterparts and by the parties hereto in separate counterparts, each of which when so executed shall be deemed to be an original and all of which taken together shall constitute one and the same agreement.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27" w:name="page28"/>
    <w:bookmarkEnd w:id="27"/>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All notices, approvals, consents, requests and any communications hereunder must be in writing (provided that any such communication sent to the Trustee hereunder must be in the form of a document that is signed manually or by way of a digital signature provided by DocuSign or Adobe Sign (or such other digital signature provider as specified in writing to Trustee by the authorized representative)) or by way of an electronic signature provided in another manner acceptable to Trustee, in English. The Company agrees to assume all risks arising out of the use of using digital signatures, electronic signatures and electronic methods to submit communications to the Trustee, including without limitation the risk of the Trustee acting on unauthorized instructions, and the risk of interception and misuse by third parties.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6.7.           </w:t>
      </w:r>
      <w:r>
        <w:rPr>
          <w:rFonts w:ascii="Times New Roman" w:cs="Times New Roman" w:eastAsia="Times New Roman" w:hAnsi="Times New Roman"/>
          <w:sz w:val="18"/>
          <w:szCs w:val="18"/>
          <w:i w:val="1"/>
          <w:iCs w:val="1"/>
          <w:color w:val="auto"/>
        </w:rPr>
        <w:t>Waiver of Jury Trial.</w:t>
      </w:r>
    </w:p>
    <w:p>
      <w:pPr>
        <w:spacing w:after="0" w:line="22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the Trustee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r>
        <w:rPr>
          <w:rFonts w:ascii="Times New Roman" w:cs="Times New Roman" w:eastAsia="Times New Roman" w:hAnsi="Times New Roman"/>
          <w:sz w:val="18"/>
          <w:szCs w:val="18"/>
          <w:i w:val="1"/>
          <w:iCs w:val="1"/>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6.8.           </w:t>
      </w:r>
      <w:r>
        <w:rPr>
          <w:rFonts w:ascii="Times New Roman" w:cs="Times New Roman" w:eastAsia="Times New Roman" w:hAnsi="Times New Roman"/>
          <w:sz w:val="18"/>
          <w:szCs w:val="18"/>
          <w:i w:val="1"/>
          <w:iCs w:val="1"/>
          <w:color w:val="auto"/>
        </w:rPr>
        <w:t>Interpretation.</w:t>
      </w:r>
    </w:p>
    <w:p>
      <w:pPr>
        <w:spacing w:after="0" w:line="22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6.9.           </w:t>
      </w:r>
      <w:r>
        <w:rPr>
          <w:rFonts w:ascii="Times New Roman" w:cs="Times New Roman" w:eastAsia="Times New Roman" w:hAnsi="Times New Roman"/>
          <w:sz w:val="18"/>
          <w:szCs w:val="18"/>
          <w:i w:val="1"/>
          <w:iCs w:val="1"/>
          <w:color w:val="auto"/>
        </w:rPr>
        <w:t>Instruction by Electronic Transmissions.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i w:val="1"/>
          <w:iCs w:val="1"/>
          <w:color w:val="auto"/>
        </w:rPr>
        <w:t>Notices.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the Trustee set forth in Section 10.2 of the Base Indenture is amended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West Side Flats St Paul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60 Livingston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EP-MN-S3IV</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Saint Paul, MN 55107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Richard Krupske (Micron Technology, Inc. Notes).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i w:val="1"/>
          <w:iCs w:val="1"/>
          <w:color w:val="auto"/>
        </w:rPr>
        <w:t>Miscellaneous.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w:t>
      </w:r>
    </w:p>
    <w:p>
      <w:pPr>
        <w:spacing w:after="0" w:line="1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2" w:right="539" w:bottom="1440" w:gutter="0" w:footer="0" w:header="0"/>
        </w:sectPr>
      </w:pPr>
    </w:p>
    <w:bookmarkStart w:id="29" w:name="page30"/>
    <w:bookmarkEnd w:id="2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January 16,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Greg Routin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 Routin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U.S. BANK TRUST COMPANY, NATIONAL ASSOCIATION, as Trustee</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Krupske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Krupske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 of Note)</w:t>
      </w:r>
    </w:p>
    <w:p>
      <w:pPr>
        <w:spacing w:after="0" w:line="225"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w:t>
      </w:r>
    </w:p>
    <w:p>
      <w:pPr>
        <w:spacing w:after="0" w:line="3" w:lineRule="exact"/>
        <w:rPr>
          <w:sz w:val="20"/>
          <w:szCs w:val="20"/>
          <w:color w:val="auto"/>
        </w:rPr>
      </w:pPr>
    </w:p>
    <w:p>
      <w:pPr>
        <w:jc w:val="both"/>
        <w:ind w:right="440" w:firstLine="8"/>
        <w:spacing w:after="0" w:line="255" w:lineRule="auto"/>
        <w:tabs>
          <w:tab w:leader="none" w:pos="3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8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(570 WASHINGTON BOULEVARD, JERSEY CITY, NEW JERSEY)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CUSIP:[_______]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ISIN:[_______]</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5.80% Senior Note due 2035</w:t>
      </w:r>
    </w:p>
    <w:p>
      <w:pPr>
        <w:sectPr>
          <w:pgSz w:w="11900" w:h="16838" w:orient="portrait"/>
          <w:cols w:equalWidth="0" w:num="1">
            <w:col w:w="11240"/>
          </w:cols>
          <w:pgMar w:left="320" w:top="900"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6"/>
          <w:szCs w:val="16"/>
          <w:color w:val="auto"/>
        </w:rPr>
        <w:t>        $__________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revised by the Schedule of Increases and</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Decreases in Global Note attached hereto)</w:t>
      </w:r>
    </w:p>
    <w:p>
      <w:pPr>
        <w:spacing w:after="0" w:line="200" w:lineRule="exact"/>
        <w:rPr>
          <w:sz w:val="20"/>
          <w:szCs w:val="20"/>
          <w:color w:val="auto"/>
        </w:rPr>
      </w:pPr>
    </w:p>
    <w:p>
      <w:pPr>
        <w:sectPr>
          <w:pgSz w:w="11900" w:h="16838" w:orient="portrait"/>
          <w:cols w:equalWidth="0" w:num="2">
            <w:col w:w="7340" w:space="720"/>
            <w:col w:w="3180"/>
          </w:cols>
          <w:pgMar w:left="320" w:top="900" w:right="339" w:bottom="1440" w:gutter="0" w:footer="0" w:header="0"/>
          <w:type w:val="continuous"/>
        </w:sectPr>
      </w:pPr>
    </w:p>
    <w:p>
      <w:pPr>
        <w:spacing w:after="0" w:line="1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Micron Technology, Inc., a Delaware corporation, promises to pay to CEDE &amp; CO. or registered assigns, the principal sum of $[         ] (as revised by the Schedule of Increases and Decreases in Global Note attached hereto) on January 15, 2035.</w:t>
      </w:r>
    </w:p>
    <w:p>
      <w:pPr>
        <w:sectPr>
          <w:pgSz w:w="11900" w:h="16838" w:orient="portrait"/>
          <w:cols w:equalWidth="0" w:num="1">
            <w:col w:w="11240"/>
          </w:cols>
          <w:pgMar w:left="320" w:top="900" w:right="3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15 and July 15</w:t>
      </w:r>
    </w:p>
    <w:p>
      <w:pPr>
        <w:spacing w:after="0" w:line="211"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 Dates: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 and July 1</w:t>
      </w:r>
    </w:p>
    <w:p>
      <w:pPr>
        <w:spacing w:after="0" w:line="200" w:lineRule="exact"/>
        <w:rPr>
          <w:sz w:val="20"/>
          <w:szCs w:val="20"/>
          <w:color w:val="auto"/>
        </w:rPr>
      </w:pPr>
    </w:p>
    <w:p>
      <w:pPr>
        <w:sectPr>
          <w:pgSz w:w="11900" w:h="16838" w:orient="portrait"/>
          <w:cols w:equalWidth="0" w:num="2">
            <w:col w:w="2660" w:space="720"/>
            <w:col w:w="7860"/>
          </w:cols>
          <w:pgMar w:left="320" w:top="900" w:right="339" w:bottom="1440" w:gutter="0" w:footer="0" w:header="0"/>
          <w:type w:val="continuous"/>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MICRON TECHNOLOGY, INC.</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32" w:name="page33"/>
    <w:bookmarkEnd w:id="32"/>
    <w:p>
      <w:pPr>
        <w:ind w:left="3620"/>
        <w:spacing w:after="0"/>
        <w:rPr>
          <w:sz w:val="20"/>
          <w:szCs w:val="20"/>
          <w:color w:val="auto"/>
        </w:rPr>
      </w:pPr>
      <w:r>
        <w:rPr>
          <w:rFonts w:ascii="Times New Roman" w:cs="Times New Roman" w:eastAsia="Times New Roman" w:hAnsi="Times New Roman"/>
          <w:sz w:val="17"/>
          <w:szCs w:val="17"/>
          <w:color w:val="auto"/>
        </w:rPr>
        <w:t>TRUSTEE’S CERTIFICATE OF AUTHENTICATION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color w:val="auto"/>
        </w:rPr>
        <w:t>(Back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5.80% Senior Note due 2035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Micron Technology,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promises to pay interest on the principal amount of this Note at 5.80% per annum. The Company will pay interest semi-annually on January 15 and July 15 of each year, commencing July 15, 2025, or if any such day is not a Business Day, on the next succeeding Business Day as if made on the date such payment was due, and no additional interest will accrue on the amount so payable for that period (each an “</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xml:space="preserve">”). Interest on the 2035 Notes will accrue from the most recent date to which interest has been paid or provided for or, if no interest has been paid or provided for, from January 16, 2025;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xml:space="preserve">. The Company will pay interest on the Notes (except defaulted interest) to the persons who are registered Holders of Notes at the close of business on the January 1 and July 1 (whether or not a Business Day) next preceding the Interest Payment Date, even if such Notes are canceled after such record date and on or before such Interest Payment Date, except as provided in Section 2.13 of the Base Indenture with respect to defaulted interest. Principal and interest on the Notes will be made by (a) check mailed to the Holders of the Notes at their respective addresses set forth in the register of Holders of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and interest on all Global Securities and all other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85"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PAYING AGENT AND REGISTRAR</w:t>
      </w:r>
      <w:r>
        <w:rPr>
          <w:rFonts w:ascii="Times New Roman" w:cs="Times New Roman" w:eastAsia="Times New Roman" w:hAnsi="Times New Roman"/>
          <w:sz w:val="18"/>
          <w:szCs w:val="18"/>
          <w:color w:val="auto"/>
        </w:rPr>
        <w:t>. Initially, U.S. Bank Trust Company, National Association, the Trustee under the Indenture, will act as Paying Agent and Registrar. The Company may change any Paying Agent or Registrar without notice to any Holder. The Company or any of its Subsidiaries may act in any such capacity.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This Note is one of a duly authenticated Series of Securities of the Company issued and to be issued in one or more Series under an indenture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dated as of February 6, 2019, between the Company and the Trustee (as successor in interest to U.S. Bank National Association), as amended by the Ninth Supplemental Indenture, dated as of January 16, 2025, between the Company and the Trustee (the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The terms of the Notes include those stated in the Indenture and those made part of the Indenture by reference to the TIA. The Notes are subject to all such terms, and Holders are referred to the Indenture and, to the extent applicable, the TIA for a statement of such terms. To the extent any provision of this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Notes pursuant to Section 2.3 of the Supplemental Indenture.</w:t>
      </w:r>
    </w:p>
    <w:p>
      <w:pPr>
        <w:spacing w:after="0" w:line="188"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The Notes are redeemable prior to the maturity date as provided in the Indenture. In the event of redemption of this Note in part only, a new Note or Notes in an authorized denomination for the unredeemed portion hereof will be issued in the name of the Holder hereof upon the cancellation hereof.</w:t>
      </w:r>
    </w:p>
    <w:p>
      <w:pPr>
        <w:spacing w:after="0" w:line="173"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 xml:space="preserve"> The Company is not required to make any mandatory redemption or sinking fund payments with respect to the Notes.</w:t>
      </w:r>
    </w:p>
    <w:p>
      <w:pPr>
        <w:spacing w:after="0" w:line="158"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OFFER TO PURCHASE UPON CHANGE OF CONTROL TRIGGERING EVENT</w:t>
      </w:r>
      <w:r>
        <w:rPr>
          <w:rFonts w:ascii="Times New Roman" w:cs="Times New Roman" w:eastAsia="Times New Roman" w:hAnsi="Times New Roman"/>
          <w:sz w:val="18"/>
          <w:szCs w:val="18"/>
          <w:color w:val="auto"/>
        </w:rPr>
        <w:t>. If a Change of Control Triggering Event with respect to the Notes occurs, the Company may be required to make an offer to purchase the Notes in the manner and with the effect provided in the Indenture.</w:t>
      </w:r>
    </w:p>
    <w:p>
      <w:pPr>
        <w:spacing w:after="0" w:line="1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DENOMINATIONS, TRANSFER, EXCHANGE</w:t>
      </w:r>
      <w:r>
        <w:rPr>
          <w:rFonts w:ascii="Times New Roman" w:cs="Times New Roman" w:eastAsia="Times New Roman" w:hAnsi="Times New Roman"/>
          <w:sz w:val="18"/>
          <w:szCs w:val="18"/>
          <w:color w:val="auto"/>
        </w:rPr>
        <w:t>. The Notes are in registered form without coupons in minimum denominations of $2,000 and integral multiples of $1,000 in excess thereof.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Note or portion of a Note selected for redemption, except for the unredeemed portion of any Note being redeemed in part. Also, neither the Trustee nor the Company need exchange or register the transfer of any Notes for a period of 15 days before the day of any selection of Notes to be redeemed or during the period between a record date and the corresponding Interest Payment Date.</w:t>
      </w:r>
    </w:p>
    <w:p>
      <w:pPr>
        <w:spacing w:after="0" w:line="183"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Subject to the record date provisions hereof, the registered Holder of a Note shall be treated as its owner for all purposes.</w:t>
      </w:r>
    </w:p>
    <w:p>
      <w:pPr>
        <w:spacing w:after="0" w:line="158"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AMENDMENT, SUPPLEMENT AND WAIVER</w:t>
      </w:r>
      <w:r>
        <w:rPr>
          <w:rFonts w:ascii="Times New Roman" w:cs="Times New Roman" w:eastAsia="Times New Roman" w:hAnsi="Times New Roman"/>
          <w:sz w:val="18"/>
          <w:szCs w:val="18"/>
          <w:color w:val="auto"/>
        </w:rPr>
        <w:t>. Subject to certain exceptions, the Indenture or the Notes may be amended or supplemented with the consent of the Holders of at least a majority in principal amount of the Notes then outstanding, including, without limitation, consents obtained in connection with a tender offer or exchange offer for the Notes, and any existing default or compliance with any provision of the Indenture or the Notes, may be waived with the consent of the Holders of a majority in principal amount of the then outstanding Notes, including, without limitation, consents obtained in connection with a tender offer or exchange offer for the Notes. The Indenture or the Notes may be amended or supplemented without the consent of any Holder of a Note as described in the Indenture.</w:t>
      </w:r>
    </w:p>
    <w:p>
      <w:pPr>
        <w:spacing w:after="0" w:line="182" w:lineRule="exact"/>
        <w:rPr>
          <w:sz w:val="20"/>
          <w:szCs w:val="20"/>
          <w:color w:val="auto"/>
        </w:rPr>
      </w:pPr>
    </w:p>
    <w:p>
      <w:pPr>
        <w:ind w:right="480" w:firstLine="648"/>
        <w:spacing w:after="0" w:line="315"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i w:val="1"/>
          <w:iCs w:val="1"/>
          <w:color w:val="auto"/>
        </w:rPr>
        <w:t>DEFAULTS AND REMEDIES</w:t>
      </w:r>
      <w:r>
        <w:rPr>
          <w:rFonts w:ascii="Times New Roman" w:cs="Times New Roman" w:eastAsia="Times New Roman" w:hAnsi="Times New Roman"/>
          <w:sz w:val="17"/>
          <w:szCs w:val="17"/>
          <w:color w:val="auto"/>
        </w:rPr>
        <w:t>. If an Event of Default with respect to the Notes shall occur and be continuing, the principal of, and any accrued and unpaid interest on, the outstanding Notes may be declared due and payable in the manner and with the effect provided in the Indenture.</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5" w:name="page36"/>
    <w:bookmarkEnd w:id="35"/>
    <w:p>
      <w:pPr>
        <w:ind w:right="400" w:firstLine="648"/>
        <w:spacing w:after="0" w:line="28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TRUSTEE DEALINGS WITH COMPANY</w:t>
      </w:r>
      <w:r>
        <w:rPr>
          <w:rFonts w:ascii="Times New Roman" w:cs="Times New Roman" w:eastAsia="Times New Roman" w:hAnsi="Times New Roman"/>
          <w:sz w:val="18"/>
          <w:szCs w:val="18"/>
          <w:color w:val="auto"/>
        </w:rPr>
        <w:t>. The Trustee, in its individual or any other capacity, may become the owner or pledgee of the Notes and may otherwise deal with the Company or an Affiliate of the Company with the same rights it would have if it were not Trustee.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Note will not be valid until authenticated by the manual signature of the Trustee or an authenticating agent.</w:t>
      </w:r>
    </w:p>
    <w:p>
      <w:pPr>
        <w:spacing w:after="0" w:line="225"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7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The Company has caused CUSIP numbers to be printed on the Notes and the Trustee shall use CUSIP numbers in notices of redemption as a convenience to Holders. No representation is made as to the correctness of such numbers either as printed on the Notes or as contained in any notice of redemption and reliance may be placed only on the other elements of identification printed on the Notes, and any such redemption shall not be affected by any defect in or omission of such numbers. The Company will furnish to any Holder upon written request and without charge a copy of the Base Indenture and the Supplemental Indenture.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Requests may be made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8000 South Federal 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Boise, Idaho 83716-9632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2" w:right="3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SCHEDULE OF INCREASES AND DECREASES IN GLOBAL NOTE</w:t>
            </w:r>
          </w:p>
        </w:tc>
        <w:tc>
          <w:tcPr>
            <w:tcW w:w="2140" w:type="dxa"/>
            <w:vAlign w:val="bottom"/>
          </w:tcPr>
          <w:p>
            <w:pPr>
              <w:spacing w:after="0"/>
              <w:rPr>
                <w:sz w:val="20"/>
                <w:szCs w:val="20"/>
                <w:color w:val="auto"/>
              </w:rPr>
            </w:pPr>
          </w:p>
        </w:tc>
      </w:tr>
      <w:tr>
        <w:trPr>
          <w:trHeight w:val="432"/>
        </w:trPr>
        <w:tc>
          <w:tcPr>
            <w:tcW w:w="686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following increases or decreases in this Note have been made:</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10"/>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Amount of decrease in</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 increase in</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 of this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 authorized</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 decrease or</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 amount of</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 amount of this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Note following such</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signatory of Trustee or</w:t>
            </w:r>
          </w:p>
        </w:tc>
      </w:t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this Note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decrease or increase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r>
      <w:tr>
        <w:trPr>
          <w:trHeight w:val="216"/>
        </w:trPr>
        <w:tc>
          <w:tcPr>
            <w:tcW w:w="2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right="8520" w:firstLine="8"/>
        <w:spacing w:after="0" w:line="532" w:lineRule="auto"/>
        <w:tabs>
          <w:tab w:leader="none" w:pos="2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(we) assign and transfer this Note to:</w:t>
      </w:r>
    </w:p>
    <w:p>
      <w:pPr>
        <w:spacing w:after="0" w:line="17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0" w:lineRule="exact"/>
        <w:rPr>
          <w:sz w:val="20"/>
          <w:szCs w:val="20"/>
          <w:color w:val="auto"/>
        </w:rPr>
      </w:pPr>
    </w:p>
    <w:p>
      <w:pPr>
        <w:spacing w:after="0" w:line="25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_____________________________________________ to transfer this Note on the books of the Company. The agent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 another to act for him.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i w:val="1"/>
          <w:i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Securities Exchange Act of 1934, as amended.</w:t>
      </w:r>
    </w:p>
    <w:p>
      <w:pPr>
        <w:spacing w:after="0" w:line="3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900" w:right="899" w:bottom="1440" w:gutter="0" w:footer="0" w:header="0"/>
        </w:sectPr>
      </w:pPr>
    </w:p>
    <w:bookmarkStart w:id="38" w:name="page39"/>
    <w:bookmarkEnd w:id="3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want to elect to have this Note purchased by the Company pursuant to Section 4.1 of the Supplemental Indenture, check the box below:</w:t>
      </w:r>
    </w:p>
    <w:p>
      <w:pPr>
        <w:spacing w:after="0" w:line="184" w:lineRule="exact"/>
        <w:rPr>
          <w:sz w:val="20"/>
          <w:szCs w:val="20"/>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Section 4.1</w:t>
      </w:r>
    </w:p>
    <w:p>
      <w:pPr>
        <w:spacing w:after="0" w:line="26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4.1 of the Supplemental Indenture, state the amount you elect to have purchased ($2,000 or integral multiples of $1,000 in excess thereof; provided that the unrepurchased portion of a Note must be in a minimum principal amount of $2,000): $________________</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9"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i w:val="1"/>
          <w:i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9" w:name="page40"/>
    <w:bookmarkEnd w:id="39"/>
    <w:p>
      <w:pPr>
        <w:ind w:left="1040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4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71600" cy="5829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371600" cy="582930"/>
                    </a:xfrm>
                    <a:prstGeom prst="rect">
                      <a:avLst/>
                    </a:prstGeom>
                    <a:noFill/>
                  </pic:spPr>
                </pic:pic>
              </a:graphicData>
            </a:graphic>
          </wp:anchor>
        </w:drawing>
      </w:r>
    </w:p>
    <w:p>
      <w:pPr>
        <w:spacing w:after="0" w:line="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20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2"/>
          <w:szCs w:val="12"/>
          <w:color w:val="auto"/>
        </w:rPr>
        <w:t>o</w:t>
      </w:r>
      <w:r>
        <w:rPr>
          <w:rFonts w:ascii="Times New Roman" w:cs="Times New Roman" w:eastAsia="Times New Roman" w:hAnsi="Times New Roman"/>
          <w:sz w:val="17"/>
          <w:szCs w:val="17"/>
          <w:color w:val="auto"/>
        </w:rPr>
        <w:t>: 650.493.9300</w:t>
      </w:r>
    </w:p>
    <w:p>
      <w:pPr>
        <w:spacing w:after="0" w:line="3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2"/>
          <w:szCs w:val="12"/>
          <w:color w:val="auto"/>
        </w:rPr>
        <w:t>f</w:t>
      </w:r>
      <w:r>
        <w:rPr>
          <w:rFonts w:ascii="Times New Roman" w:cs="Times New Roman" w:eastAsia="Times New Roman" w:hAnsi="Times New Roman"/>
          <w:sz w:val="17"/>
          <w:szCs w:val="17"/>
          <w:color w:val="auto"/>
        </w:rPr>
        <w:t>: 650.493.6811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Boise, Idaho 83716-9632</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counsel to Micron Technology, Inc., a Delaware corporation (the “Company”), in connection with the filing by the Company with the Securities and Exchange Commission (the “Commission”) on November 2, 2023 of a registration statement on Form S-3 (the “Registration Statement”), under the Securities Act of 1933, as amended (the “Act”), that is automatically effective under the Act pursuant to Rule 462(e) promulgated thereunder. The Registration Statement relates to, among other things, the proposed issuance and sale, from time to time, by the Company of debt securities, with an indeterminate amount as may at various times be issued at indeterminate prices, in reliance on Rule 456(b) and Rule 457(r) under the Act.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Registration Statement, the Company issued $1,000,000,000 aggregate principal amount of 5.80% Senior Notes due 2035 (the “Notes”), which have been sold pursuant to that certain Underwriting Agreement (the “Underwriting Agreement”), dated as of January 13, 2025, among the Company, Morgan Stanley &amp; Co. LLC, BNP Paribas Securities Corp., J.P. Morgan Securities LLC and Wells Fargo Securities, LLC as representatives of the other several underwriters named in Schedule I thereto.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have been issued in the form set forth in the Indenture, dated as of February 6, 2019 (the “Base Indenture”), between the Company and U.S. Bank Trust Company, National Association (as successor in interest to U.S. Bank National Association), as trustee (the “Trustee”) and, as supplemented by that certain Ninth Supplemental Indenture, dated as of January 16, 2025 (together with the Base Indenture, the “Indenture”), between the Company and the Trustee.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examined the Registration Statement, together with the exhibits thereto and the documents incorporated by reference therein; the prospectus, dated November 2, 2023, together with the documents incorporated by reference therein, filed with the Registration Statement (the “Prospectus”); the preliminary prospectus supplement, dated January 13, 2025, in the form filed with the Commission pursuant to Rule 424(b) of the Securities Act relating to the offering of the Notes; the free writing prospectus, dated January 13, 2025, in the form filed with the Commission pursuant to Rule 433 of the Securities Act; the final prospectus supplement, dated January 13, 2025, in the form filed with the Commission pursuant to Rule 424(b) of the Securities Act relating to the offering of the Notes (collectively with the Prospectus, the “Prospectus Supplement”); the Indenture and the Notes. In addition, 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AUSTIN  BEIJING    BOSTON  BOULDER  BRUSSELS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  LONDON</w:t>
            </w:r>
          </w:p>
        </w:tc>
        <w:tc>
          <w:tcPr>
            <w:tcW w:w="4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 ANGELES  NEW YORK  PALO ALTO</w:t>
            </w:r>
          </w:p>
        </w:tc>
      </w:tr>
      <w:tr>
        <w:trPr>
          <w:trHeight w:val="188"/>
        </w:trPr>
        <w:tc>
          <w:tcPr>
            <w:tcW w:w="516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SALT LAKE CITY  SAN DIEGO  SAN FRANCISCO</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SEATTLE  SHANGHAI</w:t>
            </w:r>
          </w:p>
        </w:tc>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WASHINGTON, DC  WILMINGTON, DE</w:t>
            </w:r>
          </w:p>
        </w:tc>
      </w:tr>
      <w:tr>
        <w:trPr>
          <w:trHeight w:val="658"/>
        </w:trPr>
        <w:tc>
          <w:tcPr>
            <w:tcW w:w="5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0" w:name="page41"/>
    <w:bookmarkEnd w:id="40"/>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28345" cy="3511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28345"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the Underwriting Agreement has been duly authorized and validly executed and delivered by the parties thereto (other than by the Company); (v) the legal capacity of all natural persons and (vi) that the Trustee has the power, corporate or other, to enter into and perform its obligations under the Indenture and that the Indenture will be a valid and binding obligation on the Trustee. As to any facts material to the opinions expressed herein that were not independently established or verified, we have relied upon oral or written statements and representations of officers and other representatives of the Company.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express no opinion herein as to the laws of any jurisdiction, other than the Federal laws of the United States of America, the laws of the State of New York, and the General Corporation Law of the State of Delaware, as such are in effect on the date hereof, and we have made no inquiry into, and we express no opinion as to, the statutes, regulations, treaties, common laws or other laws of any other nation, state or jurisdiction.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such examination and in reliance thereon and having regard for legal considerations which we deem relevant, and subject to the limitations and qualifications set forth herein, we are of the opinion that the Notes have been validly issued and constitute valid and binding obligations of the Company, enforceable against the Company in accordance with their terms, and entitled to the benefits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28345" cy="3511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28345"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Current Report on Form 8-K and to the use of our name wherever it appears in the Registration Statement, the Prospectus, the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1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1)"/>
      <w:numFmt w:val="upperLetter"/>
      <w:start w:val="61"/>
    </w:lvl>
  </w:abstractNum>
  <w:abstractNum w:abstractNumId="7">
    <w:nsid w:val="7545E146"/>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17" Type="http://schemas.openxmlformats.org/officeDocument/2006/relationships/hyperlink" Target="https://www.sec.gov/Archives/edgar/data/723125/000110465919006069/a18-36862_4ex4d1.htm#Exhibit4_1_0832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2025-01-16T15:08:57Z</dcterms:created>
  <dcterms:modified xsi:type="dcterms:W3CDTF">2025-01-16T15:08:57Z</dcterms:modified>
</cp:coreProperties>
</file>