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Teyin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26,063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Restricted Stock Units are granted in lieu of cash retainer and vest 100% on grant date of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tliupoa.txt"/>
      <w:bookmarkStart w:id="3" w:name="kstliu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undersigned, as an officer and/or director of Micron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Technology,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 (the "Company") who is subject to the ownership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of Section 16 of the U.S.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 ("Section 16"), hereby constitutes and appoints Renee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Becker,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Kristi Pearson, Mai Lan Bui, and Matthew Hendley, and each of them,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complete and execute,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and such other forms, and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as such attorney-in-fact shall in his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 discretion determine to be required or advisable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Section 16,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or any successor laws and regulations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(collectively, the "Exchange Act Rules"), as a consequence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do all acts necessary in order to file such forms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Commission, any securities exchange or national association,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such other person or agency as the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shall deem appropriate to comply with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and any other applicable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ratifies and confirms all that said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shall do or cause to be done by virtue hereof.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the Exchange Act Rules.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revokes any previous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or she may have given to any person to make and file such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with respect to his or her ownership, acquisition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disposition of securities of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earliest to occur of the following:  (a)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(b) revocation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Company, or (c) as to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until such attorney-in-fact is no longer employed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5th day of March 2025.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Signature:__/s/ Teyin Mark Liu__________________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 Teyin Mark Liu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769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988</Words>
  <Characters>5276</Characters>
  <CharactersWithSpaces>6184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