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6,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January 6, 2015, the Company announced its financial results for the first quarter of fiscal 2015 ended December 4, 2014.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January 6, 2015</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January 6, 2015</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Ronald C. Foster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Ronald C. Foster</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of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7"/>
          <w:szCs w:val="17"/>
          <w:b w:val="1"/>
          <w:bCs w:val="1"/>
          <w:color w:val="auto"/>
        </w:rPr>
        <w:t>THE CURRENT REPORT ON FORM 8-K DATED JANUARY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January 6, 2015</w:t>
      </w:r>
    </w:p>
    <w:p>
      <w:pPr>
        <w:sectPr>
          <w:pgSz w:w="11900" w:h="16838" w:orient="portrait"/>
          <w:cols w:equalWidth="0" w:num="1">
            <w:col w:w="9799"/>
          </w:cols>
          <w:pgMar w:left="66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62"/>
        </w:trPr>
        <w:tc>
          <w:tcPr>
            <w:tcW w:w="3300" w:type="dxa"/>
            <w:vAlign w:val="bottom"/>
            <w:gridSpan w:val="3"/>
          </w:tcPr>
          <w:p>
            <w:pPr>
              <w:ind w:left="40"/>
              <w:spacing w:after="0"/>
              <w:rPr>
                <w:sz w:val="20"/>
                <w:szCs w:val="20"/>
                <w:color w:val="auto"/>
              </w:rPr>
            </w:pPr>
            <w:r>
              <w:rPr>
                <w:rFonts w:ascii="Arial" w:cs="Arial" w:eastAsia="Arial" w:hAnsi="Arial"/>
                <w:sz w:val="22"/>
                <w:szCs w:val="22"/>
                <w:color w:val="auto"/>
                <w:w w:val="91"/>
              </w:rPr>
              <w:t>Contacts:Kipp A. Bedard</w:t>
            </w: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Daniel Francisco</w:t>
            </w:r>
          </w:p>
        </w:tc>
      </w:tr>
      <w:tr>
        <w:trPr>
          <w:trHeight w:val="297"/>
        </w:trPr>
        <w:tc>
          <w:tcPr>
            <w:tcW w:w="126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040" w:type="dxa"/>
            <w:vAlign w:val="bottom"/>
            <w:gridSpan w:val="2"/>
          </w:tcPr>
          <w:p>
            <w:pPr>
              <w:spacing w:after="0" w:line="246" w:lineRule="exact"/>
              <w:rPr>
                <w:sz w:val="20"/>
                <w:szCs w:val="20"/>
                <w:color w:val="auto"/>
              </w:rPr>
            </w:pPr>
            <w:r>
              <w:rPr>
                <w:rFonts w:ascii="Arial" w:cs="Arial" w:eastAsia="Arial" w:hAnsi="Arial"/>
                <w:sz w:val="22"/>
                <w:szCs w:val="22"/>
                <w:color w:val="0000FF"/>
                <w:w w:val="93"/>
              </w:rPr>
              <w:t>kbedard@micron.com</w:t>
            </w:r>
          </w:p>
        </w:tc>
        <w:tc>
          <w:tcPr>
            <w:tcW w:w="2260" w:type="dxa"/>
            <w:vAlign w:val="bottom"/>
            <w:gridSpan w:val="2"/>
          </w:tcPr>
          <w:p>
            <w:pPr>
              <w:ind w:left="120"/>
              <w:spacing w:after="0" w:line="246" w:lineRule="exact"/>
              <w:rPr>
                <w:sz w:val="20"/>
                <w:szCs w:val="20"/>
                <w:color w:val="auto"/>
              </w:rPr>
            </w:pPr>
            <w:r>
              <w:rPr>
                <w:rFonts w:ascii="Arial" w:cs="Arial" w:eastAsia="Arial" w:hAnsi="Arial"/>
                <w:sz w:val="22"/>
                <w:szCs w:val="22"/>
                <w:color w:val="0000FF"/>
                <w:w w:val="89"/>
              </w:rPr>
              <w:t>dfrancisco@micron.com</w:t>
            </w:r>
          </w:p>
        </w:tc>
      </w:tr>
      <w:tr>
        <w:trPr>
          <w:trHeight w:val="20"/>
        </w:trPr>
        <w:tc>
          <w:tcPr>
            <w:tcW w:w="12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r>
      <w:tr>
        <w:trPr>
          <w:trHeight w:val="328"/>
        </w:trPr>
        <w:tc>
          <w:tcPr>
            <w:tcW w:w="3180" w:type="dxa"/>
            <w:vAlign w:val="bottom"/>
            <w:gridSpan w:val="2"/>
          </w:tcPr>
          <w:p>
            <w:pPr>
              <w:ind w:left="1260"/>
              <w:spacing w:after="0"/>
              <w:rPr>
                <w:sz w:val="20"/>
                <w:szCs w:val="20"/>
                <w:color w:val="auto"/>
              </w:rPr>
            </w:pPr>
            <w:r>
              <w:rPr>
                <w:rFonts w:ascii="Arial" w:cs="Arial" w:eastAsia="Arial" w:hAnsi="Arial"/>
                <w:sz w:val="22"/>
                <w:szCs w:val="22"/>
                <w:color w:val="auto"/>
              </w:rPr>
              <w:t>(208) 368-4465</w:t>
            </w:r>
          </w:p>
        </w:tc>
        <w:tc>
          <w:tcPr>
            <w:tcW w:w="120" w:type="dxa"/>
            <w:vAlign w:val="bottom"/>
          </w:tcPr>
          <w:p>
            <w:pPr>
              <w:spacing w:after="0"/>
              <w:rPr>
                <w:sz w:val="24"/>
                <w:szCs w:val="24"/>
                <w:color w:val="auto"/>
              </w:rPr>
            </w:pPr>
          </w:p>
        </w:tc>
        <w:tc>
          <w:tcPr>
            <w:tcW w:w="2260" w:type="dxa"/>
            <w:vAlign w:val="bottom"/>
            <w:gridSpan w:val="2"/>
          </w:tcPr>
          <w:p>
            <w:pPr>
              <w:ind w:left="12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QUARTER OF FISCAL 2015</w:t>
      </w:r>
    </w:p>
    <w:p>
      <w:pPr>
        <w:spacing w:after="0" w:line="290" w:lineRule="exact"/>
        <w:rPr>
          <w:sz w:val="20"/>
          <w:szCs w:val="20"/>
          <w:color w:val="auto"/>
        </w:rPr>
      </w:pPr>
    </w:p>
    <w:p>
      <w:pPr>
        <w:ind w:firstLine="324"/>
        <w:spacing w:after="0" w:line="363" w:lineRule="auto"/>
        <w:rPr>
          <w:sz w:val="20"/>
          <w:szCs w:val="20"/>
          <w:color w:val="auto"/>
        </w:rPr>
      </w:pPr>
      <w:r>
        <w:rPr>
          <w:rFonts w:ascii="Arial" w:cs="Arial" w:eastAsia="Arial" w:hAnsi="Arial"/>
          <w:sz w:val="21"/>
          <w:szCs w:val="21"/>
          <w:b w:val="1"/>
          <w:bCs w:val="1"/>
          <w:color w:val="auto"/>
        </w:rPr>
        <w:t xml:space="preserve">BOISE, Idaho, </w:t>
      </w:r>
      <w:r>
        <w:rPr>
          <w:rFonts w:ascii="Arial" w:cs="Arial" w:eastAsia="Arial" w:hAnsi="Arial"/>
          <w:sz w:val="21"/>
          <w:szCs w:val="21"/>
          <w:color w:val="auto"/>
        </w:rPr>
        <w:t>January 6, 2015 – Micron Technology, Inc., (NASDAQ: MU) today announced results of operations for its first</w:t>
      </w:r>
      <w:r>
        <w:rPr>
          <w:rFonts w:ascii="Arial" w:cs="Arial" w:eastAsia="Arial" w:hAnsi="Arial"/>
          <w:sz w:val="21"/>
          <w:szCs w:val="21"/>
          <w:b w:val="1"/>
          <w:bCs w:val="1"/>
          <w:color w:val="auto"/>
        </w:rPr>
        <w:t xml:space="preserve"> </w:t>
      </w:r>
      <w:r>
        <w:rPr>
          <w:rFonts w:ascii="Arial" w:cs="Arial" w:eastAsia="Arial" w:hAnsi="Arial"/>
          <w:sz w:val="21"/>
          <w:szCs w:val="21"/>
          <w:color w:val="auto"/>
        </w:rPr>
        <w:t>quarter of fiscal 2015, which ended December 4, 2014. Revenues for the first quarter of fiscal 2015 were $4.57 billion and were 8 percent higher compared to the fourth quarter of fiscal 2014 and 13 percent higher compared to the first quarter of fiscal 2014. Cash flows from operations were $1.59 billion for the first quarter of fiscal 2015.</w:t>
      </w:r>
    </w:p>
    <w:p>
      <w:pPr>
        <w:spacing w:after="0" w:line="4" w:lineRule="exact"/>
        <w:rPr>
          <w:sz w:val="20"/>
          <w:szCs w:val="20"/>
          <w:color w:val="auto"/>
        </w:rPr>
      </w:pPr>
    </w:p>
    <w:p>
      <w:pPr>
        <w:ind w:right="140" w:firstLine="324"/>
        <w:spacing w:after="0" w:line="366" w:lineRule="auto"/>
        <w:rPr>
          <w:sz w:val="20"/>
          <w:szCs w:val="20"/>
          <w:color w:val="auto"/>
        </w:rPr>
      </w:pPr>
      <w:r>
        <w:rPr>
          <w:rFonts w:ascii="Arial" w:cs="Arial" w:eastAsia="Arial" w:hAnsi="Arial"/>
          <w:sz w:val="22"/>
          <w:szCs w:val="22"/>
          <w:color w:val="auto"/>
        </w:rPr>
        <w:t>"Micron's execution and continued favorable market conditions led to a strong first quarter with record revenues and operating cash flows," said CEO Mark Durcan.</w:t>
      </w:r>
    </w:p>
    <w:p>
      <w:pPr>
        <w:spacing w:after="0" w:line="204" w:lineRule="exact"/>
        <w:rPr>
          <w:sz w:val="20"/>
          <w:szCs w:val="20"/>
          <w:color w:val="auto"/>
        </w:rPr>
      </w:pPr>
    </w:p>
    <w:p>
      <w:pPr>
        <w:ind w:firstLine="324"/>
        <w:spacing w:after="0" w:line="401" w:lineRule="auto"/>
        <w:rPr>
          <w:sz w:val="20"/>
          <w:szCs w:val="20"/>
          <w:color w:val="auto"/>
        </w:rPr>
      </w:pPr>
      <w:r>
        <w:rPr>
          <w:rFonts w:ascii="Arial" w:cs="Arial" w:eastAsia="Arial" w:hAnsi="Arial"/>
          <w:sz w:val="19"/>
          <w:szCs w:val="19"/>
          <w:b w:val="1"/>
          <w:bCs w:val="1"/>
          <w:color w:val="auto"/>
        </w:rPr>
        <w:t xml:space="preserve">GAAP Income and Per Share Data </w:t>
      </w:r>
      <w:r>
        <w:rPr>
          <w:rFonts w:ascii="Arial" w:cs="Arial" w:eastAsia="Arial" w:hAnsi="Arial"/>
          <w:sz w:val="19"/>
          <w:szCs w:val="19"/>
          <w:color w:val="auto"/>
        </w:rPr>
        <w:t>– On a GAAP</w:t>
      </w:r>
      <w:r>
        <w:rPr>
          <w:rFonts w:ascii="Arial" w:cs="Arial" w:eastAsia="Arial" w:hAnsi="Arial"/>
          <w:sz w:val="25"/>
          <w:szCs w:val="25"/>
          <w:color w:val="auto"/>
          <w:vertAlign w:val="superscript"/>
        </w:rPr>
        <w:t>(1)</w:t>
      </w:r>
      <w:r>
        <w:rPr>
          <w:rFonts w:ascii="Arial" w:cs="Arial" w:eastAsia="Arial" w:hAnsi="Arial"/>
          <w:sz w:val="19"/>
          <w:szCs w:val="19"/>
          <w:b w:val="1"/>
          <w:bCs w:val="1"/>
          <w:color w:val="auto"/>
        </w:rPr>
        <w:t xml:space="preserve"> </w:t>
      </w:r>
      <w:r>
        <w:rPr>
          <w:rFonts w:ascii="Arial" w:cs="Arial" w:eastAsia="Arial" w:hAnsi="Arial"/>
          <w:sz w:val="19"/>
          <w:szCs w:val="19"/>
          <w:color w:val="auto"/>
        </w:rPr>
        <w:t>basis, net income attributable to Micron shareholders for the first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of fiscal 2015 was $1.00 billion, or $0.84 per diluted share, compared to net income of $1.15 billion, or $0.96 per diluted share, for the fourth quarter of fiscal 2014 and net income of $358 million, or $0.30 per diluted share, for the first quarter of fiscal 2014. The fourth quarter of fiscal 2014 included gains aggregating approximately $400 million from increases in deferred tax assets of Micron Memory Japan and Micron Memory Taiwan, the sale of the company's interest in Aptina and Inotera's issuance of shares.</w:t>
      </w:r>
    </w:p>
    <w:p>
      <w:pPr>
        <w:spacing w:after="0" w:line="247" w:lineRule="exact"/>
        <w:rPr>
          <w:sz w:val="20"/>
          <w:szCs w:val="20"/>
          <w:color w:val="auto"/>
        </w:rPr>
      </w:pPr>
    </w:p>
    <w:p>
      <w:pPr>
        <w:ind w:right="300" w:firstLine="324"/>
        <w:spacing w:after="0" w:line="342" w:lineRule="auto"/>
        <w:rPr>
          <w:sz w:val="20"/>
          <w:szCs w:val="20"/>
          <w:color w:val="auto"/>
        </w:rPr>
      </w:pPr>
      <w:r>
        <w:rPr>
          <w:rFonts w:ascii="Arial" w:cs="Arial" w:eastAsia="Arial" w:hAnsi="Arial"/>
          <w:sz w:val="22"/>
          <w:szCs w:val="22"/>
          <w:b w:val="1"/>
          <w:bCs w:val="1"/>
          <w:color w:val="auto"/>
        </w:rPr>
        <w:t xml:space="preserve">Non-GAAP Income and Per Share Data </w:t>
      </w:r>
      <w:r>
        <w:rPr>
          <w:rFonts w:ascii="Arial" w:cs="Arial" w:eastAsia="Arial" w:hAnsi="Arial"/>
          <w:sz w:val="22"/>
          <w:szCs w:val="22"/>
          <w:color w:val="auto"/>
        </w:rPr>
        <w:t>– On a non-GAAP</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income attributable to Micron shareholders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fiscal 2015 was $1.14 billion, or $0.97 per diluted share, compared to net income of $961 million, or $0.82 per diluted share, for the fourth quarter of fiscal 2014. For a reconciliation of GAAP to non-GAAP results, see the accompanying financial tables and footnotes.</w:t>
      </w:r>
    </w:p>
    <w:p>
      <w:pPr>
        <w:spacing w:after="0" w:line="348" w:lineRule="exact"/>
        <w:rPr>
          <w:sz w:val="20"/>
          <w:szCs w:val="20"/>
          <w:color w:val="auto"/>
        </w:rPr>
      </w:pPr>
    </w:p>
    <w:p>
      <w:pPr>
        <w:ind w:right="260" w:firstLine="324"/>
        <w:spacing w:after="0" w:line="366" w:lineRule="auto"/>
        <w:rPr>
          <w:sz w:val="20"/>
          <w:szCs w:val="20"/>
          <w:color w:val="auto"/>
        </w:rPr>
      </w:pPr>
      <w:r>
        <w:rPr>
          <w:rFonts w:ascii="Arial" w:cs="Arial" w:eastAsia="Arial" w:hAnsi="Arial"/>
          <w:sz w:val="22"/>
          <w:szCs w:val="22"/>
          <w:color w:val="auto"/>
        </w:rPr>
        <w:t>The company’s overall consolidated gross margin of 36 percent for the first quarter of fiscal 2015 was up from 33 percent for the fourth quarter of fiscal 2014.</w:t>
      </w:r>
    </w:p>
    <w:p>
      <w:pPr>
        <w:sectPr>
          <w:pgSz w:w="11900" w:h="16838" w:orient="portrait"/>
          <w:cols w:equalWidth="0" w:num="1">
            <w:col w:w="11420"/>
          </w:cols>
          <w:pgMar w:left="240" w:top="841" w:right="239" w:bottom="1440" w:gutter="0" w:footer="0" w:header="0"/>
        </w:sectPr>
      </w:pPr>
    </w:p>
    <w:bookmarkStart w:id="5" w:name="page6"/>
    <w:bookmarkEnd w:id="5"/>
    <w:p>
      <w:pPr>
        <w:ind w:right="120" w:firstLine="324"/>
        <w:spacing w:after="0" w:line="366" w:lineRule="auto"/>
        <w:rPr>
          <w:sz w:val="20"/>
          <w:szCs w:val="20"/>
          <w:color w:val="auto"/>
        </w:rPr>
      </w:pPr>
      <w:r>
        <w:rPr>
          <w:rFonts w:ascii="Arial" w:cs="Arial" w:eastAsia="Arial" w:hAnsi="Arial"/>
          <w:sz w:val="22"/>
          <w:szCs w:val="22"/>
          <w:color w:val="auto"/>
        </w:rPr>
        <w:t>Investments in capital expenditures were $669 million for the first quarter of fiscal 2015. The company ended the first quarter of fiscal 2015 with cash and marketable investments of $5.31 billion.</w:t>
      </w:r>
    </w:p>
    <w:p>
      <w:pPr>
        <w:spacing w:after="0" w:line="322" w:lineRule="exact"/>
        <w:rPr>
          <w:sz w:val="20"/>
          <w:szCs w:val="20"/>
          <w:color w:val="auto"/>
        </w:rPr>
      </w:pPr>
    </w:p>
    <w:p>
      <w:pPr>
        <w:ind w:right="220" w:firstLine="324"/>
        <w:spacing w:after="0" w:line="400" w:lineRule="auto"/>
        <w:rPr>
          <w:sz w:val="20"/>
          <w:szCs w:val="20"/>
          <w:color w:val="auto"/>
        </w:rPr>
      </w:pPr>
      <w:r>
        <w:rPr>
          <w:rFonts w:ascii="Arial" w:cs="Arial" w:eastAsia="Arial" w:hAnsi="Arial"/>
          <w:sz w:val="19"/>
          <w:szCs w:val="19"/>
          <w:color w:val="auto"/>
        </w:rPr>
        <w:t xml:space="preserve">The company will host a conference call Tuesday, January 6, 2015 at 2:30 p.m. MT to discuss its financial results. The call, audio, slides, other operational and financial information, and guidance will be available online at </w:t>
      </w:r>
      <w:r>
        <w:rPr>
          <w:rFonts w:ascii="Arial" w:cs="Arial" w:eastAsia="Arial" w:hAnsi="Arial"/>
          <w:sz w:val="19"/>
          <w:szCs w:val="19"/>
          <w:u w:val="single" w:color="auto"/>
          <w:color w:val="0000FF"/>
        </w:rPr>
        <w:t>http://investors.micron.com/events.cfm</w:t>
      </w:r>
      <w:r>
        <w:rPr>
          <w:rFonts w:ascii="Arial" w:cs="Arial" w:eastAsia="Arial" w:hAnsi="Arial"/>
          <w:sz w:val="19"/>
          <w:szCs w:val="19"/>
          <w:color w:val="000000"/>
        </w:rPr>
        <w:t>. A webcast replay will be available on the company’s website until January 6, 2016. A</w:t>
      </w:r>
      <w:r>
        <w:rPr>
          <w:rFonts w:ascii="Arial" w:cs="Arial" w:eastAsia="Arial" w:hAnsi="Arial"/>
          <w:sz w:val="19"/>
          <w:szCs w:val="19"/>
          <w:color w:val="0000FF"/>
        </w:rPr>
        <w:t xml:space="preserve"> </w:t>
      </w:r>
      <w:r>
        <w:rPr>
          <w:rFonts w:ascii="Arial" w:cs="Arial" w:eastAsia="Arial" w:hAnsi="Arial"/>
          <w:sz w:val="19"/>
          <w:szCs w:val="19"/>
          <w:color w:val="000000"/>
        </w:rPr>
        <w:t xml:space="preserve">taped audio replay of the conference call will also be available at 1-404-537-3406 or 1-855-859-2056 (conference number: ID: 48295415) beginning at 5:30 p.m. MT, Tuesday, January 6, 2015 and continuing until 5:30 p.m. MT, Tuesday, January 13, 2015. For Investor Relations and other company updates, follow @MicronTech on Twitter at </w:t>
      </w:r>
      <w:r>
        <w:rPr>
          <w:rFonts w:ascii="Arial" w:cs="Arial" w:eastAsia="Arial" w:hAnsi="Arial"/>
          <w:sz w:val="19"/>
          <w:szCs w:val="19"/>
          <w:u w:val="single" w:color="auto"/>
          <w:color w:val="0000FF"/>
        </w:rPr>
        <w:t>https://twitter.com/MicronTech</w:t>
      </w:r>
      <w:r>
        <w:rPr>
          <w:rFonts w:ascii="Arial" w:cs="Arial" w:eastAsia="Arial" w:hAnsi="Arial"/>
          <w:sz w:val="19"/>
          <w:szCs w:val="19"/>
          <w:color w:val="000000"/>
        </w:rPr>
        <w:t>.</w:t>
      </w:r>
    </w:p>
    <w:p>
      <w:pPr>
        <w:spacing w:after="0" w:line="3" w:lineRule="exact"/>
        <w:rPr>
          <w:sz w:val="20"/>
          <w:szCs w:val="20"/>
          <w:color w:val="auto"/>
        </w:rPr>
      </w:pPr>
    </w:p>
    <w:p>
      <w:pPr>
        <w:ind w:firstLine="324"/>
        <w:spacing w:after="0" w:line="352"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 </w:t>
      </w:r>
      <w:r>
        <w:rPr>
          <w:rFonts w:ascii="Arial" w:cs="Arial" w:eastAsia="Arial" w:hAnsi="Arial"/>
          <w:sz w:val="19"/>
          <w:szCs w:val="19"/>
          <w:color w:val="auto"/>
        </w:rPr>
        <w:t>–</w:t>
      </w:r>
      <w:r>
        <w:rPr>
          <w:rFonts w:ascii="Arial" w:cs="Arial" w:eastAsia="Arial" w:hAnsi="Arial"/>
          <w:sz w:val="22"/>
          <w:szCs w:val="22"/>
          <w:color w:val="auto"/>
        </w:rPr>
        <w:t xml:space="preserve"> including DRAM, NAND and NOR Flash </w:t>
      </w:r>
      <w:r>
        <w:rPr>
          <w:rFonts w:ascii="Arial" w:cs="Arial" w:eastAsia="Arial" w:hAnsi="Arial"/>
          <w:sz w:val="19"/>
          <w:szCs w:val="19"/>
          <w:color w:val="auto"/>
        </w:rPr>
        <w:t>–</w:t>
      </w:r>
      <w:r>
        <w:rPr>
          <w:rFonts w:ascii="Arial" w:cs="Arial" w:eastAsia="Arial" w:hAnsi="Arial"/>
          <w:sz w:val="22"/>
          <w:szCs w:val="22"/>
          <w:color w:val="auto"/>
        </w:rPr>
        <w:t xml:space="preserve"> 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00FF"/>
        </w:rPr>
        <w:t>www.micron.com</w:t>
      </w:r>
      <w:r>
        <w:rPr>
          <w:rFonts w:ascii="Arial" w:cs="Arial" w:eastAsia="Arial" w:hAnsi="Arial"/>
          <w:sz w:val="22"/>
          <w:szCs w:val="22"/>
          <w:color w:val="auto"/>
        </w:rPr>
        <w:t>.</w:t>
      </w:r>
    </w:p>
    <w:p>
      <w:pPr>
        <w:spacing w:after="0" w:line="250"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360" w:firstLine="332"/>
        <w:spacing w:after="0" w:line="375"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ectPr>
          <w:pgSz w:w="11900" w:h="16838" w:orient="portrait"/>
          <w:cols w:equalWidth="0" w:num="1">
            <w:col w:w="11320"/>
          </w:cols>
          <w:pgMar w:left="240" w:top="901" w:right="33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w w:val="90"/>
              </w:rPr>
              <w:t>(in millions except per share amounts)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10"/>
        </w:trPr>
        <w:tc>
          <w:tcPr>
            <w:tcW w:w="4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1</w:t>
            </w:r>
            <w:r>
              <w:rPr>
                <w:rFonts w:ascii="Arial" w:cs="Arial" w:eastAsia="Arial" w:hAnsi="Arial"/>
                <w:sz w:val="25"/>
                <w:szCs w:val="25"/>
                <w:b w:val="1"/>
                <w:bCs w:val="1"/>
                <w:color w:val="auto"/>
                <w:w w:val="84"/>
                <w:vertAlign w:val="superscript"/>
              </w:rPr>
              <w:t>st</w:t>
            </w:r>
            <w:r>
              <w:rPr>
                <w:rFonts w:ascii="Arial" w:cs="Arial" w:eastAsia="Arial" w:hAnsi="Arial"/>
                <w:sz w:val="18"/>
                <w:szCs w:val="18"/>
                <w:b w:val="1"/>
                <w:bCs w:val="1"/>
                <w:color w:val="auto"/>
                <w:w w:val="84"/>
              </w:rPr>
              <w:t xml:space="preserve"> Qtr.</w:t>
            </w: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20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r>
      <w:tr>
        <w:trPr>
          <w:trHeight w:val="216"/>
        </w:trPr>
        <w:tc>
          <w:tcPr>
            <w:tcW w:w="4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 4,</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Aug 28,</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Nov 28,</w:t>
            </w:r>
          </w:p>
        </w:tc>
      </w:tr>
      <w:tr>
        <w:trPr>
          <w:trHeight w:val="234"/>
        </w:trPr>
        <w:tc>
          <w:tcPr>
            <w:tcW w:w="41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41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4,042</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2,761</w:t>
            </w:r>
          </w:p>
        </w:tc>
      </w:tr>
      <w:tr>
        <w:trPr>
          <w:trHeight w:val="27"/>
        </w:trPr>
        <w:tc>
          <w:tcPr>
            <w:tcW w:w="41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3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4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70"/>
        </w:trPr>
        <w:tc>
          <w:tcPr>
            <w:tcW w:w="41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25"/>
                <w:szCs w:val="25"/>
                <w:color w:val="auto"/>
                <w:vertAlign w:val="superscript"/>
              </w:rPr>
              <w:t>(1)</w:t>
            </w:r>
          </w:p>
        </w:tc>
        <w:tc>
          <w:tcPr>
            <w:tcW w:w="36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4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(2)</w:t>
            </w:r>
          </w:p>
        </w:tc>
        <w:tc>
          <w:tcPr>
            <w:tcW w:w="3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4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(3)</w:t>
            </w:r>
          </w:p>
        </w:tc>
        <w:tc>
          <w:tcPr>
            <w:tcW w:w="3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equity method investees</w:t>
            </w:r>
          </w:p>
        </w:tc>
        <w:tc>
          <w:tcPr>
            <w:tcW w:w="3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1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Micron</w:t>
            </w:r>
          </w:p>
        </w:tc>
        <w:tc>
          <w:tcPr>
            <w:tcW w:w="3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3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0.34</w:t>
            </w:r>
          </w:p>
        </w:tc>
      </w:tr>
      <w:tr>
        <w:trPr>
          <w:trHeight w:val="27"/>
        </w:trPr>
        <w:tc>
          <w:tcPr>
            <w:tcW w:w="4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97"/>
        </w:trPr>
        <w:tc>
          <w:tcPr>
            <w:tcW w:w="4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3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1,046</w:t>
            </w:r>
          </w:p>
        </w:tc>
      </w:tr>
      <w:tr>
        <w:trPr>
          <w:trHeight w:val="27"/>
        </w:trPr>
        <w:tc>
          <w:tcPr>
            <w:tcW w:w="4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r>
      <w:tr>
        <w:trPr>
          <w:trHeight w:val="27"/>
        </w:trPr>
        <w:tc>
          <w:tcPr>
            <w:tcW w:w="41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4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 4,</w:t>
            </w:r>
          </w:p>
        </w:tc>
        <w:tc>
          <w:tcPr>
            <w:tcW w:w="18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Aug 28,</w:t>
            </w:r>
          </w:p>
        </w:tc>
      </w:tr>
      <w:tr>
        <w:trPr>
          <w:trHeight w:val="234"/>
        </w:trPr>
        <w:tc>
          <w:tcPr>
            <w:tcW w:w="9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10,245</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8,682</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22,498</w:t>
            </w:r>
          </w:p>
        </w:tc>
      </w:tr>
      <w:tr>
        <w:trPr>
          <w:trHeight w:val="297"/>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r>
      <w:tr>
        <w:trPr>
          <w:trHeight w:val="270"/>
        </w:trPr>
        <w:tc>
          <w:tcPr>
            <w:tcW w:w="9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1,638</w:t>
            </w: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4,811</w:t>
            </w:r>
          </w:p>
        </w:tc>
      </w:tr>
      <w:tr>
        <w:trPr>
          <w:trHeight w:val="270"/>
        </w:trPr>
        <w:tc>
          <w:tcPr>
            <w:tcW w:w="9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4,955</w:t>
            </w:r>
          </w:p>
        </w:tc>
      </w:tr>
      <w:tr>
        <w:trPr>
          <w:trHeight w:val="297"/>
        </w:trPr>
        <w:tc>
          <w:tcPr>
            <w:tcW w:w="9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Total Micron shareholders' equity</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10,771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r>
      <w:tr>
        <w:trPr>
          <w:trHeight w:val="243"/>
        </w:trPr>
        <w:tc>
          <w:tcPr>
            <w:tcW w:w="91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11,573</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52"/>
        </w:trPr>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 4,</w:t>
            </w:r>
          </w:p>
        </w:tc>
        <w:tc>
          <w:tcPr>
            <w:tcW w:w="220" w:type="dxa"/>
            <w:vAlign w:val="bottom"/>
          </w:tcPr>
          <w:p>
            <w:pPr>
              <w:spacing w:after="0"/>
              <w:rPr>
                <w:sz w:val="21"/>
                <w:szCs w:val="21"/>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Nov 28,</w:t>
            </w:r>
          </w:p>
        </w:tc>
      </w:tr>
      <w:tr>
        <w:trPr>
          <w:trHeight w:val="234"/>
        </w:trPr>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97"/>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contributions from (distributions to/acquisitions of) noncontrolling interest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841" w:right="239" w:bottom="1440" w:gutter="0" w:footer="0" w:header="0"/>
        </w:sectPr>
      </w:pPr>
    </w:p>
    <w:bookmarkStart w:id="8" w:name="page9"/>
    <w:bookmarkEnd w:id="8"/>
    <w:p>
      <w:pPr>
        <w:jc w:val="both"/>
        <w:ind w:left="340" w:right="18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operating expense for the first quarter of 2014 included a charge of $233 million to accrue a liability in connection with the company's settlement of all pending litigation with Rambus, Inc., including all antitrust and patent matters. The amount accrued represented the discounted value of amounts due under the arrangement.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non-operating income (expense)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22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r>
      <w:tr>
        <w:trPr>
          <w:trHeight w:val="216"/>
        </w:trPr>
        <w:tc>
          <w:tcPr>
            <w:tcW w:w="7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Dec 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Aug 28,</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Nov 28,</w:t>
            </w:r>
          </w:p>
        </w:tc>
      </w:tr>
      <w:tr>
        <w:trPr>
          <w:trHeight w:val="234"/>
        </w:trPr>
        <w:tc>
          <w:tcPr>
            <w:tcW w:w="7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restructure of debt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(loss) from changes in currency exchange rates</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disposition of shares in Aptina</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from Inotera issuance of shares</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440" w:type="dxa"/>
            <w:vAlign w:val="bottom"/>
          </w:tcPr>
          <w:p>
            <w:pPr>
              <w:spacing w:after="0"/>
              <w:rPr>
                <w:sz w:val="20"/>
                <w:szCs w:val="20"/>
                <w:color w:val="auto"/>
              </w:rPr>
            </w:pP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7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6" w:lineRule="auto"/>
        <w:rPr>
          <w:sz w:val="20"/>
          <w:szCs w:val="20"/>
          <w:color w:val="auto"/>
        </w:rPr>
      </w:pPr>
      <w:r>
        <w:rPr>
          <w:rFonts w:ascii="Arial" w:cs="Arial" w:eastAsia="Arial" w:hAnsi="Arial"/>
          <w:sz w:val="17"/>
          <w:szCs w:val="17"/>
          <w:color w:val="auto"/>
        </w:rPr>
        <w:t>In the first quarter of fiscal 2015, the company continued to restructure its debt, resulting in aggregate losses of $30 million. The debt restructure transactions included settlements of conversions of the company's 2031B Notes for $389 million in cash; repurchases of $36 million principal amount the company's 2032 series notes in privately-negotiated transactions for $125 million; and the repayment of a $121 million note prior to its scheduled maturity. In the fourth and first quarters of fiscal 2014, the company recognized losses of $13 million and $75 million, respectively, from transactions to restructure its debt, including conversions, settlements, repurchases and exchange transactions.</w:t>
      </w:r>
    </w:p>
    <w:p>
      <w:pPr>
        <w:spacing w:after="0" w:line="173"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The company previously held an equity interest in Aptina Imaging Corporation ("Aptina"), which was accounted for under the equity method. On August 15, 2014, ON Semiconductor Corporation completed its acquisition of Aptina. In connection therewith, the Company recognized a gain of $119 million in the fourth quarter of fiscal 2014 based on its diluted ownership interest in Aptina of approximately 27%.</w:t>
      </w:r>
    </w:p>
    <w:p>
      <w:pPr>
        <w:spacing w:after="0" w:line="181"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Other non-operating income in the fourth quarter of fiscal 2014 included a gain of $93 million recognized in connection with the issuance of common shares by Inotera Memory, Inc., an equity method investment of the company, in May 2014. As a result of the issuance, the company's interest in Inotera decreased to 33% in May 2014.</w:t>
      </w:r>
    </w:p>
    <w:p>
      <w:pPr>
        <w:spacing w:after="0" w:line="181" w:lineRule="exact"/>
        <w:rPr>
          <w:sz w:val="20"/>
          <w:szCs w:val="20"/>
          <w:color w:val="auto"/>
        </w:rPr>
      </w:pPr>
    </w:p>
    <w:p>
      <w:pPr>
        <w:ind w:left="340" w:right="18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taxes for the first quarter of fiscal 2015 and fourth quarter of fiscal 2014 included $38 million and $72 million, respectively, related to the utilization of deferred tax assets as a result of MMJ's and MMT's operations. Income taxes for the fourth quarter of fiscal 2014 also included benefits aggregating approximately $190 million resulting from increases in amounts of net deferred tax assets expected to be utilized by MMJ and MMT. Remaining taxes for fiscal 2015 and 2014 primarily reflect taxes on the company's other non-U.S. operations. The company has a full valuation allowance for its net deferred tax asset associated with its U.S. operations. The provision (benefit) for taxes on U.S. operations for fiscal 2015 and 2014 was substantially offset by changes in the valuation allowance.</w:t>
      </w:r>
    </w:p>
    <w:p>
      <w:pPr>
        <w:sectPr>
          <w:pgSz w:w="11900" w:h="16838" w:orient="portrait"/>
          <w:cols w:equalWidth="0" w:num="1">
            <w:col w:w="11420"/>
          </w:cols>
          <w:pgMar w:left="240" w:top="1057" w:right="23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4880" w:type="dxa"/>
            <w:vAlign w:val="bottom"/>
            <w:gridSpan w:val="2"/>
          </w:tcPr>
          <w:p>
            <w:pPr>
              <w:jc w:val="right"/>
              <w:ind w:right="1860"/>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12"/>
        </w:trPr>
        <w:tc>
          <w:tcPr>
            <w:tcW w:w="4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c>
          <w:tcPr>
            <w:tcW w:w="22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r>
      <w:tr>
        <w:trPr>
          <w:trHeight w:val="216"/>
        </w:trPr>
        <w:tc>
          <w:tcPr>
            <w:tcW w:w="41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 4,</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Aug 28,</w:t>
            </w:r>
          </w:p>
        </w:tc>
      </w:tr>
      <w:tr>
        <w:trPr>
          <w:trHeight w:val="234"/>
        </w:trPr>
        <w:tc>
          <w:tcPr>
            <w:tcW w:w="41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1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attributable to Micron</w:t>
            </w:r>
          </w:p>
        </w:tc>
        <w:tc>
          <w:tcPr>
            <w:tcW w:w="4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Tessera license</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Restructure and asset impairments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Loss on restructure of debt</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(Gain) loss from changes in currency exchange rates</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Gain from disposition of shares in Aptina</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from Inotera issuance of shares</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4160" w:type="dxa"/>
            <w:vAlign w:val="bottom"/>
          </w:tcPr>
          <w:p>
            <w:pPr>
              <w:ind w:left="360"/>
              <w:spacing w:after="0"/>
              <w:rPr>
                <w:sz w:val="20"/>
                <w:szCs w:val="20"/>
                <w:color w:val="auto"/>
              </w:rPr>
            </w:pPr>
            <w:r>
              <w:rPr>
                <w:rFonts w:ascii="Arial" w:cs="Arial" w:eastAsia="Arial" w:hAnsi="Arial"/>
                <w:sz w:val="18"/>
                <w:szCs w:val="18"/>
                <w:color w:val="auto"/>
              </w:rPr>
              <w:t>Estimated tax effects of above items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taxes from MMJ and MMT</w:t>
            </w:r>
          </w:p>
        </w:tc>
        <w:tc>
          <w:tcPr>
            <w:tcW w:w="4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4160" w:type="dxa"/>
            <w:vAlign w:val="bottom"/>
          </w:tcPr>
          <w:p>
            <w:pPr>
              <w:ind w:left="360"/>
              <w:spacing w:after="0"/>
              <w:rPr>
                <w:sz w:val="20"/>
                <w:szCs w:val="20"/>
                <w:color w:val="auto"/>
              </w:rPr>
            </w:pPr>
            <w:r>
              <w:rPr>
                <w:rFonts w:ascii="Arial" w:cs="Arial" w:eastAsia="Arial" w:hAnsi="Arial"/>
                <w:sz w:val="18"/>
                <w:szCs w:val="18"/>
                <w:color w:val="auto"/>
              </w:rPr>
              <w:t>Total non-GAAP adjustments</w:t>
            </w:r>
          </w:p>
        </w:tc>
        <w:tc>
          <w:tcPr>
            <w:tcW w:w="46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41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 attributable to Micron</w:t>
            </w:r>
          </w:p>
        </w:tc>
        <w:tc>
          <w:tcPr>
            <w:tcW w:w="4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Number of shares used in diluted per share calculations:</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GAAP</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1,203</w:t>
            </w:r>
          </w:p>
        </w:tc>
      </w:tr>
      <w:tr>
        <w:trPr>
          <w:trHeight w:val="27"/>
        </w:trPr>
        <w:tc>
          <w:tcPr>
            <w:tcW w:w="4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capped calls</w:t>
            </w:r>
          </w:p>
        </w:tc>
        <w:tc>
          <w:tcPr>
            <w:tcW w:w="4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4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Non-GAAP</w:t>
            </w:r>
          </w:p>
        </w:tc>
        <w:tc>
          <w:tcPr>
            <w:tcW w:w="46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r>
      <w:tr>
        <w:trPr>
          <w:trHeight w:val="284"/>
        </w:trPr>
        <w:tc>
          <w:tcPr>
            <w:tcW w:w="416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4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Effects of above</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41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4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7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Tessera license;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including impairment of equity method investments;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from disposition of shares in Aptina;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from Inotera issuance of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items;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taxes resulting from utilization of, and other changes in, deferred tax assets of MMJ and MMT.</w:t>
      </w:r>
    </w:p>
    <w:p>
      <w:pPr>
        <w:sectPr>
          <w:pgSz w:w="11900" w:h="16838" w:orient="portrait"/>
          <w:cols w:equalWidth="0" w:num="1">
            <w:col w:w="11420"/>
          </w:cols>
          <w:pgMar w:left="240" w:top="837" w:right="239" w:bottom="1440" w:gutter="0" w:footer="0" w:header="0"/>
        </w:sectPr>
      </w:pPr>
    </w:p>
    <w:bookmarkStart w:id="10" w:name="page11"/>
    <w:bookmarkEnd w:id="10"/>
    <w:p>
      <w:pPr>
        <w:ind w:firstLine="324"/>
        <w:spacing w:after="0" w:line="308" w:lineRule="auto"/>
        <w:rPr>
          <w:sz w:val="20"/>
          <w:szCs w:val="20"/>
          <w:color w:val="auto"/>
        </w:rPr>
      </w:pPr>
      <w:r>
        <w:rPr>
          <w:rFonts w:ascii="Arial" w:cs="Arial" w:eastAsia="Arial" w:hAnsi="Arial"/>
          <w:sz w:val="17"/>
          <w:szCs w:val="17"/>
          <w:color w:val="auto"/>
        </w:rPr>
        <w:t>Non-GAAP diluted shares include the impact, based on the average share price for the quarter, of the company's outstanding capped call transactions, which are anti-dilutive in GAAP earnings per share but are expected to mitigate the dilutive effect of the company's convertible notes.</w:t>
      </w:r>
    </w:p>
    <w:sectPr>
      <w:pgSz w:w="11900" w:h="16838" w:orient="portrait"/>
      <w:cols w:equalWidth="0" w:num="1">
        <w:col w:w="11100"/>
      </w:cols>
      <w:pgMar w:left="240" w:top="84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2019-12-05T21:52:38Z</dcterms:created>
  <dcterms:modified xsi:type="dcterms:W3CDTF">2019-12-05T21:52:38Z</dcterms:modified>
</cp:coreProperties>
</file>