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6 )*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Micron Technology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595112103</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595112103</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1,380,485</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253,884</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85,398,576</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1,603,942</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87,002,518</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7.76%</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Micron Technology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8000 S Federal Way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Boise, ID 83716-9632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595112103</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87,002,518</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1,380,485</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253,884</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85,398,576 (iv) shared power to dispose or to direct the disposition of: 1,603,942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1,015,754 shares or .09% of the Common Stock outstanding of the Company as a result of its serving as investment manager of collective trust accounts.</w:t>
      </w:r>
    </w:p>
    <w:p>
      <w:pPr>
        <w:spacing w:after="0" w:line="16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939,105 shares or .08% of the Common Stock outstanding of the Company as a result of its serving as investment manager of Australian investment offerings.</w:t>
      </w:r>
    </w:p>
    <w:sectPr>
      <w:pgSz w:w="11900" w:h="16838" w:orient="portrait"/>
      <w:cols w:equalWidth="0" w:num="1">
        <w:col w:w="11320"/>
      </w:cols>
      <w:pgMar w:left="24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2019-12-04T23:46:03Z</dcterms:created>
  <dcterms:modified xsi:type="dcterms:W3CDTF">2019-12-04T23:46:03Z</dcterms:modified>
</cp:coreProperties>
</file>