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18,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December 18, 2018, we announced the financial results for our first quarter of fiscal 2019 ended November 29, 2018. The full text of the press release issued in connection with the announcement is attached as Exhibit 99.1 to this Current Report on Form 8-K.</w:t>
      </w:r>
    </w:p>
    <w:p>
      <w:pPr>
        <w:spacing w:after="0" w:line="251"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5"/>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5"/>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issued on December 18, 2018</w:t>
              </w:r>
            </w:hyperlink>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96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80"/>
              <w:spacing w:after="0"/>
              <w:rPr>
                <w:sz w:val="20"/>
                <w:szCs w:val="20"/>
                <w:color w:val="auto"/>
              </w:rPr>
            </w:pPr>
            <w:r>
              <w:rPr>
                <w:rFonts w:ascii="Arial" w:cs="Arial" w:eastAsia="Arial" w:hAnsi="Arial"/>
                <w:sz w:val="18"/>
                <w:szCs w:val="18"/>
                <w:color w:val="auto"/>
              </w:rPr>
              <w:t>December 18, 2018</w:t>
            </w:r>
          </w:p>
        </w:tc>
        <w:tc>
          <w:tcPr>
            <w:tcW w:w="2620" w:type="dxa"/>
            <w:vAlign w:val="bottom"/>
          </w:tcPr>
          <w:p>
            <w:pPr>
              <w:ind w:left="16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20" w:type="dxa"/>
            <w:vAlign w:val="bottom"/>
            <w:vMerge w:val="restart"/>
          </w:tcPr>
          <w:p>
            <w:pPr>
              <w:ind w:left="16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0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38"/>
        </w:trPr>
        <w:tc>
          <w:tcPr>
            <w:tcW w:w="3700" w:type="dxa"/>
            <w:vAlign w:val="bottom"/>
            <w:gridSpan w:val="3"/>
          </w:tcPr>
          <w:p>
            <w:pPr>
              <w:ind w:left="40"/>
              <w:spacing w:after="0"/>
              <w:rPr>
                <w:sz w:val="20"/>
                <w:szCs w:val="20"/>
                <w:color w:val="auto"/>
              </w:rPr>
            </w:pPr>
            <w:r>
              <w:rPr>
                <w:rFonts w:ascii="Arial" w:cs="Arial" w:eastAsia="Arial" w:hAnsi="Arial"/>
                <w:sz w:val="22"/>
                <w:szCs w:val="22"/>
                <w:color w:val="auto"/>
                <w:w w:val="87"/>
              </w:rPr>
              <w:t>Contacts:Farhan Ahmad</w:t>
            </w:r>
          </w:p>
        </w:tc>
        <w:tc>
          <w:tcPr>
            <w:tcW w:w="2280" w:type="dxa"/>
            <w:vAlign w:val="bottom"/>
            <w:gridSpan w:val="3"/>
          </w:tcPr>
          <w:p>
            <w:pPr>
              <w:ind w:left="100"/>
              <w:spacing w:after="0"/>
              <w:rPr>
                <w:sz w:val="20"/>
                <w:szCs w:val="20"/>
                <w:color w:val="auto"/>
              </w:rPr>
            </w:pPr>
            <w:r>
              <w:rPr>
                <w:rFonts w:ascii="Arial" w:cs="Arial" w:eastAsia="Arial" w:hAnsi="Arial"/>
                <w:sz w:val="22"/>
                <w:szCs w:val="22"/>
                <w:color w:val="auto"/>
                <w:w w:val="88"/>
              </w:rPr>
              <w:t>Erica Rodriguez Pompen</w:t>
            </w:r>
          </w:p>
        </w:tc>
      </w:tr>
      <w:tr>
        <w:trPr>
          <w:trHeight w:val="297"/>
        </w:trPr>
        <w:tc>
          <w:tcPr>
            <w:tcW w:w="126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80" w:type="dxa"/>
            <w:vAlign w:val="bottom"/>
            <w:gridSpan w:val="3"/>
          </w:tcPr>
          <w:p>
            <w:pPr>
              <w:ind w:left="100"/>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36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farhanahmad@micron.com</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epompen@micron.com</w:t>
            </w:r>
          </w:p>
        </w:tc>
        <w:tc>
          <w:tcPr>
            <w:tcW w:w="140" w:type="dxa"/>
            <w:vAlign w:val="bottom"/>
          </w:tcPr>
          <w:p>
            <w:pPr>
              <w:spacing w:after="0"/>
              <w:rPr>
                <w:sz w:val="21"/>
                <w:szCs w:val="21"/>
                <w:color w:val="auto"/>
              </w:rPr>
            </w:pPr>
          </w:p>
        </w:tc>
      </w:tr>
      <w:tr>
        <w:trPr>
          <w:trHeight w:val="328"/>
        </w:trPr>
        <w:tc>
          <w:tcPr>
            <w:tcW w:w="3620" w:type="dxa"/>
            <w:vAlign w:val="bottom"/>
            <w:gridSpan w:val="2"/>
          </w:tcPr>
          <w:p>
            <w:pPr>
              <w:ind w:left="1260"/>
              <w:spacing w:after="0"/>
              <w:rPr>
                <w:sz w:val="20"/>
                <w:szCs w:val="20"/>
                <w:color w:val="auto"/>
              </w:rPr>
            </w:pPr>
            <w:r>
              <w:rPr>
                <w:rFonts w:ascii="Arial" w:cs="Arial" w:eastAsia="Arial" w:hAnsi="Arial"/>
                <w:sz w:val="22"/>
                <w:szCs w:val="22"/>
                <w:color w:val="auto"/>
              </w:rPr>
              <w:t>(408) 834-1927</w:t>
            </w:r>
          </w:p>
        </w:tc>
        <w:tc>
          <w:tcPr>
            <w:tcW w:w="8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22"/>
                <w:szCs w:val="22"/>
                <w:color w:val="auto"/>
              </w:rPr>
              <w:t>(408) 834-1873</w:t>
            </w: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QUARTER OF FISCAL 2019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Strong execution drives record revenue in mobile, automotive, and industrial markets</w:t>
      </w:r>
    </w:p>
    <w:p>
      <w:pPr>
        <w:spacing w:after="0" w:line="254" w:lineRule="exact"/>
        <w:rPr>
          <w:sz w:val="20"/>
          <w:szCs w:val="20"/>
          <w:color w:val="auto"/>
        </w:rPr>
      </w:pPr>
    </w:p>
    <w:p>
      <w:pPr>
        <w:ind w:right="480" w:firstLine="324"/>
        <w:spacing w:after="0" w:line="269"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Dec. 18, 2018 – Micron Technology, Inc., (NASDAQ: MU) today announced results for its first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fiscal 2019, which ended Nov. 29, 2018.</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Fiscal Q1 2019 Highlights</w:t>
      </w:r>
    </w:p>
    <w:p>
      <w:pPr>
        <w:spacing w:after="0" w:line="28" w:lineRule="exact"/>
        <w:rPr>
          <w:sz w:val="20"/>
          <w:szCs w:val="20"/>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 of $7.91 billion, up 16 percent compared with the same period last year</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$3.29 billion, or $2.81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net income of $3.51 billion, or $2.97 per diluted share</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cash flow of $4.81 billion compared with $3.64 billion for the same period last year</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Share repurchases of $1.80 billion under the authorized buyback program</w:t>
      </w:r>
    </w:p>
    <w:p>
      <w:pPr>
        <w:spacing w:after="0" w:line="242" w:lineRule="exact"/>
        <w:rPr>
          <w:sz w:val="20"/>
          <w:szCs w:val="20"/>
          <w:color w:val="auto"/>
        </w:rPr>
      </w:pPr>
    </w:p>
    <w:p>
      <w:pPr>
        <w:ind w:firstLine="324"/>
        <w:spacing w:after="0" w:line="302" w:lineRule="auto"/>
        <w:rPr>
          <w:sz w:val="20"/>
          <w:szCs w:val="20"/>
          <w:color w:val="auto"/>
        </w:rPr>
      </w:pPr>
      <w:r>
        <w:rPr>
          <w:rFonts w:ascii="Arial" w:cs="Arial" w:eastAsia="Arial" w:hAnsi="Arial"/>
          <w:sz w:val="19"/>
          <w:szCs w:val="19"/>
          <w:color w:val="auto"/>
        </w:rPr>
        <w:t>“Micron reported strong profitability in the fiscal first quarter, highlighted by double-digit year-over-year revenue growth across our major markets and solid business execution,” Micron Technology President and CEO Sanjay Mehrotra said. “Despite weak near-term industry supply-demand dynamics entering calendar 2019, Micron is well-positioned to deliver healthy profitability throughout the year. We remain bullish on the long-term secular growth trends driving the memory and storage industry.”</w:t>
      </w:r>
    </w:p>
    <w:p>
      <w:pPr>
        <w:spacing w:after="0" w:line="326"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Quarterly Financial Results</w:t>
      </w:r>
    </w:p>
    <w:p>
      <w:pPr>
        <w:spacing w:after="0" w:line="28" w:lineRule="exact"/>
        <w:rPr>
          <w:sz w:val="20"/>
          <w:szCs w:val="20"/>
          <w:color w:val="auto"/>
        </w:rPr>
      </w:pPr>
    </w:p>
    <w:tbl>
      <w:tblPr>
        <w:tblLayout w:type="fixed"/>
        <w:tblInd w:w="1350" w:type="dxa"/>
        <w:tblCellMar>
          <w:top w:w="0" w:type="dxa"/>
          <w:left w:w="0" w:type="dxa"/>
          <w:bottom w:w="0" w:type="dxa"/>
          <w:right w:w="0" w:type="dxa"/>
        </w:tblCellMar>
      </w:tblPr>
      <w:tr>
        <w:trPr>
          <w:trHeight w:val="281"/>
        </w:trPr>
        <w:tc>
          <w:tcPr>
            <w:tcW w:w="3040" w:type="dxa"/>
            <w:vAlign w:val="bottom"/>
            <w:tcBorders>
              <w:top w:val="single" w:sz="8" w:color="auto"/>
              <w:left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center"/>
              <w:ind w:right="30"/>
              <w:spacing w:after="0" w:line="281" w:lineRule="exact"/>
              <w:rPr>
                <w:sz w:val="20"/>
                <w:szCs w:val="20"/>
                <w:color w:val="auto"/>
              </w:rPr>
            </w:pPr>
            <w:r>
              <w:rPr>
                <w:rFonts w:ascii="Arial" w:cs="Arial" w:eastAsia="Arial" w:hAnsi="Arial"/>
                <w:sz w:val="18"/>
                <w:szCs w:val="18"/>
                <w:b w:val="1"/>
                <w:bCs w:val="1"/>
                <w:color w:val="auto"/>
                <w:w w:val="90"/>
              </w:rPr>
              <w:t xml:space="preserve">GAAP </w:t>
            </w:r>
            <w:r>
              <w:rPr>
                <w:rFonts w:ascii="Arial" w:cs="Arial" w:eastAsia="Arial" w:hAnsi="Arial"/>
                <w:sz w:val="25"/>
                <w:szCs w:val="25"/>
                <w:b w:val="1"/>
                <w:bCs w:val="1"/>
                <w:color w:val="auto"/>
                <w:w w:val="90"/>
                <w:vertAlign w:val="superscript"/>
              </w:rPr>
              <w:t>(1)</w:t>
            </w: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gridSpan w:val="4"/>
          </w:tcPr>
          <w:p>
            <w:pPr>
              <w:jc w:val="center"/>
              <w:spacing w:after="0" w:line="281" w:lineRule="exact"/>
              <w:rPr>
                <w:sz w:val="20"/>
                <w:szCs w:val="20"/>
                <w:color w:val="auto"/>
              </w:rPr>
            </w:pPr>
            <w:r>
              <w:rPr>
                <w:rFonts w:ascii="Arial" w:cs="Arial" w:eastAsia="Arial" w:hAnsi="Arial"/>
                <w:sz w:val="18"/>
                <w:szCs w:val="18"/>
                <w:b w:val="1"/>
                <w:bCs w:val="1"/>
                <w:color w:val="auto"/>
                <w:w w:val="91"/>
              </w:rPr>
              <w:t xml:space="preserve">Non-GAAP </w:t>
            </w:r>
            <w:r>
              <w:rPr>
                <w:rFonts w:ascii="Arial" w:cs="Arial" w:eastAsia="Arial" w:hAnsi="Arial"/>
                <w:sz w:val="25"/>
                <w:szCs w:val="25"/>
                <w:b w:val="1"/>
                <w:bCs w:val="1"/>
                <w:color w:val="auto"/>
                <w:w w:val="91"/>
                <w:vertAlign w:val="superscript"/>
              </w:rPr>
              <w:t>(2)</w:t>
            </w:r>
          </w:p>
        </w:tc>
        <w:tc>
          <w:tcPr>
            <w:tcW w:w="80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w w:val="96"/>
              </w:rPr>
              <w:t>(in millions, except per share amounts)</w:t>
            </w: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FQ1-19</w:t>
            </w:r>
          </w:p>
        </w:tc>
        <w:tc>
          <w:tcPr>
            <w:tcW w:w="120" w:type="dxa"/>
            <w:vAlign w:val="bottom"/>
          </w:tcPr>
          <w:p>
            <w:pPr>
              <w:spacing w:after="0"/>
              <w:rPr>
                <w:sz w:val="20"/>
                <w:szCs w:val="20"/>
                <w:color w:val="auto"/>
              </w:rPr>
            </w:pPr>
          </w:p>
        </w:tc>
        <w:tc>
          <w:tcPr>
            <w:tcW w:w="8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FQ4-18</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FQ1-18</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8"/>
              </w:rPr>
              <w:t>FQ1-19</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FQ4-18</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FQ1-18</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30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7,913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6,803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6,803</w:t>
            </w:r>
          </w:p>
        </w:tc>
      </w:tr>
      <w:tr>
        <w:trPr>
          <w:trHeight w:val="237"/>
        </w:trPr>
        <w:tc>
          <w:tcPr>
            <w:tcW w:w="30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4,615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5,151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3,747</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4,670</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5,179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3,769</w:t>
            </w:r>
          </w:p>
        </w:tc>
      </w:tr>
      <w:tr>
        <w:trPr>
          <w:trHeight w:val="270"/>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58.3%</w:t>
            </w:r>
          </w:p>
        </w:tc>
        <w:tc>
          <w:tcPr>
            <w:tcW w:w="120" w:type="dxa"/>
            <w:vAlign w:val="bottom"/>
          </w:tcPr>
          <w:p>
            <w:pPr>
              <w:spacing w:after="0"/>
              <w:rPr>
                <w:sz w:val="23"/>
                <w:szCs w:val="23"/>
                <w:color w:val="auto"/>
              </w:rPr>
            </w:pPr>
          </w:p>
        </w:tc>
        <w:tc>
          <w:tcPr>
            <w:tcW w:w="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3"/>
              </w:rPr>
              <w:t>61.0%</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55.1%</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i w:val="1"/>
                <w:iCs w:val="1"/>
                <w:color w:val="auto"/>
              </w:rPr>
              <w:t>59.0%</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0"/>
              </w:rPr>
              <w:t>61.4%</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55.4%</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4,377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3,097</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3,157</w:t>
            </w:r>
          </w:p>
        </w:tc>
      </w:tr>
      <w:tr>
        <w:trPr>
          <w:trHeight w:val="302"/>
        </w:trPr>
        <w:tc>
          <w:tcPr>
            <w:tcW w:w="30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47.5%</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3"/>
              </w:rPr>
              <w:t>51.9%</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45.5%</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49.1%</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0"/>
              </w:rPr>
              <w:t>52.6%</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46.4%</w:t>
            </w:r>
          </w:p>
        </w:tc>
      </w:tr>
      <w:tr>
        <w:trPr>
          <w:trHeight w:val="237"/>
        </w:trPr>
        <w:tc>
          <w:tcPr>
            <w:tcW w:w="30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3,293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4,325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2,678</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4,313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2,994</w:t>
            </w:r>
          </w:p>
        </w:tc>
      </w:tr>
      <w:tr>
        <w:trPr>
          <w:trHeight w:val="270"/>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2.81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3.56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2.19</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3.53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2.45</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49" w:lineRule="exact"/>
        <w:rPr>
          <w:sz w:val="20"/>
          <w:szCs w:val="20"/>
          <w:color w:val="auto"/>
        </w:rPr>
      </w:pPr>
    </w:p>
    <w:p>
      <w:pPr>
        <w:jc w:val="both"/>
        <w:ind w:right="200" w:firstLine="324"/>
        <w:spacing w:after="0" w:line="273" w:lineRule="auto"/>
        <w:rPr>
          <w:sz w:val="20"/>
          <w:szCs w:val="20"/>
          <w:color w:val="auto"/>
        </w:rPr>
      </w:pPr>
      <w:r>
        <w:rPr>
          <w:rFonts w:ascii="Arial" w:cs="Arial" w:eastAsia="Arial" w:hAnsi="Arial"/>
          <w:sz w:val="19"/>
          <w:szCs w:val="19"/>
          <w:color w:val="auto"/>
        </w:rPr>
        <w:t>Investments in capital expenditures, net of amounts funded by partners, were $2.48 billion for the first quarter of 2019, which resulted in adjusted free cash flows</w:t>
      </w:r>
      <w:r>
        <w:rPr>
          <w:rFonts w:ascii="Arial" w:cs="Arial" w:eastAsia="Arial" w:hAnsi="Arial"/>
          <w:sz w:val="25"/>
          <w:szCs w:val="25"/>
          <w:color w:val="auto"/>
          <w:vertAlign w:val="superscript"/>
        </w:rPr>
        <w:t>(3)</w:t>
      </w:r>
      <w:r>
        <w:rPr>
          <w:rFonts w:ascii="Arial" w:cs="Arial" w:eastAsia="Arial" w:hAnsi="Arial"/>
          <w:sz w:val="19"/>
          <w:szCs w:val="19"/>
          <w:color w:val="auto"/>
        </w:rPr>
        <w:t xml:space="preserve"> of $2.33 billion. Micron repurchased an aggregate of 42 million shares of its common stock for $1.80 billion during the quarter in connection with its $10 billion share repurchase authorization. The company ended the first quarter in a record net cash position of $3.07 billion with cash, marketable investments, and restricted cash of $7.21 billion.</w:t>
      </w:r>
    </w:p>
    <w:p>
      <w:pPr>
        <w:sectPr>
          <w:pgSz w:w="11900" w:h="16838" w:orient="portrait"/>
          <w:cols w:equalWidth="0" w:num="1">
            <w:col w:w="11420"/>
          </w:cols>
          <w:pgMar w:left="240" w:top="625" w:right="239" w:bottom="1440" w:gutter="0" w:footer="0" w:header="0"/>
        </w:sectPr>
      </w:pPr>
    </w:p>
    <w:bookmarkStart w:id="4" w:name="page5"/>
    <w:bookmarkEnd w:id="4"/>
    <w:p>
      <w:pPr>
        <w:ind w:firstLine="324"/>
        <w:spacing w:after="0" w:line="297" w:lineRule="auto"/>
        <w:rPr>
          <w:sz w:val="20"/>
          <w:szCs w:val="20"/>
          <w:color w:val="auto"/>
        </w:rPr>
      </w:pPr>
      <w:r>
        <w:rPr>
          <w:rFonts w:ascii="Arial" w:cs="Arial" w:eastAsia="Arial" w:hAnsi="Arial"/>
          <w:sz w:val="19"/>
          <w:szCs w:val="19"/>
          <w:color w:val="auto"/>
        </w:rPr>
        <w:t xml:space="preserve">Micron will host a conference call on Tuesday, Dec. 18, 2018 at 2:30 p.m. MT to discuss financial results and provide forward-looking guidance for fiscal second quarter. The call, audio, and slides will be available online at </w:t>
      </w:r>
      <w:r>
        <w:rPr>
          <w:rFonts w:ascii="Arial" w:cs="Arial" w:eastAsia="Arial" w:hAnsi="Arial"/>
          <w:sz w:val="19"/>
          <w:szCs w:val="19"/>
          <w:u w:val="single" w:color="auto"/>
          <w:color w:val="006EBF"/>
        </w:rPr>
        <w:t>investors.micron.com</w:t>
      </w:r>
      <w:r>
        <w:rPr>
          <w:rFonts w:ascii="Arial" w:cs="Arial" w:eastAsia="Arial" w:hAnsi="Arial"/>
          <w:sz w:val="19"/>
          <w:szCs w:val="19"/>
          <w:color w:val="auto"/>
        </w:rPr>
        <w:t xml:space="preserve">. A webcast replay will be available on our website until Dec. 18, 2019. A taped audio replay of the conference call will also be available at 1-404-537-3406 or 1-855-859-2056 (conference number: 3349486) beginning at 5:30 p.m. MT, Dec. 18, 2018 and continuing through Dec. 25, 2018. For Investor Relations and other company updates, follow @MicronTech on Twitter at </w:t>
      </w:r>
      <w:r>
        <w:rPr>
          <w:rFonts w:ascii="Arial" w:cs="Arial" w:eastAsia="Arial" w:hAnsi="Arial"/>
          <w:sz w:val="19"/>
          <w:szCs w:val="19"/>
          <w:u w:val="single" w:color="auto"/>
          <w:color w:val="006EBF"/>
        </w:rPr>
        <w:t>twitter.com/MicronTech</w:t>
      </w:r>
      <w:r>
        <w:rPr>
          <w:rFonts w:ascii="Arial" w:cs="Arial" w:eastAsia="Arial" w:hAnsi="Arial"/>
          <w:sz w:val="19"/>
          <w:szCs w:val="19"/>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Micron Technology, Inc.</w:t>
      </w:r>
    </w:p>
    <w:p>
      <w:pPr>
        <w:spacing w:after="0" w:line="226" w:lineRule="exact"/>
        <w:rPr>
          <w:sz w:val="20"/>
          <w:szCs w:val="20"/>
          <w:color w:val="auto"/>
        </w:rPr>
      </w:pPr>
    </w:p>
    <w:p>
      <w:pPr>
        <w:ind w:right="60" w:firstLine="324"/>
        <w:spacing w:after="0" w:line="300" w:lineRule="auto"/>
        <w:rPr>
          <w:sz w:val="20"/>
          <w:szCs w:val="20"/>
          <w:color w:val="auto"/>
        </w:rPr>
      </w:pPr>
      <w:r>
        <w:rPr>
          <w:rFonts w:ascii="Arial" w:cs="Arial" w:eastAsia="Arial" w:hAnsi="Arial"/>
          <w:sz w:val="19"/>
          <w:szCs w:val="19"/>
          <w:color w:val="auto"/>
        </w:rPr>
        <w:t xml:space="preserve">We are an industry leader in innovative memory and storage solutions. Through our global brands </w:t>
      </w:r>
      <w:r>
        <w:rPr>
          <w:rFonts w:ascii="Arial" w:cs="Arial" w:eastAsia="Arial" w:hAnsi="Arial"/>
          <w:sz w:val="16"/>
          <w:szCs w:val="16"/>
          <w:color w:val="auto"/>
        </w:rPr>
        <w:t>–</w:t>
      </w:r>
      <w:r>
        <w:rPr>
          <w:rFonts w:ascii="Arial" w:cs="Arial" w:eastAsia="Arial" w:hAnsi="Arial"/>
          <w:sz w:val="19"/>
          <w:szCs w:val="19"/>
          <w:color w:val="auto"/>
        </w:rPr>
        <w:t xml:space="preserve"> Micron®, Crucial® and Ballistix® </w:t>
      </w:r>
      <w:r>
        <w:rPr>
          <w:rFonts w:ascii="Arial" w:cs="Arial" w:eastAsia="Arial" w:hAnsi="Arial"/>
          <w:sz w:val="16"/>
          <w:szCs w:val="16"/>
          <w:color w:val="auto"/>
        </w:rPr>
        <w:t>–</w:t>
      </w:r>
      <w:r>
        <w:rPr>
          <w:rFonts w:ascii="Arial" w:cs="Arial" w:eastAsia="Arial" w:hAnsi="Arial"/>
          <w:sz w:val="19"/>
          <w:szCs w:val="19"/>
          <w:color w:val="auto"/>
        </w:rPr>
        <w:t xml:space="preserve">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mobile and automotive. Our common stock is traded on the NASDAQ under the MU symbol. To learn more about Micron Technology, Inc., visit </w:t>
      </w:r>
      <w:r>
        <w:rPr>
          <w:rFonts w:ascii="Arial" w:cs="Arial" w:eastAsia="Arial" w:hAnsi="Arial"/>
          <w:sz w:val="19"/>
          <w:szCs w:val="19"/>
          <w:u w:val="single" w:color="auto"/>
          <w:color w:val="006EBF"/>
        </w:rPr>
        <w:t>micron.com</w:t>
      </w:r>
      <w:r>
        <w:rPr>
          <w:rFonts w:ascii="Arial" w:cs="Arial" w:eastAsia="Arial" w:hAnsi="Arial"/>
          <w:sz w:val="19"/>
          <w:szCs w:val="19"/>
          <w:color w:val="auto"/>
        </w:rPr>
        <w:t>.</w:t>
      </w:r>
    </w:p>
    <w:p>
      <w:pPr>
        <w:spacing w:after="0" w:line="185" w:lineRule="exact"/>
        <w:rPr>
          <w:sz w:val="20"/>
          <w:szCs w:val="20"/>
          <w:color w:val="auto"/>
        </w:rPr>
      </w:pPr>
    </w:p>
    <w:p>
      <w:pPr>
        <w:ind w:right="200" w:firstLine="324"/>
        <w:spacing w:after="0" w:line="263"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p>
      <w:pPr>
        <w:spacing w:after="0" w:line="215" w:lineRule="exact"/>
        <w:rPr>
          <w:sz w:val="20"/>
          <w:szCs w:val="20"/>
          <w:color w:val="auto"/>
        </w:rPr>
      </w:pPr>
    </w:p>
    <w:p>
      <w:pPr>
        <w:ind w:right="80" w:firstLine="324"/>
        <w:spacing w:after="0" w:line="290" w:lineRule="auto"/>
        <w:rPr>
          <w:sz w:val="20"/>
          <w:szCs w:val="20"/>
          <w:color w:val="auto"/>
        </w:rPr>
      </w:pPr>
      <w:r>
        <w:rPr>
          <w:rFonts w:ascii="Arial" w:cs="Arial" w:eastAsia="Arial" w:hAnsi="Arial"/>
          <w:sz w:val="19"/>
          <w:szCs w:val="19"/>
          <w:i w:val="1"/>
          <w:iCs w:val="1"/>
          <w:color w:val="auto"/>
        </w:rPr>
        <w:t xml:space="preserve">This press release contains forward-looking statements regarding the industry and our strategic position and financial results. These forward-looking statements are subject to a number of risks and uncertainties that could cause actual results to differ materially. Please refer to the documents we file with the Securities and Exchange Commission, specifically our most recent Form 10-K.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9"/>
          <w:szCs w:val="19"/>
          <w:i w:val="1"/>
          <w:iCs w:val="1"/>
          <w:u w:val="single" w:color="auto"/>
          <w:color w:val="006EBF"/>
        </w:rPr>
        <w:t>www.micron.com/certainfactors</w:t>
      </w:r>
      <w:r>
        <w:rPr>
          <w:rFonts w:ascii="Arial" w:cs="Arial" w:eastAsia="Arial" w:hAnsi="Arial"/>
          <w:sz w:val="19"/>
          <w:szCs w:val="19"/>
          <w:i w:val="1"/>
          <w:iCs w:val="1"/>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161" w:lineRule="exact"/>
        <w:rPr>
          <w:sz w:val="20"/>
          <w:szCs w:val="20"/>
          <w:color w:val="auto"/>
        </w:rPr>
      </w:pPr>
    </w:p>
    <w:p>
      <w:pPr>
        <w:ind w:left="560" w:hanging="228"/>
        <w:spacing w:after="0"/>
        <w:tabs>
          <w:tab w:leader="none" w:pos="560" w:val="left"/>
        </w:tabs>
        <w:numPr>
          <w:ilvl w:val="0"/>
          <w:numId w:val="3"/>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ind w:right="100" w:firstLine="332"/>
        <w:spacing w:after="0" w:line="258"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our management excludes in analyzing our operating results and understanding trends in our earnings. Non-GAAP also includes the impact on shares used in per share calculations of our outstanding capped call transactions and from the exclusion of stock-based compensation. For a reconciliation of GAAP to non-GAAP results, see the accompanying financial tables and footnotes.</w:t>
      </w:r>
    </w:p>
    <w:p>
      <w:pPr>
        <w:ind w:right="440" w:firstLine="332"/>
        <w:spacing w:after="0" w:line="238"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Adjusted free cash flow consists of cash provided by operating activities of $4.81 billion for the first quarter of 2019 less investments in capital expenditures, net of amounts funded by partners.</w:t>
      </w:r>
    </w:p>
    <w:p>
      <w:pPr>
        <w:sectPr>
          <w:pgSz w:w="11900" w:h="16838" w:orient="portrait"/>
          <w:cols w:equalWidth="0" w:num="1">
            <w:col w:w="11420"/>
          </w:cols>
          <w:pgMar w:left="240" w:top="888" w:right="239" w:bottom="1440" w:gutter="0" w:footer="0" w:header="0"/>
        </w:sectPr>
      </w:pPr>
    </w:p>
    <w:bookmarkStart w:id="5" w:name="page6"/>
    <w:bookmarkEnd w:id="5"/>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CONSOLIDATED FINANCIAL SUMMARY</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(in millions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8"/>
                <w:szCs w:val="18"/>
                <w:b w:val="1"/>
                <w:bCs w:val="1"/>
                <w:color w:val="auto"/>
              </w:rPr>
              <w:t xml:space="preserve"> Qtr.</w:t>
            </w:r>
          </w:p>
        </w:tc>
        <w:tc>
          <w:tcPr>
            <w:tcW w:w="22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160" w:type="dxa"/>
            <w:vAlign w:val="bottom"/>
          </w:tcPr>
          <w:p>
            <w:pPr>
              <w:spacing w:after="0"/>
              <w:rPr>
                <w:sz w:val="24"/>
                <w:szCs w:val="24"/>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8"/>
                <w:szCs w:val="18"/>
                <w:b w:val="1"/>
                <w:bCs w:val="1"/>
                <w:color w:val="auto"/>
              </w:rPr>
              <w:t xml:space="preserve"> Qtr.</w:t>
            </w:r>
          </w:p>
        </w:tc>
      </w:tr>
      <w:tr>
        <w:trPr>
          <w:trHeight w:val="216"/>
        </w:trPr>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6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7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3,056</w:t>
            </w: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6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w:t>
            </w:r>
            <w:r>
              <w:rPr>
                <w:rFonts w:ascii="Arial" w:cs="Arial" w:eastAsia="Arial" w:hAnsi="Arial"/>
                <w:sz w:val="25"/>
                <w:szCs w:val="25"/>
                <w:color w:val="auto"/>
                <w:vertAlign w:val="superscript"/>
              </w:rPr>
              <w:t>(3)</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Micron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4,325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2,678</w:t>
            </w:r>
          </w:p>
        </w:tc>
      </w:tr>
      <w:tr>
        <w:trPr>
          <w:trHeight w:val="284"/>
        </w:trPr>
        <w:tc>
          <w:tcPr>
            <w:tcW w:w="6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6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1,225</w:t>
            </w:r>
          </w:p>
        </w:tc>
      </w:tr>
    </w:tbl>
    <w:p>
      <w:pPr>
        <w:sectPr>
          <w:pgSz w:w="11900" w:h="16838" w:orient="portrait"/>
          <w:cols w:equalWidth="0" w:num="1">
            <w:col w:w="11420"/>
          </w:cols>
          <w:pgMar w:left="240" w:top="625"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w:t>
            </w: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Receivables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5,478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3,595</w:t>
            </w: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current assets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16,039</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23,672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44,595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43,376</w:t>
            </w:r>
          </w:p>
        </w:tc>
      </w:tr>
      <w:tr>
        <w:trPr>
          <w:trHeight w:val="29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5,754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3,777</w:t>
            </w:r>
          </w:p>
        </w:tc>
      </w:tr>
      <w:tr>
        <w:trPr>
          <w:trHeight w:val="29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Micron shareholders' equity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32,294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33,164</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Quarter Ended</w:t>
            </w:r>
          </w:p>
        </w:tc>
      </w:tr>
      <w:tr>
        <w:trPr>
          <w:trHeight w:val="252"/>
        </w:trPr>
        <w:tc>
          <w:tcPr>
            <w:tcW w:w="8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(1,434)</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97"/>
        </w:trPr>
        <w:tc>
          <w:tcPr>
            <w:tcW w:w="8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(2,089)</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Repayments of debt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paid to acquire treasury stock </w:t>
            </w:r>
            <w:r>
              <w:rPr>
                <w:rFonts w:ascii="Arial" w:cs="Arial" w:eastAsia="Arial" w:hAnsi="Arial"/>
                <w:sz w:val="25"/>
                <w:szCs w:val="25"/>
                <w:color w:val="auto"/>
                <w:vertAlign w:val="superscript"/>
              </w:rPr>
              <w:t>(4)</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stock</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issuance of debt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w:t>
            </w:r>
          </w:p>
        </w:tc>
      </w:tr>
    </w:tbl>
    <w:p>
      <w:pPr>
        <w:sectPr>
          <w:pgSz w:w="11900" w:h="16838" w:orient="portrait"/>
          <w:cols w:equalWidth="0" w:num="1">
            <w:col w:w="11420"/>
          </w:cols>
          <w:pgMar w:left="240" w:top="625" w:right="239" w:bottom="1440" w:gutter="0" w:footer="0" w:header="0"/>
        </w:sectPr>
      </w:pPr>
    </w:p>
    <w:bookmarkStart w:id="7" w:name="page8"/>
    <w:bookmarkEnd w:id="7"/>
    <w:p>
      <w:pPr>
        <w:ind w:left="332" w:hanging="332"/>
        <w:spacing w:after="0" w:line="255"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the first quarter of 2019, we adopted ASU 2014-09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amended, "ASC 606"), which supersedes nearly all existing revenue recognition guidance under generally accepted accounting principles in the United States. The core principal of ASC 606 is that an entity should recognize revenue when it transfers promised goods or services to customers in an amount that reflects the consideration to which the entity expects to be entitled in exchange for those goods or services. In adoption, we applied the modified retrospective method and, in connection therewith, made certain adjustments to our opening balances as of August 31, 2018. Adjustments to opening balances included an increase to receivables of $114 million, reduction of deferred tax assets of $92 million, increase of other current assets of $30 million, and an increase to retained earnings of $50 million.</w:t>
      </w:r>
    </w:p>
    <w:p>
      <w:pPr>
        <w:spacing w:after="0" w:line="189" w:lineRule="exact"/>
        <w:rPr>
          <w:rFonts w:ascii="Arial" w:cs="Arial" w:eastAsia="Arial" w:hAnsi="Arial"/>
          <w:sz w:val="18"/>
          <w:szCs w:val="18"/>
          <w:color w:val="auto"/>
        </w:rPr>
      </w:pPr>
    </w:p>
    <w:p>
      <w:pPr>
        <w:ind w:left="332" w:right="280" w:hanging="332"/>
        <w:spacing w:after="0" w:line="277"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first quarter of 2019, we settled conversions of debt with an aggregate principal amount of $38 million for cash of $164 million and recognized non-operating losses of $13 million.</w:t>
      </w:r>
    </w:p>
    <w:p>
      <w:pPr>
        <w:spacing w:after="0" w:line="170" w:lineRule="exact"/>
        <w:rPr>
          <w:rFonts w:ascii="Arial" w:cs="Arial" w:eastAsia="Arial" w:hAnsi="Arial"/>
          <w:sz w:val="18"/>
          <w:szCs w:val="18"/>
          <w:color w:val="auto"/>
        </w:rPr>
      </w:pPr>
    </w:p>
    <w:p>
      <w:pPr>
        <w:ind w:left="332" w:hanging="332"/>
        <w:spacing w:after="0" w:line="264"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22, 2017, the United States enacted comprehensive tax legislation commonly referred to as the Tax Cuts and Jobs Act (the "Tax Act") which imposed a one-time transition tax in 2018 (the "Repatriation Tax") and created a new minimum tax on certain foreign earnings. Our accounting for the effects of the Tax Act was completed during the first quarter of 2019.</w:t>
      </w:r>
    </w:p>
    <w:p>
      <w:pPr>
        <w:spacing w:after="0" w:line="181"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Our income tax provision consisted of the following:</w:t>
      </w:r>
    </w:p>
    <w:p>
      <w:pPr>
        <w:spacing w:after="0" w:line="383" w:lineRule="exact"/>
        <w:rPr>
          <w:sz w:val="20"/>
          <w:szCs w:val="20"/>
          <w:color w:val="auto"/>
        </w:rPr>
      </w:pPr>
    </w:p>
    <w:tbl>
      <w:tblPr>
        <w:tblLayout w:type="fixed"/>
        <w:tblInd w:w="72"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29,</w:t>
            </w: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66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excluding items below</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660" w:type="dxa"/>
            <w:vAlign w:val="bottom"/>
            <w:gridSpan w:val="2"/>
          </w:tcPr>
          <w:p>
            <w:pPr>
              <w:ind w:left="40"/>
              <w:spacing w:after="0"/>
              <w:rPr>
                <w:sz w:val="20"/>
                <w:szCs w:val="20"/>
                <w:color w:val="auto"/>
              </w:rPr>
            </w:pPr>
            <w:r>
              <w:rPr>
                <w:rFonts w:ascii="Arial" w:cs="Arial" w:eastAsia="Arial" w:hAnsi="Arial"/>
                <w:sz w:val="18"/>
                <w:szCs w:val="18"/>
                <w:color w:val="auto"/>
                <w:w w:val="98"/>
              </w:rPr>
              <w:t>Utilization of and other changes in net deferred tax assets of MMJ, MMT, and MTTW</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Repatriation Tax, net of adjustments related to uncertain tax positions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2" w:right="20" w:hanging="332"/>
        <w:spacing w:after="0" w:line="342" w:lineRule="auto"/>
        <w:tabs>
          <w:tab w:leader="none" w:pos="33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first quarter of 2019, we repurchased 42 million shares of our common stock for $1.80 billion through a combination of repurchases pursuant to an accelerated share repurchase agreement, Rule 10b5-1 plan, and through open market repurchases. The shares were recorded as treasury stock.</w:t>
      </w:r>
    </w:p>
    <w:p>
      <w:pPr>
        <w:sectPr>
          <w:pgSz w:w="11900" w:h="16838" w:orient="portrait"/>
          <w:cols w:equalWidth="0" w:num="1">
            <w:col w:w="11372"/>
          </w:cols>
          <w:pgMar w:left="248" w:top="625" w:right="279" w:bottom="1440" w:gutter="0" w:footer="0" w:header="0"/>
        </w:sectPr>
      </w:pPr>
    </w:p>
    <w:bookmarkStart w:id="8" w:name="page9"/>
    <w:bookmarkEnd w:id="8"/>
    <w:p>
      <w:pPr>
        <w:jc w:val="center"/>
        <w:ind w:right="-339"/>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1</w:t>
            </w:r>
            <w:r>
              <w:rPr>
                <w:rFonts w:ascii="Arial" w:cs="Arial" w:eastAsia="Arial" w:hAnsi="Arial"/>
                <w:sz w:val="21"/>
                <w:szCs w:val="21"/>
                <w:b w:val="1"/>
                <w:bCs w:val="1"/>
                <w:color w:val="auto"/>
                <w:w w:val="88"/>
                <w:vertAlign w:val="superscript"/>
              </w:rPr>
              <w:t>st</w:t>
            </w:r>
            <w:r>
              <w:rPr>
                <w:rFonts w:ascii="Arial" w:cs="Arial" w:eastAsia="Arial" w:hAnsi="Arial"/>
                <w:sz w:val="16"/>
                <w:szCs w:val="16"/>
                <w:b w:val="1"/>
                <w:bCs w:val="1"/>
                <w:color w:val="auto"/>
                <w:w w:val="88"/>
              </w:rPr>
              <w:t xml:space="preserve"> Qtr.</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4</w:t>
            </w:r>
            <w:r>
              <w:rPr>
                <w:rFonts w:ascii="Arial" w:cs="Arial" w:eastAsia="Arial" w:hAnsi="Arial"/>
                <w:sz w:val="21"/>
                <w:szCs w:val="21"/>
                <w:b w:val="1"/>
                <w:bCs w:val="1"/>
                <w:color w:val="auto"/>
                <w:w w:val="87"/>
                <w:vertAlign w:val="superscript"/>
              </w:rPr>
              <w:t>th</w:t>
            </w:r>
            <w:r>
              <w:rPr>
                <w:rFonts w:ascii="Arial" w:cs="Arial" w:eastAsia="Arial" w:hAnsi="Arial"/>
                <w:sz w:val="16"/>
                <w:szCs w:val="16"/>
                <w:b w:val="1"/>
                <w:bCs w:val="1"/>
                <w:color w:val="auto"/>
                <w:w w:val="87"/>
              </w:rPr>
              <w:t xml:space="preserve"> Qtr.</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1</w:t>
            </w:r>
            <w:r>
              <w:rPr>
                <w:rFonts w:ascii="Arial" w:cs="Arial" w:eastAsia="Arial" w:hAnsi="Arial"/>
                <w:sz w:val="21"/>
                <w:szCs w:val="21"/>
                <w:b w:val="1"/>
                <w:bCs w:val="1"/>
                <w:color w:val="auto"/>
                <w:w w:val="88"/>
                <w:vertAlign w:val="superscript"/>
              </w:rPr>
              <w:t>st</w:t>
            </w:r>
            <w:r>
              <w:rPr>
                <w:rFonts w:ascii="Arial" w:cs="Arial" w:eastAsia="Arial" w:hAnsi="Arial"/>
                <w:sz w:val="16"/>
                <w:szCs w:val="16"/>
                <w:b w:val="1"/>
                <w:bCs w:val="1"/>
                <w:color w:val="auto"/>
                <w:w w:val="88"/>
              </w:rPr>
              <w:t xml:space="preserve"> Qtr.</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November 29, 2018</w:t>
            </w:r>
          </w:p>
        </w:tc>
        <w:tc>
          <w:tcPr>
            <w:tcW w:w="160" w:type="dxa"/>
            <w:vAlign w:val="bottom"/>
          </w:tcPr>
          <w:p>
            <w:pPr>
              <w:spacing w:after="0"/>
              <w:rPr>
                <w:sz w:val="18"/>
                <w:szCs w:val="18"/>
                <w:color w:val="auto"/>
              </w:rPr>
            </w:pPr>
          </w:p>
        </w:tc>
        <w:tc>
          <w:tcPr>
            <w:tcW w:w="228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1"/>
              </w:rPr>
              <w:t>August 30, 2018</w:t>
            </w:r>
          </w:p>
        </w:tc>
        <w:tc>
          <w:tcPr>
            <w:tcW w:w="160" w:type="dxa"/>
            <w:vAlign w:val="bottom"/>
          </w:tcPr>
          <w:p>
            <w:pPr>
              <w:spacing w:after="0"/>
              <w:rPr>
                <w:sz w:val="18"/>
                <w:szCs w:val="18"/>
                <w:color w:val="auto"/>
              </w:rPr>
            </w:pPr>
          </w:p>
        </w:tc>
        <w:tc>
          <w:tcPr>
            <w:tcW w:w="214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auto"/>
                <w:w w:val="91"/>
              </w:rPr>
              <w:t>November 30, 2017</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60" w:type="dxa"/>
            <w:vAlign w:val="bottom"/>
          </w:tcPr>
          <w:p>
            <w:pPr>
              <w:jc w:val="center"/>
              <w:ind w:right="39"/>
              <w:spacing w:after="0"/>
              <w:rPr>
                <w:sz w:val="20"/>
                <w:szCs w:val="20"/>
                <w:color w:val="auto"/>
              </w:rPr>
            </w:pPr>
            <w:r>
              <w:rPr>
                <w:rFonts w:ascii="Arial" w:cs="Arial" w:eastAsia="Arial" w:hAnsi="Arial"/>
                <w:sz w:val="16"/>
                <w:szCs w:val="16"/>
                <w:b w:val="1"/>
                <w:bCs w:val="1"/>
                <w:color w:val="auto"/>
              </w:rPr>
              <w:t>Adj</w:t>
            </w: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Non-GAAP</w:t>
            </w:r>
          </w:p>
        </w:tc>
        <w:tc>
          <w:tcPr>
            <w:tcW w:w="160" w:type="dxa"/>
            <w:vAlign w:val="bottom"/>
          </w:tcPr>
          <w:p>
            <w:pPr>
              <w:spacing w:after="0"/>
              <w:rPr>
                <w:sz w:val="18"/>
                <w:szCs w:val="18"/>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40" w:type="dxa"/>
            <w:vAlign w:val="bottom"/>
          </w:tcPr>
          <w:p>
            <w:pPr>
              <w:spacing w:after="0"/>
              <w:rPr>
                <w:sz w:val="18"/>
                <w:szCs w:val="18"/>
                <w:color w:val="auto"/>
              </w:rPr>
            </w:pPr>
          </w:p>
        </w:tc>
        <w:tc>
          <w:tcPr>
            <w:tcW w:w="480" w:type="dxa"/>
            <w:vAlign w:val="bottom"/>
          </w:tcPr>
          <w:p>
            <w:pPr>
              <w:jc w:val="center"/>
              <w:ind w:right="19"/>
              <w:spacing w:after="0"/>
              <w:rPr>
                <w:sz w:val="20"/>
                <w:szCs w:val="20"/>
                <w:color w:val="auto"/>
              </w:rPr>
            </w:pPr>
            <w:r>
              <w:rPr>
                <w:rFonts w:ascii="Arial" w:cs="Arial" w:eastAsia="Arial" w:hAnsi="Arial"/>
                <w:sz w:val="16"/>
                <w:szCs w:val="16"/>
                <w:b w:val="1"/>
                <w:bCs w:val="1"/>
                <w:color w:val="auto"/>
              </w:rPr>
              <w:t>Adj</w:t>
            </w:r>
          </w:p>
        </w:tc>
        <w:tc>
          <w:tcPr>
            <w:tcW w:w="140" w:type="dxa"/>
            <w:vAlign w:val="bottom"/>
          </w:tcPr>
          <w:p>
            <w:pPr>
              <w:spacing w:after="0"/>
              <w:rPr>
                <w:sz w:val="18"/>
                <w:szCs w:val="18"/>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GAAP</w:t>
            </w: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60" w:type="dxa"/>
            <w:vAlign w:val="bottom"/>
          </w:tcPr>
          <w:p>
            <w:pPr>
              <w:jc w:val="center"/>
              <w:ind w:right="39"/>
              <w:spacing w:after="0"/>
              <w:rPr>
                <w:sz w:val="20"/>
                <w:szCs w:val="20"/>
                <w:color w:val="auto"/>
              </w:rPr>
            </w:pPr>
            <w:r>
              <w:rPr>
                <w:rFonts w:ascii="Arial" w:cs="Arial" w:eastAsia="Arial" w:hAnsi="Arial"/>
                <w:sz w:val="16"/>
                <w:szCs w:val="16"/>
                <w:b w:val="1"/>
                <w:bCs w:val="1"/>
                <w:color w:val="auto"/>
              </w:rPr>
              <w:t>Adj</w:t>
            </w: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Non-GAAP</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6,803</w:t>
            </w: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3,298</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3,243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3,289</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3,056</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3,034</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Gross margin</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4,615</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5,151</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3,747</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3,769</w:t>
            </w:r>
          </w:p>
        </w:tc>
        <w:tc>
          <w:tcPr>
            <w:tcW w:w="0" w:type="dxa"/>
            <w:vAlign w:val="bottom"/>
          </w:tcPr>
          <w:p>
            <w:pPr>
              <w:spacing w:after="0"/>
              <w:rPr>
                <w:sz w:val="1"/>
                <w:szCs w:val="1"/>
                <w:color w:val="auto"/>
              </w:rPr>
            </w:pPr>
          </w:p>
        </w:tc>
      </w:tr>
      <w:tr>
        <w:trPr>
          <w:trHeight w:val="237"/>
        </w:trPr>
        <w:tc>
          <w:tcPr>
            <w:tcW w:w="2140" w:type="dxa"/>
            <w:vAlign w:val="bottom"/>
          </w:tcPr>
          <w:p>
            <w:pPr>
              <w:ind w:left="160"/>
              <w:spacing w:after="0"/>
              <w:rPr>
                <w:sz w:val="20"/>
                <w:szCs w:val="20"/>
                <w:color w:val="auto"/>
              </w:rPr>
            </w:pPr>
            <w:r>
              <w:rPr>
                <w:rFonts w:ascii="Arial" w:cs="Arial" w:eastAsia="Arial" w:hAnsi="Arial"/>
                <w:sz w:val="16"/>
                <w:szCs w:val="16"/>
                <w:i w:val="1"/>
                <w:iCs w:val="1"/>
                <w:color w:val="auto"/>
              </w:rPr>
              <w:t>percent of revenue</w:t>
            </w:r>
          </w:p>
        </w:tc>
        <w:tc>
          <w:tcPr>
            <w:tcW w:w="16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i w:val="1"/>
                <w:iCs w:val="1"/>
                <w:color w:val="auto"/>
              </w:rPr>
              <w:t>58.3%</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i w:val="1"/>
                <w:iCs w:val="1"/>
                <w:color w:val="auto"/>
              </w:rPr>
              <w:t>59.0%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i w:val="1"/>
                <w:iCs w:val="1"/>
                <w:color w:val="auto"/>
              </w:rPr>
              <w:t>61.0%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i w:val="1"/>
                <w:iCs w:val="1"/>
                <w:color w:val="auto"/>
              </w:rPr>
              <w:t>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55.1%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i w:val="1"/>
                <w:iCs w:val="1"/>
                <w:color w:val="auto"/>
              </w:rPr>
              <w:t>55.4%</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Selling, general, and</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20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Other operating (income)</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200"/>
              <w:spacing w:after="0"/>
              <w:rPr>
                <w:sz w:val="20"/>
                <w:szCs w:val="20"/>
                <w:color w:val="auto"/>
              </w:rPr>
            </w:pPr>
            <w:r>
              <w:rPr>
                <w:rFonts w:ascii="Arial" w:cs="Arial" w:eastAsia="Arial" w:hAnsi="Arial"/>
                <w:sz w:val="16"/>
                <w:szCs w:val="16"/>
                <w:color w:val="auto"/>
              </w:rPr>
              <w:t>expense, net</w:t>
            </w:r>
          </w:p>
        </w:tc>
        <w:tc>
          <w:tcPr>
            <w:tcW w:w="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17"/>
        </w:trPr>
        <w:tc>
          <w:tcPr>
            <w:tcW w:w="2140" w:type="dxa"/>
            <w:vAlign w:val="bottom"/>
          </w:tcPr>
          <w:p>
            <w:pPr>
              <w:ind w:left="16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3,759</w:t>
            </w: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4,377</w:t>
            </w: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4,439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3,097</w:t>
            </w: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3,157</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percent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47.5%</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i w:val="1"/>
                <w:iCs w:val="1"/>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51.9%</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45.5%</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46.4%</w:t>
            </w:r>
          </w:p>
        </w:tc>
        <w:tc>
          <w:tcPr>
            <w:tcW w:w="0" w:type="dxa"/>
            <w:vAlign w:val="bottom"/>
          </w:tcPr>
          <w:p>
            <w:pPr>
              <w:spacing w:after="0"/>
              <w:rPr>
                <w:sz w:val="1"/>
                <w:szCs w:val="1"/>
                <w:color w:val="auto"/>
              </w:rPr>
            </w:pPr>
          </w:p>
        </w:tc>
      </w:tr>
      <w:tr>
        <w:trPr>
          <w:trHeight w:val="297"/>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Interest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Other non-operating income</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200"/>
              <w:spacing w:after="0"/>
              <w:rPr>
                <w:sz w:val="20"/>
                <w:szCs w:val="20"/>
                <w:color w:val="auto"/>
              </w:rPr>
            </w:pPr>
            <w:r>
              <w:rPr>
                <w:rFonts w:ascii="Arial" w:cs="Arial" w:eastAsia="Arial" w:hAnsi="Arial"/>
                <w:sz w:val="16"/>
                <w:szCs w:val="16"/>
                <w:color w:val="auto"/>
              </w:rPr>
              <w:t>(expense), net</w:t>
            </w:r>
          </w:p>
        </w:tc>
        <w:tc>
          <w:tcPr>
            <w:tcW w:w="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(204)</w:t>
            </w:r>
          </w:p>
        </w:tc>
        <w:tc>
          <w:tcPr>
            <w:tcW w:w="16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3,773</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4,346</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2,792</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3,085</w:t>
            </w:r>
          </w:p>
        </w:tc>
        <w:tc>
          <w:tcPr>
            <w:tcW w:w="0" w:type="dxa"/>
            <w:vAlign w:val="bottom"/>
          </w:tcPr>
          <w:p>
            <w:pPr>
              <w:spacing w:after="0"/>
              <w:rPr>
                <w:sz w:val="1"/>
                <w:szCs w:val="1"/>
                <w:color w:val="auto"/>
              </w:rPr>
            </w:pPr>
          </w:p>
        </w:tc>
      </w:tr>
      <w:tr>
        <w:trPr>
          <w:trHeight w:val="297"/>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7"/>
        </w:trPr>
        <w:tc>
          <w:tcPr>
            <w:tcW w:w="214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3,296</w:t>
            </w: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215</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3,511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4,326</w:t>
            </w: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4,314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2,678</w:t>
            </w: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316</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2,994</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Net income attributable to</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income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3,293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3,508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4,325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4,313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2,678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316</w:t>
            </w: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2,994</w:t>
            </w:r>
          </w:p>
        </w:tc>
        <w:tc>
          <w:tcPr>
            <w:tcW w:w="0" w:type="dxa"/>
            <w:vAlign w:val="bottom"/>
          </w:tcPr>
          <w:p>
            <w:pPr>
              <w:spacing w:after="0"/>
              <w:rPr>
                <w:sz w:val="1"/>
                <w:szCs w:val="1"/>
                <w:color w:val="auto"/>
              </w:rPr>
            </w:pPr>
          </w:p>
        </w:tc>
      </w:tr>
      <w:tr>
        <w:trPr>
          <w:trHeight w:val="219"/>
        </w:trPr>
        <w:tc>
          <w:tcPr>
            <w:tcW w:w="2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Micron</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used in calculations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1,174</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1,216</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1,220</w:t>
            </w: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0.16</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5"/>
              </w:rPr>
              <w:t>(0.03)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0.26</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bl>
    <w:p>
      <w:pPr>
        <w:sectPr>
          <w:pgSz w:w="11900" w:h="16838" w:orient="portrait"/>
          <w:cols w:equalWidth="0" w:num="1">
            <w:col w:w="9300"/>
          </w:cols>
          <w:pgMar w:left="1300" w:top="621" w:right="1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ADJUSTMENTS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November 29,</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November 30,</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August 30, 2018</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Non-GAAP adjustments</w:t>
            </w: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Employee severance, start-up costs, and other</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severance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Employee severance and other</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Restructure and asset impairments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debt discount and other costs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(Gain) loss on debt repurchases and conversions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loss from changes in currency exchange rates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Impact of U.S. income tax reform</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Estimated tax effects of above, including tax benefits from stock-based compensation,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non-cash changes in net deferred income taxes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tables above reconcile GAAP to non-GAAP results, diluted shares, and diluted earnings per share. The non-GAAP adjustments above may or may not be infrequent or nonrecurring in nature but are a result of periodic or non-core operating activities. We believe this non-GAAP information is helpful to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numbers presented in accordance with U.S. GAAP and therefore may not be comparable to amounts reported by other companies.</w:t>
      </w:r>
    </w:p>
    <w:p>
      <w:pPr>
        <w:sectPr>
          <w:pgSz w:w="11900" w:h="16838" w:orient="portrait"/>
          <w:cols w:equalWidth="0" w:num="1">
            <w:col w:w="11420"/>
          </w:cols>
          <w:pgMar w:left="240" w:top="621"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Our management excludes the following items in analyzing our operating results and understanding trends in our earnings: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severance, start-up costs, and other;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creditor debt;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loss from business acquisition activities;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the U.S. income tax reform for the Repatriation Tax, release of U.S. valuation allowance, and remeasurement of net deferred taxes reflecting the lower U.S. corporate tax rates; and</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estimated tax effects of above, including tax benefits from stock-based compensation, and non-cash changes in net deferred taxes.</w:t>
      </w:r>
    </w:p>
    <w:p>
      <w:pPr>
        <w:spacing w:after="0" w:line="2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outstanding capped call transactions are anti-dilutive in GAAP earnings per share but are expected to mitigate the dilutive effect of our convertible notes. In periods with non-GAAP income attributable to Micron, non-GAAP diluted shares include the impact of the capped calls, based on the average share price for the period the capped calls are outstanding. Non-GAAP diluted shares are also adjusted for the impact of additional shares resulting from the exclusion of stock-based compensation from non-GAAP income.</w:t>
      </w:r>
    </w:p>
    <w:sectPr>
      <w:pgSz w:w="11900" w:h="16838" w:orient="portrait"/>
      <w:cols w:equalWidth="0" w:num="1">
        <w:col w:w="11360"/>
      </w:cols>
      <w:pgMar w:left="240" w:top="8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2019-12-28T17:18:33Z</dcterms:created>
  <dcterms:modified xsi:type="dcterms:W3CDTF">2019-12-28T17:18:33Z</dcterms:modified>
</cp:coreProperties>
</file>