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As filed with the Securities and Exchange Commission on January 21, 2025</w:t>
      </w:r>
    </w:p>
    <w:p>
      <w:pPr>
        <w:spacing w:after="0" w:line="27" w:lineRule="exact"/>
        <w:rPr>
          <w:sz w:val="24"/>
          <w:szCs w:val="24"/>
          <w:color w:val="auto"/>
        </w:rPr>
      </w:pPr>
    </w:p>
    <w:p>
      <w:pPr>
        <w:ind w:left="9100"/>
        <w:spacing w:after="0"/>
        <w:rPr>
          <w:sz w:val="20"/>
          <w:szCs w:val="20"/>
          <w:color w:val="auto"/>
        </w:rPr>
      </w:pPr>
      <w:r>
        <w:rPr>
          <w:rFonts w:ascii="Times New Roman" w:cs="Times New Roman" w:eastAsia="Times New Roman" w:hAnsi="Times New Roman"/>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REGISTRATION STATEMENT 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315595</wp:posOffset>
            </wp:positionV>
            <wp:extent cx="2005965" cy="4286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0596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Micron Technology,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0" w:lineRule="exact"/>
        <w:rPr>
          <w:sz w:val="24"/>
          <w:szCs w:val="24"/>
          <w:color w:val="auto"/>
        </w:rPr>
      </w:pPr>
    </w:p>
    <w:p>
      <w:pPr>
        <w:spacing w:after="0" w:line="271" w:lineRule="exact"/>
        <w:rPr>
          <w:sz w:val="24"/>
          <w:szCs w:val="24"/>
          <w:color w:val="auto"/>
        </w:rPr>
      </w:pPr>
    </w:p>
    <w:tbl>
      <w:tblPr>
        <w:tblLayout w:type="fixed"/>
        <w:tblInd w:w="660" w:type="dxa"/>
        <w:tblCellMar>
          <w:top w:w="0" w:type="dxa"/>
          <w:left w:w="0" w:type="dxa"/>
          <w:bottom w:w="0" w:type="dxa"/>
          <w:right w:w="0" w:type="dxa"/>
        </w:tblCellMar>
      </w:tblPr>
      <w:tr>
        <w:trPr>
          <w:trHeight w:val="238"/>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0" w:type="dxa"/>
            <w:vAlign w:val="bottom"/>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75-1618004</w:t>
            </w:r>
          </w:p>
        </w:tc>
      </w:tr>
      <w:tr>
        <w:trPr>
          <w:trHeight w:val="270"/>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60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70"/>
        </w:trPr>
        <w:tc>
          <w:tcPr>
            <w:tcW w:w="5420" w:type="dxa"/>
            <w:vAlign w:val="bottom"/>
          </w:tcPr>
          <w:p>
            <w:pPr>
              <w:jc w:val="center"/>
              <w:ind w:right="1010"/>
              <w:spacing w:after="0"/>
              <w:rPr>
                <w:sz w:val="20"/>
                <w:szCs w:val="20"/>
                <w:color w:val="auto"/>
              </w:rPr>
            </w:pPr>
            <w:r>
              <w:rPr>
                <w:rFonts w:ascii="Times New Roman" w:cs="Times New Roman" w:eastAsia="Times New Roman" w:hAnsi="Times New Roman"/>
                <w:sz w:val="18"/>
                <w:szCs w:val="18"/>
                <w:b w:val="1"/>
                <w:bCs w:val="1"/>
                <w:color w:val="auto"/>
                <w:w w:val="98"/>
              </w:rPr>
              <w:t>8000 S. Federal Way, Boise, Idaho</w:t>
            </w:r>
          </w:p>
        </w:tc>
        <w:tc>
          <w:tcPr>
            <w:tcW w:w="3600" w:type="dxa"/>
            <w:vAlign w:val="bottom"/>
          </w:tcPr>
          <w:p>
            <w:pPr>
              <w:jc w:val="right"/>
              <w:ind w:right="930"/>
              <w:spacing w:after="0"/>
              <w:rPr>
                <w:sz w:val="20"/>
                <w:szCs w:val="20"/>
                <w:color w:val="auto"/>
              </w:rPr>
            </w:pPr>
            <w:r>
              <w:rPr>
                <w:rFonts w:ascii="Times New Roman" w:cs="Times New Roman" w:eastAsia="Times New Roman" w:hAnsi="Times New Roman"/>
                <w:sz w:val="18"/>
                <w:szCs w:val="18"/>
                <w:b w:val="1"/>
                <w:bCs w:val="1"/>
                <w:color w:val="auto"/>
              </w:rPr>
              <w:t>83716</w:t>
            </w:r>
          </w:p>
        </w:tc>
      </w:tr>
      <w:tr>
        <w:trPr>
          <w:trHeight w:val="270"/>
        </w:trPr>
        <w:tc>
          <w:tcPr>
            <w:tcW w:w="5420" w:type="dxa"/>
            <w:vAlign w:val="bottom"/>
          </w:tcPr>
          <w:p>
            <w:pPr>
              <w:jc w:val="center"/>
              <w:ind w:right="10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600" w:type="dxa"/>
            <w:vAlign w:val="bottom"/>
          </w:tcPr>
          <w:p>
            <w:pPr>
              <w:jc w:val="center"/>
              <w:ind w:left="101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154305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Micron Technology, Inc. 2025 Equity Incentive Plan</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Michael Ray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Senior Vice President, Chief Legal Officer and Corporate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8000 South Federal Way, Boise, Idaho 83716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(208) 368-4000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0" w:lineRule="exact"/>
        <w:rPr>
          <w:sz w:val="24"/>
          <w:szCs w:val="24"/>
          <w:color w:val="auto"/>
        </w:rPr>
      </w:pPr>
    </w:p>
    <w:tbl>
      <w:tblPr>
        <w:tblLayout w:type="fixed"/>
        <w:tblInd w:w="52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78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99"/>
              </w:rPr>
              <w:t>Smaller</w:t>
            </w:r>
          </w:p>
        </w:tc>
        <w:tc>
          <w:tcPr>
            <w:tcW w:w="2480" w:type="dxa"/>
            <w:vAlign w:val="bottom"/>
          </w:tcPr>
          <w:p>
            <w:pPr>
              <w:spacing w:after="0"/>
              <w:rPr>
                <w:sz w:val="18"/>
                <w:szCs w:val="18"/>
                <w:color w:val="auto"/>
              </w:rPr>
            </w:pPr>
          </w:p>
        </w:tc>
      </w:tr>
      <w:tr>
        <w:trPr>
          <w:trHeight w:val="216"/>
        </w:trPr>
        <w:tc>
          <w:tcPr>
            <w:tcW w:w="1740" w:type="dxa"/>
            <w:vAlign w:val="bottom"/>
          </w:tcPr>
          <w:p>
            <w:pPr>
              <w:jc w:val="center"/>
              <w:ind w:right="470"/>
              <w:spacing w:after="0"/>
              <w:rPr>
                <w:sz w:val="20"/>
                <w:szCs w:val="20"/>
                <w:color w:val="auto"/>
              </w:rPr>
            </w:pPr>
            <w:r>
              <w:rPr>
                <w:rFonts w:ascii="Times New Roman" w:cs="Times New Roman" w:eastAsia="Times New Roman" w:hAnsi="Times New Roman"/>
                <w:sz w:val="18"/>
                <w:szCs w:val="18"/>
                <w:color w:val="auto"/>
                <w:w w:val="99"/>
              </w:rPr>
              <w:t>Large</w:t>
            </w:r>
          </w:p>
        </w:tc>
        <w:tc>
          <w:tcPr>
            <w:tcW w:w="2260" w:type="dxa"/>
            <w:vAlign w:val="bottom"/>
          </w:tcPr>
          <w:p>
            <w:pPr>
              <w:spacing w:after="0"/>
              <w:rPr>
                <w:sz w:val="18"/>
                <w:szCs w:val="18"/>
                <w:color w:val="auto"/>
              </w:rPr>
            </w:pPr>
          </w:p>
        </w:tc>
        <w:tc>
          <w:tcPr>
            <w:tcW w:w="2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Non-Accelerated</w:t>
            </w:r>
          </w:p>
        </w:tc>
        <w:tc>
          <w:tcPr>
            <w:tcW w:w="178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Reporting</w:t>
            </w:r>
          </w:p>
        </w:tc>
        <w:tc>
          <w:tcPr>
            <w:tcW w:w="2480" w:type="dxa"/>
            <w:vAlign w:val="bottom"/>
          </w:tcPr>
          <w:p>
            <w:pPr>
              <w:spacing w:after="0"/>
              <w:rPr>
                <w:sz w:val="18"/>
                <w:szCs w:val="18"/>
                <w:color w:val="auto"/>
              </w:rPr>
            </w:pPr>
          </w:p>
        </w:tc>
      </w:tr>
      <w:tr>
        <w:trPr>
          <w:trHeight w:val="229"/>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Accelerated Filer</w:t>
            </w: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Accelerated Filer</w:t>
            </w:r>
          </w:p>
        </w:tc>
        <w:tc>
          <w:tcPr>
            <w:tcW w:w="23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Filer</w:t>
            </w:r>
          </w:p>
        </w:tc>
        <w:tc>
          <w:tcPr>
            <w:tcW w:w="178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Company</w:t>
            </w:r>
          </w:p>
        </w:tc>
        <w:tc>
          <w:tcPr>
            <w:tcW w:w="2480" w:type="dxa"/>
            <w:vAlign w:val="bottom"/>
          </w:tcPr>
          <w:p>
            <w:pPr>
              <w:jc w:val="center"/>
              <w:ind w:left="350"/>
              <w:spacing w:after="0"/>
              <w:rPr>
                <w:sz w:val="20"/>
                <w:szCs w:val="20"/>
                <w:color w:val="auto"/>
              </w:rPr>
            </w:pPr>
            <w:r>
              <w:rPr>
                <w:rFonts w:ascii="Times New Roman" w:cs="Times New Roman" w:eastAsia="Times New Roman" w:hAnsi="Times New Roman"/>
                <w:sz w:val="18"/>
                <w:szCs w:val="18"/>
                <w:color w:val="auto"/>
                <w:w w:val="99"/>
              </w:rPr>
              <w:t>Emerging Growth Company</w:t>
            </w:r>
          </w:p>
        </w:tc>
      </w:tr>
      <w:tr>
        <w:trPr>
          <w:trHeight w:val="303"/>
        </w:trPr>
        <w:tc>
          <w:tcPr>
            <w:tcW w:w="1740" w:type="dxa"/>
            <w:vAlign w:val="bottom"/>
          </w:tcPr>
          <w:p>
            <w:pPr>
              <w:jc w:val="center"/>
              <w:ind w:right="410"/>
              <w:spacing w:after="0" w:line="181" w:lineRule="exact"/>
              <w:rPr>
                <w:sz w:val="20"/>
                <w:szCs w:val="20"/>
                <w:color w:val="auto"/>
              </w:rPr>
            </w:pPr>
            <w:r>
              <w:rPr>
                <w:rFonts w:ascii="MS PGothic" w:cs="MS PGothic" w:eastAsia="MS PGothic" w:hAnsi="MS PGothic"/>
                <w:sz w:val="18"/>
                <w:szCs w:val="18"/>
                <w:color w:val="auto"/>
                <w:w w:val="88"/>
              </w:rPr>
              <w:t>☒</w:t>
            </w:r>
          </w:p>
        </w:tc>
        <w:tc>
          <w:tcPr>
            <w:tcW w:w="2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99"/>
              </w:rPr>
              <w:t>☐</w:t>
            </w:r>
          </w:p>
        </w:tc>
        <w:tc>
          <w:tcPr>
            <w:tcW w:w="2360" w:type="dxa"/>
            <w:vAlign w:val="bottom"/>
          </w:tcPr>
          <w:p>
            <w:pPr>
              <w:jc w:val="center"/>
              <w:ind w:right="30"/>
              <w:spacing w:after="0" w:line="181" w:lineRule="exact"/>
              <w:rPr>
                <w:sz w:val="20"/>
                <w:szCs w:val="20"/>
                <w:color w:val="auto"/>
              </w:rPr>
            </w:pPr>
            <w:r>
              <w:rPr>
                <w:rFonts w:ascii="MS PGothic" w:cs="MS PGothic" w:eastAsia="MS PGothic" w:hAnsi="MS PGothic"/>
                <w:sz w:val="18"/>
                <w:szCs w:val="18"/>
                <w:color w:val="auto"/>
                <w:w w:val="88"/>
              </w:rPr>
              <w:t>☐</w:t>
            </w:r>
          </w:p>
        </w:tc>
        <w:tc>
          <w:tcPr>
            <w:tcW w:w="1780" w:type="dxa"/>
            <w:vAlign w:val="bottom"/>
          </w:tcPr>
          <w:p>
            <w:pPr>
              <w:jc w:val="center"/>
              <w:ind w:left="130"/>
              <w:spacing w:after="0" w:line="181" w:lineRule="exact"/>
              <w:rPr>
                <w:sz w:val="20"/>
                <w:szCs w:val="20"/>
                <w:color w:val="auto"/>
              </w:rPr>
            </w:pPr>
            <w:r>
              <w:rPr>
                <w:rFonts w:ascii="MS PGothic" w:cs="MS PGothic" w:eastAsia="MS PGothic" w:hAnsi="MS PGothic"/>
                <w:sz w:val="18"/>
                <w:szCs w:val="18"/>
                <w:color w:val="auto"/>
                <w:w w:val="88"/>
              </w:rPr>
              <w:t>☐</w:t>
            </w:r>
          </w:p>
        </w:tc>
        <w:tc>
          <w:tcPr>
            <w:tcW w:w="2480" w:type="dxa"/>
            <w:vAlign w:val="bottom"/>
          </w:tcPr>
          <w:p>
            <w:pPr>
              <w:jc w:val="center"/>
              <w:ind w:left="35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97" w:lineRule="exact"/>
        <w:rPr>
          <w:sz w:val="24"/>
          <w:szCs w:val="24"/>
          <w:color w:val="auto"/>
        </w:rPr>
      </w:pPr>
    </w:p>
    <w:tbl>
      <w:tblPr>
        <w:tblLayout w:type="fixed"/>
        <w:tblInd w:w="0" w:type="dxa"/>
        <w:tblCellMar>
          <w:top w:w="0" w:type="dxa"/>
          <w:left w:w="0" w:type="dxa"/>
          <w:bottom w:w="0" w:type="dxa"/>
          <w:right w:w="0" w:type="dxa"/>
        </w:tblCellMar>
      </w:tblPr>
      <w:tr>
        <w:trPr>
          <w:trHeight w:val="257"/>
        </w:trPr>
        <w:tc>
          <w:tcPr>
            <w:tcW w:w="10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tc>
        <w:tc>
          <w:tcPr>
            <w:tcW w:w="66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0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any new or revised financial accounting standards provided pursuant to Section 13(a) of the Exchange Act.</w:t>
            </w:r>
          </w:p>
        </w:tc>
        <w:tc>
          <w:tcPr>
            <w:tcW w:w="660" w:type="dxa"/>
            <w:vAlign w:val="bottom"/>
          </w:tcPr>
          <w:p>
            <w:pPr>
              <w:spacing w:after="0"/>
              <w:rPr>
                <w:sz w:val="20"/>
                <w:szCs w:val="20"/>
                <w:color w:val="auto"/>
              </w:rPr>
            </w:pPr>
          </w:p>
        </w:tc>
      </w:tr>
      <w:tr>
        <w:trPr>
          <w:trHeight w:val="486"/>
        </w:trPr>
        <w:tc>
          <w:tcPr>
            <w:tcW w:w="10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8"/>
        </w:trPr>
        <w:tc>
          <w:tcPr>
            <w:tcW w:w="105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689"/>
        </w:trPr>
        <w:tc>
          <w:tcPr>
            <w:tcW w:w="10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PART I. INFORMATION REQUIRED IN THE SECTION 10(a) PROSPECTUS</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accordance with the provisions of Rule 428 under the Securities Act of 1933, as amended (the “Securities Act”), and the introductory note to Part I of Form S-8, the documents containing the information specified in Part I of Form S-8 are not required to be filed with the Securities and Exchange Commission (the “Commission”) either as part of this Registration Statement or as a prospectus or prospectus supplement pursuant to Rule 424 under the Securities Act of 1933, as amended (the “Securities Act”). The documents containing the information specified in Part I of Form S-8 will be delivered to the participants in the equity benefit plan covered by this Registration Statement as specified by Rule 428(b)(1) under the Securities Act. These documents and the documents incorporated by reference in this Registration Statement pursuant to Item 3 of Part II of Form S-8, taken together, constitute a prospectus that meets the requirements of Section 10(a) of the Securities Act.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documents filed by Micron Technology, Inc. (the “Company” or the “Registrant”) with the Commission are incorporated by reference in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Registration Statement:</w:t>
      </w:r>
    </w:p>
    <w:p>
      <w:pPr>
        <w:spacing w:after="0" w:line="207" w:lineRule="exact"/>
        <w:rPr>
          <w:sz w:val="20"/>
          <w:szCs w:val="20"/>
          <w:color w:val="auto"/>
        </w:rPr>
      </w:pPr>
    </w:p>
    <w:p>
      <w:pPr>
        <w:ind w:right="140" w:firstLine="8"/>
        <w:spacing w:after="0" w:line="282" w:lineRule="auto"/>
        <w:tabs>
          <w:tab w:leader="none" w:pos="241" w:val="left"/>
        </w:tabs>
        <w:numPr>
          <w:ilvl w:val="0"/>
          <w:numId w:val="1"/>
        </w:numPr>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auto"/>
          </w:rPr>
          <w:t xml:space="preserve">The Company’s </w:t>
        </w:r>
        <w:r>
          <w:rPr>
            <w:rFonts w:ascii="Times New Roman" w:cs="Times New Roman" w:eastAsia="Times New Roman" w:hAnsi="Times New Roman"/>
            <w:sz w:val="18"/>
            <w:szCs w:val="18"/>
            <w:u w:val="single" w:color="auto"/>
            <w:color w:val="0000EE"/>
          </w:rPr>
          <w:t>Annual Report on Form 10-K for the fiscal year ended August 29, 2024 (the “Annual Report”) filed with the Commission pursuant to</w:t>
        </w:r>
      </w:hyperlink>
      <w:r>
        <w:rPr>
          <w:rFonts w:ascii="Times New Roman" w:cs="Times New Roman" w:eastAsia="Times New Roman" w:hAnsi="Times New Roman"/>
          <w:sz w:val="18"/>
          <w:szCs w:val="18"/>
          <w:color w:val="auto"/>
        </w:rPr>
        <w:t xml:space="preserve"> </w:t>
      </w:r>
      <w:hyperlink r:id="rId15">
        <w:r>
          <w:rPr>
            <w:rFonts w:ascii="Times New Roman" w:cs="Times New Roman" w:eastAsia="Times New Roman" w:hAnsi="Times New Roman"/>
            <w:sz w:val="18"/>
            <w:szCs w:val="18"/>
            <w:u w:val="single" w:color="auto"/>
            <w:color w:val="0000EE"/>
          </w:rPr>
          <w:t>Section 13(a) of the Securities Exchange Act of 1934, as amended (the “Exchange Act”) (File No. 1-10658), on October 4, 2024</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260" w:hanging="252"/>
        <w:spacing w:after="0"/>
        <w:tabs>
          <w:tab w:leader="none" w:pos="260" w:val="left"/>
        </w:tabs>
        <w:numPr>
          <w:ilvl w:val="0"/>
          <w:numId w:val="1"/>
        </w:numPr>
        <w:rPr>
          <w:rFonts w:ascii="Times New Roman" w:cs="Times New Roman" w:eastAsia="Times New Roman" w:hAnsi="Times New Roman"/>
          <w:sz w:val="18"/>
          <w:szCs w:val="18"/>
          <w:color w:val="auto"/>
        </w:rPr>
      </w:pPr>
      <w:hyperlink r:id="rId16">
        <w:r>
          <w:rPr>
            <w:rFonts w:ascii="Times New Roman" w:cs="Times New Roman" w:eastAsia="Times New Roman" w:hAnsi="Times New Roman"/>
            <w:sz w:val="18"/>
            <w:szCs w:val="18"/>
            <w:color w:val="auto"/>
          </w:rPr>
          <w:t xml:space="preserve">The Company’s </w:t>
        </w:r>
        <w:r>
          <w:rPr>
            <w:rFonts w:ascii="Times New Roman" w:cs="Times New Roman" w:eastAsia="Times New Roman" w:hAnsi="Times New Roman"/>
            <w:sz w:val="18"/>
            <w:szCs w:val="18"/>
            <w:u w:val="single" w:color="auto"/>
            <w:color w:val="0000EE"/>
          </w:rPr>
          <w:t>Quarterly Report on Form 10-Q for the quarterly period ended November 28, 2024 filed with the Commission pursuant to</w:t>
        </w:r>
      </w:hyperlink>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0000EE"/>
        </w:rPr>
      </w:pPr>
      <w:hyperlink r:id="rId16">
        <w:r>
          <w:rPr>
            <w:rFonts w:ascii="Times New Roman" w:cs="Times New Roman" w:eastAsia="Times New Roman" w:hAnsi="Times New Roman"/>
            <w:sz w:val="18"/>
            <w:szCs w:val="18"/>
            <w:u w:val="single" w:color="auto"/>
            <w:color w:val="0000EE"/>
          </w:rPr>
          <w:t>Section 13(a) of the Exchange Act (File No. 1-10658) on December 19, 2024</w:t>
        </w:r>
        <w:r>
          <w:rPr>
            <w:rFonts w:ascii="Times New Roman" w:cs="Times New Roman" w:eastAsia="Times New Roman" w:hAnsi="Times New Roman"/>
            <w:sz w:val="18"/>
            <w:szCs w:val="18"/>
            <w:color w:val="000000"/>
          </w:rPr>
          <w:t>.</w:t>
        </w:r>
      </w:hyperlink>
    </w:p>
    <w:p>
      <w:pPr>
        <w:spacing w:after="0" w:line="207" w:lineRule="exact"/>
        <w:rPr>
          <w:rFonts w:ascii="Times New Roman" w:cs="Times New Roman" w:eastAsia="Times New Roman" w:hAnsi="Times New Roman"/>
          <w:sz w:val="18"/>
          <w:szCs w:val="18"/>
          <w:color w:val="auto"/>
        </w:rPr>
      </w:pPr>
    </w:p>
    <w:p>
      <w:pPr>
        <w:ind w:right="60" w:firstLine="8"/>
        <w:spacing w:after="0" w:line="282" w:lineRule="auto"/>
        <w:tabs>
          <w:tab w:leader="none" w:pos="245" w:val="left"/>
        </w:tabs>
        <w:numPr>
          <w:ilvl w:val="0"/>
          <w:numId w:val="2"/>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Information specifically incorporated by reference into the Company’s Annual Report from its </w:t>
        </w:r>
        <w:r>
          <w:rPr>
            <w:rFonts w:ascii="Times New Roman" w:cs="Times New Roman" w:eastAsia="Times New Roman" w:hAnsi="Times New Roman"/>
            <w:sz w:val="18"/>
            <w:szCs w:val="18"/>
            <w:u w:val="single" w:color="auto"/>
            <w:color w:val="0000EE"/>
          </w:rPr>
          <w:t>Definitive Proxy Statement on Schedule 14A, filed with</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the Commission on November 26, 2024</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(File No. 1-10658).</w:t>
        </w:r>
      </w:hyperlink>
    </w:p>
    <w:p>
      <w:pPr>
        <w:spacing w:after="0" w:line="161" w:lineRule="exact"/>
        <w:rPr>
          <w:rFonts w:ascii="Times New Roman" w:cs="Times New Roman" w:eastAsia="Times New Roman" w:hAnsi="Times New Roman"/>
          <w:sz w:val="18"/>
          <w:szCs w:val="18"/>
          <w:color w:val="0000EE"/>
        </w:rPr>
      </w:pPr>
    </w:p>
    <w:p>
      <w:pPr>
        <w:ind w:right="180" w:firstLine="8"/>
        <w:spacing w:after="0" w:line="282" w:lineRule="auto"/>
        <w:tabs>
          <w:tab w:leader="none" w:pos="25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Current Reports on Form 8-K filed with the Commission on </w:t>
      </w:r>
      <w:hyperlink r:id="rId18">
        <w:r>
          <w:rPr>
            <w:rFonts w:ascii="Times New Roman" w:cs="Times New Roman" w:eastAsia="Times New Roman" w:hAnsi="Times New Roman"/>
            <w:sz w:val="18"/>
            <w:szCs w:val="18"/>
            <w:u w:val="single" w:color="auto"/>
            <w:color w:val="0000EE"/>
          </w:rPr>
          <w:t>October 30, 2024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EE"/>
          </w:rPr>
          <w:t>December 10,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(other than information furnished rather than filed), </w:t>
      </w:r>
      <w:hyperlink r:id="rId20">
        <w:r>
          <w:rPr>
            <w:rFonts w:ascii="Times New Roman" w:cs="Times New Roman" w:eastAsia="Times New Roman" w:hAnsi="Times New Roman"/>
            <w:sz w:val="18"/>
            <w:szCs w:val="18"/>
            <w:u w:val="single" w:color="auto"/>
            <w:color w:val="0000EE"/>
          </w:rPr>
          <w:t>January 16,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1">
        <w:r>
          <w:rPr>
            <w:rFonts w:ascii="Times New Roman" w:cs="Times New Roman" w:eastAsia="Times New Roman" w:hAnsi="Times New Roman"/>
            <w:sz w:val="18"/>
            <w:szCs w:val="18"/>
            <w:u w:val="single" w:color="auto"/>
            <w:color w:val="0000EE"/>
          </w:rPr>
          <w:t>January 21, 2025</w:t>
        </w:r>
      </w:hyperlink>
      <w:r>
        <w:rPr>
          <w:rFonts w:ascii="Times New Roman" w:cs="Times New Roman" w:eastAsia="Times New Roman" w:hAnsi="Times New Roman"/>
          <w:sz w:val="18"/>
          <w:szCs w:val="18"/>
          <w:color w:val="auto"/>
        </w:rPr>
        <w:t>. (File No. 1-10658).</w:t>
      </w:r>
    </w:p>
    <w:p>
      <w:pPr>
        <w:spacing w:after="0" w:line="161" w:lineRule="exact"/>
        <w:rPr>
          <w:rFonts w:ascii="Times New Roman" w:cs="Times New Roman" w:eastAsia="Times New Roman" w:hAnsi="Times New Roman"/>
          <w:sz w:val="18"/>
          <w:szCs w:val="18"/>
          <w:color w:val="auto"/>
        </w:rPr>
      </w:pPr>
    </w:p>
    <w:p>
      <w:pPr>
        <w:ind w:right="300" w:firstLine="8"/>
        <w:spacing w:after="0" w:line="282" w:lineRule="auto"/>
        <w:tabs>
          <w:tab w:leader="none" w:pos="241" w:val="left"/>
        </w:tabs>
        <w:numPr>
          <w:ilvl w:val="0"/>
          <w:numId w:val="2"/>
        </w:numPr>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auto"/>
          </w:rPr>
          <w:t xml:space="preserve">The description of the Company’s common stock, par value $0.10 per share, contained in the Company’s </w:t>
        </w:r>
        <w:r>
          <w:rPr>
            <w:rFonts w:ascii="Times New Roman" w:cs="Times New Roman" w:eastAsia="Times New Roman" w:hAnsi="Times New Roman"/>
            <w:sz w:val="18"/>
            <w:szCs w:val="18"/>
            <w:u w:val="single" w:color="auto"/>
            <w:color w:val="0000EE"/>
          </w:rPr>
          <w:t>Registration Statement on Form 8-A, filed</w:t>
        </w:r>
      </w:hyperlink>
      <w:r>
        <w:rPr>
          <w:rFonts w:ascii="Times New Roman" w:cs="Times New Roman" w:eastAsia="Times New Roman" w:hAnsi="Times New Roman"/>
          <w:sz w:val="18"/>
          <w:szCs w:val="18"/>
          <w:color w:val="auto"/>
        </w:rPr>
        <w:t xml:space="preserve"> </w:t>
      </w:r>
      <w:hyperlink r:id="rId22">
        <w:r>
          <w:rPr>
            <w:rFonts w:ascii="Times New Roman" w:cs="Times New Roman" w:eastAsia="Times New Roman" w:hAnsi="Times New Roman"/>
            <w:sz w:val="18"/>
            <w:szCs w:val="18"/>
            <w:u w:val="single" w:color="auto"/>
            <w:color w:val="0000EE"/>
          </w:rPr>
          <w:t>with the Commission on December 21, 2009</w:t>
        </w:r>
        <w:r>
          <w:rPr>
            <w:rFonts w:ascii="Times New Roman" w:cs="Times New Roman" w:eastAsia="Times New Roman" w:hAnsi="Times New Roman"/>
            <w:sz w:val="18"/>
            <w:szCs w:val="18"/>
            <w:color w:val="000000"/>
          </w:rPr>
          <w:t>, including any subsequently filed amendments and reports updating such description.</w:t>
        </w:r>
      </w:hyperlink>
    </w:p>
    <w:p>
      <w:pPr>
        <w:spacing w:after="0" w:line="162" w:lineRule="exact"/>
        <w:rPr>
          <w:rFonts w:ascii="Times New Roman" w:cs="Times New Roman" w:eastAsia="Times New Roman" w:hAnsi="Times New Roman"/>
          <w:sz w:val="18"/>
          <w:szCs w:val="18"/>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All reports and other documents filed by the Company pursuant to Sections 13(a), 13(c), 14, and 15(d) of the Exchange Act after the date of this Registration Statement and prior to the filing of a post-effective amendment which indicates that all securities offered have been sold or which deregisters all securities then remaining unsold, shall be deemed to be incorporated by reference in this Registration Statement and to be part hereof from the date of filing such documents;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documents or information deemed to have been furnished and not filed in accordance with the rules of the Commission shall not be deemed incorporated by reference into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spacing w:after="0" w:line="184"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DESCRIPTION OF SECURITIES</w:t>
      </w:r>
    </w:p>
    <w:p>
      <w:pPr>
        <w:spacing w:after="0" w:line="229" w:lineRule="exact"/>
        <w:rPr>
          <w:rFonts w:ascii="Times New Roman" w:cs="Times New Roman" w:eastAsia="Times New Roman" w:hAnsi="Times New Roman"/>
          <w:sz w:val="18"/>
          <w:szCs w:val="18"/>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INDEMNIFICATION OF DIRECTORS AND OFFICERS</w:t>
      </w:r>
    </w:p>
    <w:p>
      <w:pPr>
        <w:spacing w:after="0" w:line="22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Subsection (a) of Section 145 of the General Corporation Law of the State of Delaware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w:t>
      </w:r>
    </w:p>
    <w:p>
      <w:pPr>
        <w:spacing w:after="0" w:line="192"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9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w:t>
      </w:r>
    </w:p>
    <w:p>
      <w:pPr>
        <w:spacing w:after="0" w:line="194"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3" w:name="page4"/>
    <w:bookmarkEnd w:id="3"/>
    <w:p>
      <w:pPr>
        <w:jc w:val="both"/>
        <w:ind w:right="120"/>
        <w:spacing w:after="0" w:line="261" w:lineRule="auto"/>
        <w:rPr>
          <w:sz w:val="20"/>
          <w:szCs w:val="20"/>
          <w:color w:val="auto"/>
        </w:rPr>
      </w:pPr>
      <w:r>
        <w:rPr>
          <w:rFonts w:ascii="Times New Roman" w:cs="Times New Roman" w:eastAsia="Times New Roman" w:hAnsi="Times New Roman"/>
          <w:sz w:val="18"/>
          <w:szCs w:val="18"/>
          <w:color w:val="auto"/>
        </w:rPr>
        <w:t>The Company’s certificate of incorporation, as amended, provides for the elimination of liability of its directors to the extent permitted by the DGCL. The Company’s Bylaws, as amended, provide for mandatory indemnification of its officers, directors, employees, and other agents to the extent set forth in the Company’s certificate of incorporation. In addition, the Company has entered into indemnification agreements with its directors and certain of its officers. The indemnification agreements provide such directors and officers with further indemnification to the maximum extent permitted by the DGCL.</w:t>
      </w:r>
    </w:p>
    <w:p>
      <w:pPr>
        <w:spacing w:after="0" w:line="180"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Company has in effect a directors and officers liability insurance policy indemnifying its directors and officers and the directors and officers of its subsidiaries within a specific limit for certain liabilities incurred by them, including liabilities under the Securities Act. The Company pays the entire premium of this policy.</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believes that its certificate of incorporation and bylaw provisions, the directors and officers liability insurance policy and the indemnification agreements are necessary to attract and retain qualified persons to serve as directors and officers.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60" w:type="dxa"/>
            <w:vAlign w:val="bottom"/>
            <w:gridSpan w:val="7"/>
          </w:tcPr>
          <w:p>
            <w:pPr>
              <w:ind w:left="3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Exhibit/</w:t>
            </w: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Filing</w:t>
            </w:r>
          </w:p>
        </w:tc>
      </w:tr>
      <w:tr>
        <w:trPr>
          <w:trHeight w:val="238"/>
        </w:trPr>
        <w:tc>
          <w:tcPr>
            <w:tcW w:w="1260" w:type="dxa"/>
            <w:vAlign w:val="bottom"/>
            <w:gridSpan w:val="7"/>
          </w:tcPr>
          <w:p>
            <w:pPr>
              <w:ind w:left="2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200" w:type="dxa"/>
            <w:vAlign w:val="bottom"/>
            <w:gridSpan w:val="13"/>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c>
          <w:tcPr>
            <w:tcW w:w="124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122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Ending</w:t>
            </w:r>
          </w:p>
        </w:tc>
        <w:tc>
          <w:tcPr>
            <w:tcW w:w="1220" w:type="dxa"/>
            <w:vAlign w:val="bottom"/>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Appendix</w:t>
            </w: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169"/>
        </w:trPr>
        <w:tc>
          <w:tcPr>
            <w:tcW w:w="38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3820" w:type="dxa"/>
            <w:vAlign w:val="bottom"/>
            <w:tcBorders>
              <w:top w:val="single" w:sz="8" w:color="auto"/>
            </w:tcBorders>
            <w:gridSpan w:val="13"/>
            <w:shd w:val="clear" w:color="auto" w:fill="CCEEFF"/>
          </w:tcPr>
          <w:p>
            <w:pPr>
              <w:spacing w:after="0" w:line="169"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Restated Certificate of Incorporation of the</w:t>
              </w:r>
            </w:hyperlink>
          </w:p>
        </w:tc>
        <w:tc>
          <w:tcPr>
            <w:tcW w:w="10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12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r>
      <w:tr>
        <w:trPr>
          <w:trHeight w:val="196"/>
        </w:trPr>
        <w:tc>
          <w:tcPr>
            <w:tcW w:w="460" w:type="dxa"/>
            <w:vAlign w:val="bottom"/>
            <w:tcBorders>
              <w:top w:val="single" w:sz="8" w:color="CCEEFF"/>
            </w:tcBorders>
            <w:gridSpan w:val="3"/>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center"/>
              <w:spacing w:after="0" w:line="196" w:lineRule="exact"/>
              <w:rPr>
                <w:rFonts w:ascii="Times New Roman" w:cs="Times New Roman" w:eastAsia="Times New Roman" w:hAnsi="Times New Roman"/>
                <w:sz w:val="18"/>
                <w:szCs w:val="18"/>
                <w:color w:val="0000EE"/>
                <w:w w:val="97"/>
              </w:rPr>
            </w:pPr>
            <w:hyperlink r:id="rId25">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1</w:t>
              </w:r>
            </w:hyperlink>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100" w:type="dxa"/>
            <w:vAlign w:val="bottom"/>
            <w:tcBorders>
              <w:top w:val="single" w:sz="8" w:color="0000EE"/>
            </w:tcBorders>
            <w:gridSpan w:val="8"/>
            <w:shd w:val="clear" w:color="auto" w:fill="CCEEFF"/>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Registrant</w:t>
              </w:r>
            </w:hyperlink>
          </w:p>
        </w:tc>
        <w:tc>
          <w:tcPr>
            <w:tcW w:w="840" w:type="dxa"/>
            <w:vAlign w:val="bottom"/>
            <w:tcBorders>
              <w:top w:val="single" w:sz="8" w:color="CCEEFF"/>
            </w:tcBorders>
            <w:gridSpan w:val="7"/>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gridSpan w:val="3"/>
            <w:shd w:val="clear" w:color="auto" w:fill="CCEEFF"/>
          </w:tcPr>
          <w:p>
            <w:pPr>
              <w:jc w:val="center"/>
              <w:ind w:right="520"/>
              <w:spacing w:after="0" w:line="196" w:lineRule="exact"/>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8-K</w:t>
              </w:r>
            </w:hyperlink>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gridSpan w:val="5"/>
            <w:shd w:val="clear" w:color="auto" w:fill="CCEEFF"/>
          </w:tcPr>
          <w:p>
            <w:pPr>
              <w:jc w:val="center"/>
              <w:ind w:right="20"/>
              <w:spacing w:after="0" w:line="196" w:lineRule="exact"/>
              <w:rPr>
                <w:rFonts w:ascii="Times New Roman" w:cs="Times New Roman" w:eastAsia="Times New Roman" w:hAnsi="Times New Roman"/>
                <w:sz w:val="18"/>
                <w:szCs w:val="18"/>
                <w:color w:val="0000EE"/>
                <w:w w:val="95"/>
              </w:rPr>
            </w:pPr>
            <w:hyperlink r:id="rId25">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2</w:t>
              </w:r>
            </w:hyperlink>
          </w:p>
        </w:tc>
        <w:tc>
          <w:tcPr>
            <w:tcW w:w="1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CCEEFF"/>
            </w:tcBorders>
            <w:gridSpan w:val="4"/>
            <w:shd w:val="clear" w:color="auto" w:fill="CCEEFF"/>
          </w:tcPr>
          <w:p>
            <w:pPr>
              <w:jc w:val="center"/>
              <w:ind w:left="150"/>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1/26/15</w:t>
              </w:r>
            </w:hyperlink>
          </w:p>
        </w:tc>
        <w:tc>
          <w:tcPr>
            <w:tcW w:w="240" w:type="dxa"/>
            <w:vAlign w:val="bottom"/>
            <w:tcBorders>
              <w:top w:val="single" w:sz="8" w:color="CCEEFF"/>
            </w:tcBorders>
            <w:shd w:val="clear" w:color="auto" w:fill="CCEEFF"/>
          </w:tcPr>
          <w:p>
            <w:pPr>
              <w:spacing w:after="0"/>
              <w:rPr>
                <w:sz w:val="17"/>
                <w:szCs w:val="17"/>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60" w:type="dxa"/>
            <w:vAlign w:val="bottom"/>
            <w:gridSpan w:val="3"/>
          </w:tcPr>
          <w:p>
            <w:pPr>
              <w:spacing w:after="0"/>
              <w:rPr>
                <w:sz w:val="15"/>
                <w:szCs w:val="15"/>
                <w:color w:val="auto"/>
              </w:rPr>
            </w:pPr>
          </w:p>
        </w:tc>
        <w:tc>
          <w:tcPr>
            <w:tcW w:w="220" w:type="dxa"/>
            <w:vAlign w:val="bottom"/>
          </w:tcPr>
          <w:p>
            <w:pPr>
              <w:jc w:val="center"/>
              <w:spacing w:after="0" w:line="176" w:lineRule="exact"/>
              <w:rPr>
                <w:rFonts w:ascii="Times New Roman" w:cs="Times New Roman" w:eastAsia="Times New Roman" w:hAnsi="Times New Roman"/>
                <w:sz w:val="18"/>
                <w:szCs w:val="18"/>
                <w:color w:val="0000EE"/>
                <w:w w:val="97"/>
              </w:rPr>
            </w:pPr>
            <w:hyperlink r:id="rId26">
              <w:r>
                <w:rPr>
                  <w:rFonts w:ascii="Times New Roman" w:cs="Times New Roman" w:eastAsia="Times New Roman" w:hAnsi="Times New Roman"/>
                  <w:sz w:val="18"/>
                  <w:szCs w:val="18"/>
                  <w:color w:val="0000EE"/>
                  <w:w w:val="97"/>
                </w:rPr>
                <w:t>4.</w:t>
              </w:r>
              <w:r>
                <w:rPr>
                  <w:rFonts w:ascii="Times New Roman" w:cs="Times New Roman" w:eastAsia="Times New Roman" w:hAnsi="Times New Roman"/>
                  <w:sz w:val="18"/>
                  <w:szCs w:val="18"/>
                  <w:u w:val="single" w:color="auto"/>
                  <w:color w:val="0000EE"/>
                  <w:w w:val="97"/>
                </w:rPr>
                <w:t>2</w:t>
              </w:r>
            </w:hyperlink>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40" w:type="dxa"/>
            <w:vAlign w:val="bottom"/>
            <w:gridSpan w:val="15"/>
          </w:tcPr>
          <w:p>
            <w:pPr>
              <w:spacing w:after="0" w:line="176" w:lineRule="exact"/>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Bylaws of the Registrant, Amended and Restated</w:t>
              </w:r>
            </w:hyperlink>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gridSpan w:val="3"/>
          </w:tcPr>
          <w:p>
            <w:pPr>
              <w:jc w:val="center"/>
              <w:ind w:right="520"/>
              <w:spacing w:after="0" w:line="17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8-K</w:t>
              </w:r>
            </w:hyperlink>
          </w:p>
        </w:tc>
        <w:tc>
          <w:tcPr>
            <w:tcW w:w="1240" w:type="dxa"/>
            <w:vAlign w:val="bottom"/>
            <w:gridSpan w:val="2"/>
          </w:tcPr>
          <w:p>
            <w:pPr>
              <w:ind w:left="110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700" w:type="dxa"/>
            <w:vAlign w:val="bottom"/>
            <w:gridSpan w:val="4"/>
          </w:tcPr>
          <w:p>
            <w:pPr>
              <w:jc w:val="center"/>
              <w:ind w:left="310"/>
              <w:spacing w:after="0" w:line="176" w:lineRule="exact"/>
              <w:rPr>
                <w:rFonts w:ascii="Times New Roman" w:cs="Times New Roman" w:eastAsia="Times New Roman" w:hAnsi="Times New Roman"/>
                <w:sz w:val="18"/>
                <w:szCs w:val="18"/>
                <w:color w:val="0000EE"/>
                <w:w w:val="97"/>
              </w:rPr>
            </w:pPr>
            <w:hyperlink r:id="rId26">
              <w:r>
                <w:rPr>
                  <w:rFonts w:ascii="Times New Roman" w:cs="Times New Roman" w:eastAsia="Times New Roman" w:hAnsi="Times New Roman"/>
                  <w:sz w:val="18"/>
                  <w:szCs w:val="18"/>
                  <w:color w:val="0000EE"/>
                  <w:w w:val="97"/>
                </w:rPr>
                <w:t>3.</w:t>
              </w:r>
              <w:r>
                <w:rPr>
                  <w:rFonts w:ascii="Times New Roman" w:cs="Times New Roman" w:eastAsia="Times New Roman" w:hAnsi="Times New Roman"/>
                  <w:sz w:val="18"/>
                  <w:szCs w:val="18"/>
                  <w:u w:val="single" w:color="auto"/>
                  <w:color w:val="0000EE"/>
                  <w:w w:val="97"/>
                </w:rPr>
                <w:t>1</w:t>
              </w:r>
            </w:hyperlink>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5"/>
          </w:tcPr>
          <w:p>
            <w:pPr>
              <w:jc w:val="center"/>
              <w:spacing w:after="0" w:line="176" w:lineRule="exact"/>
              <w:rPr>
                <w:rFonts w:ascii="Times New Roman" w:cs="Times New Roman" w:eastAsia="Times New Roman" w:hAnsi="Times New Roman"/>
                <w:sz w:val="18"/>
                <w:szCs w:val="18"/>
                <w:color w:val="0000EE"/>
                <w:w w:val="99"/>
              </w:rPr>
            </w:pPr>
            <w:hyperlink r:id="rId26">
              <w:r>
                <w:rPr>
                  <w:rFonts w:ascii="Times New Roman" w:cs="Times New Roman" w:eastAsia="Times New Roman" w:hAnsi="Times New Roman"/>
                  <w:sz w:val="18"/>
                  <w:szCs w:val="18"/>
                  <w:color w:val="0000EE"/>
                  <w:w w:val="99"/>
                </w:rPr>
                <w:t>10/30/24</w:t>
              </w:r>
            </w:hyperlink>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6"/>
        </w:trPr>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9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Opinion of Wilson Sonsini Goodrich &amp; Rosati,</w:t>
            </w: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196"/>
        </w:trPr>
        <w:tc>
          <w:tcPr>
            <w:tcW w:w="460" w:type="dxa"/>
            <w:vAlign w:val="bottom"/>
            <w:tcBorders>
              <w:top w:val="single" w:sz="8" w:color="CCEEFF"/>
            </w:tcBorders>
            <w:gridSpan w:val="3"/>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0000EE"/>
              <w:right w:val="single" w:sz="8" w:color="CCEEFF"/>
            </w:tcBorders>
            <w:gridSpan w:val="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Professional Corporation</w:t>
            </w:r>
          </w:p>
        </w:tc>
        <w:tc>
          <w:tcPr>
            <w:tcW w:w="500" w:type="dxa"/>
            <w:vAlign w:val="bottom"/>
            <w:tcBorders>
              <w:top w:val="single" w:sz="8" w:color="CCEEFF"/>
            </w:tcBorders>
            <w:gridSpan w:val="6"/>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CCEEFF"/>
            </w:tcBorders>
            <w:gridSpan w:val="3"/>
            <w:shd w:val="clear" w:color="auto" w:fill="CCEEFF"/>
          </w:tcPr>
          <w:p>
            <w:pPr>
              <w:jc w:val="center"/>
              <w:ind w:right="60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4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9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Consent of Independent Registered Public</w:t>
            </w: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6"/>
        </w:trPr>
        <w:tc>
          <w:tcPr>
            <w:tcW w:w="780" w:type="dxa"/>
            <w:vAlign w:val="bottom"/>
            <w:gridSpan w:val="6"/>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7"/>
                <w:szCs w:val="17"/>
                <w:color w:val="auto"/>
              </w:rPr>
            </w:pPr>
          </w:p>
        </w:tc>
        <w:tc>
          <w:tcPr>
            <w:tcW w:w="304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900" w:type="dxa"/>
            <w:vAlign w:val="bottom"/>
            <w:gridSpan w:val="8"/>
          </w:tcPr>
          <w:p>
            <w:pPr>
              <w:spacing w:after="0"/>
              <w:rPr>
                <w:sz w:val="17"/>
                <w:szCs w:val="17"/>
                <w:color w:val="auto"/>
              </w:rPr>
            </w:pPr>
          </w:p>
        </w:tc>
        <w:tc>
          <w:tcPr>
            <w:tcW w:w="500" w:type="dxa"/>
            <w:vAlign w:val="bottom"/>
          </w:tcPr>
          <w:p>
            <w:pPr>
              <w:spacing w:after="0"/>
              <w:rPr>
                <w:sz w:val="17"/>
                <w:szCs w:val="17"/>
                <w:color w:val="auto"/>
              </w:rPr>
            </w:pPr>
          </w:p>
        </w:tc>
        <w:tc>
          <w:tcPr>
            <w:tcW w:w="740" w:type="dxa"/>
            <w:vAlign w:val="bottom"/>
            <w:gridSpan w:val="3"/>
          </w:tcPr>
          <w:p>
            <w:pPr>
              <w:jc w:val="center"/>
              <w:ind w:right="60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9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Consent of Wilson Sonsini Goodrich &amp; Rosati,</w:t>
            </w:r>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0"/>
        </w:trPr>
        <w:tc>
          <w:tcPr>
            <w:tcW w:w="380" w:type="dxa"/>
            <w:vAlign w:val="bottom"/>
            <w:shd w:val="clear" w:color="auto" w:fill="CCEEFF"/>
          </w:tcPr>
          <w:p>
            <w:pPr>
              <w:spacing w:after="0" w:line="20" w:lineRule="exact"/>
              <w:rPr>
                <w:sz w:val="1"/>
                <w:szCs w:val="1"/>
                <w:color w:val="auto"/>
              </w:rPr>
            </w:pPr>
          </w:p>
        </w:tc>
        <w:tc>
          <w:tcPr>
            <w:tcW w:w="400" w:type="dxa"/>
            <w:vAlign w:val="bottom"/>
            <w:gridSpan w:val="5"/>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00" w:type="dxa"/>
            <w:vAlign w:val="bottom"/>
            <w:tcBorders>
              <w:right w:val="single" w:sz="8" w:color="CCEEFF"/>
            </w:tcBorders>
            <w:gridSpan w:val="3"/>
            <w:shd w:val="clear" w:color="auto" w:fill="0000EE"/>
          </w:tcPr>
          <w:p>
            <w:pPr>
              <w:spacing w:after="0" w:line="20" w:lineRule="exact"/>
              <w:rPr>
                <w:sz w:val="1"/>
                <w:szCs w:val="1"/>
                <w:color w:val="auto"/>
              </w:rPr>
            </w:pPr>
          </w:p>
        </w:tc>
        <w:tc>
          <w:tcPr>
            <w:tcW w:w="260" w:type="dxa"/>
            <w:vAlign w:val="bottom"/>
            <w:gridSpan w:val="2"/>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gridSpan w:val="2"/>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740" w:type="dxa"/>
            <w:vAlign w:val="bottom"/>
            <w:gridSpan w:val="3"/>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r>
      <w:tr>
        <w:trPr>
          <w:trHeight w:val="196"/>
        </w:trPr>
        <w:tc>
          <w:tcPr>
            <w:tcW w:w="780" w:type="dxa"/>
            <w:vAlign w:val="bottom"/>
            <w:gridSpan w:val="6"/>
            <w:shd w:val="clear" w:color="auto" w:fill="CCEEFF"/>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rPr>
              <w:t>23.</w:t>
            </w:r>
            <w:r>
              <w:rPr>
                <w:rFonts w:ascii="Times New Roman" w:cs="Times New Roman" w:eastAsia="Times New Roman" w:hAnsi="Times New Roman"/>
                <w:sz w:val="18"/>
                <w:szCs w:val="18"/>
                <w:u w:val="single" w:color="auto"/>
                <w:color w:val="0000EE"/>
              </w:rPr>
              <w:t>2</w:t>
            </w:r>
          </w:p>
        </w:tc>
        <w:tc>
          <w:tcPr>
            <w:tcW w:w="480" w:type="dxa"/>
            <w:vAlign w:val="bottom"/>
            <w:shd w:val="clear" w:color="auto" w:fill="CCEEFF"/>
          </w:tcPr>
          <w:p>
            <w:pPr>
              <w:spacing w:after="0"/>
              <w:rPr>
                <w:sz w:val="17"/>
                <w:szCs w:val="17"/>
                <w:color w:val="auto"/>
              </w:rPr>
            </w:pPr>
          </w:p>
        </w:tc>
        <w:tc>
          <w:tcPr>
            <w:tcW w:w="394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Professional Corporation (contained in Exhibit 5.1)</w:t>
            </w:r>
          </w:p>
        </w:tc>
        <w:tc>
          <w:tcPr>
            <w:tcW w:w="5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60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1"/>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780" w:type="dxa"/>
            <w:vAlign w:val="bottom"/>
            <w:gridSpan w:val="6"/>
          </w:tcPr>
          <w:p>
            <w:pPr>
              <w:jc w:val="center"/>
              <w:ind w:left="290"/>
              <w:spacing w:after="0" w:line="176" w:lineRule="exact"/>
              <w:rPr>
                <w:sz w:val="20"/>
                <w:szCs w:val="20"/>
                <w:color w:val="auto"/>
              </w:rPr>
            </w:pPr>
            <w:r>
              <w:rPr>
                <w:rFonts w:ascii="Times New Roman" w:cs="Times New Roman" w:eastAsia="Times New Roman" w:hAnsi="Times New Roman"/>
                <w:sz w:val="18"/>
                <w:szCs w:val="18"/>
                <w:color w:val="0000EE"/>
              </w:rPr>
              <w:t>24.</w:t>
            </w:r>
            <w:r>
              <w:rPr>
                <w:rFonts w:ascii="Times New Roman" w:cs="Times New Roman" w:eastAsia="Times New Roman" w:hAnsi="Times New Roman"/>
                <w:sz w:val="18"/>
                <w:szCs w:val="18"/>
                <w:u w:val="single" w:color="auto"/>
                <w:color w:val="0000EE"/>
              </w:rPr>
              <w:t>1</w:t>
            </w:r>
          </w:p>
        </w:tc>
        <w:tc>
          <w:tcPr>
            <w:tcW w:w="480" w:type="dxa"/>
            <w:vAlign w:val="bottom"/>
          </w:tcPr>
          <w:p>
            <w:pPr>
              <w:spacing w:after="0"/>
              <w:rPr>
                <w:sz w:val="15"/>
                <w:szCs w:val="15"/>
                <w:color w:val="auto"/>
              </w:rPr>
            </w:pPr>
          </w:p>
        </w:tc>
        <w:tc>
          <w:tcPr>
            <w:tcW w:w="3940" w:type="dxa"/>
            <w:vAlign w:val="bottom"/>
            <w:gridSpan w:val="15"/>
          </w:tcPr>
          <w:p>
            <w:pPr>
              <w:spacing w:after="0" w:line="176" w:lineRule="exact"/>
              <w:rPr>
                <w:sz w:val="20"/>
                <w:szCs w:val="20"/>
                <w:color w:val="auto"/>
              </w:rPr>
            </w:pPr>
            <w:r>
              <w:rPr>
                <w:rFonts w:ascii="Times New Roman" w:cs="Times New Roman" w:eastAsia="Times New Roman" w:hAnsi="Times New Roman"/>
                <w:sz w:val="18"/>
                <w:szCs w:val="18"/>
                <w:color w:val="0000EE"/>
              </w:rPr>
              <w:t>Power of Attorney (included on signature page)</w:t>
            </w:r>
          </w:p>
        </w:tc>
        <w:tc>
          <w:tcPr>
            <w:tcW w:w="500" w:type="dxa"/>
            <w:vAlign w:val="bottom"/>
          </w:tcPr>
          <w:p>
            <w:pPr>
              <w:spacing w:after="0"/>
              <w:rPr>
                <w:sz w:val="15"/>
                <w:szCs w:val="15"/>
                <w:color w:val="auto"/>
              </w:rPr>
            </w:pPr>
          </w:p>
        </w:tc>
        <w:tc>
          <w:tcPr>
            <w:tcW w:w="740" w:type="dxa"/>
            <w:vAlign w:val="bottom"/>
            <w:gridSpan w:val="3"/>
          </w:tcPr>
          <w:p>
            <w:pPr>
              <w:jc w:val="center"/>
              <w:ind w:right="600"/>
              <w:spacing w:after="0" w:line="176" w:lineRule="exact"/>
              <w:rPr>
                <w:sz w:val="20"/>
                <w:szCs w:val="20"/>
                <w:color w:val="auto"/>
              </w:rPr>
            </w:pPr>
            <w:r>
              <w:rPr>
                <w:rFonts w:ascii="Times New Roman" w:cs="Times New Roman" w:eastAsia="Times New Roman" w:hAnsi="Times New Roman"/>
                <w:sz w:val="18"/>
                <w:szCs w:val="18"/>
                <w:color w:val="0000EE"/>
              </w:rPr>
              <w:t>X</w:t>
            </w: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75"/>
        </w:trPr>
        <w:tc>
          <w:tcPr>
            <w:tcW w:w="780" w:type="dxa"/>
            <w:vAlign w:val="bottom"/>
            <w:gridSpan w:val="6"/>
            <w:shd w:val="clear" w:color="auto" w:fill="CCEEFF"/>
          </w:tcPr>
          <w:p>
            <w:pPr>
              <w:jc w:val="center"/>
              <w:ind w:left="290"/>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hyperlink>
          </w:p>
        </w:tc>
        <w:tc>
          <w:tcPr>
            <w:tcW w:w="480" w:type="dxa"/>
            <w:vAlign w:val="bottom"/>
            <w:shd w:val="clear" w:color="auto" w:fill="CCEEFF"/>
          </w:tcPr>
          <w:p>
            <w:pPr>
              <w:spacing w:after="0"/>
              <w:rPr>
                <w:sz w:val="15"/>
                <w:szCs w:val="15"/>
                <w:color w:val="auto"/>
              </w:rPr>
            </w:pPr>
          </w:p>
        </w:tc>
        <w:tc>
          <w:tcPr>
            <w:tcW w:w="3940" w:type="dxa"/>
            <w:vAlign w:val="bottom"/>
            <w:gridSpan w:val="15"/>
            <w:shd w:val="clear" w:color="auto" w:fill="CCEEFF"/>
          </w:tcPr>
          <w:p>
            <w:pPr>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Micron Technology, Inc. 2025 Equity Incentive Plan</w:t>
              </w:r>
            </w:hyperlink>
          </w:p>
        </w:tc>
        <w:tc>
          <w:tcPr>
            <w:tcW w:w="5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center"/>
              <w:ind w:right="520"/>
              <w:spacing w:after="0" w:line="176" w:lineRule="exact"/>
              <w:rPr>
                <w:rFonts w:ascii="Times New Roman" w:cs="Times New Roman" w:eastAsia="Times New Roman" w:hAnsi="Times New Roman"/>
                <w:sz w:val="18"/>
                <w:szCs w:val="18"/>
                <w:color w:val="0000EE"/>
                <w:w w:val="99"/>
              </w:rPr>
            </w:pPr>
            <w:hyperlink r:id="rId27">
              <w:r>
                <w:rPr>
                  <w:rFonts w:ascii="Times New Roman" w:cs="Times New Roman" w:eastAsia="Times New Roman" w:hAnsi="Times New Roman"/>
                  <w:sz w:val="18"/>
                  <w:szCs w:val="18"/>
                  <w:color w:val="0000EE"/>
                  <w:w w:val="99"/>
                </w:rPr>
                <w:t>8-K</w:t>
              </w:r>
            </w:hyperlink>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gridSpan w:val="5"/>
            <w:shd w:val="clear" w:color="auto" w:fill="CCEEFF"/>
          </w:tcPr>
          <w:p>
            <w:pPr>
              <w:jc w:val="center"/>
              <w:ind w:right="20"/>
              <w:spacing w:after="0" w:line="176" w:lineRule="exact"/>
              <w:rPr>
                <w:rFonts w:ascii="Times New Roman" w:cs="Times New Roman" w:eastAsia="Times New Roman" w:hAnsi="Times New Roman"/>
                <w:sz w:val="18"/>
                <w:szCs w:val="18"/>
                <w:color w:val="0000EE"/>
                <w:w w:val="95"/>
              </w:rPr>
            </w:pPr>
            <w:hyperlink r:id="rId27">
              <w:r>
                <w:rPr>
                  <w:rFonts w:ascii="Times New Roman" w:cs="Times New Roman" w:eastAsia="Times New Roman" w:hAnsi="Times New Roman"/>
                  <w:sz w:val="18"/>
                  <w:szCs w:val="18"/>
                  <w:color w:val="0000EE"/>
                  <w:w w:val="95"/>
                </w:rPr>
                <w:t>10.</w:t>
              </w:r>
              <w:r>
                <w:rPr>
                  <w:rFonts w:ascii="Times New Roman" w:cs="Times New Roman" w:eastAsia="Times New Roman" w:hAnsi="Times New Roman"/>
                  <w:sz w:val="18"/>
                  <w:szCs w:val="18"/>
                  <w:u w:val="single" w:color="auto"/>
                  <w:color w:val="0000EE"/>
                  <w:w w:val="95"/>
                </w:rPr>
                <w:t>1</w:t>
              </w:r>
            </w:hyperlink>
          </w:p>
        </w:tc>
        <w:tc>
          <w:tcPr>
            <w:tcW w:w="100" w:type="dxa"/>
            <w:vAlign w:val="bottom"/>
            <w:shd w:val="clear" w:color="auto" w:fill="CCEEFF"/>
          </w:tcPr>
          <w:p>
            <w:pPr>
              <w:spacing w:after="0"/>
              <w:rPr>
                <w:sz w:val="15"/>
                <w:szCs w:val="15"/>
                <w:color w:val="auto"/>
              </w:rPr>
            </w:pPr>
          </w:p>
        </w:tc>
        <w:tc>
          <w:tcPr>
            <w:tcW w:w="880" w:type="dxa"/>
            <w:vAlign w:val="bottom"/>
            <w:gridSpan w:val="4"/>
            <w:shd w:val="clear" w:color="auto" w:fill="CCEEFF"/>
          </w:tcPr>
          <w:p>
            <w:pPr>
              <w:jc w:val="center"/>
              <w:ind w:left="150"/>
              <w:spacing w:after="0" w:line="176" w:lineRule="exact"/>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1/21/25</w:t>
              </w:r>
            </w:hyperlink>
          </w:p>
        </w:tc>
        <w:tc>
          <w:tcPr>
            <w:tcW w:w="240" w:type="dxa"/>
            <w:vAlign w:val="bottom"/>
            <w:shd w:val="clear" w:color="auto" w:fill="CCEEFF"/>
          </w:tcPr>
          <w:p>
            <w:pPr>
              <w:spacing w:after="0"/>
              <w:rPr>
                <w:sz w:val="15"/>
                <w:szCs w:val="15"/>
                <w:color w:val="auto"/>
              </w:rPr>
            </w:pPr>
          </w:p>
        </w:tc>
      </w:tr>
      <w:tr>
        <w:trPr>
          <w:trHeight w:val="20"/>
        </w:trPr>
        <w:tc>
          <w:tcPr>
            <w:tcW w:w="3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20" w:type="dxa"/>
            <w:vAlign w:val="bottom"/>
            <w:tcBorders>
              <w:bottom w:val="single" w:sz="8" w:color="0000EE"/>
            </w:tcBorders>
            <w:gridSpan w:val="13"/>
          </w:tcPr>
          <w:p>
            <w:pPr>
              <w:spacing w:after="0" w:line="176" w:lineRule="exact"/>
              <w:rPr>
                <w:sz w:val="20"/>
                <w:szCs w:val="20"/>
                <w:color w:val="auto"/>
              </w:rPr>
            </w:pPr>
            <w:r>
              <w:rPr>
                <w:rFonts w:ascii="Times New Roman" w:cs="Times New Roman" w:eastAsia="Times New Roman" w:hAnsi="Times New Roman"/>
                <w:sz w:val="18"/>
                <w:szCs w:val="18"/>
                <w:color w:val="0000EE"/>
                <w:w w:val="99"/>
              </w:rPr>
              <w:t>2025 Equity Incentive Plan Forms of Agreement and</w:t>
            </w:r>
          </w:p>
        </w:tc>
        <w:tc>
          <w:tcPr>
            <w:tcW w:w="12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6"/>
        </w:trPr>
        <w:tc>
          <w:tcPr>
            <w:tcW w:w="780" w:type="dxa"/>
            <w:vAlign w:val="bottom"/>
            <w:gridSpan w:val="6"/>
          </w:tcPr>
          <w:p>
            <w:pPr>
              <w:jc w:val="center"/>
              <w:ind w:left="290"/>
              <w:spacing w:after="0" w:line="19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480" w:type="dxa"/>
            <w:vAlign w:val="bottom"/>
          </w:tcPr>
          <w:p>
            <w:pPr>
              <w:spacing w:after="0"/>
              <w:rPr>
                <w:sz w:val="17"/>
                <w:szCs w:val="17"/>
                <w:color w:val="auto"/>
              </w:rPr>
            </w:pPr>
          </w:p>
        </w:tc>
        <w:tc>
          <w:tcPr>
            <w:tcW w:w="39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Terms and Conditions</w:t>
            </w:r>
          </w:p>
        </w:tc>
        <w:tc>
          <w:tcPr>
            <w:tcW w:w="500" w:type="dxa"/>
            <w:vAlign w:val="bottom"/>
          </w:tcPr>
          <w:p>
            <w:pPr>
              <w:spacing w:after="0"/>
              <w:rPr>
                <w:sz w:val="17"/>
                <w:szCs w:val="17"/>
                <w:color w:val="auto"/>
              </w:rPr>
            </w:pPr>
          </w:p>
        </w:tc>
        <w:tc>
          <w:tcPr>
            <w:tcW w:w="740" w:type="dxa"/>
            <w:vAlign w:val="bottom"/>
            <w:gridSpan w:val="3"/>
          </w:tcPr>
          <w:p>
            <w:pPr>
              <w:jc w:val="center"/>
              <w:ind w:right="600"/>
              <w:spacing w:after="0" w:line="196" w:lineRule="exact"/>
              <w:rPr>
                <w:sz w:val="20"/>
                <w:szCs w:val="20"/>
                <w:color w:val="auto"/>
              </w:rPr>
            </w:pPr>
            <w:r>
              <w:rPr>
                <w:rFonts w:ascii="Times New Roman" w:cs="Times New Roman" w:eastAsia="Times New Roman" w:hAnsi="Times New Roman"/>
                <w:sz w:val="18"/>
                <w:szCs w:val="18"/>
                <w:color w:val="0000EE"/>
              </w:rPr>
              <w:t>X</w:t>
            </w: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
        </w:trPr>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6"/>
        </w:trPr>
        <w:tc>
          <w:tcPr>
            <w:tcW w:w="1260" w:type="dxa"/>
            <w:vAlign w:val="bottom"/>
            <w:gridSpan w:val="7"/>
            <w:shd w:val="clear" w:color="auto" w:fill="CCEEFF"/>
          </w:tcPr>
          <w:p>
            <w:pPr>
              <w:jc w:val="center"/>
              <w:ind w:right="100"/>
              <w:spacing w:after="0" w:line="176" w:lineRule="exact"/>
              <w:rPr>
                <w:sz w:val="20"/>
                <w:szCs w:val="20"/>
                <w:color w:val="auto"/>
              </w:rPr>
            </w:pPr>
            <w:r>
              <w:rPr>
                <w:rFonts w:ascii="Times New Roman" w:cs="Times New Roman" w:eastAsia="Times New Roman" w:hAnsi="Times New Roman"/>
                <w:sz w:val="18"/>
                <w:szCs w:val="18"/>
                <w:color w:val="0000EE"/>
                <w:w w:val="98"/>
              </w:rPr>
              <w:t>107.</w:t>
            </w:r>
            <w:r>
              <w:rPr>
                <w:rFonts w:ascii="Times New Roman" w:cs="Times New Roman" w:eastAsia="Times New Roman" w:hAnsi="Times New Roman"/>
                <w:sz w:val="18"/>
                <w:szCs w:val="18"/>
                <w:u w:val="single" w:color="auto"/>
                <w:color w:val="0000EE"/>
                <w:w w:val="98"/>
              </w:rPr>
              <w:t>1</w:t>
            </w:r>
          </w:p>
        </w:tc>
        <w:tc>
          <w:tcPr>
            <w:tcW w:w="3940" w:type="dxa"/>
            <w:vAlign w:val="bottom"/>
            <w:gridSpan w:val="1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Calculation of Filing Fee Table</w:t>
            </w:r>
          </w:p>
        </w:tc>
        <w:tc>
          <w:tcPr>
            <w:tcW w:w="50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center"/>
              <w:ind w:right="600"/>
              <w:spacing w:after="0" w:line="176" w:lineRule="exact"/>
              <w:rPr>
                <w:sz w:val="20"/>
                <w:szCs w:val="20"/>
                <w:color w:val="auto"/>
              </w:rPr>
            </w:pPr>
            <w:r>
              <w:rPr>
                <w:rFonts w:ascii="Times New Roman" w:cs="Times New Roman" w:eastAsia="Times New Roman" w:hAnsi="Times New Roman"/>
                <w:sz w:val="18"/>
                <w:szCs w:val="18"/>
                <w:color w:val="0000EE"/>
              </w:rPr>
              <w:t>X</w:t>
            </w: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675"/>
        </w:trPr>
        <w:tc>
          <w:tcPr>
            <w:tcW w:w="3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440" w:type="dxa"/>
            <w:vAlign w:val="bottom"/>
            <w:tcBorders>
              <w:top w:val="single" w:sz="8" w:color="0000EE"/>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4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 UNDERTAKINGS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225" w:lineRule="exact"/>
        <w:rPr>
          <w:sz w:val="20"/>
          <w:szCs w:val="20"/>
          <w:color w:val="auto"/>
        </w:rPr>
      </w:pPr>
    </w:p>
    <w:p>
      <w:pPr>
        <w:ind w:left="260" w:hanging="252"/>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include any prospectus required by section 10(a)(3) of the Securities Act;</w:t>
      </w:r>
    </w:p>
    <w:p>
      <w:pPr>
        <w:spacing w:after="0" w:line="225" w:lineRule="exact"/>
        <w:rPr>
          <w:sz w:val="20"/>
          <w:szCs w:val="20"/>
          <w:color w:val="auto"/>
        </w:rPr>
      </w:pPr>
    </w:p>
    <w:p>
      <w:pPr>
        <w:ind w:firstLine="8"/>
        <w:spacing w:after="0" w:line="256" w:lineRule="auto"/>
        <w:tabs>
          <w:tab w:leader="none" w:pos="26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7" w:lineRule="exact"/>
        <w:rPr>
          <w:rFonts w:ascii="Times New Roman" w:cs="Times New Roman" w:eastAsia="Times New Roman" w:hAnsi="Times New Roman"/>
          <w:sz w:val="18"/>
          <w:szCs w:val="18"/>
          <w:color w:val="auto"/>
        </w:rPr>
      </w:pPr>
    </w:p>
    <w:p>
      <w:pPr>
        <w:ind w:right="480" w:firstLine="8"/>
        <w:spacing w:after="0" w:line="282" w:lineRule="auto"/>
        <w:tabs>
          <w:tab w:leader="none" w:pos="3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paragraphs (a)(1)(i) and (a)(1)(ii) do not apply if the information required to be included in a post-effective amendment by those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jc w:val="both"/>
        <w:ind w:firstLine="8"/>
        <w:spacing w:after="0" w:line="312" w:lineRule="auto"/>
        <w:tabs>
          <w:tab w:leader="none" w:pos="252"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39" w:lineRule="exact"/>
        <w:rPr>
          <w:rFonts w:ascii="Times New Roman" w:cs="Times New Roman" w:eastAsia="Times New Roman" w:hAnsi="Times New Roman"/>
          <w:sz w:val="17"/>
          <w:szCs w:val="17"/>
          <w:color w:val="auto"/>
        </w:rPr>
      </w:pPr>
    </w:p>
    <w:p>
      <w:pPr>
        <w:ind w:right="220" w:firstLine="8"/>
        <w:spacing w:after="0" w:line="282" w:lineRule="auto"/>
        <w:tabs>
          <w:tab w:leader="none" w:pos="25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2" w:lineRule="exact"/>
        <w:rPr>
          <w:sz w:val="20"/>
          <w:szCs w:val="20"/>
          <w:color w:val="auto"/>
        </w:rPr>
      </w:pPr>
    </w:p>
    <w:p>
      <w:pPr>
        <w:ind w:right="300" w:firstLine="8"/>
        <w:spacing w:after="0" w:line="258" w:lineRule="auto"/>
        <w:tabs>
          <w:tab w:leader="none" w:pos="25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Times New Roman" w:cs="Times New Roman" w:eastAsia="Times New Roman" w:hAnsi="Times New Roman"/>
          <w:sz w:val="18"/>
          <w:szCs w:val="18"/>
          <w:color w:val="auto"/>
        </w:rPr>
      </w:pPr>
    </w:p>
    <w:p>
      <w:pPr>
        <w:ind w:right="140" w:firstLine="8"/>
        <w:spacing w:after="0" w:line="254" w:lineRule="auto"/>
        <w:tabs>
          <w:tab w:leader="none" w:pos="24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and the City of Boise, State of Idaho, respectively, on January 21, 2025.</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60" w:type="dxa"/>
            <w:vAlign w:val="bottom"/>
          </w:tcPr>
          <w:p>
            <w:pPr>
              <w:spacing w:after="0"/>
              <w:rPr>
                <w:sz w:val="20"/>
                <w:szCs w:val="20"/>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Micron Technology, Inc.</w:t>
            </w:r>
          </w:p>
        </w:tc>
      </w:tr>
      <w:tr>
        <w:trPr>
          <w:trHeight w:val="228"/>
        </w:trPr>
        <w:tc>
          <w:tcPr>
            <w:tcW w:w="5960" w:type="dxa"/>
            <w:vAlign w:val="bottom"/>
          </w:tcPr>
          <w:p>
            <w:pPr>
              <w:spacing w:after="0"/>
              <w:rPr>
                <w:sz w:val="19"/>
                <w:szCs w:val="19"/>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414"/>
        </w:trPr>
        <w:tc>
          <w:tcPr>
            <w:tcW w:w="596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Sanjay Mehrotra</w:t>
            </w:r>
          </w:p>
        </w:tc>
      </w:tr>
      <w:tr>
        <w:trPr>
          <w:trHeight w:val="191"/>
        </w:trPr>
        <w:tc>
          <w:tcPr>
            <w:tcW w:w="5960" w:type="dxa"/>
            <w:vAlign w:val="bottom"/>
          </w:tcPr>
          <w:p>
            <w:pPr>
              <w:spacing w:after="0"/>
              <w:rPr>
                <w:sz w:val="16"/>
                <w:szCs w:val="16"/>
                <w:color w:val="auto"/>
              </w:rPr>
            </w:pPr>
          </w:p>
        </w:tc>
        <w:tc>
          <w:tcPr>
            <w:tcW w:w="5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(Sanjay Mehrotra)</w:t>
            </w:r>
          </w:p>
        </w:tc>
      </w:tr>
      <w:tr>
        <w:trPr>
          <w:trHeight w:val="216"/>
        </w:trPr>
        <w:tc>
          <w:tcPr>
            <w:tcW w:w="59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59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32"/>
        </w:trPr>
        <w:tc>
          <w:tcPr>
            <w:tcW w:w="5960" w:type="dxa"/>
            <w:vAlign w:val="bottom"/>
          </w:tcPr>
          <w:p>
            <w:pPr>
              <w:spacing w:after="0"/>
              <w:rPr>
                <w:sz w:val="24"/>
                <w:szCs w:val="24"/>
                <w:color w:val="auto"/>
              </w:rPr>
            </w:pPr>
          </w:p>
        </w:tc>
        <w:tc>
          <w:tcPr>
            <w:tcW w:w="5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Mark J. Murphy</w:t>
            </w:r>
          </w:p>
        </w:tc>
      </w:tr>
      <w:tr>
        <w:trPr>
          <w:trHeight w:val="191"/>
        </w:trPr>
        <w:tc>
          <w:tcPr>
            <w:tcW w:w="5960" w:type="dxa"/>
            <w:vAlign w:val="bottom"/>
          </w:tcPr>
          <w:p>
            <w:pPr>
              <w:spacing w:after="0"/>
              <w:rPr>
                <w:sz w:val="16"/>
                <w:szCs w:val="16"/>
                <w:color w:val="auto"/>
              </w:rPr>
            </w:pPr>
          </w:p>
        </w:tc>
        <w:tc>
          <w:tcPr>
            <w:tcW w:w="52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(Mark J. Murphy)</w:t>
            </w:r>
          </w:p>
        </w:tc>
      </w:tr>
      <w:tr>
        <w:trPr>
          <w:trHeight w:val="216"/>
        </w:trPr>
        <w:tc>
          <w:tcPr>
            <w:tcW w:w="5960" w:type="dxa"/>
            <w:vAlign w:val="bottom"/>
          </w:tcPr>
          <w:p>
            <w:pPr>
              <w:spacing w:after="0"/>
              <w:rPr>
                <w:sz w:val="18"/>
                <w:szCs w:val="18"/>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r>
        <w:trPr>
          <w:trHeight w:val="234"/>
        </w:trPr>
        <w:tc>
          <w:tcPr>
            <w:tcW w:w="5960" w:type="dxa"/>
            <w:vAlign w:val="bottom"/>
          </w:tcPr>
          <w:p>
            <w:pPr>
              <w:spacing w:after="0"/>
              <w:rPr>
                <w:sz w:val="20"/>
                <w:szCs w:val="20"/>
                <w:color w:val="auto"/>
              </w:rPr>
            </w:pPr>
          </w:p>
        </w:tc>
        <w:tc>
          <w:tcPr>
            <w:tcW w:w="5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675"/>
        </w:trPr>
        <w:tc>
          <w:tcPr>
            <w:tcW w:w="59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Sanjay Mehrotra and Mark J. Murphy or either of them,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and to file the same, with exhibits thereto and other documents in connection therewith, with the Securities and Exchange Commission, granting unto said attorneys-in-fact and agents,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their substitute or substitutes may lawfully do or cause to be done by virtue hereof. This power of attorney shall be governed by and construed in accordance with the laws of the State of Delaware and applicable federal securities laws.</w:t>
      </w:r>
    </w:p>
    <w:p>
      <w:pPr>
        <w:spacing w:after="0" w:line="192"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this Registration Statement has been signed by the following persons in the capacities and on the date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15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360" w:type="dxa"/>
            <w:vAlign w:val="bottom"/>
            <w:gridSpan w:val="2"/>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4"/>
              </w:rPr>
              <w:t>Title</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6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53"/>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Sanjay Mehrotra</w:t>
            </w: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Chairman of the Board, President and</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r>
      <w:tr>
        <w:trPr>
          <w:trHeight w:val="191"/>
        </w:trPr>
        <w:tc>
          <w:tcPr>
            <w:tcW w:w="394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(Sanjay Mehrotra)</w:t>
            </w:r>
          </w:p>
        </w:tc>
        <w:tc>
          <w:tcPr>
            <w:tcW w:w="444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Chief Executive Officer and Director</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Mark J. Murphy</w:t>
            </w: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Executive Vice President and</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r>
      <w:tr>
        <w:trPr>
          <w:trHeight w:val="191"/>
        </w:trPr>
        <w:tc>
          <w:tcPr>
            <w:tcW w:w="394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rPr>
              <w:t>(Mark J. Murphy)</w:t>
            </w:r>
          </w:p>
        </w:tc>
        <w:tc>
          <w:tcPr>
            <w:tcW w:w="444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Chief Financial Officer</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Scott Allen</w:t>
            </w: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Corporate Vice President and</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r>
      <w:tr>
        <w:trPr>
          <w:trHeight w:val="191"/>
        </w:trPr>
        <w:tc>
          <w:tcPr>
            <w:tcW w:w="394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9"/>
              </w:rPr>
              <w:t>(Scott Allen)</w:t>
            </w:r>
          </w:p>
        </w:tc>
        <w:tc>
          <w:tcPr>
            <w:tcW w:w="4440" w:type="dxa"/>
            <w:vAlign w:val="bottom"/>
            <w:gridSpan w:val="3"/>
          </w:tcPr>
          <w:p>
            <w:pPr>
              <w:jc w:val="center"/>
              <w:spacing w:after="0" w:line="191" w:lineRule="exact"/>
              <w:rPr>
                <w:sz w:val="20"/>
                <w:szCs w:val="20"/>
                <w:color w:val="auto"/>
              </w:rPr>
            </w:pPr>
            <w:r>
              <w:rPr>
                <w:rFonts w:ascii="Times New Roman" w:cs="Times New Roman" w:eastAsia="Times New Roman" w:hAnsi="Times New Roman"/>
                <w:sz w:val="18"/>
                <w:szCs w:val="18"/>
                <w:color w:val="auto"/>
              </w:rPr>
              <w:t>Chief Accounting Officer</w:t>
            </w:r>
          </w:p>
        </w:tc>
        <w:tc>
          <w:tcPr>
            <w:tcW w:w="1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4"/>
        </w:trPr>
        <w:tc>
          <w:tcPr>
            <w:tcW w:w="1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32"/>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Richard M. Beyer</w:t>
            </w: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r>
      <w:tr>
        <w:trPr>
          <w:trHeight w:val="232"/>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(Richard M. Beyer)</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/s/ Lynn A. Dugle</w:t>
            </w: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r>
      <w:tr>
        <w:trPr>
          <w:trHeight w:val="232"/>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(Lynn A. Dugle)</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Steven J. Gomo</w:t>
            </w: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r>
      <w:tr>
        <w:trPr>
          <w:trHeight w:val="232"/>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(Steven J. Gomo)</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Linnie M. Haynesworth</w:t>
            </w: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r>
      <w:tr>
        <w:trPr>
          <w:trHeight w:val="232"/>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(Linnie M. Haynesworth)</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rPr>
              <w:t>/s/ Mary Pat McCarthy</w:t>
            </w: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r>
      <w:tr>
        <w:trPr>
          <w:trHeight w:val="232"/>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(Mary Pat McCarthy)</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Bob Swan</w:t>
            </w: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r>
      <w:tr>
        <w:trPr>
          <w:trHeight w:val="232"/>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(Bob Swan)</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10"/>
        </w:trPr>
        <w:tc>
          <w:tcPr>
            <w:tcW w:w="394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 MaryAnn Wright</w:t>
            </w:r>
          </w:p>
        </w:tc>
        <w:tc>
          <w:tcPr>
            <w:tcW w:w="444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8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January 21, 2025</w:t>
            </w:r>
          </w:p>
        </w:tc>
      </w:tr>
      <w:tr>
        <w:trPr>
          <w:trHeight w:val="232"/>
        </w:trPr>
        <w:tc>
          <w:tcPr>
            <w:tcW w:w="394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(MaryAnn Wright)</w:t>
            </w:r>
          </w:p>
        </w:tc>
        <w:tc>
          <w:tcPr>
            <w:tcW w:w="2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653"/>
        </w:trPr>
        <w:tc>
          <w:tcPr>
            <w:tcW w:w="16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ind w:left="10240"/>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58"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397000" cy="5657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1397000" cy="565785"/>
                    </a:xfrm>
                    <a:prstGeom prst="rect">
                      <a:avLst/>
                    </a:prstGeom>
                    <a:noFill/>
                  </pic:spPr>
                </pic:pic>
              </a:graphicData>
            </a:graphic>
          </wp:anchor>
        </w:drawing>
      </w:r>
    </w:p>
    <w:p>
      <w:pPr>
        <w:spacing w:after="0" w:line="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650 Page Mill Road</w:t>
      </w:r>
    </w:p>
    <w:p>
      <w:pPr>
        <w:spacing w:after="0" w:line="2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8"/>
          <w:szCs w:val="18"/>
          <w:color w:val="auto"/>
        </w:rPr>
        <w:t>Palo Alto, California 94304-1050</w:t>
      </w:r>
    </w:p>
    <w:p>
      <w:pPr>
        <w:spacing w:after="0" w:line="207"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2"/>
          <w:szCs w:val="12"/>
          <w:color w:val="auto"/>
        </w:rPr>
        <w:t>o</w:t>
      </w:r>
      <w:r>
        <w:rPr>
          <w:rFonts w:ascii="Times New Roman" w:cs="Times New Roman" w:eastAsia="Times New Roman" w:hAnsi="Times New Roman"/>
          <w:sz w:val="17"/>
          <w:szCs w:val="17"/>
          <w:color w:val="auto"/>
        </w:rPr>
        <w:t>: 650.493.9300</w:t>
      </w:r>
    </w:p>
    <w:p>
      <w:pPr>
        <w:spacing w:after="0" w:line="39"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2"/>
          <w:szCs w:val="12"/>
          <w:color w:val="auto"/>
        </w:rPr>
        <w:t>f</w:t>
      </w:r>
      <w:r>
        <w:rPr>
          <w:rFonts w:ascii="Times New Roman" w:cs="Times New Roman" w:eastAsia="Times New Roman" w:hAnsi="Times New Roman"/>
          <w:sz w:val="17"/>
          <w:szCs w:val="17"/>
          <w:color w:val="auto"/>
        </w:rPr>
        <w:t>: 866.974.7329</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January 21,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 South Federal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Boise, Idaho 83716-9632</w:t>
      </w:r>
    </w:p>
    <w:p>
      <w:pPr>
        <w:spacing w:after="0" w:line="20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8"/>
          <w:szCs w:val="18"/>
          <w:b w:val="1"/>
          <w:bCs w:val="1"/>
          <w:color w:val="auto"/>
        </w:rPr>
        <w:t>Registration Statement on Form S-8</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At your request, we are rendering this opinion in connection with the Registration Statement on Form S-8 to be filed by Micron Technology, Inc., a Delaware corporation (the “Company”), with the U.S. Securities and Exchange Commission (the “SEC”) on or about January 21, 2025 (the “Registration Statement”) for the proposed issuance of up to 48,575,795 shares of common stock, $0.10 par value per share, of the Company (the “Shares”) pursuant to the Micron Technology, Inc. 2025 Equity Incentive Plan (the “Plan”).</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have examined and relied, to the extent we deem proper, on certificates of the Company as to factual matters, and on the originals or copies certified or otherwise identified to our satisfaction, of all such corporate records of the Company and such other instruments, documents, and records that we have deemed relevant and necessary for the basis of our opinion hereinafter expressed. In such examination, we have assumed the genuineness of all signatures, the legal capacity of natural persons, the authenticity of all documents submitted to us as originals, the conformity to the originals of all documents submitted to us as copies, and the truth, accuracy and completeness of the information, representations and warranties contained in the records, documents, instruments and certificates we have reviewed.</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on such examination, we are of the opinion that, following the filing of the Registration Statement, the Shares to be issued by the Company pursuant to the Plan are validly authorized and, when issued in accordance with the terms of the Plan, will be legally issued, fully paid and non-assessable.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AUSTIN     BEIJING     BOSTON     BOULDER     BRUSSELS     HONG KONG     LONDON     LOS ANGELES     NEW YORK     PALO ALTO</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SALT LAKE CITY     SAN DIEGO     SAN FRANCISCO     SEATTLE SHANGHAI     WASHINGTON, DC     WILMINGTON, 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8" w:name="page9"/>
    <w:bookmarkEnd w:id="8"/>
    <w:p>
      <w:pPr>
        <w:spacing w:after="0" w:line="20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79780" cy="3346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79780" cy="33464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Micron Technology,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21, 2025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Registration Statement and to the use of our name wherever it appears in the Registration Statement. In giving such consent, we do not consider that we are “experts” within the meaning of such term as used in the Securities Act of 1933, as amended, or the rules and regulations of the SEC issued thereunder, with respect to any part of the Registration Statement, including this opinion as an exhibit or otherwise.</w:t>
      </w:r>
    </w:p>
    <w:p>
      <w:pPr>
        <w:spacing w:after="0" w:line="18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Wilson Sonsini Goodrich &amp; Rosati,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WILSON SONSINI GOODRICH &amp; ROSATI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Professional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22"/>
          <w:szCs w:val="22"/>
          <w:b w:val="1"/>
          <w:bCs w:val="1"/>
          <w:color w:val="auto"/>
        </w:rPr>
        <w:t>Exhibit 23.1</w:t>
      </w: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CONSENT OF INDEPENDENT REGISTERED PUBLIC ACCOUNTING FIRM</w:t>
      </w:r>
    </w:p>
    <w:p>
      <w:pPr>
        <w:spacing w:after="0" w:line="225"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Micron Technology, Inc. of our report dated October 4, 2024 relating to the financial statements, financial statement schedule and the effectiveness of internal control over financial reporting, which appears in Micron Technology, Inc.'s Annual Report on Form 10-K for the year ended August 29,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January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Officer Form of RSA (2025 EIP)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GRANT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Micron Technology, Inc. 2025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defined meanings in this Restricted Stock Agreement which includes the Notice of Restricted Stock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Restricted Stock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(collectively,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 Name: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undersigned Participant has been granted the right to receive a Restricted Stock Award, subject to the terms and conditions of the Plan and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Agreement,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 Number: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Grant: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Number of Shares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any acceleration provisions contained in the Plan or set forth below, the Shares of Restricted Stock will be scheduled to vest in accordance with the following schedule: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Vesting Schedule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Participant’s status as a Service Provider ends for any reason before Participant vests in all or some of the Shares of Restricted Stock, the unvested Shares of Restricted Stock and Participant’s right to receive any of such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any of its Subsidiaries or Parents, as applicable (provided that any such other written agreement must have been duly authorized and signed by an officer of the Company or any of its Subsidiaries or Parents).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By Participant electronically accepting this Award Agreement or manually signing this Award Agreement (in either case, as and in the manner specified by the Company), Participant and the Company agree that (1) this Restricted Stock Award is granted under and governed by the terms and conditions of the Plan and this Award Agreement,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Administrator upon any questions relating to the Plan and this Award Agreement. Participant further agrees to notify the Company upon any change in the residence address indicated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RESTRICTED STOCK GRANT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Grant of Shares of Restricted Stock</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named in the Notice of Restricted Stock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 Restricted Stock Award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the Stock granted under this Award Agreement that is subject to the restrictions imposed hereunder to the extent such restrictions have not then expired or terminated.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Vesting Schedule</w:t>
      </w:r>
      <w:r>
        <w:rPr>
          <w:rFonts w:ascii="Times New Roman" w:cs="Times New Roman" w:eastAsia="Times New Roman" w:hAnsi="Times New Roman"/>
          <w:sz w:val="18"/>
          <w:szCs w:val="18"/>
          <w:color w:val="auto"/>
        </w:rPr>
        <w:t>. Except as provided in Section 3 and subject to Sections 4 and 7, the Shares of Restricted Stock awarded by this Award Agreement will vest in accordance with the vesting provisions set forth in the Notice of Grant, subject to Participant remaining a Service Provider through each applicable vesting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Acceleration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Death or Disability</w:t>
      </w:r>
      <w:r>
        <w:rPr>
          <w:rFonts w:ascii="Times New Roman" w:cs="Times New Roman" w:eastAsia="Times New Roman" w:hAnsi="Times New Roman"/>
          <w:sz w:val="18"/>
          <w:szCs w:val="18"/>
          <w:color w:val="auto"/>
        </w:rPr>
        <w:t>. If Participant ceases to be a Service Provider on account of Participant’s death or Participant becoming Disabled, any Shares of Restricted Stock that both were unexpired and unvested as of the date Participant ceases to be a Service Provider, will vest on such date.</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Change in Control.</w:t>
      </w:r>
      <w:r>
        <w:rPr>
          <w:rFonts w:ascii="Times New Roman" w:cs="Times New Roman" w:eastAsia="Times New Roman" w:hAnsi="Times New Roman"/>
          <w:sz w:val="18"/>
          <w:szCs w:val="18"/>
          <w:color w:val="auto"/>
        </w:rPr>
        <w:t xml:space="preserve"> If a Change in Control occurs before Participant ceases to be a Service Provider, any Shares of Restricted Stock that both were unexpired and unvested as of immediately preceding the Change in Control, will vest upon the consummation of the Change in Control unless, as determined by the Administrator (as constituted immediately prior to the Change in Control), such Shares of Restricted Stock have been assumed by the Surviving Corporation, if any, or otherwise equitably converted or substituted in the Change in Control. For the purposes of this Award Agreement, the Shares of Restricted Stock will be considered assumed if, following the Change in Control, this Award Agreement confers the right to receive, for each Share subject to the Award Agreement immediately prior to the Change in 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shares (or other applicable equity interests) of the Surviving Corporation or its parent, the Administrator may, with the consent of the Surviving Corporation, provide for the consideration to be received for each Share of Restricted Stock to be solely shares (or other applicable equity interests) of the Surviving Corporation or its parent equal in fair market value at the time of the Change in Control to the per Share consideration received by holders of Shares in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ind w:left="1300"/>
        <w:spacing w:after="0"/>
        <w:rPr>
          <w:sz w:val="20"/>
          <w:szCs w:val="20"/>
          <w:color w:val="auto"/>
        </w:rPr>
      </w:pPr>
      <w:r>
        <w:rPr>
          <w:rFonts w:ascii="Times New Roman" w:cs="Times New Roman" w:eastAsia="Times New Roman" w:hAnsi="Times New Roman"/>
          <w:sz w:val="17"/>
          <w:szCs w:val="17"/>
          <w:color w:val="auto"/>
        </w:rPr>
        <w:t>(c)          </w:t>
      </w:r>
      <w:r>
        <w:rPr>
          <w:rFonts w:ascii="Times New Roman" w:cs="Times New Roman" w:eastAsia="Times New Roman" w:hAnsi="Times New Roman"/>
          <w:sz w:val="17"/>
          <w:szCs w:val="17"/>
          <w:u w:val="single" w:color="auto"/>
          <w:color w:val="auto"/>
        </w:rPr>
        <w:t>  Termination following a Change in Control.</w:t>
      </w:r>
      <w:r>
        <w:rPr>
          <w:rFonts w:ascii="Times New Roman" w:cs="Times New Roman" w:eastAsia="Times New Roman" w:hAnsi="Times New Roman"/>
          <w:sz w:val="17"/>
          <w:szCs w:val="17"/>
          <w:color w:val="auto"/>
        </w:rPr>
        <w:t xml:space="preserve"> If (A) a Change in Control occurs before Participant ceases to be a Service Provider,</w:t>
      </w:r>
    </w:p>
    <w:p>
      <w:pPr>
        <w:spacing w:after="0" w:line="39" w:lineRule="exact"/>
        <w:rPr>
          <w:sz w:val="20"/>
          <w:szCs w:val="20"/>
          <w:color w:val="auto"/>
        </w:rPr>
      </w:pPr>
    </w:p>
    <w:p>
      <w:pPr>
        <w:jc w:val="both"/>
        <w:ind w:firstLine="8"/>
        <w:spacing w:after="0" w:line="252"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determined by the Administrator (as constituted immediately prior to the Change in Control), any Shares of Restricted Stock that, both were unexpired and unvested as of the date of the Change in Control, were assumed by the Surviving Corporation or otherwise equitably converted or substituted in the Change in Control, and (C) Participant’s service as a Service Provider with the Company (or any Surviving Corporation, as applicable) and all Affiliates is terminated within one (1) year after the effective date of the Change in Control either (i) by the Company (or any such Surviving Corporation or Affiliate, as applicable) without Cause, or (ii) by Participant’s resignation for Good Reason, then any Shares of Restricted Stock that both were unexpired and unvested as of immediately preceding the termination of employment, will vest upon the termination of employment.</w:t>
      </w:r>
    </w:p>
    <w:p>
      <w:pPr>
        <w:spacing w:after="0" w:line="19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For purposes of this Section 3(c), “</w:t>
      </w: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shall mean any of the following, without Participant’s consent: (A) a material diminution in Participant’s base salary (other than an across-the-board reduction in base salary that affects all peer employees); (B) a material diminution in Participant’s authority, duties, or responsibilities; or (C) the relocation of Participant’s principal office to a location that is more than twenty-five (25) miles from the location of Participant’s principal office on the effective date of the Change in Control; provided, however, that Good Reason shall not include (i) any relocation of Participant’s principal office which is proposed or initiated by Participant; or (ii) any relocation that results in Participant’s principal office being closer to Participant’s then-current principal residence. To the extent Participant’s principal office is Participant’s residence due to a shelter-in-place order or similar work-from-home arrangement that applies to Participant, Participant’s principal office, from which a change in location under the foregoing clause (C) will be measured, will be considered the Company’s office location where Participant’s employment with the Company primarily was based immediately prior to the commencement of such shelter-in-place order or similar work-from-home arrangement. A termination by Participant shall not constitute termination for Good Reason unless Participant shall first have delivered to the Company written notice setting forth with specificity the occurrence deemed to give rise to a right to terminate for Good Reason (which notice must be given no later than ninety (90) days after the initial occurrence of such event) (the “</w:t>
      </w:r>
      <w:r>
        <w:rPr>
          <w:rFonts w:ascii="Times New Roman" w:cs="Times New Roman" w:eastAsia="Times New Roman" w:hAnsi="Times New Roman"/>
          <w:sz w:val="18"/>
          <w:szCs w:val="18"/>
          <w:u w:val="single" w:color="auto"/>
          <w:color w:val="auto"/>
        </w:rPr>
        <w:t>Good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Reason Notice</w:t>
      </w:r>
      <w:r>
        <w:rPr>
          <w:rFonts w:ascii="Times New Roman" w:cs="Times New Roman" w:eastAsia="Times New Roman" w:hAnsi="Times New Roman"/>
          <w:sz w:val="18"/>
          <w:szCs w:val="18"/>
          <w:color w:val="auto"/>
        </w:rPr>
        <w:t>”), and the Company has not taken action to correct, rescind or otherwise substantially reverse the occurrence supporting termination for Good Reason as identified by Participant within thirty (30) days following its receipt of such Good Reason Notice. Participant’s date of termination for Good Reason must occur within a period of three hundred and sixty five (365) days after the initial occurrence of an event of Good Reason.</w:t>
      </w:r>
    </w:p>
    <w:p>
      <w:pPr>
        <w:spacing w:after="0" w:line="19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Administrator.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Forfeiture Upon Termination as a Service Provider</w:t>
      </w:r>
      <w:r>
        <w:rPr>
          <w:rFonts w:ascii="Times New Roman" w:cs="Times New Roman" w:eastAsia="Times New Roman" w:hAnsi="Times New Roman"/>
          <w:sz w:val="18"/>
          <w:szCs w:val="18"/>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 ceases to be a Service Provider for any or no reason, the then-unvested Shares of Restricted Stock awarded by this Award Agreement will be forfeited at no cost to the Company and Participant will have no further rights thereunder. The date of forfeiture will be the date Participant ceases to be a Service Provider.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 w:name="page15"/>
    <w:bookmarkEnd w:id="14"/>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Tax Consequences</w:t>
      </w:r>
      <w:r>
        <w:rPr>
          <w:rFonts w:ascii="Times New Roman" w:cs="Times New Roman" w:eastAsia="Times New Roman" w:hAnsi="Times New Roman"/>
          <w:sz w:val="17"/>
          <w:szCs w:val="17"/>
          <w:color w:val="auto"/>
        </w:rPr>
        <w:t>. Participant has reviewed with Participant’s own tax advisors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under such procedures as the Administrator may specify from time to time or, if the Administrator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Tax Obligations.</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or any Parent or Subsidiary to which Participant is providing services (together, the “</w:t>
      </w:r>
      <w:r>
        <w:rPr>
          <w:rFonts w:ascii="Times New Roman" w:cs="Times New Roman" w:eastAsia="Times New Roman" w:hAnsi="Times New Roman"/>
          <w:sz w:val="18"/>
          <w:szCs w:val="18"/>
          <w:u w:val="single" w:color="auto"/>
          <w:color w:val="auto"/>
        </w:rPr>
        <w:t>Service Recipients</w:t>
      </w:r>
      <w:r>
        <w:rPr>
          <w:rFonts w:ascii="Times New Roman" w:cs="Times New Roman" w:eastAsia="Times New Roman" w:hAnsi="Times New Roman"/>
          <w:sz w:val="18"/>
          <w:szCs w:val="18"/>
          <w:color w:val="auto"/>
        </w:rPr>
        <w:t>”), the ultimate liability for any tax and/or social insurance liability obligations and requirements in connection with the Shares of Restricted Stock,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election under Section 83(b) of the Code (the “</w:t>
      </w:r>
      <w:r>
        <w:rPr>
          <w:rFonts w:ascii="Times New Roman" w:cs="Times New Roman" w:eastAsia="Times New Roman" w:hAnsi="Times New Roman"/>
          <w:sz w:val="18"/>
          <w:szCs w:val="18"/>
          <w:u w:val="single" w:color="auto"/>
          <w:color w:val="auto"/>
        </w:rPr>
        <w:t>83(b) Election</w:t>
      </w:r>
      <w:r>
        <w:rPr>
          <w:rFonts w:ascii="Times New Roman" w:cs="Times New Roman" w:eastAsia="Times New Roman" w:hAnsi="Times New Roman"/>
          <w:sz w:val="18"/>
          <w:szCs w:val="18"/>
          <w:color w:val="auto"/>
        </w:rPr>
        <w:t>”) with respect to the Shares of Restricted Stock, or the sale of Shares, and (iii) any other Service Recipient taxes the responsibility for which Participant has, or has agreed to bear, with respect to the issuance or vesting of the Shares of Restricted Stock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Shares of Restricted Stock, including, but not limited to, the grant, vesting or release from escrow of the Shares of Restricted Stock, the filing of an 83(b) Election with respect to the Shares of Restricted Stock, the subsequent sale of Shares acquired pursuant to this Award Agreement and the receipt of any dividends or other distributions (subject to Section 14(f)),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83(b) Election with the IRS within thirty (30) days from the date of grant of the Restricted Stock Award.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5" w:name="page16"/>
    <w:bookmarkEnd w:id="1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Tax Withholding and Default Method of Tax Withholding</w:t>
      </w:r>
      <w:r>
        <w:rPr>
          <w:rFonts w:ascii="Times New Roman" w:cs="Times New Roman" w:eastAsia="Times New Roman" w:hAnsi="Times New Roman"/>
          <w:sz w:val="18"/>
          <w:szCs w:val="18"/>
          <w:color w:val="auto"/>
        </w:rPr>
        <w:t>. Unless Participant timely files an 83(b) Election, when Shares of Restricted Stock vest, Participant generally will recognize immediate U.S. taxable income if Participant is a U.S. taxpayer. If Participant is a non-U.S. taxpayer, Participant may be subject to applicable taxes in his or her jurisdiction. Unless otherwise determined by the Administrator, the minimum amount of Tax Obligations that the Company determines must be withheld with respect to this Award (“</w:t>
      </w:r>
      <w:r>
        <w:rPr>
          <w:rFonts w:ascii="Times New Roman" w:cs="Times New Roman" w:eastAsia="Times New Roman" w:hAnsi="Times New Roman"/>
          <w:sz w:val="18"/>
          <w:szCs w:val="18"/>
          <w:u w:val="single" w:color="auto"/>
          <w:color w:val="auto"/>
        </w:rPr>
        <w:t>Tax Withholding Obligation</w:t>
      </w:r>
      <w:r>
        <w:rPr>
          <w:rFonts w:ascii="Times New Roman" w:cs="Times New Roman" w:eastAsia="Times New Roman" w:hAnsi="Times New Roman"/>
          <w:sz w:val="18"/>
          <w:szCs w:val="18"/>
          <w:color w:val="auto"/>
        </w:rPr>
        <w:t>”) will be satisfied by the Company withholding otherwise deliverable Shares having a value approximately equal to the Tax Withholding Obligation (or such greater amount as Participant may elect if permitted by the Administrator, if such greater amount would not result in adverse financial accounting consequences).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Administrator Discretion</w:t>
      </w:r>
      <w:r>
        <w:rPr>
          <w:rFonts w:ascii="Times New Roman" w:cs="Times New Roman" w:eastAsia="Times New Roman" w:hAnsi="Times New Roman"/>
          <w:sz w:val="18"/>
          <w:szCs w:val="18"/>
          <w:color w:val="auto"/>
        </w:rPr>
        <w:t>. If the Administrator determines that Participant cannot satisfy Participant’s Tax Withholding Obligation through the default procedure described in Section 7(b) or the Administrator otherwise determines to permit or require that Participant satisfy Participant’s Tax Withholding Obligation by a method other than through the default procedure set forth in Section 7(b), the Administrator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Withholding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Withholding Rates</w:t>
      </w:r>
      <w:r>
        <w:rPr>
          <w:rFonts w:ascii="Times New Roman" w:cs="Times New Roman" w:eastAsia="Times New Roman" w:hAnsi="Times New Roman"/>
          <w:sz w:val="18"/>
          <w:szCs w:val="18"/>
          <w:color w:val="auto"/>
        </w:rPr>
        <w:t>. The Company may withhold or account for Tax Obligations by considering statutory or other withholding rates, including minimum or maximum rates applicable in Participant’s jurisdiction(s). In the event of over-withholding, Participant may receive a refund of any over-withheld amount in cash (with no entitlement to the equivalent in Stock), or if not refunded, Participant may seek a refund from the local tax authorities. In the event of under-withholding, Participant may be required to pay any additional Tax Obligations directly to the applicable tax authority or to the Company, the Employer and/or the Service Recipient. If the obligation for Tax Obligations is satisfied by withholding in Shares, for tax purposes, Participant will be deemed to have been issued the full number of Shares of Restricted Stock, notwithstanding that a number of the Shares is held back solely for the purpose of paying the Tax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6" w:name="page17"/>
    <w:bookmarkEnd w:id="16"/>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Company’s Obligation to Release Shares</w:t>
      </w:r>
      <w:r>
        <w:rPr>
          <w:rFonts w:ascii="Times New Roman" w:cs="Times New Roman" w:eastAsia="Times New Roman" w:hAnsi="Times New Roman"/>
          <w:sz w:val="18"/>
          <w:szCs w:val="18"/>
          <w:color w:val="auto"/>
        </w:rPr>
        <w:t>. For clarification purposes, in no event will the Company release Shares from the escrow established pursuant to Section 14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Shares of Restricted Stock otherwise are scheduled to vest pursuant to Sections 2 or 3, at the time Participant files a timely 83(b) Election with the IRS, or Participant’s Tax Withholding Obligations otherwise become due, Participant will permanently forfeit such Shares of Restricted Stock to which Participant’s Tax Withholding Obligation relates and any right to receive Shares thereunder and such Shares of Restricted Stock will be returned to the Company at no cost to the Company.</w:t>
      </w:r>
    </w:p>
    <w:p>
      <w:pPr>
        <w:spacing w:after="0" w:line="189"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Dividends.</w:t>
      </w:r>
      <w:r>
        <w:rPr>
          <w:rFonts w:ascii="Times New Roman" w:cs="Times New Roman" w:eastAsia="Times New Roman" w:hAnsi="Times New Roman"/>
          <w:sz w:val="18"/>
          <w:szCs w:val="18"/>
          <w:color w:val="auto"/>
        </w:rPr>
        <w:t xml:space="preserve"> Participant shall be eligible to receive cash and non-cash dividends declared and paid by the Company on Shares declared for which the record date occurs while Shares of Restricted Stock subject to this Award Agreement remain outstanding.</w:t>
      </w: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eligible to vest under this Section 8 will be subject to the same terms and conditions as the Shares of Restricted Stock on which the dividends were paid, including (but not limited to) vesting at the same time as the vesting of the Shares of Restricted Stock on which the dividends were paid. Dividends will not accrue interest and will not be credited with any investment returns related to Shares or otherwise.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subject to Section 8.</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No Guarantee of Continued Service</w:t>
      </w:r>
      <w:r>
        <w:rPr>
          <w:rFonts w:ascii="Times New Roman" w:cs="Times New Roman" w:eastAsia="Times New Roman" w:hAnsi="Times New Roman"/>
          <w:sz w:val="18"/>
          <w:szCs w:val="18"/>
          <w:color w:val="auto"/>
        </w:rPr>
        <w:t>. PARTICIPANT ACKNOWLEDGES AND AGREES THAT THE VESTING OF THE RESTRICTED STOCK PURSUANT TO THE VESTING SCHEDULE HEREOF IS EARNED ONLY BY REMAINING A SERVICE PROVIDER, WHICH UNLESS PROVIDED OTHERWISE UNDER APPLICABLE LAW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Grant is Not Transferable</w:t>
      </w:r>
      <w:r>
        <w:rPr>
          <w:rFonts w:ascii="Times New Roman" w:cs="Times New Roman" w:eastAsia="Times New Roman" w:hAnsi="Times New Roman"/>
          <w:sz w:val="18"/>
          <w:szCs w:val="18"/>
          <w:color w:val="auto"/>
        </w:rPr>
        <w:t>. Except for the escrow described in Section 14 or transfer of the Shares to the Company or its assignees contemplated by this Award Agreement, and except to the limited extent provided in Section 6 and this Section 11 or as otherwise determined by the Administrator, the unvested Shares subject to this Award Agreement and the rights and privileges conferred hereby cannot be transferred, assigned, pledged, hypothecated, or otherwise encumbered or disposed of, in any way (whether by operation of law or otherwise) and will not be subject to sale under execution, attachment or similar process until such Shares shall have vested in accordance with the provisions of this Award Agreement, except to the limited extent provided in Section 6 and this Section 11 or as otherwise determined by the Administrator. Upon any attempt to transfer, assign, pledge, hypothecate, or otherwise encumber or dispose of the unvested Shares subject to this Award Agreement, or any right or privilege conferred hereby, or upon any attempted sale under any execution, attachment or similar process, except to the limited extent provided in Section 6 and this Section 11 or as otherwise determined by the Administrator, this grant and the rights and privileges conferred hereby immediately will become null and void. Unless and until otherwise determined by the Administrator, a transfer pursuant to a qualified domestic relations order (“</w:t>
      </w:r>
      <w:r>
        <w:rPr>
          <w:rFonts w:ascii="Times New Roman" w:cs="Times New Roman" w:eastAsia="Times New Roman" w:hAnsi="Times New Roman"/>
          <w:sz w:val="18"/>
          <w:szCs w:val="18"/>
          <w:u w:val="single" w:color="auto"/>
          <w:color w:val="auto"/>
        </w:rPr>
        <w:t>QDRO</w:t>
      </w:r>
      <w:r>
        <w:rPr>
          <w:rFonts w:ascii="Times New Roman" w:cs="Times New Roman" w:eastAsia="Times New Roman" w:hAnsi="Times New Roman"/>
          <w:sz w:val="18"/>
          <w:szCs w:val="18"/>
          <w:color w:val="auto"/>
        </w:rPr>
        <w:t>”) will be permitted so long as such transfer complies with the QDRO procedures then in effect, as specified by the Administrator or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Nature of Grant</w:t>
      </w:r>
      <w:r>
        <w:rPr>
          <w:rFonts w:ascii="Times New Roman" w:cs="Times New Roman" w:eastAsia="Times New Roman" w:hAnsi="Times New Roman"/>
          <w:sz w:val="18"/>
          <w:szCs w:val="18"/>
          <w:color w:val="auto"/>
        </w:rPr>
        <w:t>. In accepting this Award of Restricted Stock, Participant acknowledges, understands and agrees that: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the grant of the Shares of Restricted Stock is voluntary and occasional and does not create any contractual or other right to receive future grants of equity awards, or benefits in lieu of equity awards, even if equity awards have been granted in the past;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all decisions with respect to future equity award grants, if any, will be at the sole discretion of the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Participant is voluntarily participating in the Plan;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            the Shares of Restricted Stock, and the income from and value of same, are not intended to replace any pension rights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Shares of Restricted Stock, and the income from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(f)            unless otherwise agreed with the Company in writing, the Shares of Restricted Stock and the income from and value of same, are not granted as consideration for, or in connection with, the service Participant may provide as a director of a Subsidiary;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future value of the Shares of Restricted Stock is unknown, indeterminable, and cannot be predicted;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8" w:name="page19"/>
    <w:bookmarkEnd w:id="1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for purposes of the Shares of Restricted Stock,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grant of Shares of Restricted Stock (including whether Participant may still be considered to be providing services while on a leave of absence and consistent with local law);</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unless otherwise provided in the Plan or by the Administrator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the following provisions apply only if Participant is providing services outside the United States: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Restricted Stock Award is not part of normal or expected compensation or salary for any purpose;</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Participant acknowledges and agrees that no Service Recipient shall be liable for any foreign exchange rate fluctuation between Participant’s local currency and the United States Dollar that may affect the value of the Shares of Restricted Stock or of any amounts due to Participant pursuant to the grant or vesting of the Shares of Restricted Stock or the subsequent sale of any such Shares; and</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(iii)           no claim or entitlement to compensation or damages shall arise from forfeiture or recoupment of the Shares of Restricted Stock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 or (ii) the application of any recoupment policy or any recovery or clawback policy otherwise required by law, and in consideration of the grant of the Shares of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Shares of Restricted Stock. Participant is hereby advised to consult with his or her own personal tax, legal and financial advisors regarding his or her participation in the Plan before taking any action related to the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9" w:name="page20"/>
    <w:bookmarkEnd w:id="19"/>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Escrow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All Shares of Restricted Stock will, upon execution of this Award Agreement, be delivered and deposited with an escrow holder designated by the Company (the “</w:t>
      </w:r>
      <w:r>
        <w:rPr>
          <w:rFonts w:ascii="Times New Roman" w:cs="Times New Roman" w:eastAsia="Times New Roman" w:hAnsi="Times New Roman"/>
          <w:sz w:val="18"/>
          <w:szCs w:val="18"/>
          <w:u w:val="single" w:color="auto"/>
          <w:color w:val="auto"/>
        </w:rPr>
        <w:t>Escrow Holder</w:t>
      </w:r>
      <w:r>
        <w:rPr>
          <w:rFonts w:ascii="Times New Roman" w:cs="Times New Roman" w:eastAsia="Times New Roman" w:hAnsi="Times New Roman"/>
          <w:sz w:val="18"/>
          <w:szCs w:val="18"/>
          <w:color w:val="auto"/>
        </w:rPr>
        <w:t>”). The Shares of Restricted Stock will be held by the Escrow Holder until such time as the Shares of Restricted Stock vest or the date Participant’s status as a Service Provider ceases.</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The Escrow Holder will not be liable for any act it may do or omit to do with respect to holding the Shares of Restricted Stock in escrow and while acting in good faith and in the exercise of its judgment.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Upon the cessation of Participant’s status as a Service Provider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Escrow Holder will take all steps necessary to accomplish the transfer of Shares of Restricted Stock to Participant after they vest following Participant’s request that the Escrow Holder do so.</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Subject to the terms hereof, Participant shall have all the rights of a stockholder with respect to such Shares while they are held in escrow, including without limitation, the right to vote the Shares and receive any cash dividends declared thereon.</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             In the event of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the Shares of Restricted Stock will be increased, reduced or otherwise changed, and by virtue of any such change Participant in Participant’s capacity as owner of unvested Shares of Restricted Stock will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 w:name="page21"/>
    <w:bookmarkEnd w:id="20"/>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The Company may instruct the transfer agent for its Stock to place a legend on the certificates representing the Restricted Stock or otherwise note its records as to the restrictions on transfer set forth in this Award Agreement.</w:t>
      </w:r>
    </w:p>
    <w:p>
      <w:pPr>
        <w:spacing w:after="0" w:line="158"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 w:name="page22"/>
    <w:bookmarkEnd w:id="2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U.S.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Shares of Restricted Stock as the Administrator may establish from time to time for reasons of administrative convenience.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2" w:name="page23"/>
    <w:bookmarkEnd w:id="2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Language</w:t>
      </w:r>
      <w:r>
        <w:rPr>
          <w:rFonts w:ascii="Times New Roman" w:cs="Times New Roman" w:eastAsia="Times New Roman" w:hAnsi="Times New Roman"/>
          <w:sz w:val="18"/>
          <w:szCs w:val="18"/>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Amendment, Suspension or Termination of the Plan</w:t>
      </w:r>
      <w:r>
        <w:rPr>
          <w:rFonts w:ascii="Times New Roman" w:cs="Times New Roman" w:eastAsia="Times New Roman" w:hAnsi="Times New Roman"/>
          <w:sz w:val="18"/>
          <w:szCs w:val="18"/>
          <w:color w:val="auto"/>
        </w:rPr>
        <w:t>. By accepting this Award, Participant expressly warrants that Participant has received an Award of Restricted Stock under the Plan, and has received, read and understood a description of the Plan. Participant understands that the Plan is discretionary in nature and may be amended, suspended or terminated by the Administrator at any time.</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  Modifications to the Award Agreement</w:t>
      </w:r>
      <w:r>
        <w:rPr>
          <w:rFonts w:ascii="Times New Roman" w:cs="Times New Roman" w:eastAsia="Times New Roman" w:hAnsi="Times New Roman"/>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Administrator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7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  Imposition of Other Requirements</w:t>
      </w:r>
      <w:r>
        <w:rPr>
          <w:rFonts w:ascii="Times New Roman" w:cs="Times New Roman" w:eastAsia="Times New Roman" w:hAnsi="Times New Roman"/>
          <w:sz w:val="17"/>
          <w:szCs w:val="17"/>
          <w:color w:val="auto"/>
        </w:rPr>
        <w:t>. The Company reserves the right to impose other requirements on Participant’s participation in the Plan, on the Shares of Restricted Stock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 w:name="page24"/>
    <w:bookmarkEnd w:id="2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Forfeiture Under Policy or Law</w:t>
      </w:r>
      <w:r>
        <w:rPr>
          <w:rFonts w:ascii="Times New Roman" w:cs="Times New Roman" w:eastAsia="Times New Roman" w:hAnsi="Times New Roman"/>
          <w:sz w:val="18"/>
          <w:szCs w:val="18"/>
          <w:color w:val="auto"/>
        </w:rPr>
        <w:t>. Participant’s rights with respect to this Award Agreement and the Shares of Restricted Stock (including any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or as may be necessary to comply with applicable laws. For example (but not by way of limitation), as provided in any such Clawback Policy or applicable law, Participant might be required to forfeit to the Company part or all of the Shares (if any) that Participant has received under this Award Agreement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Administrator,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Award of Restricted Stock to re-convey, transfer or otherwise return the Shares and/or other amounts to the Company upon the Company’s enforcement of any Clawback Policy or recovery policy.</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Vesting upon a Qualifying Separation from Service</w:t>
      </w:r>
      <w:r>
        <w:rPr>
          <w:rFonts w:ascii="Times New Roman" w:cs="Times New Roman" w:eastAsia="Times New Roman" w:hAnsi="Times New Roman"/>
          <w:sz w:val="18"/>
          <w:szCs w:val="18"/>
          <w:color w:val="auto"/>
        </w:rPr>
        <w:t>. To the extent that Participant and the Company have entered into a written offer letter or similar written agreement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that provides for accelerated or continued vesting of part or all of this Award if Participant experiences a “Qualifying Separation from Service” (as defined in the Letter), if Participant experiences a Qualifying Separation from Service and complies with the terms of the Letter so that Participant becomes entitled to “Severance Benefits” (as defined in the Letter), Participant also shall be entitled to partial or full vesting of this Award as a Restricted Stock award under the Letter and in accordance with the terms and conditions specified in the Letter. For the avoidance of doubt, any vesting provided under this Section 28 is subject to all of the terms and conditions of the Letter and, if Participant does not comply with the requirements of the Letter to qualify for Severance Benefits, Participant will not be entitled to any vesting under this Section 28</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Governing Law; Venue; Severability</w:t>
      </w:r>
      <w:r>
        <w:rPr>
          <w:rFonts w:ascii="Times New Roman" w:cs="Times New Roman" w:eastAsia="Times New Roman" w:hAnsi="Times New Roman"/>
          <w:sz w:val="18"/>
          <w:szCs w:val="18"/>
          <w:color w:val="auto"/>
        </w:rPr>
        <w:t>. This Award Agreement and the Shares of Restricted Stock are governed by the internal substantive laws, but not the choice of law rules, of the State of Delaware, USA. For purposes of litigating any dispute that arises under the Shares of Restricted Stock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30.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 w:name="page25"/>
    <w:bookmarkEnd w:id="2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Country Addendum</w:t>
      </w:r>
      <w:r>
        <w:rPr>
          <w:rFonts w:ascii="Times New Roman" w:cs="Times New Roman" w:eastAsia="Times New Roman" w:hAnsi="Times New Roman"/>
          <w:sz w:val="18"/>
          <w:szCs w:val="18"/>
          <w:color w:val="auto"/>
        </w:rPr>
        <w:t>. Notwithstanding any provisions in this Award Agreement, the Restricted Stock Award shall be subject to any special terms and conditions set forth in an appendix (if any) to this Award Agreement for any country whose laws are applicable to Participant and this Award of Restricted Stock (as determined by the Administrator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part of this Award Agreement.</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Insider Trading/Market Abuse Laws</w:t>
      </w:r>
      <w:r>
        <w:rPr>
          <w:rFonts w:ascii="Times New Roman" w:cs="Times New Roman" w:eastAsia="Times New Roman" w:hAnsi="Times New Roman"/>
          <w:sz w:val="18"/>
          <w:szCs w:val="18"/>
          <w:color w:val="auto"/>
        </w:rPr>
        <w:t>. By participating in the Plan, Participant agrees to comply with the Company’s policy on insider trading (to the extent that it is applicable to Participant). Participant further acknowledges that, depending on Participant’s or his or her broker’s country of residence or where the Shares are listed, Participant may be subject to insider trading restrictions and/or market abuse laws which may affect Participant’s ability to accept, acquire, sell, or otherwise dispose of Shares, rights to Shares (e.g., Awards) or rights linked to the value of Shares, during such times as Participant is considered to have “inside information” regarding the Company as defined by the laws or regulations in Participant’s country. Local insider trading laws and regulations may prohibit the cancellation or amendment of orders Participant places before he or she possessed inside information. Furthermore, Participant could be prohibited from (i) disclosing the inside information to any third party (other than on a “need to know” basis) and</w:t>
      </w:r>
    </w:p>
    <w:p>
      <w:pPr>
        <w:spacing w:after="0" w:line="3" w:lineRule="exact"/>
        <w:rPr>
          <w:sz w:val="20"/>
          <w:szCs w:val="20"/>
          <w:color w:val="auto"/>
        </w:rPr>
      </w:pPr>
    </w:p>
    <w:p>
      <w:pPr>
        <w:jc w:val="both"/>
        <w:ind w:firstLine="8"/>
        <w:spacing w:after="0" w:line="253" w:lineRule="auto"/>
        <w:tabs>
          <w:tab w:leader="none" w:pos="28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“tipping” third parties or causing them otherwise to buy or sell securities. Participant understands that third parties include fellow employees.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that Participant should therefore consult his or her personal advisor on this matter.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color w:val="auto"/>
        </w:rPr>
        <w:t>Nonemployee Director Form of RSA (2025 EIP)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GRANT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Micron Technology, Inc. 2025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defined meanings in this Restricted Stock Agreement which includes the Notice of Restricted Stock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Restricted Stock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(collectively,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 Name: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The undersigned Participant has been granted the right to receive a Restricted Stock Award, subject to the terms and conditions of the Plan and this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Award Agreement, as follows: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Grant Number: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Date of Grant: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Total Number of Shares of</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Restricted Stock:</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any acceleration provisions contained in the Plan or set forth below, the Shares of Restricted Stock will be scheduled to vest in accordance with the following schedule: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Vesting Schedule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Participant’s ceases to be a member of the Board for any reason before Participant vests in all or some of the Shares of Restricted Stock, the unvested Shares of Restricted Stock and Participant’s right to receive any of such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any of its Subsidiaries or Parents, as applicable (provided that any such other written agreement must have been duly authorized and signed by an officer of the Company or any of its Subsidiaries or Parents).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7" w:name="page28"/>
    <w:bookmarkEnd w:id="2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By Participant electronically accepting this Award Agreement or manually signing this Award Agreement (in either case, as and in the manner specified by the Company), Participant and the Company agree that (1) this Restricted Stock Award is granted under and governed by the terms and conditions of the Plan and this Award Agreement,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Administrator upon any questions relating to the Plan and this Award Agreement. Participant further agrees to notify the Company upon any change in the residence address indicated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RESTRICTED STOCK GRANT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Grant of Shares of Restricted Stock</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named in the Notice of Restricted Stock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 Restricted Stock Award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 “</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the Stock granted under this Award Agreement that is subject to the restrictions imposed hereunder to the extent such restrictions have not then expired or terminated.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Vesting Schedule</w:t>
      </w:r>
      <w:r>
        <w:rPr>
          <w:rFonts w:ascii="Times New Roman" w:cs="Times New Roman" w:eastAsia="Times New Roman" w:hAnsi="Times New Roman"/>
          <w:sz w:val="18"/>
          <w:szCs w:val="18"/>
          <w:color w:val="auto"/>
        </w:rPr>
        <w:t>. Except as provided in Section 3 and subject to Sections 4 and 7, the Shares of Restricted Stock awarded by this Award Agreement will vest in accordance with the vesting provisions set forth in the Notice of Grant, subject to Participant remaining a member of the Board through each applicable vesting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Acceleration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Death or Disability</w:t>
      </w:r>
      <w:r>
        <w:rPr>
          <w:rFonts w:ascii="Times New Roman" w:cs="Times New Roman" w:eastAsia="Times New Roman" w:hAnsi="Times New Roman"/>
          <w:sz w:val="18"/>
          <w:szCs w:val="18"/>
          <w:color w:val="auto"/>
        </w:rPr>
        <w:t>. If Participant ceases to be a member of the Board on account of Participant’s death or Participant becoming Disabled, any Shares of Restricted Stock that both were unexpired and unvested as of the date of termination from the Board, will vest on such date.</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Change in Control.</w:t>
      </w:r>
      <w:r>
        <w:rPr>
          <w:rFonts w:ascii="Times New Roman" w:cs="Times New Roman" w:eastAsia="Times New Roman" w:hAnsi="Times New Roman"/>
          <w:sz w:val="18"/>
          <w:szCs w:val="18"/>
          <w:color w:val="auto"/>
        </w:rPr>
        <w:t xml:space="preserve"> If a Change in Control occurs while Participant is a member of the Board, any Shares of Restricted Stock that both were unexpired and unvested as of immediately preceding the Change in Control, will vest upon the consummation of the Change in Control.</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Termination after Three Years of Board Service</w:t>
      </w:r>
      <w:r>
        <w:rPr>
          <w:rFonts w:ascii="Times New Roman" w:cs="Times New Roman" w:eastAsia="Times New Roman" w:hAnsi="Times New Roman"/>
          <w:sz w:val="18"/>
          <w:szCs w:val="18"/>
          <w:color w:val="auto"/>
        </w:rPr>
        <w:t>. If Participant ceases to be a member of the Board after having attained at least three (3) years of service on the Board prior to the effective date of Participant’s termination from the Board, any Shares of Restricted Stock that both were unexpired and unvested as of the date of termination, will vest on such date.</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Shares of Restricted Stock subject to this Award Agreement at any time, subject to the terms of the Plan. If so accelerated, such Shares of Restricted Stock will be considered as having vested as of the date specified by the Administrator.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Forfeiture Upon Termination from the Board</w:t>
      </w:r>
      <w:r>
        <w:rPr>
          <w:rFonts w:ascii="Times New Roman" w:cs="Times New Roman" w:eastAsia="Times New Roman" w:hAnsi="Times New Roman"/>
          <w:sz w:val="18"/>
          <w:szCs w:val="18"/>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 ceases to be a member of the Board for any or no reason, the then-unvested Shares of Restricted Stock awarded by this Award Agreement will be forfeited at no cost to the Company and Participant will have no further rights thereunder. The date of forfeiture will be the date of termination from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9" w:name="page30"/>
    <w:bookmarkEnd w:id="29"/>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5.         </w:t>
      </w:r>
      <w:r>
        <w:rPr>
          <w:rFonts w:ascii="Times New Roman" w:cs="Times New Roman" w:eastAsia="Times New Roman" w:hAnsi="Times New Roman"/>
          <w:sz w:val="17"/>
          <w:szCs w:val="17"/>
          <w:u w:val="single" w:color="auto"/>
          <w:color w:val="auto"/>
        </w:rPr>
        <w:t>  Tax Consequences</w:t>
      </w:r>
      <w:r>
        <w:rPr>
          <w:rFonts w:ascii="Times New Roman" w:cs="Times New Roman" w:eastAsia="Times New Roman" w:hAnsi="Times New Roman"/>
          <w:sz w:val="17"/>
          <w:szCs w:val="17"/>
          <w:color w:val="auto"/>
        </w:rPr>
        <w:t>. Participant has reviewed with Participant’s own tax advisors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6.         </w:t>
      </w:r>
      <w:r>
        <w:rPr>
          <w:rFonts w:ascii="Times New Roman" w:cs="Times New Roman" w:eastAsia="Times New Roman" w:hAnsi="Times New Roman"/>
          <w:sz w:val="18"/>
          <w:szCs w:val="18"/>
          <w:u w:val="single" w:color="auto"/>
          <w:color w:val="auto"/>
        </w:rPr>
        <w:t>  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under such procedures as the Administrator may specify from time to time or, if the Administrator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Tax Obligations.</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or any Parent or Subsidiary to which Participant is providing services (together, the “</w:t>
      </w:r>
      <w:r>
        <w:rPr>
          <w:rFonts w:ascii="Times New Roman" w:cs="Times New Roman" w:eastAsia="Times New Roman" w:hAnsi="Times New Roman"/>
          <w:sz w:val="18"/>
          <w:szCs w:val="18"/>
          <w:u w:val="single" w:color="auto"/>
          <w:color w:val="auto"/>
        </w:rPr>
        <w:t>Service Recipients</w:t>
      </w:r>
      <w:r>
        <w:rPr>
          <w:rFonts w:ascii="Times New Roman" w:cs="Times New Roman" w:eastAsia="Times New Roman" w:hAnsi="Times New Roman"/>
          <w:sz w:val="18"/>
          <w:szCs w:val="18"/>
          <w:color w:val="auto"/>
        </w:rPr>
        <w:t>”), the ultimate liability for any tax and/or social insurance liability obligations and requirements in connection with the Shares of Restricted Stock,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release from escrow of the Shares of Restricted Stock, the filing of an election under Section 83(b) of the Code (the “</w:t>
      </w:r>
      <w:r>
        <w:rPr>
          <w:rFonts w:ascii="Times New Roman" w:cs="Times New Roman" w:eastAsia="Times New Roman" w:hAnsi="Times New Roman"/>
          <w:sz w:val="18"/>
          <w:szCs w:val="18"/>
          <w:u w:val="single" w:color="auto"/>
          <w:color w:val="auto"/>
        </w:rPr>
        <w:t>83(b) Election</w:t>
      </w:r>
      <w:r>
        <w:rPr>
          <w:rFonts w:ascii="Times New Roman" w:cs="Times New Roman" w:eastAsia="Times New Roman" w:hAnsi="Times New Roman"/>
          <w:sz w:val="18"/>
          <w:szCs w:val="18"/>
          <w:color w:val="auto"/>
        </w:rPr>
        <w:t>”) with respect to the Shares of Restricted Stock, or the sale of Shares, and (iii) any other Service Recipient taxes the responsibility for which Participant has, or has agreed to bear, with respect to the issuance or vesting of the Shares of Restricted Stock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Shares of Restricted Stock, including, but not limited to, the grant, vesting or release from escrow of the Shares of Restricted Stock, the filing of an 83(b) Election with respect to the Shares of Restricted Stock, the subsequent sale of Shares acquired pursuant to this Award Agreement and the receipt of any dividends or other distributions (subject to Section 14(f)), and (B) makes any commitment to and is under any obligation to structure the terms of the grant or any aspect of the Shares of Restricted Stock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 Participant understands that Section 83 of the Code taxes as ordinary income the difference between the purchase price, if any, for the Shares and the Fair Market Value of the Shares as of each vesting date. If Participant is a U.S. taxpayer, Participant understands that Participant may elect, for purposes of U.S. tax law, to be taxed at the time the Shares are granted rather than when such Shares vest by filing an 83(b) Election with the IRS within thirty (30) days from the date of grant of the Restricted Stock Award.</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Tax Withholding and Default Method of Tax Withholding</w:t>
      </w:r>
      <w:r>
        <w:rPr>
          <w:rFonts w:ascii="Times New Roman" w:cs="Times New Roman" w:eastAsia="Times New Roman" w:hAnsi="Times New Roman"/>
          <w:sz w:val="18"/>
          <w:szCs w:val="18"/>
          <w:color w:val="auto"/>
        </w:rPr>
        <w:t>. Unless Participant timely files an 83(b) Election, when Shares of Restricted Stock vest, Participant generally will recognize immediate U.S. taxable income if Participant is a U.S. taxpayer. If Participant is a non-U.S. taxpayer, Participant may be subject to applicable taxes in his or her jurisdiction. Unless otherwise determined by the Administrator, the minimum amount of Tax Obligations that the Company determines must be withheld with respect to this Award (“</w:t>
      </w:r>
      <w:r>
        <w:rPr>
          <w:rFonts w:ascii="Times New Roman" w:cs="Times New Roman" w:eastAsia="Times New Roman" w:hAnsi="Times New Roman"/>
          <w:sz w:val="18"/>
          <w:szCs w:val="18"/>
          <w:u w:val="single" w:color="auto"/>
          <w:color w:val="auto"/>
        </w:rPr>
        <w:t>Tax Withholding Obligation</w:t>
      </w:r>
      <w:r>
        <w:rPr>
          <w:rFonts w:ascii="Times New Roman" w:cs="Times New Roman" w:eastAsia="Times New Roman" w:hAnsi="Times New Roman"/>
          <w:sz w:val="18"/>
          <w:szCs w:val="18"/>
          <w:color w:val="auto"/>
        </w:rPr>
        <w:t>”) will be satisfied by the Company withholding otherwise deliverable Shares having a value approximately equal to the Tax Withholding Obligation (or such greater amount as Participant may elect if permitted by the Administrator, if such greater amount would not result in adverse financial accounting consequences).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Administrator Discretion</w:t>
      </w:r>
      <w:r>
        <w:rPr>
          <w:rFonts w:ascii="Times New Roman" w:cs="Times New Roman" w:eastAsia="Times New Roman" w:hAnsi="Times New Roman"/>
          <w:sz w:val="18"/>
          <w:szCs w:val="18"/>
          <w:color w:val="auto"/>
        </w:rPr>
        <w:t>. If the Administrator determines that Participant cannot satisfy Participant’s Tax Withholding Obligation through the default procedure described in Section 7(b) or the Administrator otherwise determines to permit or require that Participant satisfy Participant’s Tax Withholding Obligation by a method other than through the default procedure set forth in Section 7(b), the Administrator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Withholding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Withholding Rates</w:t>
      </w:r>
      <w:r>
        <w:rPr>
          <w:rFonts w:ascii="Times New Roman" w:cs="Times New Roman" w:eastAsia="Times New Roman" w:hAnsi="Times New Roman"/>
          <w:sz w:val="18"/>
          <w:szCs w:val="18"/>
          <w:color w:val="auto"/>
        </w:rPr>
        <w:t>. The Company may withhold or account for Tax Obligations by considering statutory or other withholding rates, including minimum or maximum rates applicable in Participant’s jurisdiction(s). In the event of over-withholding, Participant may receive a refund of any over-withheld amount in cash (with no entitlement to the equivalent in Stock), or if not refunded, Participant may seek a refund from the local tax authorities. In the event of under-withholding, Participant may be required to pay any additional Tax Obligations directly to the applicable tax authority or to the Company, the Employer and/or the Service Recipient. If the obligation for Tax Obligations is satisfied by withholding in Shares, for tax purposes, Participant will be deemed to have been issued the full number of Shares of Restricted Stock, notwithstanding that a number of the Shares is held back solely for the purpose of paying the Tax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Company’s Obligation to Release Shares</w:t>
      </w:r>
      <w:r>
        <w:rPr>
          <w:rFonts w:ascii="Times New Roman" w:cs="Times New Roman" w:eastAsia="Times New Roman" w:hAnsi="Times New Roman"/>
          <w:sz w:val="18"/>
          <w:szCs w:val="18"/>
          <w:color w:val="auto"/>
        </w:rPr>
        <w:t>. For clarification purposes, in no event will the Company release Shares from the escrow established pursuant to Section 14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Shares of Restricted Stock otherwise are scheduled to vest pursuant to Sections 2 or 3, at the time Participant files a timely 83(b) Election with the IRS, or Participant’s Tax Withholding Obligations otherwise become due, Participant will permanently forfeit such Shares of Restricted Stock to which Participant’s Tax Withholding Obligation relates and any right to receive Shares thereunder and such Shares of Restricted Stock will be returned to the Company at no cost to the Company.</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Dividends.</w:t>
      </w:r>
      <w:r>
        <w:rPr>
          <w:rFonts w:ascii="Times New Roman" w:cs="Times New Roman" w:eastAsia="Times New Roman" w:hAnsi="Times New Roman"/>
          <w:sz w:val="18"/>
          <w:szCs w:val="18"/>
          <w:color w:val="auto"/>
        </w:rPr>
        <w:t xml:space="preserve"> Participant shall be eligible to receive cash and non-cash dividends declared and paid by the Company on Shares declared for which the record date occurs while Shares of Restricted Stock subject to this Award Agreement remain outstanding.</w:t>
      </w:r>
    </w:p>
    <w:p>
      <w:pPr>
        <w:jc w:val="both"/>
        <w:spacing w:after="0" w:line="255" w:lineRule="auto"/>
        <w:rPr>
          <w:sz w:val="20"/>
          <w:szCs w:val="20"/>
          <w:color w:val="auto"/>
        </w:rPr>
      </w:pPr>
      <w:r>
        <w:rPr>
          <w:rFonts w:ascii="Times New Roman" w:cs="Times New Roman" w:eastAsia="Times New Roman" w:hAnsi="Times New Roman"/>
          <w:sz w:val="18"/>
          <w:szCs w:val="18"/>
          <w:color w:val="auto"/>
        </w:rPr>
        <w:t>Dividends eligible to vest under this Section 8 will be subject to the same terms and conditions as the Shares of Restricted Stock on which the dividends were paid, including (but not limited to) vesting at the same time as the vesting of the Shares of Restricted Stock on which the dividends were paid. Dividends will not accrue interest and will not be credited with any investment returns related to Shares or otherwise.</w:t>
      </w:r>
    </w:p>
    <w:p>
      <w:pPr>
        <w:spacing w:after="0" w:line="18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or the Escrow Agent. After such issuance, recordation and delivery, Participant will have all the rights of a stockholder of the Company with respect to voting such Shares and receipt of dividends and distributions on such Shares, subject to Section 8.</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No Guarantee of Continued Service</w:t>
      </w:r>
      <w:r>
        <w:rPr>
          <w:rFonts w:ascii="Times New Roman" w:cs="Times New Roman" w:eastAsia="Times New Roman" w:hAnsi="Times New Roman"/>
          <w:sz w:val="18"/>
          <w:szCs w:val="18"/>
          <w:color w:val="auto"/>
        </w:rPr>
        <w:t>. PARTICIPANT ACKNOWLEDGES AND AGREES THAT THE VESTING OF THE RESTRICTED STOCK PURSUANT TO THE VESTING SCHEDULE HEREOF IS EARNED ONLY BY REMAINING A MEMBER OF THE BOARD, WHICH UNLESS PROVIDED OTHERWISE UNDER APPLICABLE LAW IS AT THE WILL OF THE APPLICABLE SERVICE RECIPIENT AND NOT THROUGH THE ACT OF BEING HIRED, BEING GRANTED THIS RESTRICTED STOCK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Grant is Not Transferable</w:t>
      </w:r>
      <w:r>
        <w:rPr>
          <w:rFonts w:ascii="Times New Roman" w:cs="Times New Roman" w:eastAsia="Times New Roman" w:hAnsi="Times New Roman"/>
          <w:sz w:val="18"/>
          <w:szCs w:val="18"/>
          <w:color w:val="auto"/>
        </w:rPr>
        <w:t>. Except for the escrow described in Section 14 or transfer of the Shares to the Company or its assignees contemplated by this Award Agreement, and except to the limited extent provided in Section 6 and this Section 11 or as otherwise determined by the Administrator, the unvested Shares subject to this Award Agreement and the rights and privileges conferred hereby cannot be transferred, assigned, pledged, hypothecated, or otherwise encumbered or disposed of, in any way (whether by operation of law or otherwise) and will not be subject to sale under execution, attachment or similar process until such Shares shall have vested in accordance with the provisions of this Award Agreement, except to the limited extent provided in Section 6 and this Section 11 or as otherwise determined by the Administrator. Upon any attempt to transfer, assign, pledge, hypothecate, or otherwise encumber or dispose of the unvested Shares subject to this Award Agreement, or any right or privilege conferred hereby, or upon any attempted sale under any execution, attachment or similar process, except to the limited extent provided in Section 6 and this Section 11 or as otherwise determined by the Administrator, this grant and the rights and privileges conferred hereby immediately will become null and void. Unless and until otherwise determined by the Administrator, a transfer pursuant to a qualified domestic relations order (“</w:t>
      </w:r>
      <w:r>
        <w:rPr>
          <w:rFonts w:ascii="Times New Roman" w:cs="Times New Roman" w:eastAsia="Times New Roman" w:hAnsi="Times New Roman"/>
          <w:sz w:val="18"/>
          <w:szCs w:val="18"/>
          <w:u w:val="single" w:color="auto"/>
          <w:color w:val="auto"/>
        </w:rPr>
        <w:t>QDRO</w:t>
      </w:r>
      <w:r>
        <w:rPr>
          <w:rFonts w:ascii="Times New Roman" w:cs="Times New Roman" w:eastAsia="Times New Roman" w:hAnsi="Times New Roman"/>
          <w:sz w:val="18"/>
          <w:szCs w:val="18"/>
          <w:color w:val="auto"/>
        </w:rPr>
        <w:t>”) will be permitted so long as such transfer complies with the QDRO procedures then in effect, as specified by the Administrator or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Nature of Grant</w:t>
      </w:r>
      <w:r>
        <w:rPr>
          <w:rFonts w:ascii="Times New Roman" w:cs="Times New Roman" w:eastAsia="Times New Roman" w:hAnsi="Times New Roman"/>
          <w:sz w:val="18"/>
          <w:szCs w:val="18"/>
          <w:color w:val="auto"/>
        </w:rPr>
        <w:t>. In accepting this Award of Restricted Stock, Participant acknowledges, understands and agrees that: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grant of the Shares of Restricted Stock is voluntary and occasional and does not create any contractual or other right to receive future grants of equity awards, or benefits in lieu of equity awards, even if equity awards have been granted in the past;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all decisions with respect to future equity award grants, if any, will be at the sole discretion of the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Participant is voluntarily participating in the Plan;</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the Shares of Restricted Stock, and the income from and value of same, are not intended to replace any pension rights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Shares of Restricted Stock, and the income from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unless otherwise agreed with the Company in writing, the Shares of Restricted Stock and the income from and value of same, are not granted as consideration for, or in connection with, the service Participant may provide as a director of a Subsidiary;</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future value of the Shares of Restricted Stock is unknown, indeterminable, and cannot be predicted;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for purposes of the Shares of Restricted Stock,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Shares of Restricted Stock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grant of Shares of Restricted Stock (including whether Participant may still be considered to be providing services while on a leave of absence and consistent with local law);</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unless otherwise provided in the Plan or by the Administrator in its discretion, the Shares of Restricted Stock and the benefits evidenced by this Award Agreement do not create any entitlement to have the Shares of Restricted Stock or any such benefits transferred to, or assumed by, another company nor be exchanged, cashed out or substituted for, in connection with any corporate transaction affecting the Shares;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the following provisions apply only if Participant is providing services outside the United States:</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Restricted Stock Award is not part of normal or expected compensation or salary for any purpose;</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Participant acknowledges and agrees that no Service Recipient shall be liable for any foreign exchange rate fluctuation between Participant’s local currency and the United States Dollar that may affect the value of the Shares of Restricted Stock or of any amounts due to Participant pursuant to the grant or vesting of the Shares of Restricted Stock or the subsequent sale of any such Shares; and</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(iii)          no claim or entitlement to compensation or damages shall arise from forfeiture or recoupment of the Shares of Restricted Stock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 or (ii) the application of any recoupment policy or any recovery or clawback policy otherwise required by law, and in consideration of the grant of the Shares of Restricted Stock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Shares of Restricted Stock. Participant is hereby advised to consult with his or her own personal tax, legal and financial advisors regarding his or her participation in the Plan before taking any action related to the Plan.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4" w:name="page35"/>
    <w:bookmarkEnd w:id="34"/>
    <w:p>
      <w:pPr>
        <w:ind w:left="66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Escrow of Shares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All Shares of Restricted Stock will, upon execution of this Award Agreement, be delivered and deposited with an escrow holder designated by the Company (the “Escrow Holder”). The Shares of Restricted Stock will be held by the Escrow Holder until such time as the Shares of Restricted Stock vest or the date Participant ceases to be a member of the Board.</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The Escrow Holder will not be liable for any act it may do or omit to do with respect to holding the Shares of Restricted Stock in escrow and while acting in good faith and in the exercise of its judgment.</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Upon Participant ceasing to be a member of the Board for any reason, the Escrow Holder, upon receipt of written notice of such termination, will take all steps necessary to accomplish the transfer of the unvested Shares of Restricted Stock to the Company. Participant hereby appoints the Escrow Holder with full power of substitution, as Participant’s true and lawful attorney-in-fact with irrevocable power and authority in the name and on behalf of Participant to take any action and execute all documents and instruments, including, without limitation, stock powers which may be necessary to transfer the certificate or certificates evidencing such unvested Shares of Restricted Stock to the Company upon such termination.</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Escrow Holder will take all steps necessary to accomplish the transfer of Shares of Restricted Stock to Participant after they vest following Participant’s request that the Escrow Holder do so.</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Subject to the terms hereof, Participant shall have all the rights of a stockholder with respect to such Shares while they are held in escrow, including without limitation, the right to vote the Shares and receive any cash dividends declared thereon.</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           In the event of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the Shares of Restricted Stock will be increased, reduced or otherwise changed, and by virtue of any such change Participant in Participant’s capacity as owner of unvested Shares of Restricted Stock will be entitled to new or additional or different shares of stock, cash or securities (other than rights or warrants to purchase securities); such new or additional or different shares, cash or securities will thereupon be considered to be unvested Shares of Restricted Stock and will be subject to all of the conditions and restrictions which were applicable to the unvested Shares of Restricted Stock pursuant to this Award Agreement. If Participant receives rights or warrants with respect to any unvested Shares of Restricted Stock, such rights or warrants may be held or exercised by Participant, provided that until such exercise any such rights or warrants and after such exercise any shares or other securities acquired by the exercise of such rights or warrants will be considered to be unvested Shares of Restricted Stock and will be subject to all of the conditions and restrictions which were applicable to the unvested Shares of Restricted Stock pursuant to this Award Agreement. The Administrator in its absolute discretion at any time may accelerate the vesting of all or any portion of such new or additional shares of stock, cash or securities, rights or warrants to purchase securities or shares or other securities acquired by the exercise of such rights or warrants.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(g)           The Company may instruct the transfer agent for its Stock to place a legend on the certificates representing the Restricted Stock or otherwise note its records as to the restrictions on transfer set forth in this Award Agreement.</w:t>
      </w:r>
    </w:p>
    <w:p>
      <w:pPr>
        <w:spacing w:after="0" w:line="158" w:lineRule="exact"/>
        <w:rPr>
          <w:sz w:val="20"/>
          <w:szCs w:val="20"/>
          <w:color w:val="auto"/>
        </w:rPr>
      </w:pPr>
    </w:p>
    <w:p>
      <w:pPr>
        <w:jc w:val="both"/>
        <w:ind w:right="20" w:firstLine="648"/>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Participant’s personal data as described in this Award Agreement and any other Restricted Stock grant materials by and among, as applicable, the Service Recipients for the exclusive purpose of implementing, administering and managing Participant’s participation in the Plan.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U.S.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Shares of Restricted Stock as the Administrator may establish from time to time for reasons of administrative convenience.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Language</w:t>
      </w:r>
      <w:r>
        <w:rPr>
          <w:rFonts w:ascii="Times New Roman" w:cs="Times New Roman" w:eastAsia="Times New Roman" w:hAnsi="Times New Roman"/>
          <w:sz w:val="18"/>
          <w:szCs w:val="18"/>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Shares of Restricted Stock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Amendment, Suspension or Termination of the Plan</w:t>
      </w:r>
      <w:r>
        <w:rPr>
          <w:rFonts w:ascii="Times New Roman" w:cs="Times New Roman" w:eastAsia="Times New Roman" w:hAnsi="Times New Roman"/>
          <w:sz w:val="18"/>
          <w:szCs w:val="18"/>
          <w:color w:val="auto"/>
        </w:rPr>
        <w:t>. By accepting this Award, Participant expressly warrants that Participant has received an Award of Restricted Stock under the Plan, and has received, read and understood a description of the Plan. Participant understands that the Plan is discretionary in nature and may be amended, suspended or terminated by the Administrator at any time.</w:t>
      </w:r>
    </w:p>
    <w:p>
      <w:pPr>
        <w:spacing w:after="0" w:line="17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17"/>
          <w:szCs w:val="17"/>
          <w:color w:val="auto"/>
        </w:rPr>
        <w:t>25.         </w:t>
      </w:r>
      <w:r>
        <w:rPr>
          <w:rFonts w:ascii="Times New Roman" w:cs="Times New Roman" w:eastAsia="Times New Roman" w:hAnsi="Times New Roman"/>
          <w:sz w:val="17"/>
          <w:szCs w:val="17"/>
          <w:u w:val="single" w:color="auto"/>
          <w:color w:val="auto"/>
        </w:rPr>
        <w:t>  Modifications to the Award Agreement</w:t>
      </w:r>
      <w:r>
        <w:rPr>
          <w:rFonts w:ascii="Times New Roman" w:cs="Times New Roman" w:eastAsia="Times New Roman" w:hAnsi="Times New Roman"/>
          <w:sz w:val="17"/>
          <w:szCs w:val="17"/>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Administrator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73"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26.         </w:t>
      </w:r>
      <w:r>
        <w:rPr>
          <w:rFonts w:ascii="Times New Roman" w:cs="Times New Roman" w:eastAsia="Times New Roman" w:hAnsi="Times New Roman"/>
          <w:sz w:val="17"/>
          <w:szCs w:val="17"/>
          <w:u w:val="single" w:color="auto"/>
          <w:color w:val="auto"/>
        </w:rPr>
        <w:t>  Imposition of Other Requirements</w:t>
      </w:r>
      <w:r>
        <w:rPr>
          <w:rFonts w:ascii="Times New Roman" w:cs="Times New Roman" w:eastAsia="Times New Roman" w:hAnsi="Times New Roman"/>
          <w:sz w:val="17"/>
          <w:szCs w:val="17"/>
          <w:color w:val="auto"/>
        </w:rPr>
        <w:t>. The Company reserves the right to impose other requirements on Participant’s participation in the Plan, on the Shares of Restricted Stock and on any Shares acquired under the Plan, to the extent the Company determines it is necessary or advisable for legal or administrative reasons, and to require Participant to sign any additional agreements or undertakings that may be necessary to accomplish the foregoing.</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Forfeiture Under Policy or Law</w:t>
      </w:r>
      <w:r>
        <w:rPr>
          <w:rFonts w:ascii="Times New Roman" w:cs="Times New Roman" w:eastAsia="Times New Roman" w:hAnsi="Times New Roman"/>
          <w:sz w:val="18"/>
          <w:szCs w:val="18"/>
          <w:color w:val="auto"/>
        </w:rPr>
        <w:t>. Participant’s rights with respect to this Award Agreement and the Shares of Restricted Stock (including any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or as may be necessary to comply with applicable laws. For example (but not by way of limitation), as provided in any such Clawback Policy or applicable law, Participant might be required to forfeit to the Company part or all of the Shares (if any) that Participant has received under this Award Agreement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Administrator,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Award of Restricted Stock to re-convey, transfer or otherwise return the Shares and/or other amounts to the Company upon the Company’s enforcement of any Clawback Policy or recovery policy.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Governing Law; Venue; Severability</w:t>
      </w:r>
      <w:r>
        <w:rPr>
          <w:rFonts w:ascii="Times New Roman" w:cs="Times New Roman" w:eastAsia="Times New Roman" w:hAnsi="Times New Roman"/>
          <w:sz w:val="18"/>
          <w:szCs w:val="18"/>
          <w:color w:val="auto"/>
        </w:rPr>
        <w:t>. This Award Agreement and the Shares of Restricted Stock are governed by the internal substantive laws, but not the choice of law rules, of the State of Delaware, USA. For purposes of litigating any dispute that arises under the Shares of Restricted Stock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30.         </w:t>
      </w:r>
      <w:r>
        <w:rPr>
          <w:rFonts w:ascii="Times New Roman" w:cs="Times New Roman" w:eastAsia="Times New Roman" w:hAnsi="Times New Roman"/>
          <w:sz w:val="18"/>
          <w:szCs w:val="18"/>
          <w:u w:val="single" w:color="auto"/>
          <w:color w:val="auto"/>
        </w:rPr>
        <w:t>  Country Addendum</w:t>
      </w:r>
      <w:r>
        <w:rPr>
          <w:rFonts w:ascii="Times New Roman" w:cs="Times New Roman" w:eastAsia="Times New Roman" w:hAnsi="Times New Roman"/>
          <w:sz w:val="18"/>
          <w:szCs w:val="18"/>
          <w:color w:val="auto"/>
        </w:rPr>
        <w:t>. Notwithstanding any provisions in this Award Agreement, the Restricted Stock Award shall be subject to any special terms and conditions set forth in an appendix (if any) to this Award Agreement for any country whose laws are applicable to Participant and this Award of Restricted Stock (as determined by the Administrator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if any, constitutes part of this Award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Insider Trading/Market Abuse Laws</w:t>
      </w:r>
      <w:r>
        <w:rPr>
          <w:rFonts w:ascii="Times New Roman" w:cs="Times New Roman" w:eastAsia="Times New Roman" w:hAnsi="Times New Roman"/>
          <w:sz w:val="18"/>
          <w:szCs w:val="18"/>
          <w:color w:val="auto"/>
        </w:rPr>
        <w:t>. By participating in the Plan, Participant agrees to comply with the Company’s policy on insider trading (to the extent that it is applicable to Participant). Participant further acknowledges that, depending on Participant’s or his or her broker’s country of residence or where the Shares are listed, Participant may be subject to insider trading restrictions and/or market abuse laws which may affect Participant’s ability to accept, acquire, sell, or otherwise dispose of Shares, rights to Shares (e.g., Awards) or rights linked to the value of Shares, during such times as Participant is considered to have “inside information” regarding the Company as defined by the laws or regulations in Participant’s country. Local insider trading laws and regulations may prohibit the cancellation or amendment of orders Participant places before he or she possessed inside information. Furthermore, Participant could be prohibited from (i) disclosing the inside information to any third party (other than on a “need to know” basis) and</w:t>
      </w:r>
    </w:p>
    <w:p>
      <w:pPr>
        <w:spacing w:after="0" w:line="3" w:lineRule="exact"/>
        <w:rPr>
          <w:sz w:val="20"/>
          <w:szCs w:val="20"/>
          <w:color w:val="auto"/>
        </w:rPr>
      </w:pPr>
    </w:p>
    <w:p>
      <w:pPr>
        <w:jc w:val="both"/>
        <w:ind w:firstLine="8"/>
        <w:spacing w:after="0" w:line="253" w:lineRule="auto"/>
        <w:tabs>
          <w:tab w:leader="none" w:pos="2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“tipping” third parties or causing them otherwise to buy or sell securities. Participant understands that third parties include fellow employees. Any restrictions under these laws or regulations are separate from and in addition to any restrictions that may be imposed under any applicable Company insider trading policy. Participant acknowledges that it is Participant’s responsibility to comply with any applicable restrictions, and that Participant should therefore consult his or her personal advisor on this matter.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RESTRICTED STOCK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Country Addendum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color w:val="auto"/>
        </w:rPr>
        <w:t>Data Center SSD Performance Unit Agreement (2025 EIP)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UNIT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PERFORMANCE UNIT GRANT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Micron Technology, Inc. 2025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defined meanings in this Performance Unit Agreement which includes the Notice of Performance Unit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Performance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Additional Terms of Data Center SSD Performance Units,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all other exhibits, appendices, and addenda attached hereto (collectively,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 Name:     </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the right to receive an Award of performance-based Restricted Stock Units (the “</w:t>
      </w:r>
      <w:r>
        <w:rPr>
          <w:rFonts w:ascii="Times New Roman" w:cs="Times New Roman" w:eastAsia="Times New Roman" w:hAnsi="Times New Roman"/>
          <w:sz w:val="18"/>
          <w:szCs w:val="18"/>
          <w:u w:val="single" w:color="auto"/>
          <w:color w:val="auto"/>
        </w:rPr>
        <w:t>Data Center SSD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subject to the terms and conditions of the Plan and this Award Agreement, as follows:</w:t>
      </w:r>
    </w:p>
    <w:p>
      <w:pPr>
        <w:sectPr>
          <w:pgSz w:w="11900" w:h="16838" w:orient="portrait"/>
          <w:cols w:equalWidth="0" w:num="1">
            <w:col w:w="11240"/>
          </w:cols>
          <w:pgMar w:left="320" w:top="1120" w:right="33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 Number:</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of Grant:</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Target Number of Shares Subject to Data Center SSD Performance Units:</w:t>
      </w:r>
    </w:p>
    <w:p>
      <w:pPr>
        <w:spacing w:after="0" w:line="25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Maximum Number of Shares Subject to Data Center SSD Performance Units: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266% of Target Number of Shares Subject to Data Center SSD Performance Units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356616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0">
                      <a:extLst>
                        <a:ext uri="{28A0092B-C50C-407E-A947-70E740481C1C}"/>
                      </a:extLst>
                    </a:blip>
                    <a:srcRect/>
                    <a:stretch>
                      <a:fillRect/>
                    </a:stretch>
                  </pic:blipFill>
                  <pic:spPr bwMode="auto">
                    <a:xfrm>
                      <a:off x="0" y="0"/>
                      <a:ext cx="356616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-442595</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1">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-725170</wp:posOffset>
            </wp:positionV>
            <wp:extent cx="35661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2">
                      <a:extLst>
                        <a:ext uri="{28A0092B-C50C-407E-A947-70E740481C1C}"/>
                      </a:extLst>
                    </a:blip>
                    <a:srcRect/>
                    <a:stretch>
                      <a:fillRect/>
                    </a:stretch>
                  </pic:blipFill>
                  <pic:spPr bwMode="auto">
                    <a:xfrm>
                      <a:off x="0" y="0"/>
                      <a:ext cx="35661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-1008380</wp:posOffset>
            </wp:positionV>
            <wp:extent cx="35661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75" w:lineRule="exact"/>
        <w:rPr>
          <w:sz w:val="20"/>
          <w:szCs w:val="20"/>
          <w:color w:val="auto"/>
        </w:rPr>
      </w:pPr>
    </w:p>
    <w:p>
      <w:pPr>
        <w:sectPr>
          <w:pgSz w:w="11900" w:h="16838" w:orient="portrait"/>
          <w:cols w:equalWidth="0" w:num="2">
            <w:col w:w="5320" w:space="300"/>
            <w:col w:w="5620"/>
          </w:cols>
          <w:pgMar w:left="320" w:top="1120" w:right="339" w:bottom="1440" w:gutter="0" w:footer="0" w:header="0"/>
          <w:type w:val="continuous"/>
        </w:sect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Subject to any acceleration provisions contained in the Plan or set forth below, the Data Center SSD Performance Units will be scheduled to vest in accordance with, and be subject to, the Additional Terms of Data Center SSD Performance Units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Participant’s status as a Service Provider ends for any reason before Participant vests in all or some of the Data Center SSD Performance Units, the unvested Data Center SSD Performance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any of its Subsidiaries or Parents, as applicable (provided that any such other written agreement must have been duly authorized and signed by an officer of the Company or any of its Subsidiaries or Parents).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type w:val="continuous"/>
        </w:sectPr>
      </w:pPr>
    </w:p>
    <w:bookmarkStart w:id="42" w:name="page43"/>
    <w:bookmarkEnd w:id="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By Participant electronically accepting this Award Agreement or manually signing this Award Agreement (in either case, as and in the manner specified by the Company), Participant and the Company agree that (1) this Data Center SSD Performance Unit Award is granted under and governed by the terms and conditions of the Plan and this Award Agreement,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Administrator upon any questions relating to the Plan and this Award Agreement. Participant further agrees to notify the Company upon any change in the residence address indicated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PERFORMANCE UNIT GRANT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Grant of Data Center SSD Performance Units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named in the Notice of Performance Unit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an Award of performance-based Restricted Stock Units (and referred to herein as Data Center SSD Performance Units)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Company’s Obligation to Pay</w:t>
      </w:r>
      <w:r>
        <w:rPr>
          <w:rFonts w:ascii="Times New Roman" w:cs="Times New Roman" w:eastAsia="Times New Roman" w:hAnsi="Times New Roman"/>
          <w:sz w:val="18"/>
          <w:szCs w:val="18"/>
          <w:color w:val="auto"/>
        </w:rPr>
        <w:t>. Each Data Center SSD Performance Unit represents the right to receive a Share on the date it vests. Unless and until the Data Center SSD Performance Units will have vested in the manner set forth in Section 3 or 4, Participant will have no right to payment of any such Data Center SSD Performance Units. Prior to actual payment of any vested Data Center SSD Performance Units, such Data Center SSD Performance Unit will represent an unsecured obligation of the Company, payable (if at all) only from the general assets of the Company.</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Vesting Schedule</w:t>
      </w:r>
      <w:r>
        <w:rPr>
          <w:rFonts w:ascii="Times New Roman" w:cs="Times New Roman" w:eastAsia="Times New Roman" w:hAnsi="Times New Roman"/>
          <w:sz w:val="18"/>
          <w:szCs w:val="18"/>
          <w:color w:val="auto"/>
        </w:rPr>
        <w:t>. Except as provided in Section 4, and subject to Section 5, the Data Center SSD Performance Units awarded by this Award Agreement will vest in accordance with the vesting provisions set forth in the Notice of Grant, subject to Participant remaining a Service Provider through each applicable vesting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Payment after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 Rule</w:t>
      </w:r>
      <w:r>
        <w:rPr>
          <w:rFonts w:ascii="Times New Roman" w:cs="Times New Roman" w:eastAsia="Times New Roman" w:hAnsi="Times New Roman"/>
          <w:sz w:val="18"/>
          <w:szCs w:val="18"/>
          <w:color w:val="auto"/>
        </w:rPr>
        <w:t>. Subject to Section 8, any Data Center SSD Performance Units that vest will be paid to Participant (or in the event of Participant’s death, to his or her properly designated beneficiary or estate) in Shares. Subject to this Section 4 and Section 9, such vested Data Center SSD Performance Units shall be paid in Shares as soon as administratively practicable after vesting, but in each such case within thirty (30) days following the vesting date (such payment date being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In no event will Participant be permitted, directly or indirectly, to specify the taxable year of payment of any Data Center SSD Performance Units payable under this Award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Acceleration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Death or Disability</w:t>
      </w:r>
      <w:r>
        <w:rPr>
          <w:rFonts w:ascii="Times New Roman" w:cs="Times New Roman" w:eastAsia="Times New Roman" w:hAnsi="Times New Roman"/>
          <w:sz w:val="18"/>
          <w:szCs w:val="18"/>
          <w:color w:val="auto"/>
        </w:rPr>
        <w:t>. If Participant ceases to be a Service Provider on account of Participant’s death or Participant becoming Disabled, any Data Center SSD Performance Units that both were unexpired and unvested as of the date Participant ceases to be a Service Provider, will vest on such date.</w:t>
      </w:r>
    </w:p>
    <w:p>
      <w:pPr>
        <w:spacing w:after="0" w:line="176"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Change in Control.</w:t>
      </w:r>
      <w:r>
        <w:rPr>
          <w:rFonts w:ascii="Times New Roman" w:cs="Times New Roman" w:eastAsia="Times New Roman" w:hAnsi="Times New Roman"/>
          <w:sz w:val="18"/>
          <w:szCs w:val="18"/>
          <w:color w:val="auto"/>
        </w:rPr>
        <w:t xml:space="preserve"> Except as specifically provided otherwise in this Award Agreement or in another written agreement between Participant and the Company or any of its Subsidiaries or Parents, as applicable (provided that any such other written agreement must have been duly authorized and signed by an officer of the Company or any of its Subsidiaries or Parents), if a Change in Control occurs during the Performance Period (as defined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and before Participant ceases to be a Service Provider, any Data Center SSD Performance Units will be treated in accordance with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4" w:name="page45"/>
    <w:bookmarkEnd w:id="44"/>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Data Center SSD Performance Units at any time, subject to the terms of the Plan. If so accelerated, such Data Center SSD Performance Units will be considered as having vested as of the date specified by the Administrator.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prior sentence may be superseded in a future agreement or amendment to this Award Agreement only by direct and specific reference to such sentence.</w:t>
      </w:r>
    </w:p>
    <w:p>
      <w:pPr>
        <w:spacing w:after="0" w:line="18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(iv)            Notwithstanding anything in the Plan or this Award Agreement or any other agreement (whether entered into before, on, or after the Date of Grant), if the vesting of the balance, or some lesser portion of the balance, of the Data Center SSD Performance Units is accelerated in connection with the cessation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Data Center SSD Performance Units will result in the imposition of additional tax under Section 409A if paid to Participant on or within the six (6) month period following the cessation of Participant’s status as a Service Provider, then the payment of such accelerated Data Center SSD Performance Units will not be made until the date six (6) months and one (1) day following the date of cessation of Participant’s status as a Service Provider, unless Participant dies following his or her termination as a Service Provider, in which case, the Data Center SSD Performance Units will be paid in Shares to Participant’s estate as soon as practicable following his or her death.</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It is the intent of this Award Agreement that it and all payments and benefits to U.S. taxpayers hereunder be exempt from, or comply with, the requirements of Section 409A so that none of the Data Center SSD Performance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Forfeiture Upon Termination as a Service Provider</w:t>
      </w:r>
      <w:r>
        <w:rPr>
          <w:rFonts w:ascii="Times New Roman" w:cs="Times New Roman" w:eastAsia="Times New Roman" w:hAnsi="Times New Roman"/>
          <w:sz w:val="18"/>
          <w:szCs w:val="18"/>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 ceases to be a Service Provider for any or no reason, the then-unvested Data Center SSD Performance Units awarded by this Award Agreement will be forfeited at no cost to the Company and Participant will have no further rights thereunder. The date of forfeiture will be the date on which Participant ceases to be a Service Provider.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5" w:name="page46"/>
    <w:bookmarkEnd w:id="45"/>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Tax Consequences</w:t>
      </w:r>
      <w:r>
        <w:rPr>
          <w:rFonts w:ascii="Times New Roman" w:cs="Times New Roman" w:eastAsia="Times New Roman" w:hAnsi="Times New Roman"/>
          <w:sz w:val="17"/>
          <w:szCs w:val="17"/>
          <w:color w:val="auto"/>
        </w:rPr>
        <w:t>. Participant has reviewed with Participant’s own tax advisors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under such procedures as the Administrator may specify from time to time or, if the Administrator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Tax Obligations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or any Parent or Subsidiary to which Participant is providing services (together, the “</w:t>
      </w:r>
      <w:r>
        <w:rPr>
          <w:rFonts w:ascii="Times New Roman" w:cs="Times New Roman" w:eastAsia="Times New Roman" w:hAnsi="Times New Roman"/>
          <w:sz w:val="18"/>
          <w:szCs w:val="18"/>
          <w:u w:val="single" w:color="auto"/>
          <w:color w:val="auto"/>
        </w:rPr>
        <w:t>Service Recipients</w:t>
      </w:r>
      <w:r>
        <w:rPr>
          <w:rFonts w:ascii="Times New Roman" w:cs="Times New Roman" w:eastAsia="Times New Roman" w:hAnsi="Times New Roman"/>
          <w:sz w:val="18"/>
          <w:szCs w:val="18"/>
          <w:color w:val="auto"/>
        </w:rPr>
        <w:t>”), the ultimate liability for any tax and/or social insurance liability obligations and requirements in connection with the Data Center SSD Performance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Data Center SSD Performance Units or sale of Shares, and (iii) any other Service Recipient taxes the responsibility for which Participant has, or has agreed to bear, with respect to the Data Center SSD Performance Units (or settlement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Data Center SSD Performance Units, including, but not limited to, the grant, vesting or settlement of the Data Center SSD Performance Units, the subsequent sale of Shares acquired pursuant to such settlement and the receipt of any dividends or other distributions, and (B) makes any commitment to and is under any obligation to structure the terms of the grant or any aspect of the Data Center SSD Performance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6" w:name="page47"/>
    <w:bookmarkEnd w:id="4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Tax Withholding and Default Method of Tax Withholding</w:t>
      </w:r>
      <w:r>
        <w:rPr>
          <w:rFonts w:ascii="Times New Roman" w:cs="Times New Roman" w:eastAsia="Times New Roman" w:hAnsi="Times New Roman"/>
          <w:sz w:val="18"/>
          <w:szCs w:val="18"/>
          <w:color w:val="auto"/>
        </w:rPr>
        <w:t>. When Shares are issued as payment for vested Data Center SSD Performance Units, Participant generally will recognize immediate U.S. taxable income if Participant is a U.S. taxpayer. If Participant is a non-U.S. taxpayer, Participant may be subject to applicable taxes in his or her jurisdiction. Unless otherwise determined by the Administrator, the minimum amount of Tax Obligations that the Company determines must be withheld with respect to this Award (“</w:t>
      </w:r>
      <w:r>
        <w:rPr>
          <w:rFonts w:ascii="Times New Roman" w:cs="Times New Roman" w:eastAsia="Times New Roman" w:hAnsi="Times New Roman"/>
          <w:sz w:val="18"/>
          <w:szCs w:val="18"/>
          <w:u w:val="single" w:color="auto"/>
          <w:color w:val="auto"/>
        </w:rPr>
        <w:t>Tax Withholding Obligation</w:t>
      </w:r>
      <w:r>
        <w:rPr>
          <w:rFonts w:ascii="Times New Roman" w:cs="Times New Roman" w:eastAsia="Times New Roman" w:hAnsi="Times New Roman"/>
          <w:sz w:val="18"/>
          <w:szCs w:val="18"/>
          <w:color w:val="auto"/>
        </w:rPr>
        <w:t>”) will be satisfied by the Company withholding otherwise deliverable Shares having a value approximately equal to the Tax Withholding Obligation (or such greater amount as Participant may elect if permitted by the Administrator, if such greater amount would not result in adverse financial accounting consequences).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Administrator Discretion</w:t>
      </w:r>
      <w:r>
        <w:rPr>
          <w:rFonts w:ascii="Times New Roman" w:cs="Times New Roman" w:eastAsia="Times New Roman" w:hAnsi="Times New Roman"/>
          <w:sz w:val="18"/>
          <w:szCs w:val="18"/>
          <w:color w:val="auto"/>
        </w:rPr>
        <w:t>. If the Administrator determines that Participant cannot satisfy Participant’s Tax Withholding Obligation through the default procedure described in Section 8(b) or the Administrator otherwise determines to permit or require that Participant satisfy Participant’s Tax Withholding Obligation by a method other than through the default procedure set forth in Section 8(b), the Administrator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Company’s Obligation to Deliver Shares</w:t>
      </w:r>
      <w:r>
        <w:rPr>
          <w:rFonts w:ascii="Times New Roman" w:cs="Times New Roman" w:eastAsia="Times New Roman" w:hAnsi="Times New Roman"/>
          <w:sz w:val="18"/>
          <w:szCs w:val="18"/>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Data Center SSD Performance Units otherwise are scheduled to vest pursuant to Sections 3 or 4 or Participant’s Tax Withholding Obligations otherwise become due, Participant will permanently forfeit such Data Center SSD Performance Units to which Participant’s Tax Withholding Obligation relates and any right to receive Shares thereunder and such Data Center SSD Performance Units will be returned to the Company at no cost to the Company.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Dividend Equivalents</w:t>
      </w:r>
      <w:r>
        <w:rPr>
          <w:rFonts w:ascii="Times New Roman" w:cs="Times New Roman" w:eastAsia="Times New Roman" w:hAnsi="Times New Roman"/>
          <w:sz w:val="18"/>
          <w:szCs w:val="18"/>
          <w:color w:val="auto"/>
        </w:rPr>
        <w:t>. If the Company declares and pays a cash dividend on Shares for which the record date occurs while Data Center SSD Performance Units subject to this Award Agreement remain outstanding, then certain cash amounts (referred to as “</w:t>
      </w:r>
      <w:r>
        <w:rPr>
          <w:rFonts w:ascii="Times New Roman" w:cs="Times New Roman" w:eastAsia="Times New Roman" w:hAnsi="Times New Roman"/>
          <w:sz w:val="18"/>
          <w:szCs w:val="18"/>
          <w:u w:val="single" w:color="auto"/>
          <w:color w:val="auto"/>
        </w:rPr>
        <w:t>DEUs</w:t>
      </w:r>
      <w:r>
        <w:rPr>
          <w:rFonts w:ascii="Times New Roman" w:cs="Times New Roman" w:eastAsia="Times New Roman" w:hAnsi="Times New Roman"/>
          <w:sz w:val="18"/>
          <w:szCs w:val="18"/>
          <w:color w:val="auto"/>
        </w:rPr>
        <w:t>”) will be credited under this Award Agreement in accordance with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183" w:lineRule="exact"/>
        <w:rPr>
          <w:sz w:val="20"/>
          <w:szCs w:val="20"/>
          <w:color w:val="auto"/>
        </w:rPr>
      </w:pPr>
    </w:p>
    <w:p>
      <w:pPr>
        <w:ind w:left="980" w:hanging="324"/>
        <w:spacing w:after="0"/>
        <w:tabs>
          <w:tab w:leader="none" w:pos="9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is the aggregate cash amount of the DEUs to be credited with respect to that cash dividend.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7" w:name="page48"/>
    <w:bookmarkEnd w:id="47"/>
    <w:p>
      <w:pPr>
        <w:ind w:left="98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 the amount of the cash dividend paid by the Company to stockholders with respect to one Share. In other words, this amount is the cash amount of each DEU to be credited with respect to a particular cash dividend.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is the number of Data Center SSD Performance Units remaining subject to this Award Agreement as of the cash dividend record date but immediately prior to the application of this Section 9 for that cash dividend.</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Vesting of DEUs</w:t>
      </w:r>
      <w:r>
        <w:rPr>
          <w:rFonts w:ascii="Times New Roman" w:cs="Times New Roman" w:eastAsia="Times New Roman" w:hAnsi="Times New Roman"/>
          <w:sz w:val="18"/>
          <w:szCs w:val="18"/>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a Service Provider through the vesting date and the portion of the Award to which the DEUs are attributable actually vests.</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Settlement and General</w:t>
      </w:r>
      <w:r>
        <w:rPr>
          <w:rFonts w:ascii="Times New Roman" w:cs="Times New Roman" w:eastAsia="Times New Roman" w:hAnsi="Times New Roman"/>
          <w:sz w:val="18"/>
          <w:szCs w:val="18"/>
          <w:color w:val="auto"/>
        </w:rPr>
        <w:t>. DEUs credited under this Section 9 will be subject to the same terms and conditions as the other Shares underlying the Data Center SSD Performance Units on which the DEUs were paid including (but not limited to) being settled at the same time as the settlement of the Data Center SSD Performance Units on which the DEUs were paid (but DEUs will be paid in cash and be subject to the other provisions of this Section 9 and the Award Agreement). DEUs will not accrue interest and will not be credited with any investment returns related to Shares or otherwise.</w:t>
      </w:r>
    </w:p>
    <w:p>
      <w:pPr>
        <w:spacing w:after="0" w:line="183"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Timing</w:t>
      </w:r>
      <w:r>
        <w:rPr>
          <w:rFonts w:ascii="Times New Roman" w:cs="Times New Roman" w:eastAsia="Times New Roman" w:hAnsi="Times New Roman"/>
          <w:sz w:val="18"/>
          <w:szCs w:val="18"/>
          <w:color w:val="auto"/>
        </w:rPr>
        <w:t>.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Administrator,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provided in this Section 9(c), no other additional Data Center SSD Performance Units, DEUs or cash will be credited with respect to any Data Center SSD Performance Units that previously vested and were settled.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8" w:name="page49"/>
    <w:bookmarkEnd w:id="4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No Guarantee of Continued Service</w:t>
      </w:r>
      <w:r>
        <w:rPr>
          <w:rFonts w:ascii="Times New Roman" w:cs="Times New Roman" w:eastAsia="Times New Roman" w:hAnsi="Times New Roman"/>
          <w:sz w:val="18"/>
          <w:szCs w:val="18"/>
          <w:color w:val="auto"/>
        </w:rPr>
        <w:t>. PARTICIPANT ACKNOWLEDGES AND AGREES THAT THE VESTING OF THE Data Center SSD PERFORMANCE UNITS PURSUANT TO THE VESTING SCHEDULE HEREOF IS EARNED ONLY BY REMAINING A SERVICE PROVIDER, WHICH UNLESS PROVIDED OTHERWISE UNDER APPLICABLE LAW IS AT THE WILL OF THE APPLICABLE SERVICE RECIPIENT AND NOT THROUGH THE ACT OF BEING HIRED, BEING GRANTED THIS Data Center SSD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Grant is Not Transferable</w:t>
      </w:r>
      <w:r>
        <w:rPr>
          <w:rFonts w:ascii="Times New Roman" w:cs="Times New Roman" w:eastAsia="Times New Roman" w:hAnsi="Times New Roman"/>
          <w:sz w:val="18"/>
          <w:szCs w:val="18"/>
          <w:color w:val="auto"/>
        </w:rPr>
        <w:t>. Except to the limited extent provided in Section 7 and this Section 12 or as otherwise determined by the Administrator,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Administrator, this grant and the rights and privileges conferred hereby immediately will become null and void. Unless and until otherwise determined by the Administrator, a transfer pursuant to a qualified domestic relations order (“</w:t>
      </w:r>
      <w:r>
        <w:rPr>
          <w:rFonts w:ascii="Times New Roman" w:cs="Times New Roman" w:eastAsia="Times New Roman" w:hAnsi="Times New Roman"/>
          <w:sz w:val="18"/>
          <w:szCs w:val="18"/>
          <w:u w:val="single" w:color="auto"/>
          <w:color w:val="auto"/>
        </w:rPr>
        <w:t>QDRO</w:t>
      </w:r>
      <w:r>
        <w:rPr>
          <w:rFonts w:ascii="Times New Roman" w:cs="Times New Roman" w:eastAsia="Times New Roman" w:hAnsi="Times New Roman"/>
          <w:sz w:val="18"/>
          <w:szCs w:val="18"/>
          <w:color w:val="auto"/>
        </w:rPr>
        <w:t>”) will be permitted so long as such transfer complies with the QDRO procedures then in effect, as specified by the Administrator or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Nature of Grant</w:t>
      </w:r>
      <w:r>
        <w:rPr>
          <w:rFonts w:ascii="Times New Roman" w:cs="Times New Roman" w:eastAsia="Times New Roman" w:hAnsi="Times New Roman"/>
          <w:sz w:val="18"/>
          <w:szCs w:val="18"/>
          <w:color w:val="auto"/>
        </w:rPr>
        <w:t>. In accepting this Award of Data Center SSD Performance Units, Participant acknowledges, understands and agrees that: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grant of the Data Center SSD Performance Units is voluntary and occasional and does not create any contractual or other right to receive future grants of equity awards, or benefits in lieu of equity awards, even if equity awards have been granted in the past;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all decisions with respect to future equity award grants, if any, will be at the sole discretion of the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Participant is voluntarily participating in the Plan;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the Data Center SSD Performance Units and the Shares subject to the Data Center SSD Performance Units, and the income from and value of same, are not intended to replace any pension rights or compensation;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9" w:name="page50"/>
    <w:bookmarkEnd w:id="4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Data Center SSD Performance Units and the Shares subject to the Data Center SSD Performance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future value of the Shares underlying the Data Center SSD Performance Units is unknown, indeterminable, and cannot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predicted;</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for purposes of the Data Center SSD Performance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Data Center SSD Performance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Data Center SSD Performance Units grant (including whether Participant may still be considered to be providing services while on a leave of absence and consistent with local law);</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unless otherwise provided in the Plan or by the Administrator in its discretion, the Data Center SSD Performance Units and the benefits evidenced by this Award Agreement do not create any entitlement to have the Data Center SSD Performance Units or any such benefits transferred to, or assumed by, another company nor be exchanged, cashed out or substituted for, in connection with any corporate transaction affecting the Shares;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the following provisions apply only if Participant is providing services outside the United States:</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the Data Center SSD Performance Units and the Shares subject to the Data Center SSD Performance Units are not part of normal or expected compensation or salary for any purpose;</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Participant acknowledges and agrees that no Service Recipient shall be liable for any foreign exchange rate fluctuation between Participant’s local currency and the United States Dollar that may affect the value of the Data Center SSD Performance Units or of any amounts due to Participant pursuant to the settlement of the Data Center SSD Performance Units or the subsequent sale of any Shares acquired upon settlement;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0" w:name="page51"/>
    <w:bookmarkEnd w:id="50"/>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(iii)           no claim or entitlement to compensation or damages shall arise from the forfeiture of the Data Center SSD Performance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and/or (ii) the application of any recoupment policy or any recovery or clawback policy otherwise required by law, and in consideration of the grant of the Data Center SSD Performance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Shares underlying the Data Center SSD Performance Units. Participant is hereby advised to consult with his or her own personal tax, legal, and financial advisors regarding his or her participation in the Plan before taking any action related to the Plan.</w:t>
      </w:r>
    </w:p>
    <w:p>
      <w:pPr>
        <w:spacing w:after="0" w:line="176" w:lineRule="exact"/>
        <w:rPr>
          <w:sz w:val="20"/>
          <w:szCs w:val="20"/>
          <w:color w:val="auto"/>
        </w:rPr>
      </w:pPr>
    </w:p>
    <w:p>
      <w:pPr>
        <w:jc w:val="both"/>
        <w:ind w:firstLine="648"/>
        <w:spacing w:after="0" w:line="291"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  </w:t>
      </w:r>
      <w:r>
        <w:rPr>
          <w:rFonts w:ascii="Times New Roman" w:cs="Times New Roman" w:eastAsia="Times New Roman" w:hAnsi="Times New Roman"/>
          <w:sz w:val="17"/>
          <w:szCs w:val="17"/>
          <w:b w:val="1"/>
          <w:bCs w:val="1"/>
          <w:i w:val="1"/>
          <w:iCs w:val="1"/>
          <w:u w:val="single" w:color="auto"/>
          <w:color w:val="auto"/>
        </w:rPr>
        <w:t>Data Privacy</w:t>
      </w:r>
      <w:r>
        <w:rPr>
          <w:rFonts w:ascii="Times New Roman" w:cs="Times New Roman" w:eastAsia="Times New Roman" w:hAnsi="Times New Roman"/>
          <w:sz w:val="17"/>
          <w:szCs w:val="17"/>
          <w:b w:val="1"/>
          <w:bCs w:val="1"/>
          <w:i w:val="1"/>
          <w:iCs w:val="1"/>
          <w:color w:val="auto"/>
        </w:rPr>
        <w:t>. Participant hereby explicitly and unambiguously consents to the collection, use and transfer, in electronic or other form,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of Participant’s personal data as described in this Award Agreement and any other Data Center SSD Performance Unit grant materials by and among, as applicable, the Service Recipients for the exclusive purpose of implementing, administering and managing Participant’s participation in the Plan.</w:t>
      </w:r>
    </w:p>
    <w:p>
      <w:pPr>
        <w:spacing w:after="0" w:line="15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Data Center SSD Performance Units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1" w:name="page52"/>
    <w:bookmarkEnd w:id="51"/>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Electronic Delivery and Acceptance</w:t>
      </w:r>
      <w:r>
        <w:rPr>
          <w:rFonts w:ascii="Times New Roman" w:cs="Times New Roman" w:eastAsia="Times New Roman" w:hAnsi="Times New Roman"/>
          <w:sz w:val="18"/>
          <w:szCs w:val="18"/>
          <w:color w:val="auto"/>
        </w:rPr>
        <w:t>. The Company may, in its sole discretion, decide to deliver any documents related to the Data Center SSD Performance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2" w:name="page53"/>
    <w:bookmarkEnd w:id="5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Data Center SSD Performance Units as the Administrator may establish from time to time for reasons of administrative convenience.</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Language</w:t>
      </w:r>
      <w:r>
        <w:rPr>
          <w:rFonts w:ascii="Times New Roman" w:cs="Times New Roman" w:eastAsia="Times New Roman" w:hAnsi="Times New Roman"/>
          <w:sz w:val="18"/>
          <w:szCs w:val="18"/>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Data Center SSD Performance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Amendment, Suspension or Termination of the Plan</w:t>
      </w:r>
      <w:r>
        <w:rPr>
          <w:rFonts w:ascii="Times New Roman" w:cs="Times New Roman" w:eastAsia="Times New Roman" w:hAnsi="Times New Roman"/>
          <w:sz w:val="18"/>
          <w:szCs w:val="18"/>
          <w:color w:val="auto"/>
        </w:rPr>
        <w:t>. By accepting this Award, Participant expressly warrants that Participant has received an Award of Data Center SSD Performance Units under the Plan, and has received, read and understood a description of the Plan. Participant understands that the Plan is discretionary in nature and may be amended, suspended, or terminated by the Administrator at any time.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Administrator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Data Center SSD Performance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3" w:name="page54"/>
    <w:bookmarkEnd w:id="5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Forfeiture Under Policy or Law</w:t>
      </w:r>
      <w:r>
        <w:rPr>
          <w:rFonts w:ascii="Times New Roman" w:cs="Times New Roman" w:eastAsia="Times New Roman" w:hAnsi="Times New Roman"/>
          <w:sz w:val="18"/>
          <w:szCs w:val="18"/>
          <w:color w:val="auto"/>
        </w:rPr>
        <w:t>. Participant’s rights with respect to this Award Agreement and the Award of Data Center SSD Performance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Data Center SSD Performance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Administrator,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Data Center SSD Performance Units to re-convey, transfer or otherwise return the Shares and/or other amounts to the Company upon the Company’s enforcement of any Clawback Policy or recovery policy.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Governing Law; Venue; Severability</w:t>
      </w:r>
      <w:r>
        <w:rPr>
          <w:rFonts w:ascii="Times New Roman" w:cs="Times New Roman" w:eastAsia="Times New Roman" w:hAnsi="Times New Roman"/>
          <w:sz w:val="18"/>
          <w:szCs w:val="18"/>
          <w:color w:val="auto"/>
        </w:rPr>
        <w:t>. This Award Agreement and the Data Center SSD Performance Units are governed by the internal substantive laws, but not the choice of law rules, of the State of Delaware. For purposes of litigating any dispute that arises under these Data Center SSD Performance Units or this Award Agreement, the parties hereby submit to and consent to the jurisdiction of the State of Idaho, and agree that such litigation will be conducted in the courts of Ada County, Idaho,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4" w:name="page55"/>
    <w:bookmarkEnd w:id="5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Country Addendum</w:t>
      </w:r>
      <w:r>
        <w:rPr>
          <w:rFonts w:ascii="Times New Roman" w:cs="Times New Roman" w:eastAsia="Times New Roman" w:hAnsi="Times New Roman"/>
          <w:sz w:val="18"/>
          <w:szCs w:val="18"/>
          <w:color w:val="auto"/>
        </w:rPr>
        <w:t>. Notwithstanding any provisions in this Award Agreement, the Data Center SSD Performance Unit grant shall be subject to any special terms and conditions set forth in an appendix (if any) to this Award Agreement for any country whose laws are applicable to Participant and this Data Center SSD Performance Unit Award (as determined by the Administrator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ADDITIONAL TERMS OF DATA CENTER SSD PERFORMANCE UNITS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Data Center SSD Performance Units may be earned, in whole or in part, based on (i) Participant continuing to be a Service Provider, and (ii) the achievement of the performance goals, as set forth below.</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Performance Period</w:t>
      </w:r>
      <w:r>
        <w:rPr>
          <w:rFonts w:ascii="Times New Roman" w:cs="Times New Roman" w:eastAsia="Times New Roman" w:hAnsi="Times New Roman"/>
          <w:sz w:val="18"/>
          <w:szCs w:val="18"/>
          <w:color w:val="auto"/>
        </w:rPr>
        <w:t>. For purposes of this Award of Data Center SSD Performance Units,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the period of three fiscal years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w:t>
      </w:r>
      <w:r>
        <w:rPr>
          <w:rFonts w:ascii="Times New Roman" w:cs="Times New Roman" w:eastAsia="Times New Roman" w:hAnsi="Times New Roman"/>
          <w:sz w:val="18"/>
          <w:szCs w:val="18"/>
          <w:u w:val="single" w:color="auto"/>
          <w:color w:val="auto"/>
        </w:rPr>
        <w:t>Fiscal Years</w:t>
      </w:r>
      <w:r>
        <w:rPr>
          <w:rFonts w:ascii="Times New Roman" w:cs="Times New Roman" w:eastAsia="Times New Roman" w:hAnsi="Times New Roman"/>
          <w:sz w:val="18"/>
          <w:szCs w:val="18"/>
          <w:color w:val="auto"/>
        </w:rPr>
        <w:t>”) beginning August 30, 2024, and ending on September 2, 2027.</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Performance Goals</w:t>
      </w:r>
      <w:r>
        <w:rPr>
          <w:rFonts w:ascii="Times New Roman" w:cs="Times New Roman" w:eastAsia="Times New Roman" w:hAnsi="Times New Roman"/>
          <w:sz w:val="18"/>
          <w:szCs w:val="18"/>
          <w:color w:val="auto"/>
        </w:rPr>
        <w:t>. The Data Center SSD Performance Units are eligible to be earned, assuming at-target achievement of certain market share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shipments relating to Data Center SSD (as defined below) (such performance goal, the “</w:t>
      </w:r>
      <w:r>
        <w:rPr>
          <w:rFonts w:ascii="Times New Roman" w:cs="Times New Roman" w:eastAsia="Times New Roman" w:hAnsi="Times New Roman"/>
          <w:sz w:val="18"/>
          <w:szCs w:val="18"/>
          <w:u w:val="single" w:color="auto"/>
          <w:color w:val="auto"/>
        </w:rPr>
        <w:t>Data Center SSD Goal</w:t>
      </w:r>
      <w:r>
        <w:rPr>
          <w:rFonts w:ascii="Times New Roman" w:cs="Times New Roman" w:eastAsia="Times New Roman" w:hAnsi="Times New Roman"/>
          <w:sz w:val="18"/>
          <w:szCs w:val="18"/>
          <w:color w:val="auto"/>
        </w:rPr>
        <w:t>”), as described further below. The Target Number of Shares Subject to Data Center SSD Performance Units (as set forth in the Notice of Grant), as may be adjusted as specified herein, is referred to herein as “</w:t>
      </w:r>
      <w:r>
        <w:rPr>
          <w:rFonts w:ascii="Times New Roman" w:cs="Times New Roman" w:eastAsia="Times New Roman" w:hAnsi="Times New Roman"/>
          <w:sz w:val="18"/>
          <w:szCs w:val="18"/>
          <w:u w:val="single" w:color="auto"/>
          <w:color w:val="auto"/>
        </w:rPr>
        <w:t>Target Units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Data Center SSD Goal</w:t>
      </w:r>
      <w:r>
        <w:rPr>
          <w:rFonts w:ascii="Times New Roman" w:cs="Times New Roman" w:eastAsia="Times New Roman" w:hAnsi="Times New Roman"/>
          <w:sz w:val="18"/>
          <w:szCs w:val="18"/>
          <w:color w:val="auto"/>
        </w:rPr>
        <w:t>. The actual number of Data Center SSD Performance Units that may be earned under this Award will be determined by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payout factor (the “</w:t>
      </w:r>
      <w:r>
        <w:rPr>
          <w:rFonts w:ascii="Times New Roman" w:cs="Times New Roman" w:eastAsia="Times New Roman" w:hAnsi="Times New Roman"/>
          <w:sz w:val="18"/>
          <w:szCs w:val="18"/>
          <w:u w:val="single" w:color="auto"/>
          <w:color w:val="auto"/>
        </w:rPr>
        <w:t>Data Center SSD Payout Factor</w:t>
      </w:r>
      <w:r>
        <w:rPr>
          <w:rFonts w:ascii="Times New Roman" w:cs="Times New Roman" w:eastAsia="Times New Roman" w:hAnsi="Times New Roman"/>
          <w:sz w:val="18"/>
          <w:szCs w:val="18"/>
          <w:color w:val="auto"/>
        </w:rPr>
        <w:t>”) and based on the performance achievement level of the Data Center SSD Goal, as set forth below, subject to adjustment as set forth below.</w:t>
      </w:r>
    </w:p>
    <w:p>
      <w:pPr>
        <w:spacing w:after="0" w:line="175"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2026, the actual number of Data Center SSD Performance Units earned, if any, under this Award will be determined by multiplying (i) the number of Target Units, by (ii) the applicable Data Center SSD Payout Factor.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2027, to the extent that the applicable Data Center SSD Payout Factor exceeds the Data Center SSD Payout Factor of Fiscal Year 2026, then the actual number of Data Center SSD Performance Units earned, if any, under this Award in Fiscal Year 2027 will be determined by multiplying (i) the number of Target Units, by (ii) the excess of the applicable Data Center SSD Payout Factor in Fiscal Year 2027 over the Data Center SSD Payout Factor of Fiscal Year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Data Center SSD Payout Factor may range from 0.00x to a maximum of 2.00x. Therefore, more or less than 100% of the Target Units may be earned during the Performance Period based on the level of achievement measured against the Data Center SSD Goal. Additionally, the Data Center SSD Payout Factor determined pursuant to the below may be increased as a result of the Operational Additional Performance Conditions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6" w:name="page57"/>
    <w:bookmarkEnd w:id="56"/>
    <w:tbl>
      <w:tblPr>
        <w:tblLayout w:type="fixed"/>
        <w:tblInd w:w="10" w:type="dxa"/>
        <w:tblCellMar>
          <w:top w:w="0" w:type="dxa"/>
          <w:left w:w="0" w:type="dxa"/>
          <w:bottom w:w="0" w:type="dxa"/>
          <w:right w:w="0" w:type="dxa"/>
        </w:tblCellMar>
      </w:tblPr>
      <w:tr>
        <w:trPr>
          <w:trHeight w:val="257"/>
        </w:trPr>
        <w:tc>
          <w:tcPr>
            <w:tcW w:w="1040" w:type="dxa"/>
            <w:vAlign w:val="bottom"/>
            <w:tcBorders>
              <w:top w:val="single" w:sz="8" w:color="auto"/>
              <w:left w:val="single" w:sz="8" w:color="auto"/>
            </w:tcBorders>
          </w:tcPr>
          <w:p>
            <w:pPr>
              <w:spacing w:after="0"/>
              <w:rPr>
                <w:sz w:val="22"/>
                <w:szCs w:val="22"/>
                <w:color w:val="auto"/>
              </w:rPr>
            </w:pPr>
          </w:p>
        </w:tc>
        <w:tc>
          <w:tcPr>
            <w:tcW w:w="1480" w:type="dxa"/>
            <w:vAlign w:val="bottom"/>
            <w:tcBorders>
              <w:top w:val="single" w:sz="8" w:color="auto"/>
              <w:right w:val="single" w:sz="8" w:color="auto"/>
            </w:tcBorders>
          </w:tcPr>
          <w:p>
            <w:pPr>
              <w:spacing w:after="0"/>
              <w:rPr>
                <w:sz w:val="22"/>
                <w:szCs w:val="22"/>
                <w:color w:val="auto"/>
              </w:rPr>
            </w:pPr>
          </w:p>
        </w:tc>
        <w:tc>
          <w:tcPr>
            <w:tcW w:w="1580" w:type="dxa"/>
            <w:vAlign w:val="bottom"/>
            <w:tcBorders>
              <w:top w:val="single" w:sz="8" w:color="auto"/>
            </w:tcBorders>
          </w:tcPr>
          <w:p>
            <w:pPr>
              <w:spacing w:after="0"/>
              <w:rPr>
                <w:sz w:val="22"/>
                <w:szCs w:val="22"/>
                <w:color w:val="auto"/>
              </w:rPr>
            </w:pPr>
          </w:p>
        </w:tc>
        <w:tc>
          <w:tcPr>
            <w:tcW w:w="5480" w:type="dxa"/>
            <w:vAlign w:val="bottom"/>
            <w:tcBorders>
              <w:top w:val="single" w:sz="8" w:color="auto"/>
            </w:tcBorders>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Data Center SSD Payout Factor</w:t>
            </w:r>
          </w:p>
        </w:tc>
        <w:tc>
          <w:tcPr>
            <w:tcW w:w="166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bottom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Fiscal</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Data</w:t>
            </w:r>
          </w:p>
        </w:tc>
        <w:tc>
          <w:tcPr>
            <w:tcW w:w="1580" w:type="dxa"/>
            <w:vAlign w:val="bottom"/>
            <w:tcBorders>
              <w:right w:val="single" w:sz="8" w:color="auto"/>
            </w:tcBorders>
          </w:tcPr>
          <w:p>
            <w:pPr>
              <w:spacing w:after="0"/>
              <w:rPr>
                <w:sz w:val="18"/>
                <w:szCs w:val="18"/>
                <w:color w:val="auto"/>
              </w:rPr>
            </w:pPr>
          </w:p>
        </w:tc>
        <w:tc>
          <w:tcPr>
            <w:tcW w:w="21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spacing w:after="0"/>
              <w:rPr>
                <w:sz w:val="18"/>
                <w:szCs w:val="18"/>
                <w:color w:val="auto"/>
              </w:rPr>
            </w:pPr>
          </w:p>
        </w:tc>
        <w:tc>
          <w:tcPr>
            <w:tcW w:w="16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right w:val="single" w:sz="8" w:color="auto"/>
            </w:tcBorders>
            <w:vMerge w:val="continue"/>
          </w:tcPr>
          <w:p>
            <w:pPr>
              <w:spacing w:after="0"/>
              <w:rPr>
                <w:sz w:val="9"/>
                <w:szCs w:val="9"/>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Center SSD</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0.00x</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0.5x</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1.0x</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1.50x</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2.00x</w:t>
            </w: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48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continue"/>
          </w:tcPr>
          <w:p>
            <w:pPr>
              <w:spacing w:after="0"/>
              <w:rPr>
                <w:sz w:val="9"/>
                <w:szCs w:val="9"/>
                <w:color w:val="auto"/>
              </w:rPr>
            </w:pPr>
          </w:p>
        </w:tc>
        <w:tc>
          <w:tcPr>
            <w:tcW w:w="212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680" w:type="dxa"/>
            <w:vAlign w:val="bottom"/>
            <w:tcBorders>
              <w:right w:val="single" w:sz="8" w:color="auto"/>
            </w:tcBorders>
            <w:vMerge w:val="continue"/>
          </w:tcPr>
          <w:p>
            <w:pPr>
              <w:spacing w:after="0"/>
              <w:rPr>
                <w:sz w:val="9"/>
                <w:szCs w:val="9"/>
                <w:color w:val="auto"/>
              </w:rPr>
            </w:pPr>
          </w:p>
        </w:tc>
        <w:tc>
          <w:tcPr>
            <w:tcW w:w="16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1040" w:type="dxa"/>
            <w:vAlign w:val="bottom"/>
            <w:tcBorders>
              <w:left w:val="single" w:sz="8" w:color="auto"/>
              <w:right w:val="single" w:sz="8" w:color="auto"/>
            </w:tcBorders>
            <w:vMerge w:val="continue"/>
          </w:tcPr>
          <w:p>
            <w:pPr>
              <w:spacing w:after="0"/>
              <w:rPr>
                <w:sz w:val="11"/>
                <w:szCs w:val="11"/>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Goal</w:t>
            </w:r>
          </w:p>
        </w:tc>
        <w:tc>
          <w:tcPr>
            <w:tcW w:w="1580" w:type="dxa"/>
            <w:vAlign w:val="bottom"/>
            <w:tcBorders>
              <w:right w:val="single" w:sz="8" w:color="auto"/>
            </w:tcBorders>
          </w:tcPr>
          <w:p>
            <w:pPr>
              <w:spacing w:after="0"/>
              <w:rPr>
                <w:sz w:val="11"/>
                <w:szCs w:val="11"/>
                <w:color w:val="auto"/>
              </w:rPr>
            </w:pPr>
          </w:p>
        </w:tc>
        <w:tc>
          <w:tcPr>
            <w:tcW w:w="212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right w:val="single" w:sz="8" w:color="auto"/>
            </w:tcBorders>
          </w:tcPr>
          <w:p>
            <w:pPr>
              <w:spacing w:after="0"/>
              <w:rPr>
                <w:sz w:val="9"/>
                <w:szCs w:val="9"/>
                <w:color w:val="auto"/>
              </w:rPr>
            </w:pPr>
          </w:p>
        </w:tc>
        <w:tc>
          <w:tcPr>
            <w:tcW w:w="148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212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040" w:type="dxa"/>
            <w:vAlign w:val="bottom"/>
            <w:tcBorders>
              <w:left w:val="single" w:sz="8" w:color="auto"/>
              <w:bottom w:val="single" w:sz="8" w:color="auto"/>
              <w:right w:val="single" w:sz="8" w:color="auto"/>
            </w:tcBorders>
          </w:tcPr>
          <w:p>
            <w:pPr>
              <w:spacing w:after="0"/>
              <w:rPr>
                <w:sz w:val="2"/>
                <w:szCs w:val="2"/>
                <w:color w:val="auto"/>
              </w:rPr>
            </w:pPr>
          </w:p>
        </w:tc>
        <w:tc>
          <w:tcPr>
            <w:tcW w:w="1480" w:type="dxa"/>
            <w:vAlign w:val="bottom"/>
            <w:tcBorders>
              <w:bottom w:val="single" w:sz="8" w:color="auto"/>
              <w:right w:val="single" w:sz="8" w:color="auto"/>
            </w:tcBorders>
          </w:tcPr>
          <w:p>
            <w:pPr>
              <w:spacing w:after="0"/>
              <w:rPr>
                <w:sz w:val="2"/>
                <w:szCs w:val="2"/>
                <w:color w:val="auto"/>
              </w:rPr>
            </w:pPr>
          </w:p>
        </w:tc>
        <w:tc>
          <w:tcPr>
            <w:tcW w:w="1580" w:type="dxa"/>
            <w:vAlign w:val="bottom"/>
            <w:tcBorders>
              <w:bottom w:val="single" w:sz="8" w:color="auto"/>
              <w:right w:val="single" w:sz="8" w:color="auto"/>
            </w:tcBorders>
          </w:tcPr>
          <w:p>
            <w:pPr>
              <w:spacing w:after="0"/>
              <w:rPr>
                <w:sz w:val="2"/>
                <w:szCs w:val="2"/>
                <w:color w:val="auto"/>
              </w:rPr>
            </w:pPr>
          </w:p>
        </w:tc>
        <w:tc>
          <w:tcPr>
            <w:tcW w:w="212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0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Data Center SSD</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9.00% or 33.00 B</w:t>
            </w:r>
          </w:p>
        </w:tc>
        <w:tc>
          <w:tcPr>
            <w:tcW w:w="2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10.00% or 40.00 B GBs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12.00% or 46.00 B</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13.00% or 55.00 B</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14.00% or 58.00 B</w:t>
            </w:r>
          </w:p>
        </w:tc>
        <w:tc>
          <w:tcPr>
            <w:tcW w:w="0" w:type="dxa"/>
            <w:vAlign w:val="bottom"/>
          </w:tcPr>
          <w:p>
            <w:pPr>
              <w:spacing w:after="0"/>
              <w:rPr>
                <w:sz w:val="1"/>
                <w:szCs w:val="1"/>
                <w:color w:val="auto"/>
              </w:rPr>
            </w:pPr>
          </w:p>
        </w:tc>
      </w:tr>
      <w:tr>
        <w:trPr>
          <w:trHeight w:val="126"/>
        </w:trPr>
        <w:tc>
          <w:tcPr>
            <w:tcW w:w="1040" w:type="dxa"/>
            <w:vAlign w:val="bottom"/>
            <w:tcBorders>
              <w:left w:val="single" w:sz="8" w:color="auto"/>
              <w:right w:val="single" w:sz="8" w:color="auto"/>
            </w:tcBorders>
            <w:vMerge w:val="continue"/>
          </w:tcPr>
          <w:p>
            <w:pPr>
              <w:spacing w:after="0"/>
              <w:rPr>
                <w:sz w:val="10"/>
                <w:szCs w:val="10"/>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Market Share</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GBs*</w:t>
            </w:r>
          </w:p>
        </w:tc>
        <w:tc>
          <w:tcPr>
            <w:tcW w:w="2120" w:type="dxa"/>
            <w:vAlign w:val="bottom"/>
            <w:tcBorders>
              <w:right w:val="single" w:sz="8" w:color="auto"/>
            </w:tcBorders>
            <w:vMerge w:val="continue"/>
          </w:tcPr>
          <w:p>
            <w:pPr>
              <w:spacing w:after="0"/>
              <w:rPr>
                <w:sz w:val="10"/>
                <w:szCs w:val="10"/>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GBs</w:t>
            </w: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GBs</w:t>
            </w:r>
          </w:p>
        </w:tc>
        <w:tc>
          <w:tcPr>
            <w:tcW w:w="16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GBs</w:t>
            </w:r>
          </w:p>
        </w:tc>
        <w:tc>
          <w:tcPr>
            <w:tcW w:w="0" w:type="dxa"/>
            <w:vAlign w:val="bottom"/>
          </w:tcPr>
          <w:p>
            <w:pPr>
              <w:spacing w:after="0"/>
              <w:rPr>
                <w:sz w:val="1"/>
                <w:szCs w:val="1"/>
                <w:color w:val="auto"/>
              </w:rPr>
            </w:pPr>
          </w:p>
        </w:tc>
      </w:tr>
      <w:tr>
        <w:trPr>
          <w:trHeight w:val="135"/>
        </w:trPr>
        <w:tc>
          <w:tcPr>
            <w:tcW w:w="1040" w:type="dxa"/>
            <w:vAlign w:val="bottom"/>
            <w:tcBorders>
              <w:left w:val="single" w:sz="8" w:color="auto"/>
              <w:bottom w:val="single" w:sz="8" w:color="auto"/>
              <w:right w:val="single" w:sz="8" w:color="auto"/>
            </w:tcBorders>
          </w:tcPr>
          <w:p>
            <w:pPr>
              <w:spacing w:after="0"/>
              <w:rPr>
                <w:sz w:val="11"/>
                <w:szCs w:val="11"/>
                <w:color w:val="auto"/>
              </w:rPr>
            </w:pPr>
          </w:p>
        </w:tc>
        <w:tc>
          <w:tcPr>
            <w:tcW w:w="1480" w:type="dxa"/>
            <w:vAlign w:val="bottom"/>
            <w:tcBorders>
              <w:right w:val="single" w:sz="8" w:color="auto"/>
            </w:tcBorders>
            <w:vMerge w:val="continue"/>
          </w:tcPr>
          <w:p>
            <w:pPr>
              <w:spacing w:after="0"/>
              <w:rPr>
                <w:sz w:val="11"/>
                <w:szCs w:val="11"/>
                <w:color w:val="auto"/>
              </w:rPr>
            </w:pPr>
          </w:p>
        </w:tc>
        <w:tc>
          <w:tcPr>
            <w:tcW w:w="1580" w:type="dxa"/>
            <w:vAlign w:val="bottom"/>
            <w:tcBorders>
              <w:bottom w:val="single" w:sz="8" w:color="auto"/>
              <w:right w:val="single" w:sz="8" w:color="auto"/>
            </w:tcBorders>
            <w:vMerge w:val="continue"/>
          </w:tcPr>
          <w:p>
            <w:pPr>
              <w:spacing w:after="0"/>
              <w:rPr>
                <w:sz w:val="11"/>
                <w:szCs w:val="11"/>
                <w:color w:val="auto"/>
              </w:rPr>
            </w:pPr>
          </w:p>
        </w:tc>
        <w:tc>
          <w:tcPr>
            <w:tcW w:w="2120" w:type="dxa"/>
            <w:vAlign w:val="bottom"/>
            <w:tcBorders>
              <w:bottom w:val="single" w:sz="8" w:color="auto"/>
              <w:right w:val="single" w:sz="8" w:color="auto"/>
            </w:tcBorders>
          </w:tcPr>
          <w:p>
            <w:pPr>
              <w:spacing w:after="0"/>
              <w:rPr>
                <w:sz w:val="11"/>
                <w:szCs w:val="11"/>
                <w:color w:val="auto"/>
              </w:rPr>
            </w:pPr>
          </w:p>
        </w:tc>
        <w:tc>
          <w:tcPr>
            <w:tcW w:w="1680" w:type="dxa"/>
            <w:vAlign w:val="bottom"/>
            <w:tcBorders>
              <w:bottom w:val="single" w:sz="8" w:color="auto"/>
              <w:right w:val="single" w:sz="8" w:color="auto"/>
            </w:tcBorders>
            <w:vMerge w:val="continue"/>
          </w:tcPr>
          <w:p>
            <w:pPr>
              <w:spacing w:after="0"/>
              <w:rPr>
                <w:sz w:val="11"/>
                <w:szCs w:val="11"/>
                <w:color w:val="auto"/>
              </w:rPr>
            </w:pPr>
          </w:p>
        </w:tc>
        <w:tc>
          <w:tcPr>
            <w:tcW w:w="1680" w:type="dxa"/>
            <w:vAlign w:val="bottom"/>
            <w:tcBorders>
              <w:bottom w:val="single" w:sz="8" w:color="auto"/>
              <w:right w:val="single" w:sz="8" w:color="auto"/>
            </w:tcBorders>
            <w:vMerge w:val="continue"/>
          </w:tcPr>
          <w:p>
            <w:pPr>
              <w:spacing w:after="0"/>
              <w:rPr>
                <w:sz w:val="11"/>
                <w:szCs w:val="11"/>
                <w:color w:val="auto"/>
              </w:rPr>
            </w:pPr>
          </w:p>
        </w:tc>
        <w:tc>
          <w:tcPr>
            <w:tcW w:w="166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1040" w:type="dxa"/>
            <w:vAlign w:val="bottom"/>
            <w:tcBorders>
              <w:left w:val="single" w:sz="8" w:color="auto"/>
              <w:right w:val="single" w:sz="8" w:color="auto"/>
            </w:tcBorders>
          </w:tcPr>
          <w:p>
            <w:pPr>
              <w:spacing w:after="0"/>
              <w:rPr>
                <w:sz w:val="15"/>
                <w:szCs w:val="15"/>
                <w:color w:val="auto"/>
              </w:rPr>
            </w:pPr>
          </w:p>
        </w:tc>
        <w:tc>
          <w:tcPr>
            <w:tcW w:w="14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or</w:t>
            </w:r>
          </w:p>
        </w:tc>
        <w:tc>
          <w:tcPr>
            <w:tcW w:w="15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8"/>
              </w:rPr>
              <w:t>9.50% or 46.50 B</w:t>
            </w:r>
          </w:p>
        </w:tc>
        <w:tc>
          <w:tcPr>
            <w:tcW w:w="212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10.50% or 54.50 B GBs</w:t>
            </w:r>
          </w:p>
        </w:tc>
        <w:tc>
          <w:tcPr>
            <w:tcW w:w="16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rPr>
              <w:t>12.50% or 62.00 B</w:t>
            </w:r>
          </w:p>
        </w:tc>
        <w:tc>
          <w:tcPr>
            <w:tcW w:w="168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13.50% or 78.00 B</w:t>
            </w:r>
          </w:p>
        </w:tc>
        <w:tc>
          <w:tcPr>
            <w:tcW w:w="1660" w:type="dxa"/>
            <w:vAlign w:val="bottom"/>
            <w:tcBorders>
              <w:right w:val="single" w:sz="8" w:color="auto"/>
            </w:tcBorders>
          </w:tcPr>
          <w:p>
            <w:pPr>
              <w:jc w:val="center"/>
              <w:spacing w:after="0" w:line="182" w:lineRule="exact"/>
              <w:rPr>
                <w:sz w:val="20"/>
                <w:szCs w:val="20"/>
                <w:color w:val="auto"/>
              </w:rPr>
            </w:pPr>
            <w:r>
              <w:rPr>
                <w:rFonts w:ascii="Times New Roman" w:cs="Times New Roman" w:eastAsia="Times New Roman" w:hAnsi="Times New Roman"/>
                <w:sz w:val="18"/>
                <w:szCs w:val="18"/>
                <w:color w:val="auto"/>
                <w:w w:val="99"/>
              </w:rPr>
              <w:t>14.50% or 80.00 B</w:t>
            </w:r>
          </w:p>
        </w:tc>
        <w:tc>
          <w:tcPr>
            <w:tcW w:w="0" w:type="dxa"/>
            <w:vAlign w:val="bottom"/>
          </w:tcPr>
          <w:p>
            <w:pPr>
              <w:spacing w:after="0"/>
              <w:rPr>
                <w:sz w:val="1"/>
                <w:szCs w:val="1"/>
                <w:color w:val="auto"/>
              </w:rPr>
            </w:pPr>
          </w:p>
        </w:tc>
      </w:tr>
      <w:tr>
        <w:trPr>
          <w:trHeight w:val="216"/>
        </w:trPr>
        <w:tc>
          <w:tcPr>
            <w:tcW w:w="10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Data Center SSD</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GBs</w:t>
            </w:r>
          </w:p>
        </w:tc>
        <w:tc>
          <w:tcPr>
            <w:tcW w:w="2120" w:type="dxa"/>
            <w:vAlign w:val="bottom"/>
            <w:tcBorders>
              <w:right w:val="single" w:sz="8" w:color="auto"/>
            </w:tcBorders>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GBs</w:t>
            </w: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GBs</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GBs</w:t>
            </w:r>
          </w:p>
        </w:tc>
        <w:tc>
          <w:tcPr>
            <w:tcW w:w="0" w:type="dxa"/>
            <w:vAlign w:val="bottom"/>
          </w:tcPr>
          <w:p>
            <w:pPr>
              <w:spacing w:after="0"/>
              <w:rPr>
                <w:sz w:val="1"/>
                <w:szCs w:val="1"/>
                <w:color w:val="auto"/>
              </w:rPr>
            </w:pPr>
          </w:p>
        </w:tc>
      </w:tr>
      <w:tr>
        <w:trPr>
          <w:trHeight w:val="234"/>
        </w:trPr>
        <w:tc>
          <w:tcPr>
            <w:tcW w:w="1040" w:type="dxa"/>
            <w:vAlign w:val="bottom"/>
            <w:tcBorders>
              <w:left w:val="single" w:sz="8" w:color="auto"/>
              <w:right w:val="single" w:sz="8" w:color="auto"/>
            </w:tcBorders>
          </w:tcPr>
          <w:p>
            <w:pPr>
              <w:spacing w:after="0"/>
              <w:rPr>
                <w:sz w:val="20"/>
                <w:szCs w:val="20"/>
                <w:color w:val="auto"/>
              </w:rPr>
            </w:pPr>
          </w:p>
        </w:tc>
        <w:tc>
          <w:tcPr>
            <w:tcW w:w="14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Bit Shipments</w:t>
            </w:r>
          </w:p>
        </w:tc>
        <w:tc>
          <w:tcPr>
            <w:tcW w:w="1580" w:type="dxa"/>
            <w:vAlign w:val="bottom"/>
            <w:tcBorders>
              <w:right w:val="single" w:sz="8" w:color="auto"/>
            </w:tcBorders>
          </w:tcPr>
          <w:p>
            <w:pPr>
              <w:spacing w:after="0"/>
              <w:rPr>
                <w:sz w:val="20"/>
                <w:szCs w:val="20"/>
                <w:color w:val="auto"/>
              </w:rPr>
            </w:pPr>
          </w:p>
        </w:tc>
        <w:tc>
          <w:tcPr>
            <w:tcW w:w="212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6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1040" w:type="dxa"/>
            <w:vAlign w:val="bottom"/>
            <w:tcBorders>
              <w:left w:val="single" w:sz="8" w:color="auto"/>
              <w:bottom w:val="single" w:sz="8" w:color="auto"/>
              <w:right w:val="single" w:sz="8" w:color="auto"/>
            </w:tcBorders>
          </w:tcPr>
          <w:p>
            <w:pPr>
              <w:spacing w:after="0"/>
              <w:rPr>
                <w:sz w:val="5"/>
                <w:szCs w:val="5"/>
                <w:color w:val="auto"/>
              </w:rPr>
            </w:pPr>
          </w:p>
        </w:tc>
        <w:tc>
          <w:tcPr>
            <w:tcW w:w="1480" w:type="dxa"/>
            <w:vAlign w:val="bottom"/>
            <w:tcBorders>
              <w:bottom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212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16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 w:hanging="132"/>
        <w:spacing w:after="0"/>
        <w:tabs>
          <w:tab w:leader="none" w:pos="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Refers to billion gigabytes.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Center SSD Payout Factor for a particular Fiscal Year shown in the table above will be determined by the higher of (x) the Data Center SSD Payout Factor applicable to Data Center SSD Market Share (as defined below) achieved for such Fiscal Year, or (y) the Data Center SSD Payout Factor applicable to Data Center SSD Bit Shipments (as defined below) achieved for such Fiscal Year (the “</w:t>
      </w:r>
      <w:r>
        <w:rPr>
          <w:rFonts w:ascii="Times New Roman" w:cs="Times New Roman" w:eastAsia="Times New Roman" w:hAnsi="Times New Roman"/>
          <w:sz w:val="18"/>
          <w:szCs w:val="18"/>
          <w:u w:val="single" w:color="auto"/>
          <w:color w:val="auto"/>
        </w:rPr>
        <w:t>Achieved Data Center SSD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Level</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Achieved Data Center SSD Level is between performance levels shown in the table above, the Data Center SSD Payout Factor will be determined based on straight line interpolation. For the avoidance of doubt and notwithstanding any contrary provision of the Award Agreement, if performance for the Data Center SSD Goal (in other words, for both Data Center SSD Market Share and Data Center SSD Bit Shipments) in a particular Fiscal Year is equal to or below the performance specified in the 0.00x column in the above table, the Data Center SSD Payout Factor for such Fiscal Year will be zero.</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Data Center SSD Market Share performance result, Data Center SSD Bit Shipments performance result, and Data Center SSD Payout Factor will be rounded to the second decimal place, as needed.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Center SSD</w:t>
      </w:r>
      <w:r>
        <w:rPr>
          <w:rFonts w:ascii="Times New Roman" w:cs="Times New Roman" w:eastAsia="Times New Roman" w:hAnsi="Times New Roman"/>
          <w:sz w:val="18"/>
          <w:szCs w:val="18"/>
          <w:color w:val="auto"/>
        </w:rPr>
        <w:t>” refers to solid state drives (SSDs) sold into the data center market segment.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Center SSD Bit Shipments</w:t>
      </w:r>
      <w:r>
        <w:rPr>
          <w:rFonts w:ascii="Times New Roman" w:cs="Times New Roman" w:eastAsia="Times New Roman" w:hAnsi="Times New Roman"/>
          <w:sz w:val="18"/>
          <w:szCs w:val="18"/>
          <w:color w:val="auto"/>
        </w:rPr>
        <w:t>” refers to the Company’s bit shipments of Data Center SSDs.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Data Center SSD Market Share</w:t>
      </w:r>
      <w:r>
        <w:rPr>
          <w:rFonts w:ascii="Times New Roman" w:cs="Times New Roman" w:eastAsia="Times New Roman" w:hAnsi="Times New Roman"/>
          <w:sz w:val="18"/>
          <w:szCs w:val="18"/>
          <w:color w:val="auto"/>
        </w:rPr>
        <w:t>” refers to the Company’s revenue with respect to its Data Center SSD, determined in accordance with U.S. Generally Accepted Accounting Principles (“GAAP”) as a percentage of total addressable market (TAM) with respect to revenue for SSDs sold into the data center market segment. The Data Center SSD Market Share will be measured pursuant to an internal Market Intelligence (MI) assessment, in part by leveraging third-party reports, (x) for the 2026 Fiscal Year, over the period beginning with the third quarter of calendar year 2025 through and inclusive of the second quarter of calendar year 2026, and (y) for the 2027 Fiscal Year, over the period beginning with the third quarter of calendar year 2026 through and inclusive of the second quarter of calendar year 2027.</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57" w:name="page58"/>
    <w:bookmarkEnd w:id="57"/>
    <w:p>
      <w:pPr>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Operational Additional Performance Conditions</w:t>
      </w:r>
      <w:r>
        <w:rPr>
          <w:rFonts w:ascii="Times New Roman" w:cs="Times New Roman" w:eastAsia="Times New Roman" w:hAnsi="Times New Roman"/>
          <w:sz w:val="18"/>
          <w:szCs w:val="18"/>
          <w:color w:val="auto"/>
        </w:rPr>
        <w:t>. The Data Center SSD Payout Factor may be increased in the event of achievement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NAND free cash flow and U.S. DRAM manufacturing expansion goals described below (the “</w:t>
      </w:r>
      <w:r>
        <w:rPr>
          <w:rFonts w:ascii="Times New Roman" w:cs="Times New Roman" w:eastAsia="Times New Roman" w:hAnsi="Times New Roman"/>
          <w:sz w:val="18"/>
          <w:szCs w:val="18"/>
          <w:u w:val="single" w:color="auto"/>
          <w:color w:val="auto"/>
        </w:rPr>
        <w:t>Operational Additional Performance Conditions</w:t>
      </w:r>
      <w:r>
        <w:rPr>
          <w:rFonts w:ascii="Times New Roman" w:cs="Times New Roman" w:eastAsia="Times New Roman" w:hAnsi="Times New Roman"/>
          <w:sz w:val="18"/>
          <w:szCs w:val="18"/>
          <w:color w:val="auto"/>
        </w:rPr>
        <w:t>”).</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34"/>
        </w:trPr>
        <w:tc>
          <w:tcPr>
            <w:tcW w:w="22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Operational</w:t>
            </w:r>
          </w:p>
        </w:tc>
        <w:tc>
          <w:tcPr>
            <w:tcW w:w="6060" w:type="dxa"/>
            <w:vAlign w:val="bottom"/>
            <w:tcBorders>
              <w:top w:val="single" w:sz="8" w:color="auto"/>
              <w:right w:val="single" w:sz="8" w:color="auto"/>
            </w:tcBorders>
          </w:tcPr>
          <w:p>
            <w:pPr>
              <w:spacing w:after="0"/>
              <w:rPr>
                <w:sz w:val="20"/>
                <w:szCs w:val="20"/>
                <w:color w:val="auto"/>
              </w:rPr>
            </w:pPr>
          </w:p>
        </w:tc>
        <w:tc>
          <w:tcPr>
            <w:tcW w:w="2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Amount Added to Data</w:t>
            </w: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60" w:type="dxa"/>
            <w:vAlign w:val="bottom"/>
            <w:tcBorders>
              <w:right w:val="single" w:sz="8" w:color="auto"/>
            </w:tcBorders>
            <w:vMerge w:val="restart"/>
          </w:tcPr>
          <w:p>
            <w:pPr>
              <w:ind w:left="1900"/>
              <w:spacing w:after="0"/>
              <w:rPr>
                <w:sz w:val="20"/>
                <w:szCs w:val="20"/>
                <w:color w:val="auto"/>
              </w:rPr>
            </w:pPr>
            <w:r>
              <w:rPr>
                <w:rFonts w:ascii="Times New Roman" w:cs="Times New Roman" w:eastAsia="Times New Roman" w:hAnsi="Times New Roman"/>
                <w:sz w:val="18"/>
                <w:szCs w:val="18"/>
                <w:b w:val="1"/>
                <w:bCs w:val="1"/>
                <w:color w:val="auto"/>
              </w:rPr>
              <w:t>Required Achievement Level</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Center SSD Payout</w:t>
            </w:r>
          </w:p>
        </w:tc>
        <w:tc>
          <w:tcPr>
            <w:tcW w:w="0" w:type="dxa"/>
            <w:vAlign w:val="bottom"/>
          </w:tcPr>
          <w:p>
            <w:pPr>
              <w:spacing w:after="0"/>
              <w:rPr>
                <w:sz w:val="1"/>
                <w:szCs w:val="1"/>
                <w:color w:val="auto"/>
              </w:rPr>
            </w:pPr>
          </w:p>
        </w:tc>
      </w:tr>
      <w:tr>
        <w:trPr>
          <w:trHeight w:val="130"/>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6060" w:type="dxa"/>
            <w:vAlign w:val="bottom"/>
            <w:tcBorders>
              <w:right w:val="single" w:sz="8" w:color="auto"/>
            </w:tcBorders>
            <w:vMerge w:val="continue"/>
          </w:tcPr>
          <w:p>
            <w:pPr>
              <w:spacing w:after="0"/>
              <w:rPr>
                <w:sz w:val="11"/>
                <w:szCs w:val="11"/>
                <w:color w:val="auto"/>
              </w:rPr>
            </w:pPr>
          </w:p>
        </w:tc>
        <w:tc>
          <w:tcPr>
            <w:tcW w:w="2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Factor Determined</w:t>
            </w:r>
          </w:p>
        </w:tc>
        <w:tc>
          <w:tcPr>
            <w:tcW w:w="0" w:type="dxa"/>
            <w:vAlign w:val="bottom"/>
          </w:tcPr>
          <w:p>
            <w:pPr>
              <w:spacing w:after="0"/>
              <w:rPr>
                <w:sz w:val="1"/>
                <w:szCs w:val="1"/>
                <w:color w:val="auto"/>
              </w:rPr>
            </w:pPr>
          </w:p>
        </w:tc>
      </w:tr>
      <w:tr>
        <w:trPr>
          <w:trHeight w:val="86"/>
        </w:trPr>
        <w:tc>
          <w:tcPr>
            <w:tcW w:w="2280" w:type="dxa"/>
            <w:vAlign w:val="bottom"/>
            <w:tcBorders>
              <w:left w:val="single" w:sz="8" w:color="auto"/>
              <w:right w:val="single" w:sz="8" w:color="auto"/>
            </w:tcBorders>
            <w:vMerge w:val="continue"/>
          </w:tcPr>
          <w:p>
            <w:pPr>
              <w:spacing w:after="0"/>
              <w:rPr>
                <w:sz w:val="7"/>
                <w:szCs w:val="7"/>
                <w:color w:val="auto"/>
              </w:rPr>
            </w:pPr>
          </w:p>
        </w:tc>
        <w:tc>
          <w:tcPr>
            <w:tcW w:w="6060" w:type="dxa"/>
            <w:vAlign w:val="bottom"/>
            <w:tcBorders>
              <w:right w:val="single" w:sz="8" w:color="auto"/>
            </w:tcBorders>
          </w:tcPr>
          <w:p>
            <w:pPr>
              <w:spacing w:after="0"/>
              <w:rPr>
                <w:sz w:val="7"/>
                <w:szCs w:val="7"/>
                <w:color w:val="auto"/>
              </w:rPr>
            </w:pPr>
          </w:p>
        </w:tc>
        <w:tc>
          <w:tcPr>
            <w:tcW w:w="29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Conditions Goal</w:t>
            </w:r>
          </w:p>
        </w:tc>
        <w:tc>
          <w:tcPr>
            <w:tcW w:w="6060" w:type="dxa"/>
            <w:vAlign w:val="bottom"/>
            <w:tcBorders>
              <w:right w:val="single" w:sz="8" w:color="auto"/>
            </w:tcBorders>
          </w:tcPr>
          <w:p>
            <w:pPr>
              <w:spacing w:after="0"/>
              <w:rPr>
                <w:sz w:val="20"/>
                <w:szCs w:val="20"/>
                <w:color w:val="auto"/>
              </w:rPr>
            </w:pP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Above</w:t>
            </w: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NAND free cash flow</w:t>
            </w:r>
          </w:p>
        </w:tc>
        <w:tc>
          <w:tcPr>
            <w:tcW w:w="6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Deliver at least $500M positive free cash flow for NAND across any</w:t>
            </w:r>
          </w:p>
        </w:tc>
        <w:tc>
          <w:tcPr>
            <w:tcW w:w="29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vMerge w:val="continue"/>
          </w:tcPr>
          <w:p>
            <w:pPr>
              <w:spacing w:after="0"/>
              <w:rPr>
                <w:sz w:val="18"/>
                <w:szCs w:val="18"/>
                <w:color w:val="auto"/>
              </w:rPr>
            </w:pPr>
          </w:p>
        </w:tc>
        <w:tc>
          <w:tcPr>
            <w:tcW w:w="6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consecutive four fiscal quarters from first fiscal quarter of Fiscal Year 2026</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0.33x</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right w:val="single" w:sz="8" w:color="auto"/>
            </w:tcBorders>
          </w:tcPr>
          <w:p>
            <w:pPr>
              <w:spacing w:after="0"/>
              <w:rPr>
                <w:sz w:val="20"/>
                <w:szCs w:val="20"/>
                <w:color w:val="auto"/>
              </w:rPr>
            </w:pPr>
          </w:p>
        </w:tc>
        <w:tc>
          <w:tcPr>
            <w:tcW w:w="6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through and inclusive of fourth fiscal quarter of Fiscal Year 2007</w:t>
            </w:r>
          </w:p>
        </w:tc>
        <w:tc>
          <w:tcPr>
            <w:tcW w:w="29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22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 DRAM</w:t>
            </w:r>
          </w:p>
        </w:tc>
        <w:tc>
          <w:tcPr>
            <w:tcW w:w="60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First wafer at the Company’s Boise fab site is out by December 31, 2026</w:t>
            </w:r>
          </w:p>
        </w:tc>
        <w:tc>
          <w:tcPr>
            <w:tcW w:w="2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0.33x</w:t>
            </w:r>
          </w:p>
        </w:tc>
        <w:tc>
          <w:tcPr>
            <w:tcW w:w="0" w:type="dxa"/>
            <w:vAlign w:val="bottom"/>
          </w:tcPr>
          <w:p>
            <w:pPr>
              <w:spacing w:after="0"/>
              <w:rPr>
                <w:sz w:val="1"/>
                <w:szCs w:val="1"/>
                <w:color w:val="auto"/>
              </w:rPr>
            </w:pPr>
          </w:p>
        </w:tc>
      </w:tr>
      <w:tr>
        <w:trPr>
          <w:trHeight w:val="130"/>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manufacturing expansion</w:t>
            </w:r>
          </w:p>
        </w:tc>
        <w:tc>
          <w:tcPr>
            <w:tcW w:w="6060" w:type="dxa"/>
            <w:vAlign w:val="bottom"/>
            <w:tcBorders>
              <w:right w:val="single" w:sz="8" w:color="auto"/>
            </w:tcBorders>
            <w:vMerge w:val="continue"/>
          </w:tcPr>
          <w:p>
            <w:pPr>
              <w:spacing w:after="0"/>
              <w:rPr>
                <w:sz w:val="11"/>
                <w:szCs w:val="11"/>
                <w:color w:val="auto"/>
              </w:rPr>
            </w:pPr>
          </w:p>
        </w:tc>
        <w:tc>
          <w:tcPr>
            <w:tcW w:w="29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continue"/>
          </w:tcPr>
          <w:p>
            <w:pPr>
              <w:spacing w:after="0"/>
              <w:rPr>
                <w:sz w:val="9"/>
                <w:szCs w:val="9"/>
                <w:color w:val="auto"/>
              </w:rPr>
            </w:pPr>
          </w:p>
        </w:tc>
        <w:tc>
          <w:tcPr>
            <w:tcW w:w="606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2280" w:type="dxa"/>
            <w:vAlign w:val="bottom"/>
            <w:tcBorders>
              <w:left w:val="single" w:sz="8" w:color="auto"/>
              <w:bottom w:val="single" w:sz="8" w:color="auto"/>
              <w:right w:val="single" w:sz="8" w:color="auto"/>
            </w:tcBorders>
          </w:tcPr>
          <w:p>
            <w:pPr>
              <w:spacing w:after="0"/>
              <w:rPr>
                <w:sz w:val="2"/>
                <w:szCs w:val="2"/>
                <w:color w:val="auto"/>
              </w:rPr>
            </w:pPr>
          </w:p>
        </w:tc>
        <w:tc>
          <w:tcPr>
            <w:tcW w:w="6060" w:type="dxa"/>
            <w:vAlign w:val="bottom"/>
            <w:tcBorders>
              <w:bottom w:val="single" w:sz="8" w:color="auto"/>
              <w:right w:val="single" w:sz="8" w:color="auto"/>
            </w:tcBorders>
          </w:tcPr>
          <w:p>
            <w:pPr>
              <w:spacing w:after="0"/>
              <w:rPr>
                <w:sz w:val="2"/>
                <w:szCs w:val="2"/>
                <w:color w:val="auto"/>
              </w:rPr>
            </w:pPr>
          </w:p>
        </w:tc>
        <w:tc>
          <w:tcPr>
            <w:tcW w:w="29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NAND free cash flow will be determined, based on the Company’s financial planning and analysis internal allocation model, as the amount of free cash flow generated from the Company’s NAND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wafer out is the first full flow wafer output from the Boise fab site with any yield.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example of the operation of the Operational Additional Performance Conditions is set forth below:</w:t>
      </w:r>
    </w:p>
    <w:p>
      <w:pPr>
        <w:spacing w:after="0" w:line="225" w:lineRule="exact"/>
        <w:rPr>
          <w:sz w:val="20"/>
          <w:szCs w:val="20"/>
          <w:color w:val="auto"/>
        </w:rPr>
      </w:pPr>
    </w:p>
    <w:p>
      <w:pPr>
        <w:ind w:left="1300" w:hanging="320"/>
        <w:spacing w:after="0"/>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for Fiscal Year 2026, the Data Center SSD Payout Factor is determined to be 1.0x.</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achievement of the NAND free cash flow goal during Fiscal Year 2026 but that the U.S. DRAM manufacturing expansion goal is not achieved in Fiscal Year 2026.</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Data Center SSD Payout Factor will be increased by 0.33x, to 1.33x. (If both the NAND free cash flow goal and the U.S. DRAM manufacturing expansion goal were achieved, the Data Center SSD Payout Factor would be increased by 0.66x to 1.66x.)</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and Banked Units</w:t>
      </w:r>
      <w:r>
        <w:rPr>
          <w:rFonts w:ascii="Times New Roman" w:cs="Times New Roman" w:eastAsia="Times New Roman" w:hAnsi="Times New Roman"/>
          <w:sz w:val="18"/>
          <w:szCs w:val="18"/>
          <w:color w:val="auto"/>
        </w:rPr>
        <w:t>. Achievement levels with respect to the Data Center SSD Payout Factor, as well as any Operational Additional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Conditions, will be measured at the end of each of:</w:t>
      </w:r>
    </w:p>
    <w:p>
      <w:pPr>
        <w:spacing w:after="0" w:line="159"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2026,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2027.</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58" w:name="page59"/>
    <w:bookmarkEnd w:id="58"/>
    <w:p>
      <w:pPr>
        <w:jc w:val="both"/>
        <w:spacing w:after="0" w:line="261" w:lineRule="auto"/>
        <w:rPr>
          <w:sz w:val="20"/>
          <w:szCs w:val="20"/>
          <w:color w:val="auto"/>
        </w:rPr>
      </w:pPr>
      <w:r>
        <w:rPr>
          <w:rFonts w:ascii="Times New Roman" w:cs="Times New Roman" w:eastAsia="Times New Roman" w:hAnsi="Times New Roman"/>
          <w:sz w:val="18"/>
          <w:szCs w:val="18"/>
          <w:color w:val="auto"/>
        </w:rPr>
        <w:t>No later than 60 days after the end of each of Fiscal Years 2026 and 2027, the Administrator shall determine and certify the results of such achievement under this Award of Data Center SSD Performance Units (such date, the “</w:t>
      </w:r>
      <w:r>
        <w:rPr>
          <w:rFonts w:ascii="Times New Roman" w:cs="Times New Roman" w:eastAsia="Times New Roman" w:hAnsi="Times New Roman"/>
          <w:sz w:val="18"/>
          <w:szCs w:val="18"/>
          <w:u w:val="single" w:color="auto"/>
          <w:color w:val="auto"/>
        </w:rPr>
        <w:t>Certification Date</w:t>
      </w:r>
      <w:r>
        <w:rPr>
          <w:rFonts w:ascii="Times New Roman" w:cs="Times New Roman" w:eastAsia="Times New Roman" w:hAnsi="Times New Roman"/>
          <w:sz w:val="18"/>
          <w:szCs w:val="18"/>
          <w:color w:val="auto"/>
        </w:rPr>
        <w:t>”). Data Center SSD Performance Units that are earned by achievement of the Data Center SSD Goal and/or Operational Additional Performance Conditions, as applicable, are referred to herein as “</w:t>
      </w:r>
      <w:r>
        <w:rPr>
          <w:rFonts w:ascii="Times New Roman" w:cs="Times New Roman" w:eastAsia="Times New Roman" w:hAnsi="Times New Roman"/>
          <w:sz w:val="18"/>
          <w:szCs w:val="18"/>
          <w:u w:val="single" w:color="auto"/>
          <w:color w:val="auto"/>
        </w:rPr>
        <w:t>Banked Units</w:t>
      </w:r>
      <w:r>
        <w:rPr>
          <w:rFonts w:ascii="Times New Roman" w:cs="Times New Roman" w:eastAsia="Times New Roman" w:hAnsi="Times New Roman"/>
          <w:sz w:val="18"/>
          <w:szCs w:val="18"/>
          <w:color w:val="auto"/>
        </w:rPr>
        <w:t>” (regardless of whether such Data Center SSD Performance Units have vested).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color w:val="auto"/>
        </w:rPr>
        <w:t>. As of the Certification Date that immediately follows the end of Fiscal Year 2027, 100% of any then-unvested Banked Units (for the avoidance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doubt, inclusive of any Data Center SSD Performance Units becoming Banked Units as of such Certification Date) will vest as of such Certification Date. If Participant’s employment terminates for a reason other than termination for Cause (as such term is defined in the agreement between Participant and the Company governing the terms of Participant’s employment or termination thereof, or, if not so defined, as defined in the Plan), after Data Center SSD Performance Units have become Banked Units, such Banked Units will continue to vest and be paid pursuant to the original schedule.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Vesting Upon a Qualifying Event</w:t>
      </w:r>
      <w:r>
        <w:rPr>
          <w:rFonts w:ascii="Times New Roman" w:cs="Times New Roman" w:eastAsia="Times New Roman" w:hAnsi="Times New Roman"/>
          <w:sz w:val="18"/>
          <w:szCs w:val="18"/>
          <w:color w:val="auto"/>
        </w:rPr>
        <w:t>. This paragraph shall apply only to the extent that Participant and the Company have entered into a written offer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similar written agreement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that provides for accelerated or continued vesting of part or all of Participant’s restricted stock awards or restricted stock share awards if Participant experiences a “Qualifying Separation from Service” or “Qualifying Termination of Employment” (as applicable, as defined in the Letter) (in either case, a “</w:t>
      </w:r>
      <w:r>
        <w:rPr>
          <w:rFonts w:ascii="Times New Roman" w:cs="Times New Roman" w:eastAsia="Times New Roman" w:hAnsi="Times New Roman"/>
          <w:sz w:val="18"/>
          <w:szCs w:val="18"/>
          <w:u w:val="single" w:color="auto"/>
          <w:color w:val="auto"/>
        </w:rPr>
        <w:t>Qualifying Event</w:t>
      </w:r>
      <w:r>
        <w:rPr>
          <w:rFonts w:ascii="Times New Roman" w:cs="Times New Roman" w:eastAsia="Times New Roman" w:hAnsi="Times New Roman"/>
          <w:sz w:val="18"/>
          <w:szCs w:val="18"/>
          <w:color w:val="auto"/>
        </w:rPr>
        <w:t>”). If Participant experiences a Qualifying Event and complies with the terms of the Letter so that Participant becomes entitled to severance benefits relating to vesting of restricted stock awards or restricted stock share awards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Participant also will be entitled to partial or full vesting of this Award as a restricted stock award or restricted stock share award under the Letter and in accordance with the terms and conditions specified in the Letter. For the avoidance of doubt, any vesting provided under this paragraph is subject to all of the terms and conditions of the Letter and, if Participant does not comply with the requirements of the Letter to qualify for Severance Benefits, Participant will not be entitled to any vesting under this paragraph.</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Payout Timing (Conversion to Shares)</w:t>
      </w:r>
      <w:r>
        <w:rPr>
          <w:rFonts w:ascii="Times New Roman" w:cs="Times New Roman" w:eastAsia="Times New Roman" w:hAnsi="Times New Roman"/>
          <w:sz w:val="18"/>
          <w:szCs w:val="18"/>
          <w:color w:val="auto"/>
        </w:rPr>
        <w:t>. The Banked Units vesting as of the Certification Date that immediately follows the end of Fiscal Year 2027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Data Center SSD Performance Units, the “</w:t>
      </w:r>
      <w:r>
        <w:rPr>
          <w:rFonts w:ascii="Times New Roman" w:cs="Times New Roman" w:eastAsia="Times New Roman" w:hAnsi="Times New Roman"/>
          <w:sz w:val="18"/>
          <w:szCs w:val="18"/>
          <w:u w:val="single" w:color="auto"/>
          <w:color w:val="auto"/>
        </w:rPr>
        <w:t>Vested Data Center SSD Performance Units</w:t>
      </w:r>
      <w:r>
        <w:rPr>
          <w:rFonts w:ascii="Times New Roman" w:cs="Times New Roman" w:eastAsia="Times New Roman" w:hAnsi="Times New Roman"/>
          <w:sz w:val="18"/>
          <w:szCs w:val="18"/>
          <w:color w:val="auto"/>
        </w:rPr>
        <w:t>”) shall automatically convert to Shares on the Certification Date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except that if Participant is terminated for Cause, no further Data Center SSD Performance Units shall vest after the date of termination.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Certain Award Limitations</w:t>
      </w:r>
      <w:r>
        <w:rPr>
          <w:rFonts w:ascii="Times New Roman" w:cs="Times New Roman" w:eastAsia="Times New Roman" w:hAnsi="Times New Roman"/>
          <w:sz w:val="18"/>
          <w:szCs w:val="18"/>
          <w:color w:val="auto"/>
        </w:rPr>
        <w:t>. The maximum number of Data Center SSD Performance Units that may vest under this Award is the Maximum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Subject to Data Center SSD Performance Units as set forth in the Notice of Grant.</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9" w:name="page60"/>
    <w:bookmarkEnd w:id="59"/>
    <w:p>
      <w:pPr>
        <w:jc w:val="both"/>
        <w:spacing w:after="0" w:line="252" w:lineRule="auto"/>
        <w:rPr>
          <w:sz w:val="20"/>
          <w:szCs w:val="20"/>
          <w:color w:val="auto"/>
        </w:rPr>
      </w:pPr>
      <w:r>
        <w:rPr>
          <w:rFonts w:ascii="Times New Roman" w:cs="Times New Roman" w:eastAsia="Times New Roman" w:hAnsi="Times New Roman"/>
          <w:sz w:val="18"/>
          <w:szCs w:val="18"/>
          <w:color w:val="auto"/>
        </w:rPr>
        <w:t>Concurrently with this Award of Data Center SSD Performance Units, Participant is receiving (a) an award of HBM3E Performance Units, which are performance-based Restricted Stock Units that may be earned based on achievement of certain goals related to HBM3E+ market share or bit shipments (the “</w:t>
      </w:r>
      <w:r>
        <w:rPr>
          <w:rFonts w:ascii="Times New Roman" w:cs="Times New Roman" w:eastAsia="Times New Roman" w:hAnsi="Times New Roman"/>
          <w:sz w:val="18"/>
          <w:szCs w:val="18"/>
          <w:u w:val="single" w:color="auto"/>
          <w:color w:val="auto"/>
        </w:rPr>
        <w:t>HBM3E Award</w:t>
      </w:r>
      <w:r>
        <w:rPr>
          <w:rFonts w:ascii="Times New Roman" w:cs="Times New Roman" w:eastAsia="Times New Roman" w:hAnsi="Times New Roman"/>
          <w:sz w:val="18"/>
          <w:szCs w:val="18"/>
          <w:color w:val="auto"/>
        </w:rPr>
        <w:t>”), as described in the award agreement covering the HBM3E Award, and (b) an award of rTSR CAGR Performance Units, which are performance-based Restricted Stock Units that may be earned based upon achievement of certain goals related to relative total shareholder return compound annual growth rate (such award, the “</w:t>
      </w:r>
      <w:r>
        <w:rPr>
          <w:rFonts w:ascii="Times New Roman" w:cs="Times New Roman" w:eastAsia="Times New Roman" w:hAnsi="Times New Roman"/>
          <w:sz w:val="18"/>
          <w:szCs w:val="18"/>
          <w:u w:val="single" w:color="auto"/>
          <w:color w:val="auto"/>
        </w:rPr>
        <w:t>rTSR CAGR Award</w:t>
      </w:r>
      <w:r>
        <w:rPr>
          <w:rFonts w:ascii="Times New Roman" w:cs="Times New Roman" w:eastAsia="Times New Roman" w:hAnsi="Times New Roman"/>
          <w:sz w:val="18"/>
          <w:szCs w:val="18"/>
          <w:color w:val="auto"/>
        </w:rPr>
        <w:t>”), as described in the award agreement covering the rTSR CAGR Award. This Award of Data Center SSD Performance Units, together with the HBM3E Award and the rTSR CAGR Award, are referred to as the “</w:t>
      </w:r>
      <w:r>
        <w:rPr>
          <w:rFonts w:ascii="Times New Roman" w:cs="Times New Roman" w:eastAsia="Times New Roman" w:hAnsi="Times New Roman"/>
          <w:sz w:val="18"/>
          <w:szCs w:val="18"/>
          <w:u w:val="single" w:color="auto"/>
          <w:color w:val="auto"/>
        </w:rPr>
        <w:t>FY 2025 Performance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Awards</w:t>
      </w:r>
      <w:r>
        <w:rPr>
          <w:rFonts w:ascii="Times New Roman" w:cs="Times New Roman" w:eastAsia="Times New Roman" w:hAnsi="Times New Roman"/>
          <w:sz w:val="18"/>
          <w:szCs w:val="18"/>
          <w:color w:val="auto"/>
        </w:rPr>
        <w:t>,” and the total number of Restricted Stock Units under the FY 2025 Performance Awards (the “</w:t>
      </w: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eligible to be earned under the FY 2025 Performance Awards assuming at-target achievement is referred to as the “</w:t>
      </w:r>
      <w:r>
        <w:rPr>
          <w:rFonts w:ascii="Times New Roman" w:cs="Times New Roman" w:eastAsia="Times New Roman" w:hAnsi="Times New Roman"/>
          <w:sz w:val="18"/>
          <w:szCs w:val="18"/>
          <w:u w:val="single" w:color="auto"/>
          <w:color w:val="auto"/>
        </w:rPr>
        <w:t>Target Total Award</w:t>
      </w:r>
      <w:r>
        <w:rPr>
          <w:rFonts w:ascii="Times New Roman" w:cs="Times New Roman" w:eastAsia="Times New Roman" w:hAnsi="Times New Roman"/>
          <w:sz w:val="18"/>
          <w:szCs w:val="18"/>
          <w:color w:val="auto"/>
        </w:rPr>
        <w:t>” and is calculated as the sum of (i) the Target Number of Shares Subject to Data Center SSD Performance Units under this Award of Data Center SSD Performance Units, plus (ii) the Target Number of Shares Subject to HBM3E Performance Units as specified in the HBM3E Award, plus (iii) the Target Number of Shares Subject to rTSR CAGR Performance Units as specified in the rTSR CAGR Award. Notwithstanding any contrary provision of this Award Agreement, the number of Performance Units that may be earned under the FY 2025 Performance Awards (taken together) during the Performance Period will not exceed two (2) times the Target Total Award (the “</w:t>
      </w:r>
      <w:r>
        <w:rPr>
          <w:rFonts w:ascii="Times New Roman" w:cs="Times New Roman" w:eastAsia="Times New Roman" w:hAnsi="Times New Roman"/>
          <w:sz w:val="18"/>
          <w:szCs w:val="18"/>
          <w:u w:val="single" w:color="auto"/>
          <w:color w:val="auto"/>
        </w:rPr>
        <w:t>2x Limit</w:t>
      </w:r>
      <w:r>
        <w:rPr>
          <w:rFonts w:ascii="Times New Roman" w:cs="Times New Roman" w:eastAsia="Times New Roman" w:hAnsi="Times New Roman"/>
          <w:sz w:val="18"/>
          <w:szCs w:val="18"/>
          <w:color w:val="auto"/>
        </w:rPr>
        <w:t xml:space="preserve">”). To the extent that, as of any applicable date, the aggregate number of Performance Units that would otherwise be earned under the FY 2025 Performance Awards in accordance with the applicable provisions as of such date, together,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Performance Units that were earned previously in the Performance Period with respect to the FY 2025 Performance Awards, would exceed the 2x Limit, the number of Performance Units becoming earned with respect to the rTSR CAGR Award will be reduced such that the aggregate number of Performance Units becoming earned as of such date with respect to the FY 2025 Performance Awards upon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Performance Units that have become earned previously during the Performance Period with respect to the FY 2025 Performance Awards, is equal to the 2x Limit. If, immediately after any date during the Performance Period, the aggregate number of Performance Units that have become earned pursuant to the FY 2025 Performance Awards is less than the 2x Limit, then the opportunity to earn the excess of the 2x Limit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aggregate number of Performance Units that have been earned will exist in any remaining Performance Period Fiscal Year(s).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the maximum aggregate grant of awards may not exceed 5,000,000 shares of the Company’s Common Stock in any one calendar year to any one participant (including for calendar year 2024, the FY 2025 Performance Awards granted to Participant), as provided in Section 5.4 of the Plan.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Recoupment</w:t>
      </w:r>
      <w:r>
        <w:rPr>
          <w:rFonts w:ascii="Times New Roman" w:cs="Times New Roman" w:eastAsia="Times New Roman" w:hAnsi="Times New Roman"/>
          <w:sz w:val="18"/>
          <w:szCs w:val="18"/>
          <w:color w:val="auto"/>
        </w:rPr>
        <w:t>. As provided in further detail in Section 26 of the Terms and Conditions of Performance Unit Grant comprising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Data Center SSD Performance Units are subject to any Clawback Policy, or other recovery obligation as may be necessary to comply with applicable laws.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0" w:name="page61"/>
    <w:bookmarkEnd w:id="60"/>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 UNIT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HBM3E+ Performance Unit Agreement (2025 EIP)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UNIT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PERFORMANCE UNIT GRANT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Micron Technology, Inc. 2025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defined meanings in this Performance Unit Agreement which includes the Notice of Performance Unit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Performance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Additional Terms of HBM3E+ Performance Units,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all other exhibits, appendices, and addenda attached hereto (collectively,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 Name: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the right to receive an Award of performance-based Restricted Stock Units (the “</w:t>
      </w:r>
      <w:r>
        <w:rPr>
          <w:rFonts w:ascii="Times New Roman" w:cs="Times New Roman" w:eastAsia="Times New Roman" w:hAnsi="Times New Roman"/>
          <w:sz w:val="18"/>
          <w:szCs w:val="18"/>
          <w:u w:val="single" w:color="auto"/>
          <w:color w:val="auto"/>
        </w:rPr>
        <w:t>HBM3E+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subject to the terms and conditions of the Plan and this Award Agreement, as follows:</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6740" w:type="dxa"/>
            <w:vAlign w:val="bottom"/>
            <w:tcBorders>
              <w:bottom w:val="single" w:sz="8" w:color="auto"/>
            </w:tcBorders>
          </w:tcPr>
          <w:p>
            <w:pPr>
              <w:spacing w:after="0"/>
              <w:rPr>
                <w:sz w:val="20"/>
                <w:szCs w:val="20"/>
                <w:color w:val="auto"/>
              </w:rPr>
            </w:pPr>
          </w:p>
        </w:tc>
      </w:tr>
      <w:tr>
        <w:trPr>
          <w:trHeight w:val="277"/>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6740" w:type="dxa"/>
            <w:vAlign w:val="bottom"/>
            <w:tcBorders>
              <w:bottom w:val="single" w:sz="8" w:color="auto"/>
            </w:tcBorders>
          </w:tcPr>
          <w:p>
            <w:pPr>
              <w:spacing w:after="0"/>
              <w:rPr>
                <w:sz w:val="24"/>
                <w:szCs w:val="24"/>
                <w:color w:val="auto"/>
              </w:rPr>
            </w:pPr>
          </w:p>
        </w:tc>
      </w:tr>
      <w:tr>
        <w:trPr>
          <w:trHeight w:val="245"/>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Target Number of Shares Subject to HBM3E+ Performance</w:t>
            </w:r>
          </w:p>
        </w:tc>
        <w:tc>
          <w:tcPr>
            <w:tcW w:w="6740" w:type="dxa"/>
            <w:vAlign w:val="bottom"/>
          </w:tcPr>
          <w:p>
            <w:pPr>
              <w:spacing w:after="0"/>
              <w:rPr>
                <w:sz w:val="21"/>
                <w:szCs w:val="21"/>
                <w:color w:val="auto"/>
              </w:rPr>
            </w:pPr>
          </w:p>
        </w:tc>
      </w:t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Units:</w:t>
            </w:r>
          </w:p>
        </w:tc>
        <w:tc>
          <w:tcPr>
            <w:tcW w:w="6740" w:type="dxa"/>
            <w:vAlign w:val="bottom"/>
            <w:tcBorders>
              <w:bottom w:val="single" w:sz="8" w:color="auto"/>
            </w:tcBorders>
          </w:tcPr>
          <w:p>
            <w:pPr>
              <w:spacing w:after="0"/>
              <w:rPr>
                <w:sz w:val="20"/>
                <w:szCs w:val="20"/>
                <w:color w:val="auto"/>
              </w:rPr>
            </w:pPr>
          </w:p>
        </w:tc>
      </w:tr>
      <w:tr>
        <w:trPr>
          <w:trHeight w:val="245"/>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Maximum Number of Shares Subject to HBM3E+</w:t>
            </w:r>
          </w:p>
        </w:tc>
        <w:tc>
          <w:tcPr>
            <w:tcW w:w="6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266% of Target Number of Shares Subject to HBM3E+ Performance Units  </w:t>
            </w:r>
          </w:p>
        </w:tc>
      </w:t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Performance Units:</w:t>
            </w:r>
          </w:p>
        </w:tc>
        <w:tc>
          <w:tcPr>
            <w:tcW w:w="6740" w:type="dxa"/>
            <w:vAlign w:val="bottom"/>
            <w:tcBorders>
              <w:bottom w:val="single" w:sz="8" w:color="auto"/>
            </w:tcBorders>
          </w:tcPr>
          <w:p>
            <w:pPr>
              <w:spacing w:after="0"/>
              <w:rPr>
                <w:sz w:val="20"/>
                <w:szCs w:val="20"/>
                <w:color w:val="auto"/>
              </w:rPr>
            </w:pPr>
          </w:p>
        </w:tc>
      </w:tr>
      <w:tr>
        <w:trPr>
          <w:trHeight w:val="385"/>
        </w:trPr>
        <w:tc>
          <w:tcPr>
            <w:tcW w:w="56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67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Subject to any acceleration provisions contained in the Plan or set forth below, the HBM3E+ Performance Units will be scheduled to vest in accordance with, and be subject to, the Additional Terms of HBM3E+ Performance Units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Participant’s status as a Service Provider ends for any reason before Participant vests in all or some of the HBM3E+ Performance Units, the unvested HBM3E+ Performance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any of its Subsidiaries or Parents, as applicable (provided that any such other written agreement must have been duly authorized and signed by an officer of the Company or any of its Subsidiaries or Parents).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2" w:name="page63"/>
    <w:bookmarkEnd w:id="6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By Participant electronically accepting this Award Agreement or manually signing this Award Agreement (in either case, as and in the manner specified by the Company), Participant and the Company agree that (1) this HBM3E+ Performance Unit Award is granted under and governed by the terms and conditions of the Plan and this Award Agreement,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Administrator upon any questions relating to the Plan and this Award Agreement. Participant further agrees to notify the Company upon any change in the residence address indicated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PERFORMANCE UNIT GRANT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Grant of HBM3E+ Performance Units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named in the Notice of Performance Unit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an Award of performance-based Restricted Stock Units (and referred to herein as HBM3E+ Performance Units)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Company’s Obligation to Pay</w:t>
      </w:r>
      <w:r>
        <w:rPr>
          <w:rFonts w:ascii="Times New Roman" w:cs="Times New Roman" w:eastAsia="Times New Roman" w:hAnsi="Times New Roman"/>
          <w:sz w:val="18"/>
          <w:szCs w:val="18"/>
          <w:color w:val="auto"/>
        </w:rPr>
        <w:t>. Each HBM3E+ Performance Unit represents the right to receive a Share on the date it vests. Unless and until the HBM3E+ Performance Units will have vested in the manner set forth in Section 3 or 4, Participant will have no right to payment of any such HBM3E+ Performance Units. Prior to actual payment of any vested HBM3E+ Performance Units, such HBM3E+ Performance Unit will represent an unsecured obligation of the Company, payable (if at all) only from the general assets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Vesting Schedule</w:t>
      </w:r>
      <w:r>
        <w:rPr>
          <w:rFonts w:ascii="Times New Roman" w:cs="Times New Roman" w:eastAsia="Times New Roman" w:hAnsi="Times New Roman"/>
          <w:sz w:val="18"/>
          <w:szCs w:val="18"/>
          <w:color w:val="auto"/>
        </w:rPr>
        <w:t>. Except as provided in Section 4, and subject to Section 5, the HBM3E+ Performance Units awarded by this Award Agreement will vest in accordance with the vesting provisions set forth in the Notice of Grant, subject to Participant remaining a Service Provider through each applicable vesting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Payment after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 Rule</w:t>
      </w:r>
      <w:r>
        <w:rPr>
          <w:rFonts w:ascii="Times New Roman" w:cs="Times New Roman" w:eastAsia="Times New Roman" w:hAnsi="Times New Roman"/>
          <w:sz w:val="18"/>
          <w:szCs w:val="18"/>
          <w:color w:val="auto"/>
        </w:rPr>
        <w:t>. Subject to Section 8, any HBM3E+ Performance Units that vest will be paid to Participant (or in the event of Participant’s death, to his or her properly designated beneficiary or estate) in Shares. Subject to this Section 4 and Section 9, such vested HBM3E+ Performance Units shall be paid in Shares as soon as administratively practicable after vesting, but in each such case within thirty (30) days following the vesting date (such payment date being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In no event will Participant be permitted, directly or indirectly, to specify the taxable year of payment of any HBM3E+ Performance Units payable under this Award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Acceleration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Death or Disability</w:t>
      </w:r>
      <w:r>
        <w:rPr>
          <w:rFonts w:ascii="Times New Roman" w:cs="Times New Roman" w:eastAsia="Times New Roman" w:hAnsi="Times New Roman"/>
          <w:sz w:val="18"/>
          <w:szCs w:val="18"/>
          <w:color w:val="auto"/>
        </w:rPr>
        <w:t>. If Participant ceases to be a Service Provider on account of Participant’s death or Participant becoming Disabled, any HBM3E+ Performance Units that both were unexpired and unvested as of the date Participant ceases to be a Service Provider, will vest on such date.</w:t>
      </w:r>
    </w:p>
    <w:p>
      <w:pPr>
        <w:spacing w:after="0" w:line="176"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Change in Control.</w:t>
      </w:r>
      <w:r>
        <w:rPr>
          <w:rFonts w:ascii="Times New Roman" w:cs="Times New Roman" w:eastAsia="Times New Roman" w:hAnsi="Times New Roman"/>
          <w:sz w:val="18"/>
          <w:szCs w:val="18"/>
          <w:color w:val="auto"/>
        </w:rPr>
        <w:t xml:space="preserve"> Except as specifically provided otherwise in this Award Agreement or in another written agreement between Participant and the Company or any of its Subsidiaries or Parents, as applicable (provided that any such other written agreement must have been duly authorized and signed by an officer of the Company or any of its Subsidiaries or Parents), if a Change in Control occurs during the Performance Period (as defined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and before Participant ceases to be a Service Provider, any HBM3E+ Performance Units will be treated in accordance with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4" w:name="page65"/>
    <w:bookmarkEnd w:id="64"/>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HBM3E+ Performance Units at any time, subject to the terms of the Plan. If so accelerated, such HBM3E+ Performance Units will be considered as having vested as of the date specified by the Administrator.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prior sentence may be superseded in a future agreement or amendment to this Award Agreement only by direct and specific reference to such sentence.</w:t>
      </w:r>
    </w:p>
    <w:p>
      <w:pPr>
        <w:spacing w:after="0" w:line="18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(iv)        Notwithstanding anything in the Plan or this Award Agreement or any other agreement (whether entered into before, on, or after the Date of Grant), if the vesting of the balance, or some lesser portion of the balance, of the HBM3E+ Performance Units is accelerated in connection with the cessation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HBM3E+ Performance Units will result in the imposition of additional tax under Section 409A if paid to Participant on or within the six (6) month period following the cessation of Participant’s status as a Service Provider, then the payment of such accelerated HBM3E+ Performance Units will not be made until the date six (6) months and one (1) day following the date of cessation of Participant’s status as a Service Provider, unless Participant dies following his or her termination as a Service Provider, in which case, the HBM3E+ Performance Units will be paid in Shares to Participant’s estate as soon as practicable following his or her death.</w:t>
      </w:r>
    </w:p>
    <w:p>
      <w:pPr>
        <w:spacing w:after="0" w:line="194"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It is the intent of this Award Agreement that it and all payments and benefits to U.S. taxpayers hereunder be exempt from, or comply with, the requirements of Section 409A so that none of the HBM3E+ Performance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Forfeiture Upon Termination as a Service Provider</w:t>
      </w:r>
      <w:r>
        <w:rPr>
          <w:rFonts w:ascii="Times New Roman" w:cs="Times New Roman" w:eastAsia="Times New Roman" w:hAnsi="Times New Roman"/>
          <w:sz w:val="18"/>
          <w:szCs w:val="18"/>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 ceases to be a Service Provider for any or no reason, the then-unvested HBM3E+ Performance Units awarded by this Award Agreement will be forfeited at no cost to the Company and Participant will have no further rights thereunder. The date of forfeiture will be the date on which Participant ceases to be a Service Provider.</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5" w:name="page66"/>
    <w:bookmarkEnd w:id="65"/>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Tax Consequences</w:t>
      </w:r>
      <w:r>
        <w:rPr>
          <w:rFonts w:ascii="Times New Roman" w:cs="Times New Roman" w:eastAsia="Times New Roman" w:hAnsi="Times New Roman"/>
          <w:sz w:val="17"/>
          <w:szCs w:val="17"/>
          <w:color w:val="auto"/>
        </w:rPr>
        <w:t>. Participant has reviewed with Participant’s own tax advisors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under such procedures as the Administrator may specify from time to time or, if the Administrator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Tax Obligations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or any Parent or Subsidiary to which Participant is providing services (together, the “</w:t>
      </w:r>
      <w:r>
        <w:rPr>
          <w:rFonts w:ascii="Times New Roman" w:cs="Times New Roman" w:eastAsia="Times New Roman" w:hAnsi="Times New Roman"/>
          <w:sz w:val="18"/>
          <w:szCs w:val="18"/>
          <w:u w:val="single" w:color="auto"/>
          <w:color w:val="auto"/>
        </w:rPr>
        <w:t>Service Recipients</w:t>
      </w:r>
      <w:r>
        <w:rPr>
          <w:rFonts w:ascii="Times New Roman" w:cs="Times New Roman" w:eastAsia="Times New Roman" w:hAnsi="Times New Roman"/>
          <w:sz w:val="18"/>
          <w:szCs w:val="18"/>
          <w:color w:val="auto"/>
        </w:rPr>
        <w:t>”), the ultimate liability for any tax and/or social insurance liability obligations and requirements in connection with the HBM3E+ Performance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HBM3E+ Performance Units or sale of Shares, and (iii) any other Service Recipient taxes the responsibility for which Participant has, or has agreed to bear, with respect to the HBM3E+ Performance Units (or settlement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HBM3E+ Performance Units, including, but not limited to, the grant, vesting or settlement of the HBM3E+ Performance Units, the subsequent sale of Shares acquired pursuant to such settlement and the receipt of any dividends or other distributions, and (B) makes any commitment to and is under any obligation to structure the terms of the grant or any aspect of the HBM3E+ Performance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6" w:name="page67"/>
    <w:bookmarkEnd w:id="66"/>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Tax Withholding and Default Method of Tax Withholding</w:t>
      </w:r>
      <w:r>
        <w:rPr>
          <w:rFonts w:ascii="Times New Roman" w:cs="Times New Roman" w:eastAsia="Times New Roman" w:hAnsi="Times New Roman"/>
          <w:sz w:val="18"/>
          <w:szCs w:val="18"/>
          <w:color w:val="auto"/>
        </w:rPr>
        <w:t>. When Shares are issued as payment for vested HBM3E+ Performance Units, Participant generally will recognize immediate U.S. taxable income if Participant is a U.S. taxpayer. If Participant is a non-U.S. taxpayer, Participant may be subject to applicable taxes in his or her jurisdiction. Unless otherwise determined by the Administrator, the minimum amount of Tax Obligations that the Company determines must be withheld with respect to this Award (“</w:t>
      </w:r>
      <w:r>
        <w:rPr>
          <w:rFonts w:ascii="Times New Roman" w:cs="Times New Roman" w:eastAsia="Times New Roman" w:hAnsi="Times New Roman"/>
          <w:sz w:val="18"/>
          <w:szCs w:val="18"/>
          <w:u w:val="single" w:color="auto"/>
          <w:color w:val="auto"/>
        </w:rPr>
        <w:t>Tax Withholding Obligation</w:t>
      </w:r>
      <w:r>
        <w:rPr>
          <w:rFonts w:ascii="Times New Roman" w:cs="Times New Roman" w:eastAsia="Times New Roman" w:hAnsi="Times New Roman"/>
          <w:sz w:val="18"/>
          <w:szCs w:val="18"/>
          <w:color w:val="auto"/>
        </w:rPr>
        <w:t>”) will be satisfied by the Company withholding otherwise deliverable Shares having a value approximately equal to the Tax Withholding Obligation (or such greater amount as Participant may elect if permitted by the Administrator, if such greater amount would not result in adverse financial accounting consequences).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Administrator Discretion</w:t>
      </w:r>
      <w:r>
        <w:rPr>
          <w:rFonts w:ascii="Times New Roman" w:cs="Times New Roman" w:eastAsia="Times New Roman" w:hAnsi="Times New Roman"/>
          <w:sz w:val="18"/>
          <w:szCs w:val="18"/>
          <w:color w:val="auto"/>
        </w:rPr>
        <w:t>. If the Administrator determines that Participant cannot satisfy Participant’s Tax Withholding Obligation through the default procedure described in Section 8(b) or the Administrator otherwise determines to permit or require that Participant satisfy Participant’s Tax Withholding Obligation by a method other than through the default procedure set forth in Section 8(b), the Administrator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Company’s Obligation to Deliver Shares</w:t>
      </w:r>
      <w:r>
        <w:rPr>
          <w:rFonts w:ascii="Times New Roman" w:cs="Times New Roman" w:eastAsia="Times New Roman" w:hAnsi="Times New Roman"/>
          <w:sz w:val="18"/>
          <w:szCs w:val="18"/>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HBM3E+ Performance Units otherwise are scheduled to vest pursuant to Sections 3 or 4 or Participant’s Tax Withholding Obligations otherwise become due, Participant will permanently forfeit such HBM3E+ Performance Units to which Participant’s Tax Withholding Obligation relates and any right to receive Shares thereunder and such HBM3E+ Performance Units will be returned to the Company at no cost to the Company.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Dividend Equivalents</w:t>
      </w:r>
      <w:r>
        <w:rPr>
          <w:rFonts w:ascii="Times New Roman" w:cs="Times New Roman" w:eastAsia="Times New Roman" w:hAnsi="Times New Roman"/>
          <w:sz w:val="18"/>
          <w:szCs w:val="18"/>
          <w:color w:val="auto"/>
        </w:rPr>
        <w:t>. If the Company declares and pays a cash dividend on Shares for which the record date occurs while HBM3E+ Performance Units subject to this Award Agreement remain outstanding, then certain cash amounts (referred to as “</w:t>
      </w:r>
      <w:r>
        <w:rPr>
          <w:rFonts w:ascii="Times New Roman" w:cs="Times New Roman" w:eastAsia="Times New Roman" w:hAnsi="Times New Roman"/>
          <w:sz w:val="18"/>
          <w:szCs w:val="18"/>
          <w:u w:val="single" w:color="auto"/>
          <w:color w:val="auto"/>
        </w:rPr>
        <w:t>DEUs</w:t>
      </w:r>
      <w:r>
        <w:rPr>
          <w:rFonts w:ascii="Times New Roman" w:cs="Times New Roman" w:eastAsia="Times New Roman" w:hAnsi="Times New Roman"/>
          <w:sz w:val="18"/>
          <w:szCs w:val="18"/>
          <w:color w:val="auto"/>
        </w:rPr>
        <w:t>”) will be credited under this Award Agreement in accordance with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7" w:name="page68"/>
    <w:bookmarkEnd w:id="67"/>
    <w:p>
      <w:pPr>
        <w:ind w:left="980" w:hanging="324"/>
        <w:spacing w:after="0"/>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is the aggregate cash amount of the DEUs to be credited with respect to that cash dividend.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 the amount of the cash dividend paid by the Company to stockholders with respect to one Share. In other words, this amount is the cash amount of each DEU to be credited with respect to a particular cash dividend.</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is the number of HBM3E+ Performance Units remaining subject to this Award Agreement as of the cash dividend record date but immediately prior to the application of this Section 9 for that cash dividend.</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Vesting of DEUs</w:t>
      </w:r>
      <w:r>
        <w:rPr>
          <w:rFonts w:ascii="Times New Roman" w:cs="Times New Roman" w:eastAsia="Times New Roman" w:hAnsi="Times New Roman"/>
          <w:sz w:val="18"/>
          <w:szCs w:val="18"/>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a Service Provider through the vesting date and the portion of the Award to which the DEUs are attributable actually vests.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Settlement and General</w:t>
      </w:r>
      <w:r>
        <w:rPr>
          <w:rFonts w:ascii="Times New Roman" w:cs="Times New Roman" w:eastAsia="Times New Roman" w:hAnsi="Times New Roman"/>
          <w:sz w:val="18"/>
          <w:szCs w:val="18"/>
          <w:color w:val="auto"/>
        </w:rPr>
        <w:t>. DEUs credited under this Section 9 will be subject to the same terms and conditions as the other Shares underlying the HBM3E+ Performance Units on which the DEUs were paid including (but not limited to) being settled at the same time as the settlement of the HBM3E+ Performance Units on which the DEUs were paid (but DEUs will be paid in cash and be subject to the other provisions of this Section 9 and the Award Agreement). DEUs will not accrue interest and will not be credited with any investment returns related to Shares or otherwise.</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Timing</w:t>
      </w:r>
      <w:r>
        <w:rPr>
          <w:rFonts w:ascii="Times New Roman" w:cs="Times New Roman" w:eastAsia="Times New Roman" w:hAnsi="Times New Roman"/>
          <w:sz w:val="18"/>
          <w:szCs w:val="18"/>
          <w:color w:val="auto"/>
        </w:rPr>
        <w:t>.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Administrator,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provided in this Section 9(c), no other additional HBM3E+ Performance Units, DEUs or cash will be credited with respect to any HBM3E+ Performance Units that previously vested and were settled.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10.           </w:t>
      </w: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39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8" w:name="page69"/>
    <w:bookmarkEnd w:id="6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No Guarantee of Continued Service</w:t>
      </w:r>
      <w:r>
        <w:rPr>
          <w:rFonts w:ascii="Times New Roman" w:cs="Times New Roman" w:eastAsia="Times New Roman" w:hAnsi="Times New Roman"/>
          <w:sz w:val="18"/>
          <w:szCs w:val="18"/>
          <w:color w:val="auto"/>
        </w:rPr>
        <w:t>. PARTICIPANT ACKNOWLEDGES AND AGREES THAT THE VESTING OF THE HBM3E+ PERFORMANCE UNITS PURSUANT TO THE VESTING SCHEDULE HEREOF IS EARNED ONLY BY REMAINING A SERVICE PROVIDER, WHICH UNLESS PROVIDED OTHERWISE UNDER APPLICABLE LAW IS AT THE WILL OF THE APPLICABLE SERVICE RECIPIENT AND NOT THROUGH THE ACT OF BEING HIRED, BEING GRANTED THIS HBM3E+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Grant is Not Transferable</w:t>
      </w:r>
      <w:r>
        <w:rPr>
          <w:rFonts w:ascii="Times New Roman" w:cs="Times New Roman" w:eastAsia="Times New Roman" w:hAnsi="Times New Roman"/>
          <w:sz w:val="18"/>
          <w:szCs w:val="18"/>
          <w:color w:val="auto"/>
        </w:rPr>
        <w:t>. Except to the limited extent provided in Section 7 and this Section 12 or as otherwise determined by the Administrator,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Administrator, this grant and the rights and privileges conferred hereby immediately will become null and void. Unless and until otherwise determined by the Administrator, a transfer pursuant to a qualified domestic relations order (“</w:t>
      </w:r>
      <w:r>
        <w:rPr>
          <w:rFonts w:ascii="Times New Roman" w:cs="Times New Roman" w:eastAsia="Times New Roman" w:hAnsi="Times New Roman"/>
          <w:sz w:val="18"/>
          <w:szCs w:val="18"/>
          <w:u w:val="single" w:color="auto"/>
          <w:color w:val="auto"/>
        </w:rPr>
        <w:t>QDRO</w:t>
      </w:r>
      <w:r>
        <w:rPr>
          <w:rFonts w:ascii="Times New Roman" w:cs="Times New Roman" w:eastAsia="Times New Roman" w:hAnsi="Times New Roman"/>
          <w:sz w:val="18"/>
          <w:szCs w:val="18"/>
          <w:color w:val="auto"/>
        </w:rPr>
        <w:t>”) will be permitted so long as such transfer complies with the QDRO procedures then in effect, as specified by the Administrator or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this Award of HBM3E+ Performance Units, Participant acknowledges, understands and agrees that: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grant of the HBM3E+ Performance Units is voluntary and occasional and does not create any contractual or other right to receive future grants of equity awards, or benefits in lieu of equity awards, even if equity awards have been granted in the past;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all decisions with respect to future equity award grants, if any, will be at the sole discretion of the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Participant is voluntarily participating in the Plan;</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(d)            the HBM3E+ Performance Units and the Shares subject to the HBM3E+ Performance Units, and the income from and value of same, are not intended to replace any pension rights or compensation;</w:t>
      </w:r>
    </w:p>
    <w:p>
      <w:pPr>
        <w:spacing w:after="0" w:line="3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9" w:name="page70"/>
    <w:bookmarkEnd w:id="69"/>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HBM3E+ Performance Units and the Shares subject to the HBM3E+ Performance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future value of the Shares underlying the HBM3E+ Performance Units is unknown, indeterminable, and cannot be predicted;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for purposes of the HBM3E+ Performance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HBM3E+ Performance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HBM3E+ Performance Units grant (including whether Participant may still be considered to be providing services while on a leave of absence and consistent with local law);</w:t>
      </w:r>
    </w:p>
    <w:p>
      <w:pPr>
        <w:spacing w:after="0" w:line="19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unless otherwise provided in the Plan or by the Administrator in its discretion, the HBM3E+ Performance Units and the benefits evidenced by this Award Agreement do not create any entitlement to have the HBM3E+ Performance Units or any such benefits transferred to, or assumed by, another company nor be exchanged, cashed out or substituted for, in connection with any corporate transaction affecting the Shares;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the following provisions apply only if Participant is providing services outside the United States:</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the HBM3E+ Performance Units and the Shares subject to the HBM3E+ Performance Units are not part of normal or expected compensation or salary for any purpose;</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Participant acknowledges and agrees that no Service Recipient shall be liable for any foreign exchange rate fluctuation between Participant’s local currency and the United States Dollar that may affect the value of the HBM3E+ Performance Units or of any amounts due to Participant pursuant to the settlement of the HBM3E+ Performance Units or the subsequent sale of any Shares acquired upon settlement; and</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0" w:name="page71"/>
    <w:bookmarkEnd w:id="70"/>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(iii)          no claim or entitlement to compensation or damages shall arise from the forfeiture of the HBM3E+ Performance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and/or (ii) the application of any recoupment policy or any recovery or clawback policy otherwise required by law, and in consideration of the grant of the HBM3E+ Performance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Shares underlying the HBM3E+ Performance Units. Participant is hereby advised to consult with his or her own personal tax, legal, and financial advisors regarding his or her participation in the Plan before taking any action related to the Plan.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Participant’s personal data as described in this Award Agreement and any other HBM3E+ Performance Unit grant materials by and among, as applicable, the Service Recipients for the exclusive purpose of implementing, administering and managing Participant’s participation in the Plan.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HBM3E+ Performance Units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200" w:lineRule="exact"/>
        <w:rPr>
          <w:sz w:val="20"/>
          <w:szCs w:val="20"/>
          <w:color w:val="auto"/>
        </w:rPr>
      </w:pPr>
    </w:p>
    <w:p>
      <w:pPr>
        <w:spacing w:after="0" w:line="21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1" w:name="page72"/>
    <w:bookmarkEnd w:id="7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the HBM3E+ Performance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19.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20.           </w:t>
      </w: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HBM3E+ Performance Units as the Administrator may establish from time to time for reasons of administrative convenience.</w:t>
      </w:r>
    </w:p>
    <w:p>
      <w:pPr>
        <w:spacing w:after="0" w:line="200" w:lineRule="exact"/>
        <w:rPr>
          <w:sz w:val="20"/>
          <w:szCs w:val="20"/>
          <w:color w:val="auto"/>
        </w:rPr>
      </w:pPr>
    </w:p>
    <w:p>
      <w:pPr>
        <w:spacing w:after="0" w:line="2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2" w:name="page73"/>
    <w:bookmarkEnd w:id="7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HBM3E+ Performance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Participant has received an Award of HBM3E+ Performance Units under the Plan, and has received, read and understood a description of the Plan. Participant understands that the Plan is discretionary in nature and may be amended, suspended, or terminated by the Administrator at any time.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Administrator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HBM3E+ Performance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200" w:lineRule="exact"/>
        <w:rPr>
          <w:sz w:val="20"/>
          <w:szCs w:val="20"/>
          <w:color w:val="auto"/>
        </w:rPr>
      </w:pPr>
    </w:p>
    <w:p>
      <w:pPr>
        <w:spacing w:after="0" w:line="21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3" w:name="page74"/>
    <w:bookmarkEnd w:id="7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Forfeiture Under Policy or Law</w:t>
      </w:r>
      <w:r>
        <w:rPr>
          <w:rFonts w:ascii="Times New Roman" w:cs="Times New Roman" w:eastAsia="Times New Roman" w:hAnsi="Times New Roman"/>
          <w:sz w:val="18"/>
          <w:szCs w:val="18"/>
          <w:color w:val="auto"/>
        </w:rPr>
        <w:t>. Participant’s rights with respect to this Award Agreement and the Award of HBM3E+ Performance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HBM3E+ Performance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Administrator,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HBM3E+ Performance Units to re-convey, transfer or otherwise return the Shares and/or other amounts to the Company upon the Company’s enforcement of any Clawback Policy or recovery policy.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Governing Law; Venue; Severability</w:t>
      </w:r>
      <w:r>
        <w:rPr>
          <w:rFonts w:ascii="Times New Roman" w:cs="Times New Roman" w:eastAsia="Times New Roman" w:hAnsi="Times New Roman"/>
          <w:sz w:val="18"/>
          <w:szCs w:val="18"/>
          <w:color w:val="auto"/>
        </w:rPr>
        <w:t>. This Award Agreement and the HBM3E+ Performance Units are governed by the internal substantive laws, but not the choice of law rules, of the State of Delaware. For purposes of litigating any dispute that arises under these HBM3E+ Performance Units or this Award Agreement, the parties hereby submit to and consent to the jurisdiction of the State of Idaho, and agree that such litigation will be conducted in the courts of Ada County, Idaho,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Country Addendum</w:t>
      </w:r>
      <w:r>
        <w:rPr>
          <w:rFonts w:ascii="Times New Roman" w:cs="Times New Roman" w:eastAsia="Times New Roman" w:hAnsi="Times New Roman"/>
          <w:sz w:val="18"/>
          <w:szCs w:val="18"/>
          <w:color w:val="auto"/>
        </w:rPr>
        <w:t>. Notwithstanding any provisions in this Award Agreement, the HBM3E+ Performance Unit grant shall be subject to any special terms and conditions set forth in an appendix (if any) to this Award Agreement for any country whose laws are applicable to Participant and this HBM3E+ Performance Unit Award (as determined by the Administrator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OF HBM3E+ PERFORMANCE UNITS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HBM3E+ Performance Units may be earned, in whole or in part, based on (i) Participant continuing to be a Service Provider, and (ii) the achievement of the performance goals, as set forth below.</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Performance Period</w:t>
      </w:r>
      <w:r>
        <w:rPr>
          <w:rFonts w:ascii="Times New Roman" w:cs="Times New Roman" w:eastAsia="Times New Roman" w:hAnsi="Times New Roman"/>
          <w:sz w:val="18"/>
          <w:szCs w:val="18"/>
          <w:color w:val="auto"/>
        </w:rPr>
        <w:t>. For purposes of this Award of HBM3E+ Performance Units,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the period of three fiscal years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u w:val="single" w:color="auto"/>
          <w:color w:val="auto"/>
        </w:rPr>
        <w:t>Fiscal Years</w:t>
      </w:r>
      <w:r>
        <w:rPr>
          <w:rFonts w:ascii="Times New Roman" w:cs="Times New Roman" w:eastAsia="Times New Roman" w:hAnsi="Times New Roman"/>
          <w:sz w:val="18"/>
          <w:szCs w:val="18"/>
          <w:color w:val="auto"/>
        </w:rPr>
        <w:t>”) beginning August 30, 2024, and ending on September 2, 2027.</w:t>
      </w:r>
    </w:p>
    <w:p>
      <w:pPr>
        <w:spacing w:after="0" w:line="155"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Performance Goals</w:t>
      </w:r>
      <w:r>
        <w:rPr>
          <w:rFonts w:ascii="Times New Roman" w:cs="Times New Roman" w:eastAsia="Times New Roman" w:hAnsi="Times New Roman"/>
          <w:sz w:val="18"/>
          <w:szCs w:val="18"/>
          <w:color w:val="auto"/>
        </w:rPr>
        <w:t>. The HBM3E+ Performance Units are eligible to be earned, assuming at-target achievement of certain market share or shipments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relating to HBM3E+ (as defined below) (such performance goal, the “</w:t>
      </w:r>
      <w:r>
        <w:rPr>
          <w:rFonts w:ascii="Times New Roman" w:cs="Times New Roman" w:eastAsia="Times New Roman" w:hAnsi="Times New Roman"/>
          <w:sz w:val="18"/>
          <w:szCs w:val="18"/>
          <w:u w:val="single" w:color="auto"/>
          <w:color w:val="auto"/>
        </w:rPr>
        <w:t>HBM3E+ Goal</w:t>
      </w:r>
      <w:r>
        <w:rPr>
          <w:rFonts w:ascii="Times New Roman" w:cs="Times New Roman" w:eastAsia="Times New Roman" w:hAnsi="Times New Roman"/>
          <w:sz w:val="18"/>
          <w:szCs w:val="18"/>
          <w:color w:val="auto"/>
        </w:rPr>
        <w:t>”), as described further below. The Target Number of Shares Subject to HBM3E+ Performance Units (as set forth in the Notice of Grant), as may be adjusted as specified herein, is referred to herein as “</w:t>
      </w:r>
      <w:r>
        <w:rPr>
          <w:rFonts w:ascii="Times New Roman" w:cs="Times New Roman" w:eastAsia="Times New Roman" w:hAnsi="Times New Roman"/>
          <w:sz w:val="18"/>
          <w:szCs w:val="18"/>
          <w:u w:val="single" w:color="auto"/>
          <w:color w:val="auto"/>
        </w:rPr>
        <w:t>Target Units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HBM3E+ Goal</w:t>
      </w:r>
      <w:r>
        <w:rPr>
          <w:rFonts w:ascii="Times New Roman" w:cs="Times New Roman" w:eastAsia="Times New Roman" w:hAnsi="Times New Roman"/>
          <w:sz w:val="18"/>
          <w:szCs w:val="18"/>
          <w:color w:val="auto"/>
        </w:rPr>
        <w:t>. The actual number of HBM3E+ Performance Units that may be earned under this Award will be determined by reference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payout factor (the “</w:t>
      </w:r>
      <w:r>
        <w:rPr>
          <w:rFonts w:ascii="Times New Roman" w:cs="Times New Roman" w:eastAsia="Times New Roman" w:hAnsi="Times New Roman"/>
          <w:sz w:val="18"/>
          <w:szCs w:val="18"/>
          <w:u w:val="single" w:color="auto"/>
          <w:color w:val="auto"/>
        </w:rPr>
        <w:t>HBM3E+ Payout Factor</w:t>
      </w:r>
      <w:r>
        <w:rPr>
          <w:rFonts w:ascii="Times New Roman" w:cs="Times New Roman" w:eastAsia="Times New Roman" w:hAnsi="Times New Roman"/>
          <w:sz w:val="18"/>
          <w:szCs w:val="18"/>
          <w:color w:val="auto"/>
        </w:rPr>
        <w:t>”) and based on the performance achievement level of the HBM3E+ Goal, as set forth below, subject to adjustment as set forth below.</w:t>
      </w:r>
    </w:p>
    <w:p>
      <w:pPr>
        <w:spacing w:after="0" w:line="175" w:lineRule="exact"/>
        <w:rPr>
          <w:sz w:val="20"/>
          <w:szCs w:val="20"/>
          <w:color w:val="auto"/>
        </w:rPr>
      </w:pPr>
    </w:p>
    <w:p>
      <w:pPr>
        <w:ind w:left="660" w:right="20" w:hanging="328"/>
        <w:spacing w:after="0" w:line="282"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2026, the actual number of HBM3E+ Performance Units earned, if any, under this Award will be determined by multiplying (i) the number of Target Units, by (ii) the applicable HBM3E+ Payout Factor.</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Fiscal Year 2027, to the extent that the applicable HBM3E+ Payout Factor exceeds the HBM3E+ Payout Factor of Fiscal Year 2026, then the actual number of HBM3E+ Performance Units earned, if any, under this Award in Fiscal Year 2027 will be determined by multiplying (i) the number of Target Units, by (ii) the excess of the applicable HBM3E+ Payout Factor in Fiscal Year 2027 over the HBM3E+ Payout Factor of Fiscal Year 2026.</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HBM3E+ Payout Factor may range from 0.00x to a maximum of 2.00x. Therefore, more or less than 100% of the Target Units may be earned during the Performance Period based on the level of achievement measured against the HBM3E+ Goal. Additionally, the HBM3E+ Payout Factor determined pursuant to the below may be increased as a result of the Operational Additional Performance Conditions (as defined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5" w:name="page76"/>
    <w:bookmarkEnd w:id="75"/>
    <w:tbl>
      <w:tblPr>
        <w:tblLayout w:type="fixed"/>
        <w:tblInd w:w="10" w:type="dxa"/>
        <w:tblCellMar>
          <w:top w:w="0" w:type="dxa"/>
          <w:left w:w="0" w:type="dxa"/>
          <w:bottom w:w="0" w:type="dxa"/>
          <w:right w:w="0" w:type="dxa"/>
        </w:tblCellMar>
      </w:tblPr>
      <w:tr>
        <w:trPr>
          <w:trHeight w:val="229"/>
        </w:trPr>
        <w:tc>
          <w:tcPr>
            <w:tcW w:w="1720" w:type="dxa"/>
            <w:vAlign w:val="bottom"/>
            <w:tcBorders>
              <w:top w:val="single" w:sz="8" w:color="auto"/>
              <w:left w:val="single" w:sz="8" w:color="auto"/>
              <w:bottom w:val="single" w:sz="8" w:color="auto"/>
            </w:tcBorders>
          </w:tcPr>
          <w:p>
            <w:pPr>
              <w:spacing w:after="0"/>
              <w:rPr>
                <w:sz w:val="19"/>
                <w:szCs w:val="19"/>
                <w:color w:val="auto"/>
              </w:rPr>
            </w:pPr>
          </w:p>
        </w:tc>
        <w:tc>
          <w:tcPr>
            <w:tcW w:w="2240" w:type="dxa"/>
            <w:vAlign w:val="bottom"/>
            <w:tcBorders>
              <w:top w:val="single" w:sz="8" w:color="auto"/>
              <w:bottom w:val="single" w:sz="8" w:color="auto"/>
              <w:right w:val="single" w:sz="8" w:color="auto"/>
            </w:tcBorders>
          </w:tcPr>
          <w:p>
            <w:pPr>
              <w:spacing w:after="0"/>
              <w:rPr>
                <w:sz w:val="19"/>
                <w:szCs w:val="19"/>
                <w:color w:val="auto"/>
              </w:rPr>
            </w:pPr>
          </w:p>
        </w:tc>
        <w:tc>
          <w:tcPr>
            <w:tcW w:w="1580" w:type="dxa"/>
            <w:vAlign w:val="bottom"/>
            <w:tcBorders>
              <w:top w:val="single" w:sz="8" w:color="auto"/>
              <w:bottom w:val="single" w:sz="8" w:color="auto"/>
            </w:tcBorders>
          </w:tcPr>
          <w:p>
            <w:pPr>
              <w:spacing w:after="0"/>
              <w:rPr>
                <w:sz w:val="19"/>
                <w:szCs w:val="19"/>
                <w:color w:val="auto"/>
              </w:rPr>
            </w:pPr>
          </w:p>
        </w:tc>
        <w:tc>
          <w:tcPr>
            <w:tcW w:w="3140" w:type="dxa"/>
            <w:vAlign w:val="bottom"/>
            <w:tcBorders>
              <w:top w:val="single" w:sz="8" w:color="auto"/>
              <w:bottom w:val="single" w:sz="8" w:color="auto"/>
            </w:tcBorders>
            <w:gridSpan w:val="2"/>
          </w:tcPr>
          <w:p>
            <w:pPr>
              <w:ind w:left="1120"/>
              <w:spacing w:after="0"/>
              <w:rPr>
                <w:sz w:val="20"/>
                <w:szCs w:val="20"/>
                <w:color w:val="auto"/>
              </w:rPr>
            </w:pPr>
            <w:r>
              <w:rPr>
                <w:rFonts w:ascii="Times New Roman" w:cs="Times New Roman" w:eastAsia="Times New Roman" w:hAnsi="Times New Roman"/>
                <w:sz w:val="18"/>
                <w:szCs w:val="18"/>
                <w:b w:val="1"/>
                <w:bCs w:val="1"/>
                <w:color w:val="auto"/>
              </w:rPr>
              <w:t>HBM3E+ Payout Factor</w:t>
            </w:r>
          </w:p>
        </w:tc>
        <w:tc>
          <w:tcPr>
            <w:tcW w:w="156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Fiscal Year</w:t>
            </w:r>
          </w:p>
        </w:tc>
        <w:tc>
          <w:tcPr>
            <w:tcW w:w="2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HBM3E+ Goal</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0.00x</w:t>
            </w: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0.5x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1.0x</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1.50x</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2.00x</w:t>
            </w:r>
          </w:p>
        </w:tc>
        <w:tc>
          <w:tcPr>
            <w:tcW w:w="0" w:type="dxa"/>
            <w:vAlign w:val="bottom"/>
          </w:tcPr>
          <w:p>
            <w:pPr>
              <w:spacing w:after="0"/>
              <w:rPr>
                <w:sz w:val="1"/>
                <w:szCs w:val="1"/>
                <w:color w:val="auto"/>
              </w:rPr>
            </w:pPr>
          </w:p>
        </w:tc>
      </w:tr>
      <w:tr>
        <w:trPr>
          <w:trHeight w:val="191"/>
        </w:trPr>
        <w:tc>
          <w:tcPr>
            <w:tcW w:w="1720" w:type="dxa"/>
            <w:vAlign w:val="bottom"/>
            <w:tcBorders>
              <w:left w:val="single" w:sz="8" w:color="auto"/>
              <w:right w:val="single" w:sz="8" w:color="auto"/>
            </w:tcBorders>
          </w:tcPr>
          <w:p>
            <w:pPr>
              <w:spacing w:after="0"/>
              <w:rPr>
                <w:sz w:val="16"/>
                <w:szCs w:val="16"/>
                <w:color w:val="auto"/>
              </w:rPr>
            </w:pPr>
          </w:p>
        </w:tc>
        <w:tc>
          <w:tcPr>
            <w:tcW w:w="224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24.50%</w:t>
            </w:r>
          </w:p>
        </w:tc>
        <w:tc>
          <w:tcPr>
            <w:tcW w:w="0" w:type="dxa"/>
            <w:vAlign w:val="bottom"/>
          </w:tcPr>
          <w:p>
            <w:pPr>
              <w:spacing w:after="0"/>
              <w:rPr>
                <w:sz w:val="1"/>
                <w:szCs w:val="1"/>
                <w:color w:val="auto"/>
              </w:rPr>
            </w:pPr>
          </w:p>
        </w:tc>
      </w:tr>
      <w:tr>
        <w:trPr>
          <w:trHeight w:val="216"/>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2240" w:type="dxa"/>
            <w:vAlign w:val="bottom"/>
            <w:tcBorders>
              <w:right w:val="single" w:sz="8" w:color="auto"/>
            </w:tcBorders>
          </w:tcPr>
          <w:p>
            <w:pPr>
              <w:spacing w:after="0"/>
              <w:rPr>
                <w:sz w:val="18"/>
                <w:szCs w:val="18"/>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17.00%</w:t>
            </w: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 or 3.60 B</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22.00%</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23.50% or 5.20 B</w:t>
            </w:r>
          </w:p>
        </w:tc>
        <w:tc>
          <w:tcPr>
            <w:tcW w:w="10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3"/>
              </w:rPr>
              <w:t>or</w:t>
            </w: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HBM3E+ Market Share</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or 3.20 B Gbs*</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Gbs</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or 4.20 B Gbs</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Gbs</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5.43 B</w:t>
            </w:r>
          </w:p>
        </w:tc>
        <w:tc>
          <w:tcPr>
            <w:tcW w:w="0" w:type="dxa"/>
            <w:vAlign w:val="bottom"/>
          </w:tcPr>
          <w:p>
            <w:pPr>
              <w:spacing w:after="0"/>
              <w:rPr>
                <w:sz w:val="1"/>
                <w:szCs w:val="1"/>
                <w:color w:val="auto"/>
              </w:rPr>
            </w:pPr>
          </w:p>
        </w:tc>
      </w:tr>
      <w:tr>
        <w:trPr>
          <w:trHeight w:val="90"/>
        </w:trPr>
        <w:tc>
          <w:tcPr>
            <w:tcW w:w="1720" w:type="dxa"/>
            <w:vAlign w:val="bottom"/>
            <w:tcBorders>
              <w:left w:val="single" w:sz="8" w:color="auto"/>
              <w:right w:val="single" w:sz="8" w:color="auto"/>
            </w:tcBorders>
          </w:tcPr>
          <w:p>
            <w:pPr>
              <w:spacing w:after="0"/>
              <w:rPr>
                <w:sz w:val="7"/>
                <w:szCs w:val="7"/>
                <w:color w:val="auto"/>
              </w:rPr>
            </w:pPr>
          </w:p>
        </w:tc>
        <w:tc>
          <w:tcPr>
            <w:tcW w:w="224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58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560" w:type="dxa"/>
            <w:vAlign w:val="bottom"/>
            <w:tcBorders>
              <w:right w:val="single" w:sz="8" w:color="auto"/>
            </w:tcBorders>
            <w:vMerge w:val="continue"/>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1720" w:type="dxa"/>
            <w:vAlign w:val="bottom"/>
            <w:tcBorders>
              <w:left w:val="single" w:sz="8" w:color="auto"/>
              <w:right w:val="single" w:sz="8" w:color="auto"/>
            </w:tcBorders>
          </w:tcPr>
          <w:p>
            <w:pPr>
              <w:spacing w:after="0"/>
              <w:rPr>
                <w:sz w:val="9"/>
                <w:szCs w:val="9"/>
                <w:color w:val="auto"/>
              </w:rPr>
            </w:pPr>
          </w:p>
        </w:tc>
        <w:tc>
          <w:tcPr>
            <w:tcW w:w="224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58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Gbs</w:t>
            </w: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bottom w:val="single" w:sz="8" w:color="auto"/>
              <w:right w:val="single" w:sz="8" w:color="auto"/>
            </w:tcBorders>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or</w:t>
            </w:r>
          </w:p>
        </w:tc>
        <w:tc>
          <w:tcPr>
            <w:tcW w:w="1580" w:type="dxa"/>
            <w:vAlign w:val="bottom"/>
            <w:tcBorders>
              <w:bottom w:val="single" w:sz="8" w:color="auto"/>
              <w:right w:val="single" w:sz="8" w:color="auto"/>
            </w:tcBorders>
          </w:tcPr>
          <w:p>
            <w:pPr>
              <w:spacing w:after="0"/>
              <w:rPr>
                <w:sz w:val="10"/>
                <w:szCs w:val="10"/>
                <w:color w:val="auto"/>
              </w:rPr>
            </w:pPr>
          </w:p>
        </w:tc>
        <w:tc>
          <w:tcPr>
            <w:tcW w:w="158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560" w:type="dxa"/>
            <w:vAlign w:val="bottom"/>
            <w:tcBorders>
              <w:bottom w:val="single" w:sz="8" w:color="auto"/>
              <w:right w:val="single" w:sz="8" w:color="auto"/>
            </w:tcBorders>
          </w:tcPr>
          <w:p>
            <w:pPr>
              <w:spacing w:after="0"/>
              <w:rPr>
                <w:sz w:val="10"/>
                <w:szCs w:val="10"/>
                <w:color w:val="auto"/>
              </w:rPr>
            </w:pPr>
          </w:p>
        </w:tc>
        <w:tc>
          <w:tcPr>
            <w:tcW w:w="100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720" w:type="dxa"/>
            <w:vAlign w:val="bottom"/>
            <w:tcBorders>
              <w:left w:val="single" w:sz="8" w:color="auto"/>
              <w:right w:val="single" w:sz="8" w:color="auto"/>
            </w:tcBorders>
          </w:tcPr>
          <w:p>
            <w:pPr>
              <w:spacing w:after="0"/>
              <w:rPr>
                <w:sz w:val="6"/>
                <w:szCs w:val="6"/>
                <w:color w:val="auto"/>
              </w:rPr>
            </w:pPr>
          </w:p>
        </w:tc>
        <w:tc>
          <w:tcPr>
            <w:tcW w:w="2240" w:type="dxa"/>
            <w:vAlign w:val="bottom"/>
            <w:tcBorders>
              <w:right w:val="single" w:sz="8" w:color="auto"/>
            </w:tcBorders>
            <w:vMerge w:val="continue"/>
          </w:tcPr>
          <w:p>
            <w:pPr>
              <w:spacing w:after="0"/>
              <w:rPr>
                <w:sz w:val="6"/>
                <w:szCs w:val="6"/>
                <w:color w:val="auto"/>
              </w:rPr>
            </w:pPr>
          </w:p>
        </w:tc>
        <w:tc>
          <w:tcPr>
            <w:tcW w:w="158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rPr>
              <w:t>17.00%</w:t>
            </w:r>
          </w:p>
        </w:tc>
        <w:tc>
          <w:tcPr>
            <w:tcW w:w="158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rPr>
              <w:t>20.00% or 5.00 B</w:t>
            </w:r>
          </w:p>
        </w:tc>
        <w:tc>
          <w:tcPr>
            <w:tcW w:w="156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rPr>
              <w:t>22.00%</w:t>
            </w:r>
          </w:p>
        </w:tc>
        <w:tc>
          <w:tcPr>
            <w:tcW w:w="156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23.50%</w:t>
            </w:r>
          </w:p>
        </w:tc>
        <w:tc>
          <w:tcPr>
            <w:tcW w:w="1000" w:type="dxa"/>
            <w:vAlign w:val="bottom"/>
            <w:tcBorders>
              <w:right w:val="single" w:sz="8" w:color="auto"/>
            </w:tcBorders>
            <w:vMerge w:val="restart"/>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24.50%</w:t>
            </w:r>
          </w:p>
        </w:tc>
        <w:tc>
          <w:tcPr>
            <w:tcW w:w="0" w:type="dxa"/>
            <w:vAlign w:val="bottom"/>
          </w:tcPr>
          <w:p>
            <w:pPr>
              <w:spacing w:after="0"/>
              <w:rPr>
                <w:sz w:val="1"/>
                <w:szCs w:val="1"/>
                <w:color w:val="auto"/>
              </w:rPr>
            </w:pPr>
          </w:p>
        </w:tc>
      </w:tr>
      <w:tr>
        <w:trPr>
          <w:trHeight w:val="122"/>
        </w:trPr>
        <w:tc>
          <w:tcPr>
            <w:tcW w:w="1720" w:type="dxa"/>
            <w:vAlign w:val="bottom"/>
            <w:tcBorders>
              <w:left w:val="single" w:sz="8" w:color="auto"/>
              <w:right w:val="single" w:sz="8" w:color="auto"/>
            </w:tcBorders>
          </w:tcPr>
          <w:p>
            <w:pPr>
              <w:spacing w:after="0"/>
              <w:rPr>
                <w:sz w:val="10"/>
                <w:szCs w:val="10"/>
                <w:color w:val="auto"/>
              </w:rPr>
            </w:pPr>
          </w:p>
        </w:tc>
        <w:tc>
          <w:tcPr>
            <w:tcW w:w="2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HBM3E+ Bit Shipments</w:t>
            </w:r>
          </w:p>
        </w:tc>
        <w:tc>
          <w:tcPr>
            <w:tcW w:w="1580" w:type="dxa"/>
            <w:vAlign w:val="bottom"/>
            <w:tcBorders>
              <w:right w:val="single" w:sz="8" w:color="auto"/>
            </w:tcBorders>
            <w:vMerge w:val="continue"/>
          </w:tcPr>
          <w:p>
            <w:pPr>
              <w:spacing w:after="0"/>
              <w:rPr>
                <w:sz w:val="10"/>
                <w:szCs w:val="10"/>
                <w:color w:val="auto"/>
              </w:rPr>
            </w:pPr>
          </w:p>
        </w:tc>
        <w:tc>
          <w:tcPr>
            <w:tcW w:w="158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560" w:type="dxa"/>
            <w:vAlign w:val="bottom"/>
            <w:tcBorders>
              <w:right w:val="single" w:sz="8" w:color="auto"/>
            </w:tcBorders>
            <w:vMerge w:val="continue"/>
          </w:tcPr>
          <w:p>
            <w:pPr>
              <w:spacing w:after="0"/>
              <w:rPr>
                <w:sz w:val="10"/>
                <w:szCs w:val="10"/>
                <w:color w:val="auto"/>
              </w:rPr>
            </w:pPr>
          </w:p>
        </w:tc>
        <w:tc>
          <w:tcPr>
            <w:tcW w:w="100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172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2240" w:type="dxa"/>
            <w:vAlign w:val="bottom"/>
            <w:tcBorders>
              <w:right w:val="single" w:sz="8" w:color="auto"/>
            </w:tcBorders>
            <w:vMerge w:val="continue"/>
          </w:tcPr>
          <w:p>
            <w:pPr>
              <w:spacing w:after="0"/>
              <w:rPr>
                <w:sz w:val="9"/>
                <w:szCs w:val="9"/>
                <w:color w:val="auto"/>
              </w:rPr>
            </w:pP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or 4.50 B Gbs</w:t>
            </w:r>
          </w:p>
        </w:tc>
        <w:tc>
          <w:tcPr>
            <w:tcW w:w="1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Gbs</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or 5.50 B Gbs</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or 6.78 B Gbs</w:t>
            </w: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3"/>
              </w:rPr>
              <w:t>or</w:t>
            </w:r>
          </w:p>
        </w:tc>
        <w:tc>
          <w:tcPr>
            <w:tcW w:w="0" w:type="dxa"/>
            <w:vAlign w:val="bottom"/>
          </w:tcPr>
          <w:p>
            <w:pPr>
              <w:spacing w:after="0"/>
              <w:rPr>
                <w:sz w:val="1"/>
                <w:szCs w:val="1"/>
                <w:color w:val="auto"/>
              </w:rPr>
            </w:pPr>
          </w:p>
        </w:tc>
      </w:tr>
      <w:tr>
        <w:trPr>
          <w:trHeight w:val="103"/>
        </w:trPr>
        <w:tc>
          <w:tcPr>
            <w:tcW w:w="1720" w:type="dxa"/>
            <w:vAlign w:val="bottom"/>
            <w:tcBorders>
              <w:left w:val="single" w:sz="8" w:color="auto"/>
              <w:right w:val="single" w:sz="8" w:color="auto"/>
            </w:tcBorders>
            <w:vMerge w:val="continue"/>
          </w:tcPr>
          <w:p>
            <w:pPr>
              <w:spacing w:after="0"/>
              <w:rPr>
                <w:sz w:val="8"/>
                <w:szCs w:val="8"/>
                <w:color w:val="auto"/>
              </w:rPr>
            </w:pPr>
          </w:p>
        </w:tc>
        <w:tc>
          <w:tcPr>
            <w:tcW w:w="2240" w:type="dxa"/>
            <w:vAlign w:val="bottom"/>
            <w:tcBorders>
              <w:right w:val="single" w:sz="8" w:color="auto"/>
            </w:tcBorders>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58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56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1720" w:type="dxa"/>
            <w:vAlign w:val="bottom"/>
            <w:tcBorders>
              <w:left w:val="single" w:sz="8" w:color="auto"/>
              <w:right w:val="single" w:sz="8" w:color="auto"/>
            </w:tcBorders>
            <w:vMerge w:val="continue"/>
          </w:tcPr>
          <w:p>
            <w:pPr>
              <w:spacing w:after="0"/>
              <w:rPr>
                <w:sz w:val="10"/>
                <w:szCs w:val="10"/>
                <w:color w:val="auto"/>
              </w:rPr>
            </w:pPr>
          </w:p>
        </w:tc>
        <w:tc>
          <w:tcPr>
            <w:tcW w:w="224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8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56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7.10 B</w:t>
            </w:r>
          </w:p>
        </w:tc>
        <w:tc>
          <w:tcPr>
            <w:tcW w:w="0" w:type="dxa"/>
            <w:vAlign w:val="bottom"/>
          </w:tcPr>
          <w:p>
            <w:pPr>
              <w:spacing w:after="0"/>
              <w:rPr>
                <w:sz w:val="1"/>
                <w:szCs w:val="1"/>
                <w:color w:val="auto"/>
              </w:rPr>
            </w:pPr>
          </w:p>
        </w:tc>
      </w:tr>
      <w:tr>
        <w:trPr>
          <w:trHeight w:val="90"/>
        </w:trPr>
        <w:tc>
          <w:tcPr>
            <w:tcW w:w="1720" w:type="dxa"/>
            <w:vAlign w:val="bottom"/>
            <w:tcBorders>
              <w:left w:val="single" w:sz="8" w:color="auto"/>
              <w:right w:val="single" w:sz="8" w:color="auto"/>
            </w:tcBorders>
          </w:tcPr>
          <w:p>
            <w:pPr>
              <w:spacing w:after="0"/>
              <w:rPr>
                <w:sz w:val="7"/>
                <w:szCs w:val="7"/>
                <w:color w:val="auto"/>
              </w:rPr>
            </w:pPr>
          </w:p>
        </w:tc>
        <w:tc>
          <w:tcPr>
            <w:tcW w:w="224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158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560" w:type="dxa"/>
            <w:vAlign w:val="bottom"/>
            <w:tcBorders>
              <w:right w:val="single" w:sz="8" w:color="auto"/>
            </w:tcBorders>
          </w:tcPr>
          <w:p>
            <w:pPr>
              <w:spacing w:after="0"/>
              <w:rPr>
                <w:sz w:val="7"/>
                <w:szCs w:val="7"/>
                <w:color w:val="auto"/>
              </w:rPr>
            </w:pPr>
          </w:p>
        </w:tc>
        <w:tc>
          <w:tcPr>
            <w:tcW w:w="100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8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Gbs</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40" w:hanging="132"/>
        <w:spacing w:after="0"/>
        <w:tabs>
          <w:tab w:leader="none" w:pos="1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Refers to billion gigabits.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HBM3E+ Payout Factor for a particular Fiscal Year shown in the table above will be determined by the higher of (x) the HBM3E+ Payout Factor applicable to HBM3E+ Market Share (as defined below) achieved for such Fiscal Year, or (y) the HBM3E+ Payout Factor applicable to HBM3E+ Bit Shipments (as defined below) achieved for such Fiscal Year (the “</w:t>
      </w:r>
      <w:r>
        <w:rPr>
          <w:rFonts w:ascii="Times New Roman" w:cs="Times New Roman" w:eastAsia="Times New Roman" w:hAnsi="Times New Roman"/>
          <w:sz w:val="18"/>
          <w:szCs w:val="18"/>
          <w:u w:val="single" w:color="auto"/>
          <w:color w:val="auto"/>
        </w:rPr>
        <w:t>Achieved HBM3E+ Level</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81" w:lineRule="auto"/>
        <w:tabs>
          <w:tab w:leader="none" w:pos="660" w:val="left"/>
        </w:tabs>
        <w:numPr>
          <w:ilvl w:val="1"/>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the Achieved HBM3E+ Level is between performance levels shown in the table above, the HBM3E+ Payout Factor will be determined based on straight line interpolation. For the avoidance of doubt and notwithstanding any contrary provision of the Award Agreement, if performance for the HBM3E+ Goal (in other words, for both HBM3E+ Market Share and HBM3E+ Bit Shipments) in a particular Fiscal Year is equal to or below the performance specified in the 0.00x column in the above table, the HBM3E+ Payout Factor for such Fiscal Year will be zero.</w:t>
      </w:r>
    </w:p>
    <w:p>
      <w:pPr>
        <w:spacing w:after="0" w:line="164" w:lineRule="exact"/>
        <w:rPr>
          <w:rFonts w:ascii="Times New Roman" w:cs="Times New Roman" w:eastAsia="Times New Roman" w:hAnsi="Times New Roman"/>
          <w:sz w:val="17"/>
          <w:szCs w:val="17"/>
          <w:color w:val="auto"/>
        </w:rPr>
      </w:pPr>
    </w:p>
    <w:p>
      <w:pPr>
        <w:ind w:left="660" w:hanging="328"/>
        <w:spacing w:after="0" w:line="282"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HBM3E+ Market Share performance result, HBM3E+ Bit Shipments performance result, and HBM3E+ Payout Factor will be rounded to the second decimal place, as needed.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HBM3E+</w:t>
      </w:r>
      <w:r>
        <w:rPr>
          <w:rFonts w:ascii="Times New Roman" w:cs="Times New Roman" w:eastAsia="Times New Roman" w:hAnsi="Times New Roman"/>
          <w:sz w:val="18"/>
          <w:szCs w:val="18"/>
          <w:color w:val="auto"/>
        </w:rPr>
        <w:t>” refers to the Company’s HBM3E+ and beyond HBM products and the equivalent competitor’s products.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HBM3E+ Market Share</w:t>
      </w:r>
      <w:r>
        <w:rPr>
          <w:rFonts w:ascii="Times New Roman" w:cs="Times New Roman" w:eastAsia="Times New Roman" w:hAnsi="Times New Roman"/>
          <w:sz w:val="18"/>
          <w:szCs w:val="18"/>
          <w:color w:val="auto"/>
        </w:rPr>
        <w:t>” refers to the Company’s revenue (determined in accordance with U.S. Generally Accepted Accounting Principles (“GAAP”)) with respect to its HBM3E+ and beyond products as a percentage of total industry revenue from HBM3E+ and beyond (i.e., a stacked DRAM technology optimized for memory-bandwidth intensive applications) products. The HBM3E+ Market Share will be measured by the Company’s internal Market Intelligence (MI) assessment, in part by leveraging third-party reports (x) for the 2026 Fiscal Year, over the period beginning with the third quarter of calendar year 2025 through and inclusive of the second quarter of calendar year 2026, and (y) for the 2027 Fiscal Year, over the period beginning with the third quarter of calendar year 2026 through and inclusive of the second quarter of calendar year 2027.</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3" w:right="339" w:bottom="1440" w:gutter="0" w:footer="0" w:header="0"/>
        </w:sectPr>
      </w:pPr>
    </w:p>
    <w:bookmarkStart w:id="76" w:name="page77"/>
    <w:bookmarkEnd w:id="76"/>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HBM3E+ Bit Shipments</w:t>
      </w:r>
      <w:r>
        <w:rPr>
          <w:rFonts w:ascii="Times New Roman" w:cs="Times New Roman" w:eastAsia="Times New Roman" w:hAnsi="Times New Roman"/>
          <w:sz w:val="18"/>
          <w:szCs w:val="18"/>
          <w:color w:val="auto"/>
        </w:rPr>
        <w:t>” refers to the bit shipments for the Company’s HBM3E+ and beyond HBM products.</w:t>
      </w:r>
    </w:p>
    <w:p>
      <w:pPr>
        <w:spacing w:after="0" w:line="221"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Operational Additional Performance Conditions</w:t>
      </w:r>
      <w:r>
        <w:rPr>
          <w:rFonts w:ascii="Times New Roman" w:cs="Times New Roman" w:eastAsia="Times New Roman" w:hAnsi="Times New Roman"/>
          <w:sz w:val="18"/>
          <w:szCs w:val="18"/>
          <w:color w:val="auto"/>
        </w:rPr>
        <w:t>. The HBM3E+ Payout Factor may be increased in the event of achievement of the NAND free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flow and U.S. DRAM manufacturing expansion goals described below (the “</w:t>
      </w:r>
      <w:r>
        <w:rPr>
          <w:rFonts w:ascii="Times New Roman" w:cs="Times New Roman" w:eastAsia="Times New Roman" w:hAnsi="Times New Roman"/>
          <w:sz w:val="18"/>
          <w:szCs w:val="18"/>
          <w:u w:val="single" w:color="auto"/>
          <w:color w:val="auto"/>
        </w:rPr>
        <w:t>Operational Additional Performance Conditions</w:t>
      </w:r>
      <w:r>
        <w:rPr>
          <w:rFonts w:ascii="Times New Roman" w:cs="Times New Roman" w:eastAsia="Times New Roman" w:hAnsi="Times New Roman"/>
          <w:sz w:val="18"/>
          <w:szCs w:val="18"/>
          <w:color w:val="auto"/>
        </w:rPr>
        <w:t>”).</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2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Operational</w:t>
            </w:r>
          </w:p>
        </w:tc>
        <w:tc>
          <w:tcPr>
            <w:tcW w:w="6060" w:type="dxa"/>
            <w:vAlign w:val="bottom"/>
            <w:tcBorders>
              <w:top w:val="single" w:sz="8" w:color="auto"/>
              <w:right w:val="single" w:sz="8" w:color="auto"/>
            </w:tcBorders>
          </w:tcPr>
          <w:p>
            <w:pPr>
              <w:spacing w:after="0"/>
              <w:rPr>
                <w:sz w:val="18"/>
                <w:szCs w:val="18"/>
                <w:color w:val="auto"/>
              </w:rPr>
            </w:pPr>
          </w:p>
        </w:tc>
        <w:tc>
          <w:tcPr>
            <w:tcW w:w="290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Added to</w:t>
            </w: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606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continue"/>
          </w:tcPr>
          <w:p>
            <w:pPr>
              <w:spacing w:after="0"/>
              <w:rPr>
                <w:sz w:val="9"/>
                <w:szCs w:val="9"/>
                <w:color w:val="auto"/>
              </w:rPr>
            </w:pPr>
          </w:p>
        </w:tc>
        <w:tc>
          <w:tcPr>
            <w:tcW w:w="6060" w:type="dxa"/>
            <w:vAlign w:val="bottom"/>
            <w:tcBorders>
              <w:right w:val="single" w:sz="8" w:color="auto"/>
            </w:tcBorders>
            <w:vMerge w:val="restart"/>
          </w:tcPr>
          <w:p>
            <w:pPr>
              <w:ind w:left="1900"/>
              <w:spacing w:after="0"/>
              <w:rPr>
                <w:sz w:val="20"/>
                <w:szCs w:val="20"/>
                <w:color w:val="auto"/>
              </w:rPr>
            </w:pPr>
            <w:r>
              <w:rPr>
                <w:rFonts w:ascii="Times New Roman" w:cs="Times New Roman" w:eastAsia="Times New Roman" w:hAnsi="Times New Roman"/>
                <w:sz w:val="18"/>
                <w:szCs w:val="18"/>
                <w:b w:val="1"/>
                <w:bCs w:val="1"/>
                <w:color w:val="auto"/>
              </w:rPr>
              <w:t>Required Achievement Level</w:t>
            </w:r>
          </w:p>
        </w:tc>
        <w:tc>
          <w:tcPr>
            <w:tcW w:w="2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HBM3E+ Payout Factor</w:t>
            </w: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Performance</w:t>
            </w:r>
          </w:p>
        </w:tc>
        <w:tc>
          <w:tcPr>
            <w:tcW w:w="6060" w:type="dxa"/>
            <w:vAlign w:val="bottom"/>
            <w:tcBorders>
              <w:right w:val="single" w:sz="8" w:color="auto"/>
            </w:tcBorders>
            <w:vMerge w:val="continue"/>
          </w:tcPr>
          <w:p>
            <w:pPr>
              <w:spacing w:after="0"/>
              <w:rPr>
                <w:sz w:val="9"/>
                <w:szCs w:val="9"/>
                <w:color w:val="auto"/>
              </w:rPr>
            </w:pPr>
          </w:p>
        </w:tc>
        <w:tc>
          <w:tcPr>
            <w:tcW w:w="290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right w:val="single" w:sz="8" w:color="auto"/>
            </w:tcBorders>
            <w:vMerge w:val="continue"/>
          </w:tcPr>
          <w:p>
            <w:pPr>
              <w:spacing w:after="0"/>
              <w:rPr>
                <w:sz w:val="9"/>
                <w:szCs w:val="9"/>
                <w:color w:val="auto"/>
              </w:rPr>
            </w:pPr>
          </w:p>
        </w:tc>
        <w:tc>
          <w:tcPr>
            <w:tcW w:w="6060" w:type="dxa"/>
            <w:vAlign w:val="bottom"/>
            <w:tcBorders>
              <w:right w:val="single" w:sz="8" w:color="auto"/>
            </w:tcBorders>
          </w:tcPr>
          <w:p>
            <w:pPr>
              <w:spacing w:after="0"/>
              <w:rPr>
                <w:sz w:val="9"/>
                <w:szCs w:val="9"/>
                <w:color w:val="auto"/>
              </w:rPr>
            </w:pPr>
          </w:p>
        </w:tc>
        <w:tc>
          <w:tcPr>
            <w:tcW w:w="2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Determined Above</w:t>
            </w:r>
          </w:p>
        </w:tc>
        <w:tc>
          <w:tcPr>
            <w:tcW w:w="0" w:type="dxa"/>
            <w:vAlign w:val="bottom"/>
          </w:tcPr>
          <w:p>
            <w:pPr>
              <w:spacing w:after="0"/>
              <w:rPr>
                <w:sz w:val="1"/>
                <w:szCs w:val="1"/>
                <w:color w:val="auto"/>
              </w:rPr>
            </w:pPr>
          </w:p>
        </w:tc>
      </w:tr>
      <w:tr>
        <w:trPr>
          <w:trHeight w:val="130"/>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Conditions Goal</w:t>
            </w:r>
          </w:p>
        </w:tc>
        <w:tc>
          <w:tcPr>
            <w:tcW w:w="6060" w:type="dxa"/>
            <w:vAlign w:val="bottom"/>
            <w:tcBorders>
              <w:right w:val="single" w:sz="8" w:color="auto"/>
            </w:tcBorders>
          </w:tcPr>
          <w:p>
            <w:pPr>
              <w:spacing w:after="0"/>
              <w:rPr>
                <w:sz w:val="11"/>
                <w:szCs w:val="11"/>
                <w:color w:val="auto"/>
              </w:rPr>
            </w:pPr>
          </w:p>
        </w:tc>
        <w:tc>
          <w:tcPr>
            <w:tcW w:w="29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6060" w:type="dxa"/>
            <w:vAlign w:val="bottom"/>
            <w:tcBorders>
              <w:bottom w:val="single" w:sz="8" w:color="auto"/>
              <w:right w:val="single" w:sz="8" w:color="auto"/>
            </w:tcBorders>
          </w:tcPr>
          <w:p>
            <w:pPr>
              <w:spacing w:after="0"/>
              <w:rPr>
                <w:sz w:val="9"/>
                <w:szCs w:val="9"/>
                <w:color w:val="auto"/>
              </w:rPr>
            </w:pPr>
          </w:p>
        </w:tc>
        <w:tc>
          <w:tcPr>
            <w:tcW w:w="29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NAND free cash flow</w:t>
            </w:r>
          </w:p>
        </w:tc>
        <w:tc>
          <w:tcPr>
            <w:tcW w:w="606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Deliver at least $500M positive free cash flow for NAND across any</w:t>
            </w:r>
          </w:p>
        </w:tc>
        <w:tc>
          <w:tcPr>
            <w:tcW w:w="29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tcBorders>
              <w:left w:val="single" w:sz="8" w:color="auto"/>
              <w:right w:val="single" w:sz="8" w:color="auto"/>
            </w:tcBorders>
            <w:vMerge w:val="continue"/>
          </w:tcPr>
          <w:p>
            <w:pPr>
              <w:spacing w:after="0"/>
              <w:rPr>
                <w:sz w:val="18"/>
                <w:szCs w:val="18"/>
                <w:color w:val="auto"/>
              </w:rPr>
            </w:pPr>
          </w:p>
        </w:tc>
        <w:tc>
          <w:tcPr>
            <w:tcW w:w="6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consecutive four fiscal quarters from first fiscal quarter of Fiscal Year 2026</w:t>
            </w:r>
          </w:p>
        </w:tc>
        <w:tc>
          <w:tcPr>
            <w:tcW w:w="2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0.33x</w:t>
            </w:r>
          </w:p>
        </w:tc>
        <w:tc>
          <w:tcPr>
            <w:tcW w:w="0" w:type="dxa"/>
            <w:vAlign w:val="bottom"/>
          </w:tcPr>
          <w:p>
            <w:pPr>
              <w:spacing w:after="0"/>
              <w:rPr>
                <w:sz w:val="1"/>
                <w:szCs w:val="1"/>
                <w:color w:val="auto"/>
              </w:rPr>
            </w:pPr>
          </w:p>
        </w:tc>
      </w:tr>
      <w:tr>
        <w:trPr>
          <w:trHeight w:val="234"/>
        </w:trPr>
        <w:tc>
          <w:tcPr>
            <w:tcW w:w="2280" w:type="dxa"/>
            <w:vAlign w:val="bottom"/>
            <w:tcBorders>
              <w:left w:val="single" w:sz="8" w:color="auto"/>
              <w:bottom w:val="single" w:sz="8" w:color="auto"/>
              <w:right w:val="single" w:sz="8" w:color="auto"/>
            </w:tcBorders>
          </w:tcPr>
          <w:p>
            <w:pPr>
              <w:spacing w:after="0"/>
              <w:rPr>
                <w:sz w:val="20"/>
                <w:szCs w:val="20"/>
                <w:color w:val="auto"/>
              </w:rPr>
            </w:pPr>
          </w:p>
        </w:tc>
        <w:tc>
          <w:tcPr>
            <w:tcW w:w="606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through and inclusive of fourth fiscal quarter of Fiscal Year 2007</w:t>
            </w:r>
          </w:p>
        </w:tc>
        <w:tc>
          <w:tcPr>
            <w:tcW w:w="290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280" w:type="dxa"/>
            <w:vAlign w:val="bottom"/>
            <w:tcBorders>
              <w:left w:val="single" w:sz="8" w:color="auto"/>
              <w:right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U.S. DRAM</w:t>
            </w:r>
          </w:p>
        </w:tc>
        <w:tc>
          <w:tcPr>
            <w:tcW w:w="60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First wafer at the Company’s Boise fab site is out by December 31, 2026</w:t>
            </w:r>
          </w:p>
        </w:tc>
        <w:tc>
          <w:tcPr>
            <w:tcW w:w="2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0.33x</w:t>
            </w:r>
          </w:p>
        </w:tc>
        <w:tc>
          <w:tcPr>
            <w:tcW w:w="0" w:type="dxa"/>
            <w:vAlign w:val="bottom"/>
          </w:tcPr>
          <w:p>
            <w:pPr>
              <w:spacing w:after="0"/>
              <w:rPr>
                <w:sz w:val="1"/>
                <w:szCs w:val="1"/>
                <w:color w:val="auto"/>
              </w:rPr>
            </w:pPr>
          </w:p>
        </w:tc>
      </w:tr>
      <w:tr>
        <w:trPr>
          <w:trHeight w:val="130"/>
        </w:trPr>
        <w:tc>
          <w:tcPr>
            <w:tcW w:w="22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manufacturing expansion</w:t>
            </w:r>
          </w:p>
        </w:tc>
        <w:tc>
          <w:tcPr>
            <w:tcW w:w="6060" w:type="dxa"/>
            <w:vAlign w:val="bottom"/>
            <w:tcBorders>
              <w:right w:val="single" w:sz="8" w:color="auto"/>
            </w:tcBorders>
            <w:vMerge w:val="continue"/>
          </w:tcPr>
          <w:p>
            <w:pPr>
              <w:spacing w:after="0"/>
              <w:rPr>
                <w:sz w:val="11"/>
                <w:szCs w:val="11"/>
                <w:color w:val="auto"/>
              </w:rPr>
            </w:pPr>
          </w:p>
        </w:tc>
        <w:tc>
          <w:tcPr>
            <w:tcW w:w="290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6060" w:type="dxa"/>
            <w:vAlign w:val="bottom"/>
            <w:tcBorders>
              <w:bottom w:val="single" w:sz="8" w:color="auto"/>
              <w:right w:val="single" w:sz="8" w:color="auto"/>
            </w:tcBorders>
          </w:tcPr>
          <w:p>
            <w:pPr>
              <w:spacing w:after="0"/>
              <w:rPr>
                <w:sz w:val="9"/>
                <w:szCs w:val="9"/>
                <w:color w:val="auto"/>
              </w:rPr>
            </w:pPr>
          </w:p>
        </w:tc>
        <w:tc>
          <w:tcPr>
            <w:tcW w:w="29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line="282" w:lineRule="auto"/>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NAND free cash flow will be determined, based on the Company’s financial planning and analysis internal allocation model, as the amount of free cash flow generated from the Company’s NAND business.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wafer out is the first full flow wafer output from the Boise fab site with any yield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example of the operation of the Operational Additional Performance Conditions is set forth below:</w:t>
      </w:r>
    </w:p>
    <w:p>
      <w:pPr>
        <w:spacing w:after="0" w:line="225" w:lineRule="exact"/>
        <w:rPr>
          <w:sz w:val="20"/>
          <w:szCs w:val="20"/>
          <w:color w:val="auto"/>
        </w:rPr>
      </w:pPr>
    </w:p>
    <w:p>
      <w:pPr>
        <w:ind w:left="1300" w:hanging="320"/>
        <w:spacing w:after="0"/>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that for Fiscal Year 2026, the HBM3E+ Payout Factor is determined to be 1.0x.</w:t>
      </w:r>
    </w:p>
    <w:p>
      <w:pPr>
        <w:spacing w:after="0" w:line="225"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achievement of the NAND free cash flow goal during Fiscal Year 2026 but that the U.S. DRAM manufacturing expansion goal is not achieved in Fiscal Year 2026.</w:t>
      </w:r>
    </w:p>
    <w:p>
      <w:pPr>
        <w:spacing w:after="0" w:line="161"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HBM3E+ Payout Factor will be increased by 0.33x, to 1.33x. (If both the NAND free cash flow goal and the U.S. DRAM manufacturing expansion goal were achieved, the HBM3E+ Payout Factor would be increased by 0.66x to 1.66x.)</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Certification and Banked Units</w:t>
      </w:r>
      <w:r>
        <w:rPr>
          <w:rFonts w:ascii="Times New Roman" w:cs="Times New Roman" w:eastAsia="Times New Roman" w:hAnsi="Times New Roman"/>
          <w:sz w:val="18"/>
          <w:szCs w:val="18"/>
          <w:color w:val="auto"/>
        </w:rPr>
        <w:t>. Achievement levels with respect to the HBM3E+ Payout Factor, as well as any Operational Additional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will be measured at the end of each of:</w:t>
      </w:r>
    </w:p>
    <w:p>
      <w:pPr>
        <w:spacing w:after="0" w:line="159"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2026,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Year 2027.</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7" w:name="page78"/>
    <w:bookmarkEnd w:id="77"/>
    <w:p>
      <w:pPr>
        <w:jc w:val="both"/>
        <w:spacing w:after="0" w:line="261" w:lineRule="auto"/>
        <w:rPr>
          <w:sz w:val="20"/>
          <w:szCs w:val="20"/>
          <w:color w:val="auto"/>
        </w:rPr>
      </w:pPr>
      <w:r>
        <w:rPr>
          <w:rFonts w:ascii="Times New Roman" w:cs="Times New Roman" w:eastAsia="Times New Roman" w:hAnsi="Times New Roman"/>
          <w:sz w:val="18"/>
          <w:szCs w:val="18"/>
          <w:color w:val="auto"/>
        </w:rPr>
        <w:t>No later than 60 days after the end of each of Fiscal Years 2026 and 2027, the Administrator shall determine and certify the results of such achievement under this Award of HBM3E+ Performance Units (such date, the “</w:t>
      </w:r>
      <w:r>
        <w:rPr>
          <w:rFonts w:ascii="Times New Roman" w:cs="Times New Roman" w:eastAsia="Times New Roman" w:hAnsi="Times New Roman"/>
          <w:sz w:val="18"/>
          <w:szCs w:val="18"/>
          <w:u w:val="single" w:color="auto"/>
          <w:color w:val="auto"/>
        </w:rPr>
        <w:t>Certification Date</w:t>
      </w:r>
      <w:r>
        <w:rPr>
          <w:rFonts w:ascii="Times New Roman" w:cs="Times New Roman" w:eastAsia="Times New Roman" w:hAnsi="Times New Roman"/>
          <w:sz w:val="18"/>
          <w:szCs w:val="18"/>
          <w:color w:val="auto"/>
        </w:rPr>
        <w:t>”). HBM3E+ Performance Units that are earned by achievement of the HBM3E+ Goal and/or Operational Additional Performance Conditions, as applicable, are referred to herein as “</w:t>
      </w:r>
      <w:r>
        <w:rPr>
          <w:rFonts w:ascii="Times New Roman" w:cs="Times New Roman" w:eastAsia="Times New Roman" w:hAnsi="Times New Roman"/>
          <w:sz w:val="18"/>
          <w:szCs w:val="18"/>
          <w:u w:val="single" w:color="auto"/>
          <w:color w:val="auto"/>
        </w:rPr>
        <w:t>Banked Units</w:t>
      </w:r>
      <w:r>
        <w:rPr>
          <w:rFonts w:ascii="Times New Roman" w:cs="Times New Roman" w:eastAsia="Times New Roman" w:hAnsi="Times New Roman"/>
          <w:sz w:val="18"/>
          <w:szCs w:val="18"/>
          <w:color w:val="auto"/>
        </w:rPr>
        <w:t>” (regardless of whether such HBM3E+ Performance Units have vested).</w:t>
      </w:r>
    </w:p>
    <w:p>
      <w:pPr>
        <w:spacing w:after="0" w:line="17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color w:val="auto"/>
        </w:rPr>
        <w:t>. As of the Certification Date that immediately follows the end of Fiscal Year 2027, 100% of any then-unvested Banked Units (for the avoidance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doubt, inclusive of any HBM3E+ Performance Units becoming Banked Units as of such Certification Date) will vest as of such Certification Date. If Participant’s employment terminates for a reason other than termination for Cause (as such term is defined in the agreement between Participant and the Company governing the terms of Participant’s employment or termination thereof, or, if not so defined, as defined in the Plan), after HBM3E+ Performance Units have become Banked Units, such Banked Units will continue to vest and be paid pursuant to the original schedule.</w:t>
      </w:r>
    </w:p>
    <w:p>
      <w:pPr>
        <w:spacing w:after="0" w:line="1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Vesting Upon a Qualifying Event</w:t>
      </w:r>
      <w:r>
        <w:rPr>
          <w:rFonts w:ascii="Times New Roman" w:cs="Times New Roman" w:eastAsia="Times New Roman" w:hAnsi="Times New Roman"/>
          <w:sz w:val="18"/>
          <w:szCs w:val="18"/>
          <w:color w:val="auto"/>
        </w:rPr>
        <w:t>. This paragraph shall apply only to the extent that Participant and the Company have entered into a written offer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similar written agreement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that provides for accelerated or continued vesting of part or all of Participant’s restricted stock awards or restricted stock share awards if Participant experiences a “Qualifying Separation from Service” or “Qualifying Termination of Employment” (as applicable, as defined in the Letter) (in either case, a “</w:t>
      </w:r>
      <w:r>
        <w:rPr>
          <w:rFonts w:ascii="Times New Roman" w:cs="Times New Roman" w:eastAsia="Times New Roman" w:hAnsi="Times New Roman"/>
          <w:sz w:val="18"/>
          <w:szCs w:val="18"/>
          <w:u w:val="single" w:color="auto"/>
          <w:color w:val="auto"/>
        </w:rPr>
        <w:t>Qualifying Event</w:t>
      </w:r>
      <w:r>
        <w:rPr>
          <w:rFonts w:ascii="Times New Roman" w:cs="Times New Roman" w:eastAsia="Times New Roman" w:hAnsi="Times New Roman"/>
          <w:sz w:val="18"/>
          <w:szCs w:val="18"/>
          <w:color w:val="auto"/>
        </w:rPr>
        <w:t>”). If Participant experiences a Qualifying Event and complies with the terms of the Letter so that Participant becomes entitled to severance benefits relating to vesting of restricted stock awards or restricted stock share awards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Participant also will be entitled to partial or full vesting of this Award as a restricted stock award or restricted stock share award under the Letter and in accordance with the terms and conditions specified in the Letter. For the avoidance of doubt, any vesting provided under this paragraph is subject to all of the terms and conditions of the Letter and, if Participant does not comply with the requirements of the Letter to qualify for Severance Benefits, Participant will not be entitled to any vesting under this paragraph.</w:t>
      </w:r>
    </w:p>
    <w:p>
      <w:pPr>
        <w:spacing w:after="0" w:line="18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Payout Timing (Conversion to Shares)</w:t>
      </w:r>
      <w:r>
        <w:rPr>
          <w:rFonts w:ascii="Times New Roman" w:cs="Times New Roman" w:eastAsia="Times New Roman" w:hAnsi="Times New Roman"/>
          <w:sz w:val="18"/>
          <w:szCs w:val="18"/>
          <w:color w:val="auto"/>
        </w:rPr>
        <w:t>. The Banked Units vesting as of the Certification Date that immediately follows the end of Fiscal Year 2027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HBM3E+ Performance Units, the “</w:t>
      </w:r>
      <w:r>
        <w:rPr>
          <w:rFonts w:ascii="Times New Roman" w:cs="Times New Roman" w:eastAsia="Times New Roman" w:hAnsi="Times New Roman"/>
          <w:sz w:val="18"/>
          <w:szCs w:val="18"/>
          <w:u w:val="single" w:color="auto"/>
          <w:color w:val="auto"/>
        </w:rPr>
        <w:t>Vested HBM3E+ Performance Units</w:t>
      </w:r>
      <w:r>
        <w:rPr>
          <w:rFonts w:ascii="Times New Roman" w:cs="Times New Roman" w:eastAsia="Times New Roman" w:hAnsi="Times New Roman"/>
          <w:sz w:val="18"/>
          <w:szCs w:val="18"/>
          <w:color w:val="auto"/>
        </w:rPr>
        <w:t>”) shall automatically convert to Shares on the Certification Date (the “</w:t>
      </w:r>
      <w:r>
        <w:rPr>
          <w:rFonts w:ascii="Times New Roman" w:cs="Times New Roman" w:eastAsia="Times New Roman" w:hAnsi="Times New Roman"/>
          <w:sz w:val="18"/>
          <w:szCs w:val="18"/>
          <w:u w:val="single" w:color="auto"/>
          <w:color w:val="auto"/>
        </w:rPr>
        <w:t>Conversion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except that if Participant is terminated for Cause, no further HBM3E+ Performance Units shall vest after the date of termination.</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Certain Award Limitations</w:t>
      </w:r>
      <w:r>
        <w:rPr>
          <w:rFonts w:ascii="Times New Roman" w:cs="Times New Roman" w:eastAsia="Times New Roman" w:hAnsi="Times New Roman"/>
          <w:sz w:val="18"/>
          <w:szCs w:val="18"/>
          <w:color w:val="auto"/>
        </w:rPr>
        <w:t>. The maximum number of HBM3E+ Performance Units that may vest under this Award is the Maximum Number of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Subject to HBM3E+ Performance Units as set forth in the Notice of Grant.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8" w:name="page79"/>
    <w:bookmarkEnd w:id="78"/>
    <w:p>
      <w:pPr>
        <w:jc w:val="both"/>
        <w:spacing w:after="0" w:line="252" w:lineRule="auto"/>
        <w:rPr>
          <w:sz w:val="20"/>
          <w:szCs w:val="20"/>
          <w:color w:val="auto"/>
        </w:rPr>
      </w:pPr>
      <w:r>
        <w:rPr>
          <w:rFonts w:ascii="Times New Roman" w:cs="Times New Roman" w:eastAsia="Times New Roman" w:hAnsi="Times New Roman"/>
          <w:sz w:val="18"/>
          <w:szCs w:val="18"/>
          <w:color w:val="auto"/>
        </w:rPr>
        <w:t>Concurrently with this Award of HBM3E+ Performance Units, Participant is receiving (a) an award of Data Center SSD Performance Units, which are performance-based Restricted Stock Units that may be earned based on achievement of certain goals related to data center SSD market share or bit shipments (the “</w:t>
      </w:r>
      <w:r>
        <w:rPr>
          <w:rFonts w:ascii="Times New Roman" w:cs="Times New Roman" w:eastAsia="Times New Roman" w:hAnsi="Times New Roman"/>
          <w:sz w:val="18"/>
          <w:szCs w:val="18"/>
          <w:u w:val="single" w:color="auto"/>
          <w:color w:val="auto"/>
        </w:rPr>
        <w:t>Data Center SSD Award</w:t>
      </w:r>
      <w:r>
        <w:rPr>
          <w:rFonts w:ascii="Times New Roman" w:cs="Times New Roman" w:eastAsia="Times New Roman" w:hAnsi="Times New Roman"/>
          <w:sz w:val="18"/>
          <w:szCs w:val="18"/>
          <w:color w:val="auto"/>
        </w:rPr>
        <w:t>”), as described in the award agreement covering the Data Center SSD Award, and (b) an award of rTSR CAGR Performance Units, which are performance-based Restricted Stock Units that may be earned based upon achievement of certain goals related to relative total shareholder return compound annual growth rate (such award, the “</w:t>
      </w:r>
      <w:r>
        <w:rPr>
          <w:rFonts w:ascii="Times New Roman" w:cs="Times New Roman" w:eastAsia="Times New Roman" w:hAnsi="Times New Roman"/>
          <w:sz w:val="18"/>
          <w:szCs w:val="18"/>
          <w:u w:val="single" w:color="auto"/>
          <w:color w:val="auto"/>
        </w:rPr>
        <w:t>rTSR CAGR Award</w:t>
      </w:r>
      <w:r>
        <w:rPr>
          <w:rFonts w:ascii="Times New Roman" w:cs="Times New Roman" w:eastAsia="Times New Roman" w:hAnsi="Times New Roman"/>
          <w:sz w:val="18"/>
          <w:szCs w:val="18"/>
          <w:color w:val="auto"/>
        </w:rPr>
        <w:t>”), as described in the award agreement covering the rTSR CAGR Award. This Award of HBM3E+ Performance Units, together with the Data Center SSD Award and the rTSR CAGR Award, are referred to as the “</w:t>
      </w:r>
      <w:r>
        <w:rPr>
          <w:rFonts w:ascii="Times New Roman" w:cs="Times New Roman" w:eastAsia="Times New Roman" w:hAnsi="Times New Roman"/>
          <w:sz w:val="18"/>
          <w:szCs w:val="18"/>
          <w:u w:val="single" w:color="auto"/>
          <w:color w:val="auto"/>
        </w:rPr>
        <w:t>FY 2025 Performance Awards</w:t>
      </w:r>
      <w:r>
        <w:rPr>
          <w:rFonts w:ascii="Times New Roman" w:cs="Times New Roman" w:eastAsia="Times New Roman" w:hAnsi="Times New Roman"/>
          <w:sz w:val="18"/>
          <w:szCs w:val="18"/>
          <w:color w:val="auto"/>
        </w:rPr>
        <w:t>,” and the total number of Restricted Stock Units under the FY 2025 Performance Awards (the “</w:t>
      </w: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eligible to be earned under the FY 2025 Performance Awards assuming at-target achievement is referred to as the “</w:t>
      </w:r>
      <w:r>
        <w:rPr>
          <w:rFonts w:ascii="Times New Roman" w:cs="Times New Roman" w:eastAsia="Times New Roman" w:hAnsi="Times New Roman"/>
          <w:sz w:val="18"/>
          <w:szCs w:val="18"/>
          <w:u w:val="single" w:color="auto"/>
          <w:color w:val="auto"/>
        </w:rPr>
        <w:t>Target Total Award</w:t>
      </w:r>
      <w:r>
        <w:rPr>
          <w:rFonts w:ascii="Times New Roman" w:cs="Times New Roman" w:eastAsia="Times New Roman" w:hAnsi="Times New Roman"/>
          <w:sz w:val="18"/>
          <w:szCs w:val="18"/>
          <w:color w:val="auto"/>
        </w:rPr>
        <w:t>” and is calculated as the sum of (i) the Target Number of Shares Subject to HBM3E+ Performance Units under this Award of HBM3E+ Performance Units, plus (ii) the Target Number of Shares Subject to Data Center SSD Performance Units as specified in the Data Center SSD Award, plus (iii) the Target Number of Shares Subject to rTSR CAGR Performance Units as specified in the rTSR CAGR Award. Notwithstanding any contrary provision of this Award Agreement, the number of Performance Units that may be earned under the FY 2025 Performance Awards (taken together) during the Performance Period will not exceed two (2) times the Target Total Award (the “</w:t>
      </w:r>
      <w:r>
        <w:rPr>
          <w:rFonts w:ascii="Times New Roman" w:cs="Times New Roman" w:eastAsia="Times New Roman" w:hAnsi="Times New Roman"/>
          <w:sz w:val="18"/>
          <w:szCs w:val="18"/>
          <w:u w:val="single" w:color="auto"/>
          <w:color w:val="auto"/>
        </w:rPr>
        <w:t>2x Limit</w:t>
      </w:r>
      <w:r>
        <w:rPr>
          <w:rFonts w:ascii="Times New Roman" w:cs="Times New Roman" w:eastAsia="Times New Roman" w:hAnsi="Times New Roman"/>
          <w:sz w:val="18"/>
          <w:szCs w:val="18"/>
          <w:color w:val="auto"/>
        </w:rPr>
        <w:t xml:space="preserve">”). To the extent that, as of any applicable date, the aggregate number of Performance Units that would otherwise be earned under the FY 2025 Performance Awards in accordance with the applicable provisions as of such date, together,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Performance Units that were earned previously in the Performance Period with respect to the FY 2025 Performance Awards, would exceed the 2x Limit, the number of Performance Units becoming earned with respect to the rTSR CAGR Award will be reduced such that the aggregate number of Performance Units becoming earned as of such date with respect to the FY 2025 Performance Awards upon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Performance Units that have become earned previously during the Performance Period with respect to the FY 2025 Performance Awards, is equal to the 2x Limit. If, immediately after any date during the Performance Period, the aggregate number of Performance Units that have become earned pursuant to the FY 2025 Performance Awards is less than the 2x Limit, then the opportunity to earn the excess of the 2x Limit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aggregate number of Performance Units that have been earned will exist in any remaining Performance Period Fiscal Year(s).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the maximum aggregate grant of awards may not exceed 5,000,000 shares of the Company’s Common Stock in any one calendar year to any one participant (including for calendar year 2024, the FY 2025 Performance Awards granted to Participant), as provided in Section 5.4 of the Plan.</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Recoupment</w:t>
      </w:r>
      <w:r>
        <w:rPr>
          <w:rFonts w:ascii="Times New Roman" w:cs="Times New Roman" w:eastAsia="Times New Roman" w:hAnsi="Times New Roman"/>
          <w:sz w:val="18"/>
          <w:szCs w:val="18"/>
          <w:color w:val="auto"/>
        </w:rPr>
        <w:t>. As provided in further detail in Section 26 of the Terms and Conditions of Performance Unit Grant comprising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HBM3E+ Performance Units are subject to any Clawback Policy, or other recovery obligation as may be necessary to comply with applicable laws.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 UNIT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color w:val="auto"/>
        </w:rPr>
        <w:t>rTSR CAGR Performance Unit Agreement (2025 EIP)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UNIT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PERFORMANCE UNIT GRANT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Micron Technology, Inc. 2025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defined meanings in this Performance Unit Agreement which includes the Notice of Performance Unit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Performance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Additional Terms of rTSR CAGR Performance Units,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and all other exhibits, appendices, and addenda attached hereto (collectively,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 Name: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the right to receive an Award of performance-based Restricted Stock Units (the “</w:t>
      </w:r>
      <w:r>
        <w:rPr>
          <w:rFonts w:ascii="Times New Roman" w:cs="Times New Roman" w:eastAsia="Times New Roman" w:hAnsi="Times New Roman"/>
          <w:sz w:val="18"/>
          <w:szCs w:val="18"/>
          <w:u w:val="single" w:color="auto"/>
          <w:color w:val="auto"/>
        </w:rPr>
        <w:t>rTSR CAGR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subject to the terms and conditions of the Plan and this Award Agreement, as follows:</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Grant Number:</w:t>
            </w:r>
          </w:p>
        </w:tc>
        <w:tc>
          <w:tcPr>
            <w:tcW w:w="6740" w:type="dxa"/>
            <w:vAlign w:val="bottom"/>
            <w:tcBorders>
              <w:bottom w:val="single" w:sz="8" w:color="auto"/>
            </w:tcBorders>
          </w:tcPr>
          <w:p>
            <w:pPr>
              <w:spacing w:after="0"/>
              <w:rPr>
                <w:sz w:val="20"/>
                <w:szCs w:val="20"/>
                <w:color w:val="auto"/>
              </w:rPr>
            </w:pPr>
          </w:p>
        </w:tc>
      </w:tr>
      <w:tr>
        <w:trPr>
          <w:trHeight w:val="277"/>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6740" w:type="dxa"/>
            <w:vAlign w:val="bottom"/>
            <w:tcBorders>
              <w:bottom w:val="single" w:sz="8" w:color="auto"/>
            </w:tcBorders>
          </w:tcPr>
          <w:p>
            <w:pPr>
              <w:spacing w:after="0"/>
              <w:rPr>
                <w:sz w:val="24"/>
                <w:szCs w:val="24"/>
                <w:color w:val="auto"/>
              </w:rPr>
            </w:pPr>
          </w:p>
        </w:tc>
      </w:tr>
      <w:tr>
        <w:trPr>
          <w:trHeight w:val="245"/>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Target Number of Shares Subject to rTSR CAGR</w:t>
            </w:r>
          </w:p>
        </w:tc>
        <w:tc>
          <w:tcPr>
            <w:tcW w:w="6740" w:type="dxa"/>
            <w:vAlign w:val="bottom"/>
          </w:tcPr>
          <w:p>
            <w:pPr>
              <w:spacing w:after="0"/>
              <w:rPr>
                <w:sz w:val="21"/>
                <w:szCs w:val="21"/>
                <w:color w:val="auto"/>
              </w:rPr>
            </w:pPr>
          </w:p>
        </w:tc>
      </w:t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Performance Units:</w:t>
            </w:r>
          </w:p>
        </w:tc>
        <w:tc>
          <w:tcPr>
            <w:tcW w:w="6740" w:type="dxa"/>
            <w:vAlign w:val="bottom"/>
            <w:tcBorders>
              <w:bottom w:val="single" w:sz="8" w:color="auto"/>
            </w:tcBorders>
          </w:tcPr>
          <w:p>
            <w:pPr>
              <w:spacing w:after="0"/>
              <w:rPr>
                <w:sz w:val="20"/>
                <w:szCs w:val="20"/>
                <w:color w:val="auto"/>
              </w:rPr>
            </w:pPr>
          </w:p>
        </w:tc>
      </w:tr>
      <w:tr>
        <w:trPr>
          <w:trHeight w:val="245"/>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Maximum Number of Shares Subject to rTSR CAGR</w:t>
            </w:r>
          </w:p>
        </w:tc>
        <w:tc>
          <w:tcPr>
            <w:tcW w:w="6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150% of Target Number of Shares Subject to rTSR CAGR Performance Units  </w:t>
            </w:r>
          </w:p>
        </w:tc>
      </w:tr>
      <w:tr>
        <w:trPr>
          <w:trHeight w:val="234"/>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Performance Units:</w:t>
            </w:r>
          </w:p>
        </w:tc>
        <w:tc>
          <w:tcPr>
            <w:tcW w:w="6740" w:type="dxa"/>
            <w:vAlign w:val="bottom"/>
            <w:tcBorders>
              <w:bottom w:val="single" w:sz="8" w:color="auto"/>
            </w:tcBorders>
          </w:tcPr>
          <w:p>
            <w:pPr>
              <w:spacing w:after="0"/>
              <w:rPr>
                <w:sz w:val="20"/>
                <w:szCs w:val="20"/>
                <w:color w:val="auto"/>
              </w:rPr>
            </w:pPr>
          </w:p>
        </w:tc>
      </w:tr>
      <w:tr>
        <w:trPr>
          <w:trHeight w:val="385"/>
        </w:trPr>
        <w:tc>
          <w:tcPr>
            <w:tcW w:w="560" w:type="dxa"/>
            <w:vAlign w:val="bottom"/>
          </w:tcPr>
          <w:p>
            <w:pPr>
              <w:spacing w:after="0"/>
              <w:rPr>
                <w:sz w:val="24"/>
                <w:szCs w:val="24"/>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6740" w:type="dxa"/>
            <w:vAlign w:val="bottom"/>
          </w:tcPr>
          <w:p>
            <w:pPr>
              <w:spacing w:after="0"/>
              <w:rPr>
                <w:sz w:val="24"/>
                <w:szCs w:val="24"/>
                <w:color w:val="auto"/>
              </w:rPr>
            </w:pPr>
          </w:p>
        </w:tc>
      </w:tr>
      <w:tr>
        <w:trPr>
          <w:trHeight w:val="20"/>
        </w:trPr>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Subject to any acceleration provisions contained in the Plan or set forth below, the rTSR CAGR Performance Units will be scheduled to vest in accordance with, and be subject to, the Additional Terms of rTSR CAGR Performance Units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Participant’s status as a Service Provider ends for any reason before Participant vests in all or some of the rTSR CAGR Performance Units, the unvested rTSR CAGR Performance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any of its Subsidiaries or Parents, as applicable (provided that any such other written agreement must have been duly authorized and signed by an officer of the Company or any of its Subsidiaries or Parents).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81" w:name="page82"/>
    <w:bookmarkEnd w:id="81"/>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By Participant electronically accepting this Award Agreement or manually signing this Award Agreement (in either case, as and in the manner specified by the Company), Participant and the Company agree that (1) this rTSR CAGR Performance Unit Award is granted under and governed by the terms and conditions of the Plan and this Award Agreement,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Administrator upon any questions relating to the Plan and this Award Agreement. Participant further agrees to notify the Company upon any change in the residence address indicated below.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PERFORMANCE UNIT GRANT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Grant of rTSR CAGR Performance Units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named in the Notice of Performance Unit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an Award of performance-based Restricted Stock Units (and referred to herein as rTSR CAGR Performance Units)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Company’s Obligation to Pay</w:t>
      </w:r>
      <w:r>
        <w:rPr>
          <w:rFonts w:ascii="Times New Roman" w:cs="Times New Roman" w:eastAsia="Times New Roman" w:hAnsi="Times New Roman"/>
          <w:sz w:val="18"/>
          <w:szCs w:val="18"/>
          <w:color w:val="auto"/>
        </w:rPr>
        <w:t>. Each rTSR CAGR Performance Unit represents the right to receive a Share on the date it vests. Unless and until the rTSR CAGR Performance Units will have vested in the manner set forth in Section 3 or 4, Participant will have no right to payment of any such rTSR CAGR Performance Units. Prior to actual payment of any vested rTSR CAGR Performance Units, such rTSR CAGR Performance Unit will represent an unsecured obligation of the Company, payable (if at all) only from the general assets of the Company.</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Vesting Schedule</w:t>
      </w:r>
      <w:r>
        <w:rPr>
          <w:rFonts w:ascii="Times New Roman" w:cs="Times New Roman" w:eastAsia="Times New Roman" w:hAnsi="Times New Roman"/>
          <w:sz w:val="18"/>
          <w:szCs w:val="18"/>
          <w:color w:val="auto"/>
        </w:rPr>
        <w:t>. Except as provided in Section 4, and subject to Section 5, the rTSR CAGR Performance Units awarded by this Award Agreement will vest in accordance with the vesting provisions set forth in the Notice of Grant, subject to Participant remaining a Service Provider through each applicable vesting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Payment after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 Rule</w:t>
      </w:r>
      <w:r>
        <w:rPr>
          <w:rFonts w:ascii="Times New Roman" w:cs="Times New Roman" w:eastAsia="Times New Roman" w:hAnsi="Times New Roman"/>
          <w:sz w:val="18"/>
          <w:szCs w:val="18"/>
          <w:color w:val="auto"/>
        </w:rPr>
        <w:t>. Subject to Section 8, any rTSR CAGR Performance Units that vest will be paid to Participant (or in the event of Participant’s death, to his or her properly designated beneficiary or estate) in Shares. Subject to this Section 4 and Section 9, such vested rTSR CAGR Performance Units shall be paid in Shares as soon as administratively practicable after vesting, but in each such case within thirty (30) days following the vesting date (such payment date being the “</w:t>
      </w:r>
      <w:r>
        <w:rPr>
          <w:rFonts w:ascii="Times New Roman" w:cs="Times New Roman" w:eastAsia="Times New Roman" w:hAnsi="Times New Roman"/>
          <w:sz w:val="18"/>
          <w:szCs w:val="18"/>
          <w:u w:val="single" w:color="auto"/>
          <w:color w:val="auto"/>
        </w:rPr>
        <w:t>Settlement Date</w:t>
      </w:r>
      <w:r>
        <w:rPr>
          <w:rFonts w:ascii="Times New Roman" w:cs="Times New Roman" w:eastAsia="Times New Roman" w:hAnsi="Times New Roman"/>
          <w:sz w:val="18"/>
          <w:szCs w:val="18"/>
          <w:color w:val="auto"/>
        </w:rPr>
        <w:t>”). In no event will Participant be permitted, directly or indirectly, to specify the taxable year of payment of any rTSR CAGR Performance Units payable under this Award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Acceleration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Death or Disability</w:t>
      </w:r>
      <w:r>
        <w:rPr>
          <w:rFonts w:ascii="Times New Roman" w:cs="Times New Roman" w:eastAsia="Times New Roman" w:hAnsi="Times New Roman"/>
          <w:sz w:val="18"/>
          <w:szCs w:val="18"/>
          <w:color w:val="auto"/>
        </w:rPr>
        <w:t>. If Participant ceases to be a Service Provider on account of Participant’s death or Participant becoming Disabled, any rTSR CAGR Performance Units that both were unexpired and unvested as of the date Participant ceases to be a Service Provider, will vest on such date.</w:t>
      </w:r>
    </w:p>
    <w:p>
      <w:pPr>
        <w:spacing w:after="0" w:line="176"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 xml:space="preserve">(ii)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xml:space="preserve"> Except as specifically provided otherwise in this Award Agreement or in another written agreement between Participant and the Company or any of its Subsidiaries or Parents, as applicable (provided that any such other written agreement must have been duly authorized and signed by an officer of the Company or any of its Subsidiaries or Parents), if a Change in Control occurs during the Performance Period (as defined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attached hereto) and before Participant ceases to be a Service Provider, any rTSR CAGR Performance Units will be treated in accordance with the terms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3" w:name="page84"/>
    <w:bookmarkEnd w:id="83"/>
    <w:p>
      <w:pPr>
        <w:jc w:val="both"/>
        <w:ind w:firstLine="1944"/>
        <w:spacing w:after="0" w:line="25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rTSR CAGR Performance Units at any time, subject to the terms of the Plan. If so accelerated, such rTSR CAGR Performance Units will be considered as having vested as of the date specified by the Administrator.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prior sentence may be superseded in a future agreement or amendment to this Award Agreement only by direct and specific reference to such sentence.</w:t>
      </w:r>
    </w:p>
    <w:p>
      <w:pPr>
        <w:spacing w:after="0" w:line="187"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(iv)         Notwithstanding anything in the Plan or this Award Agreement or any other agreement (whether entered into before, on, or after the Date of Grant), if the vesting of the balance, or some lesser portion of the balance, of the rTSR CAGR Performance Units is accelerated in connection with the cessation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rTSR CAGR Performance Units will result in the imposition of additional tax under Section 409A if paid to Participant on or within the six (6) month period following the cessation of Participant’s status as a Service Provider, then the payment of such accelerated rTSR CAGR Performance Units will not be made until the date six (6) months and one (1) day following the date of cessation of Participant’s status as a Service Provider, unless Participant dies following his or her termination as a Service Provider, in which case, the rTSR CAGR Performance Units will be paid in Shares to Participant’s estate as soon as practicable following his or her death.</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It is the intent of this Award Agreement that it and all payments and benefits to U.S. taxpayers hereunder be exempt from, or comply with, the requirements of Section 409A so that none of the rTSR CAGR Performance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Forfeiture Upon Termination as a Service Provider</w:t>
      </w:r>
      <w:r>
        <w:rPr>
          <w:rFonts w:ascii="Times New Roman" w:cs="Times New Roman" w:eastAsia="Times New Roman" w:hAnsi="Times New Roman"/>
          <w:sz w:val="18"/>
          <w:szCs w:val="18"/>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 ceases to be a Service Provider for any or no reason, the then-unvested rTSR CAGR Performance Units awarded by this Award Agreement will be forfeited at no cost to the Company and Participant will have no further rights thereunder. The date of forfeiture will be the date on which Participant ceases to be a Service Provider.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4" w:name="page85"/>
    <w:bookmarkEnd w:id="84"/>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Tax Consequences</w:t>
      </w:r>
      <w:r>
        <w:rPr>
          <w:rFonts w:ascii="Times New Roman" w:cs="Times New Roman" w:eastAsia="Times New Roman" w:hAnsi="Times New Roman"/>
          <w:sz w:val="17"/>
          <w:szCs w:val="17"/>
          <w:color w:val="auto"/>
        </w:rPr>
        <w:t>. Participant has reviewed with Participant’s own tax advisors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under such procedures as the Administrator may specify from time to time or, if the Administrator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Tax Obligations</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or any Parent or Subsidiary to which Participant is providing services (together, the “</w:t>
      </w:r>
      <w:r>
        <w:rPr>
          <w:rFonts w:ascii="Times New Roman" w:cs="Times New Roman" w:eastAsia="Times New Roman" w:hAnsi="Times New Roman"/>
          <w:sz w:val="18"/>
          <w:szCs w:val="18"/>
          <w:u w:val="single" w:color="auto"/>
          <w:color w:val="auto"/>
        </w:rPr>
        <w:t>Service Recipients</w:t>
      </w:r>
      <w:r>
        <w:rPr>
          <w:rFonts w:ascii="Times New Roman" w:cs="Times New Roman" w:eastAsia="Times New Roman" w:hAnsi="Times New Roman"/>
          <w:sz w:val="18"/>
          <w:szCs w:val="18"/>
          <w:color w:val="auto"/>
        </w:rPr>
        <w:t>”), the ultimate liability for any tax and/or social insurance liability obligations and requirements in connection with the rTSR CAGR Performance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rTSR CAGR Performance Units or sale of Shares, and (iii) any other Service Recipient taxes the responsibility for which Participant has, or has agreed to bear, with respect to the rTSR CAGR Performance Units (or settlement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rTSR CAGR Performance Units, including, but not limited to, the grant, vesting or settlement of the rTSR CAGR Performance Units, the subsequent sale of Shares acquired pursuant to such settlement and the receipt of any dividends or other distributions, and (B) makes any commitment to and is under any obligation to structure the terms of the grant or any aspect of the rTSR CAGR Performance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5" w:name="page86"/>
    <w:bookmarkEnd w:id="8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Tax Withholding and Default Method of Tax Withholding</w:t>
      </w:r>
      <w:r>
        <w:rPr>
          <w:rFonts w:ascii="Times New Roman" w:cs="Times New Roman" w:eastAsia="Times New Roman" w:hAnsi="Times New Roman"/>
          <w:sz w:val="18"/>
          <w:szCs w:val="18"/>
          <w:color w:val="auto"/>
        </w:rPr>
        <w:t>. When Shares are issued as payment for vested rTSR CAGR Performance Units, Participant generally will recognize immediate U.S. taxable income if Participant is a U.S. taxpayer. If Participant is a non-U.S. taxpayer, Participant may be subject to applicable taxes in his or her jurisdiction. Unless otherwise determined by the Administrator, the minimum amount of Tax Obligations that the Company determines must be withheld with respect to this Award (“</w:t>
      </w:r>
      <w:r>
        <w:rPr>
          <w:rFonts w:ascii="Times New Roman" w:cs="Times New Roman" w:eastAsia="Times New Roman" w:hAnsi="Times New Roman"/>
          <w:sz w:val="18"/>
          <w:szCs w:val="18"/>
          <w:u w:val="single" w:color="auto"/>
          <w:color w:val="auto"/>
        </w:rPr>
        <w:t>Tax Withholding Obligation</w:t>
      </w:r>
      <w:r>
        <w:rPr>
          <w:rFonts w:ascii="Times New Roman" w:cs="Times New Roman" w:eastAsia="Times New Roman" w:hAnsi="Times New Roman"/>
          <w:sz w:val="18"/>
          <w:szCs w:val="18"/>
          <w:color w:val="auto"/>
        </w:rPr>
        <w:t>”) will be satisfied by the Company withholding otherwise deliverable Shares having a value approximately equal to the Tax Withholding Obligation (or such greater amount as Participant may elect if permitted by the Administrator, if such greater amount would not result in adverse financial accounting consequences).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Administrator Discretion</w:t>
      </w:r>
      <w:r>
        <w:rPr>
          <w:rFonts w:ascii="Times New Roman" w:cs="Times New Roman" w:eastAsia="Times New Roman" w:hAnsi="Times New Roman"/>
          <w:sz w:val="18"/>
          <w:szCs w:val="18"/>
          <w:color w:val="auto"/>
        </w:rPr>
        <w:t>. If the Administrator determines that Participant cannot satisfy Participant’s Tax Withholding Obligation through the default procedure described in Section 8(b) or the Administrator otherwise determines to permit or require that Participant satisfy Participant’s Tax Withholding Obligation by a method other than through the default procedure set forth in Section 8(b), the Administrator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Company’s Obligation to Deliver Shares</w:t>
      </w:r>
      <w:r>
        <w:rPr>
          <w:rFonts w:ascii="Times New Roman" w:cs="Times New Roman" w:eastAsia="Times New Roman" w:hAnsi="Times New Roman"/>
          <w:sz w:val="18"/>
          <w:szCs w:val="18"/>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rTSR CAGR Performance Units otherwise are scheduled to vest pursuant to Sections 3 or 4 or Participant’s Tax Withholding Obligations otherwise become due, Participant will permanently forfeit such rTSR CAGR Performance Units to which Participant’s Tax Withholding Obligation relates and any right to receive Shares thereunder and such rTSR CAGR Performance Units will be returned to the Company at no cost to the Company.</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Dividend Equivalents</w:t>
      </w:r>
      <w:r>
        <w:rPr>
          <w:rFonts w:ascii="Times New Roman" w:cs="Times New Roman" w:eastAsia="Times New Roman" w:hAnsi="Times New Roman"/>
          <w:sz w:val="18"/>
          <w:szCs w:val="18"/>
          <w:color w:val="auto"/>
        </w:rPr>
        <w:t>. If the Company declares and pays a cash dividend on Shares for which the record date occurs while rTSR CAGR Performance Units subject to this Award Agreement remain outstanding, then certain cash amounts (referred to as “</w:t>
      </w:r>
      <w:r>
        <w:rPr>
          <w:rFonts w:ascii="Times New Roman" w:cs="Times New Roman" w:eastAsia="Times New Roman" w:hAnsi="Times New Roman"/>
          <w:sz w:val="18"/>
          <w:szCs w:val="18"/>
          <w:u w:val="single" w:color="auto"/>
          <w:color w:val="auto"/>
        </w:rPr>
        <w:t>DEUs</w:t>
      </w:r>
      <w:r>
        <w:rPr>
          <w:rFonts w:ascii="Times New Roman" w:cs="Times New Roman" w:eastAsia="Times New Roman" w:hAnsi="Times New Roman"/>
          <w:sz w:val="18"/>
          <w:szCs w:val="18"/>
          <w:color w:val="auto"/>
        </w:rPr>
        <w:t>”) will be credited under this Award Agreement in accordance with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6" w:name="page87"/>
    <w:bookmarkEnd w:id="86"/>
    <w:p>
      <w:pPr>
        <w:ind w:left="980" w:hanging="324"/>
        <w:spacing w:after="0"/>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is the aggregate cash amount of the DEUs to be credited with respect to that cash dividend.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 the amount of the cash dividend paid by the Company to stockholders with respect to one Share. In other words, this amount is the cash amount of each DEU to be credited with respect to a particular cash dividend.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is the number of rTSR CAGR Performance Units remaining subject to this Award Agreement as of the cash dividend record date but immediately prior to the application of this Section 9 for that cash dividend.</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Vesting of DEUs</w:t>
      </w:r>
      <w:r>
        <w:rPr>
          <w:rFonts w:ascii="Times New Roman" w:cs="Times New Roman" w:eastAsia="Times New Roman" w:hAnsi="Times New Roman"/>
          <w:sz w:val="18"/>
          <w:szCs w:val="18"/>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a Service Provider through the vesting date and the portion of the Award to which the DEUs are attributable actually vests.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Settlement and General</w:t>
      </w:r>
      <w:r>
        <w:rPr>
          <w:rFonts w:ascii="Times New Roman" w:cs="Times New Roman" w:eastAsia="Times New Roman" w:hAnsi="Times New Roman"/>
          <w:sz w:val="18"/>
          <w:szCs w:val="18"/>
          <w:color w:val="auto"/>
        </w:rPr>
        <w:t>. DEUs credited under this Section 9 will be subject to the same terms and conditions as the other Shares underlying the rTSR CAGR Performance Units on which the DEUs were paid including (but not limited to) being settled at the same time as the settlement of the rTSR CAGR Performance Units on which the DEUs were paid (but DEUs will be paid in cash and be subject to the other provisions of this Section 9 and the Award Agreement). DEUs will not accrue interest and will not be credited with any investment returns related to Shares or otherwise.</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Timing</w:t>
      </w:r>
      <w:r>
        <w:rPr>
          <w:rFonts w:ascii="Times New Roman" w:cs="Times New Roman" w:eastAsia="Times New Roman" w:hAnsi="Times New Roman"/>
          <w:sz w:val="18"/>
          <w:szCs w:val="18"/>
          <w:color w:val="auto"/>
        </w:rPr>
        <w:t>.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Administrator,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provided in this Section 9(c), no other additional rTSR CAGR Performance Units, DEUs or cash will be credited with respect to any rTSR CAGR Performance Units that previously vested and were settled.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7" w:name="page88"/>
    <w:bookmarkEnd w:id="8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No Guarantee of Continued Service</w:t>
      </w:r>
      <w:r>
        <w:rPr>
          <w:rFonts w:ascii="Times New Roman" w:cs="Times New Roman" w:eastAsia="Times New Roman" w:hAnsi="Times New Roman"/>
          <w:sz w:val="18"/>
          <w:szCs w:val="18"/>
          <w:color w:val="auto"/>
        </w:rPr>
        <w:t>. PARTICIPANT ACKNOWLEDGES AND AGREES THAT THE VESTING OF THE rTSR CAGR PERFORMANCE UNITS PURSUANT TO THE VESTING SCHEDULE HEREOF IS EARNED ONLY BY REMAINING A SERVICE PROVIDER, WHICH UNLESS PROVIDED OTHERWISE UNDER APPLICABLE LAW IS AT THE WILL OF THE APPLICABLE SERVICE RECIPIENT AND NOT THROUGH THE ACT OF BEING HIRED, BEING GRANTED THIS rTSR CAGR PERFORMANCE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Grant is Not Transferable</w:t>
      </w:r>
      <w:r>
        <w:rPr>
          <w:rFonts w:ascii="Times New Roman" w:cs="Times New Roman" w:eastAsia="Times New Roman" w:hAnsi="Times New Roman"/>
          <w:sz w:val="18"/>
          <w:szCs w:val="18"/>
          <w:color w:val="auto"/>
        </w:rPr>
        <w:t>. Except to the limited extent provided in Section 7 and this Section 12 or as otherwise determined by the Administrator,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Administrator, this grant and the rights and privileges conferred hereby immediately will become null and void. Unless and until otherwise determined by the Administrator, a transfer pursuant to a qualified domestic relations order (“</w:t>
      </w:r>
      <w:r>
        <w:rPr>
          <w:rFonts w:ascii="Times New Roman" w:cs="Times New Roman" w:eastAsia="Times New Roman" w:hAnsi="Times New Roman"/>
          <w:sz w:val="18"/>
          <w:szCs w:val="18"/>
          <w:u w:val="single" w:color="auto"/>
          <w:color w:val="auto"/>
        </w:rPr>
        <w:t>QDRO</w:t>
      </w:r>
      <w:r>
        <w:rPr>
          <w:rFonts w:ascii="Times New Roman" w:cs="Times New Roman" w:eastAsia="Times New Roman" w:hAnsi="Times New Roman"/>
          <w:sz w:val="18"/>
          <w:szCs w:val="18"/>
          <w:color w:val="auto"/>
        </w:rPr>
        <w:t>”) will be permitted so long as such transfer complies with the QDRO procedures then in effect, as specified by the Administrator or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Nature of Grant</w:t>
      </w:r>
      <w:r>
        <w:rPr>
          <w:rFonts w:ascii="Times New Roman" w:cs="Times New Roman" w:eastAsia="Times New Roman" w:hAnsi="Times New Roman"/>
          <w:sz w:val="18"/>
          <w:szCs w:val="18"/>
          <w:color w:val="auto"/>
        </w:rPr>
        <w:t>. In accepting this Award of rTSR CAGR Performance Units, Participant acknowledges, understands and agrees that:</w:t>
      </w:r>
    </w:p>
    <w:p>
      <w:pPr>
        <w:spacing w:after="0" w:line="225"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(a)            the grant of the rTSR CAGR Performance Units is voluntary and occasional and does not create any contractual or other right to receive future grants of equity awards, or benefits in lieu of equity awards, even if equity awards have been granted in the past;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all decisions with respect to future equity award grants, if any, will be at the sole discretion of the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Participant is voluntarily participating in the Plan;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rTSR CAGR Performance Units and the Shares subject to the rTSR CAGR Performance Units, and the income from and value of same, are not intended to replace any pension rights or compensation;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8" w:name="page89"/>
    <w:bookmarkEnd w:id="88"/>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(e)            the rTSR CAGR Performance Units and the Shares subject to the rTSR CAGR Performance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future value of the Shares underlying the rTSR CAGR Performance Units is unknown, indeterminable, and cannot be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predicted;</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for purposes of the rTSR CAGR Performance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rTSR CAGR Performance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rTSR CAGR Performance Units grant (including whether Participant may still be considered to be providing services while on a leave of absence and consistent with local law);</w:t>
      </w:r>
    </w:p>
    <w:p>
      <w:pPr>
        <w:spacing w:after="0" w:line="19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(i)             unless otherwise provided in the Plan or by the Administrator in its discretion, the rTSR CAGR Performance Units and the benefits evidenced by this Award Agreement do not create any entitlement to have the rTSR CAGR Performance Units or any such benefits transferred to, or assumed by, another company nor be exchanged, cashed out or substituted for, in connection with any corporate transaction affecting the Shares;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the following provisions apply only if Participant is providing services outside the United States:</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the rTSR CAGR Performance Units and the Shares subject to the rTSR CAGR Performance Units are not part of normal or expected compensation or salary for any purpose;</w:t>
      </w:r>
    </w:p>
    <w:p>
      <w:pPr>
        <w:spacing w:after="0" w:line="162" w:lineRule="exact"/>
        <w:rPr>
          <w:sz w:val="20"/>
          <w:szCs w:val="20"/>
          <w:color w:val="auto"/>
        </w:rPr>
      </w:pPr>
    </w:p>
    <w:p>
      <w:pPr>
        <w:jc w:val="both"/>
        <w:ind w:right="20" w:firstLine="1944"/>
        <w:spacing w:after="0" w:line="266" w:lineRule="auto"/>
        <w:rPr>
          <w:sz w:val="20"/>
          <w:szCs w:val="20"/>
          <w:color w:val="auto"/>
        </w:rPr>
      </w:pPr>
      <w:r>
        <w:rPr>
          <w:rFonts w:ascii="Times New Roman" w:cs="Times New Roman" w:eastAsia="Times New Roman" w:hAnsi="Times New Roman"/>
          <w:sz w:val="18"/>
          <w:szCs w:val="18"/>
          <w:color w:val="auto"/>
        </w:rPr>
        <w:t>(ii)           Participant acknowledges and agrees that no Service Recipient shall be liable for any foreign exchange rate fluctuation between Participant’s local currency and the United States Dollar that may affect the value of the rTSR CAGR Performance Units or of any amounts due to Participant pursuant to the settlement of the rTSR CAGR Performance Units or the subsequent sale of any Shares acquired upon settlement;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9" w:name="page90"/>
    <w:bookmarkEnd w:id="89"/>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(iii)          no claim or entitlement to compensation or damages shall arise from the forfeiture of the rTSR CAGR Performance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and/or (ii) the application of any recoupment policy or any recovery or clawback policy otherwise required by law, and in consideration of the grant of the rTSR CAGR Performance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Shares underlying the rTSR CAGR Performance Units. Participant is hereby advised to consult with his or her own personal tax, legal, and financial advisors regarding his or her participation in the Plan before taking any action related to the Plan.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Participant’s personal data as described in this Award Agreement and any other rTSR CAGR Performance Unit grant materials by and among, as applicable, the Service Recipients for the exclusive purpose of implementing, administering and managing Participant’s participation in the Plan.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rTSR CAGR Performance Units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0" w:name="page91"/>
    <w:bookmarkEnd w:id="9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Electronic Delivery and Acceptance</w:t>
      </w:r>
      <w:r>
        <w:rPr>
          <w:rFonts w:ascii="Times New Roman" w:cs="Times New Roman" w:eastAsia="Times New Roman" w:hAnsi="Times New Roman"/>
          <w:sz w:val="18"/>
          <w:szCs w:val="18"/>
          <w:color w:val="auto"/>
        </w:rPr>
        <w:t>. The Company may, in its sole discretion, decide to deliver any documents related to the rTSR CAGR Performance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rTSR CAGR Performance Units as the Administrator may establish from time to time for reasons of administrative convenience.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1" w:name="page92"/>
    <w:bookmarkEnd w:id="9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Language</w:t>
      </w:r>
      <w:r>
        <w:rPr>
          <w:rFonts w:ascii="Times New Roman" w:cs="Times New Roman" w:eastAsia="Times New Roman" w:hAnsi="Times New Roman"/>
          <w:sz w:val="18"/>
          <w:szCs w:val="18"/>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rTSR CAGR Performance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Amendment, Suspension or Termination of the Plan</w:t>
      </w:r>
      <w:r>
        <w:rPr>
          <w:rFonts w:ascii="Times New Roman" w:cs="Times New Roman" w:eastAsia="Times New Roman" w:hAnsi="Times New Roman"/>
          <w:sz w:val="18"/>
          <w:szCs w:val="18"/>
          <w:color w:val="auto"/>
        </w:rPr>
        <w:t>. By accepting this Award, Participant expressly warrants that Participant has received an Award of rTSR CAGR Performance Units under the Plan, and has received, read and understood a description of the Plan. Participant understands that the Plan is discretionary in nature and may be amended, suspended, or terminated by the Administrator at any time.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Administrator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rTSR CAGR Performance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2" w:name="page93"/>
    <w:bookmarkEnd w:id="9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Forfeiture Under Policy or Law</w:t>
      </w:r>
      <w:r>
        <w:rPr>
          <w:rFonts w:ascii="Times New Roman" w:cs="Times New Roman" w:eastAsia="Times New Roman" w:hAnsi="Times New Roman"/>
          <w:sz w:val="18"/>
          <w:szCs w:val="18"/>
          <w:color w:val="auto"/>
        </w:rPr>
        <w:t>. Participant’s rights with respect to this Award Agreement and the Award of rTSR CAGR Performance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rTSR CAGR Performance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Administrator,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rTSR CAGR Performance Units to re-convey, transfer or otherwise return the Shares and/or other amounts to the Company upon the Company’s enforcement of any Clawback Policy or recovery policy.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Governing Law; Venue; Severability</w:t>
      </w:r>
      <w:r>
        <w:rPr>
          <w:rFonts w:ascii="Times New Roman" w:cs="Times New Roman" w:eastAsia="Times New Roman" w:hAnsi="Times New Roman"/>
          <w:sz w:val="18"/>
          <w:szCs w:val="18"/>
          <w:color w:val="auto"/>
        </w:rPr>
        <w:t>. This Award Agreement and the rTSR CAGR Performance Units are governed by the internal substantive laws, but not the choice of law rules, of the State of Delaware. For purposes of litigating any dispute that arises under these rTSR CAGR Performance Units or this Award Agreement, the parties hereby submit to and consent to the jurisdiction of the State of Idaho, and agree that such litigation will be conducted in the courts of Ada County, Idaho,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3" w:name="page94"/>
    <w:bookmarkEnd w:id="93"/>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Country Addendum</w:t>
      </w:r>
      <w:r>
        <w:rPr>
          <w:rFonts w:ascii="Times New Roman" w:cs="Times New Roman" w:eastAsia="Times New Roman" w:hAnsi="Times New Roman"/>
          <w:sz w:val="18"/>
          <w:szCs w:val="18"/>
          <w:color w:val="auto"/>
        </w:rPr>
        <w:t>. Notwithstanding any provisions in this Award Agreement, the rTSR CAGR Performance Unit grant shall be subject to any special terms and conditions set forth in an appendix (if any) to this Award Agreement for any country whose laws are applicable to Participant and this rTSR CAGR Performance Unit Award (as determined by the Administrator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ADDITIONAL TERMS OF rTSR CAGR PERFORMANCE UNITS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rTSR CAGR Performance Units may be earned, in whole or in part, based on (i) Participant continuing to be a Service Provider, and (ii) the achievement of the performance goals, as set forth below.</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auto"/>
        </w:rPr>
        <w:t>Performance Period</w:t>
      </w:r>
      <w:r>
        <w:rPr>
          <w:rFonts w:ascii="Times New Roman" w:cs="Times New Roman" w:eastAsia="Times New Roman" w:hAnsi="Times New Roman"/>
          <w:sz w:val="18"/>
          <w:szCs w:val="18"/>
          <w:color w:val="auto"/>
        </w:rPr>
        <w:t>. For purposes of this Award of rTSR CAGR Performance Units,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the period of three fiscal years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t>
      </w:r>
      <w:r>
        <w:rPr>
          <w:rFonts w:ascii="Times New Roman" w:cs="Times New Roman" w:eastAsia="Times New Roman" w:hAnsi="Times New Roman"/>
          <w:sz w:val="18"/>
          <w:szCs w:val="18"/>
          <w:u w:val="single" w:color="auto"/>
          <w:color w:val="auto"/>
        </w:rPr>
        <w:t>Fiscal Years</w:t>
      </w:r>
      <w:r>
        <w:rPr>
          <w:rFonts w:ascii="Times New Roman" w:cs="Times New Roman" w:eastAsia="Times New Roman" w:hAnsi="Times New Roman"/>
          <w:sz w:val="18"/>
          <w:szCs w:val="18"/>
          <w:color w:val="auto"/>
        </w:rPr>
        <w:t>”) beginning August 30, 2024, and ending on (and inclusive of) September 2, 2027.</w:t>
      </w:r>
    </w:p>
    <w:p>
      <w:pPr>
        <w:spacing w:after="0" w:line="15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Performance Goal</w:t>
      </w:r>
      <w:r>
        <w:rPr>
          <w:rFonts w:ascii="Times New Roman" w:cs="Times New Roman" w:eastAsia="Times New Roman" w:hAnsi="Times New Roman"/>
          <w:sz w:val="18"/>
          <w:szCs w:val="18"/>
          <w:color w:val="auto"/>
        </w:rPr>
        <w:t>. 100% of the rTSR CAGR Performance Units are eligible to be earned assuming at-target achievement of the relative total shareholder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return 3-year compound annual growth rate goal (the “</w:t>
      </w:r>
      <w:r>
        <w:rPr>
          <w:rFonts w:ascii="Times New Roman" w:cs="Times New Roman" w:eastAsia="Times New Roman" w:hAnsi="Times New Roman"/>
          <w:sz w:val="18"/>
          <w:szCs w:val="18"/>
          <w:u w:val="single" w:color="auto"/>
          <w:color w:val="auto"/>
        </w:rPr>
        <w:t>rTSR CAGR Goal</w:t>
      </w:r>
      <w:r>
        <w:rPr>
          <w:rFonts w:ascii="Times New Roman" w:cs="Times New Roman" w:eastAsia="Times New Roman" w:hAnsi="Times New Roman"/>
          <w:sz w:val="18"/>
          <w:szCs w:val="18"/>
          <w:color w:val="auto"/>
        </w:rPr>
        <w:t>”). The actual number of rTSR CAGR Performance Units earned with respect to the rTSR CAGR Goal will be determined by reference to the payout factor (the “</w:t>
      </w:r>
      <w:r>
        <w:rPr>
          <w:rFonts w:ascii="Times New Roman" w:cs="Times New Roman" w:eastAsia="Times New Roman" w:hAnsi="Times New Roman"/>
          <w:sz w:val="18"/>
          <w:szCs w:val="18"/>
          <w:u w:val="single" w:color="auto"/>
          <w:color w:val="auto"/>
        </w:rPr>
        <w:t>rTSR CAGR Payout Factor</w:t>
      </w:r>
      <w:r>
        <w:rPr>
          <w:rFonts w:ascii="Times New Roman" w:cs="Times New Roman" w:eastAsia="Times New Roman" w:hAnsi="Times New Roman"/>
          <w:sz w:val="18"/>
          <w:szCs w:val="18"/>
          <w:color w:val="auto"/>
        </w:rPr>
        <w:t>”) determined based on the achievement level as set forth below.</w:t>
      </w:r>
    </w:p>
    <w:p>
      <w:pPr>
        <w:spacing w:after="0" w:line="180" w:lineRule="exact"/>
        <w:rPr>
          <w:sz w:val="20"/>
          <w:szCs w:val="20"/>
          <w:color w:val="auto"/>
        </w:rPr>
      </w:pPr>
    </w:p>
    <w:p>
      <w:pPr>
        <w:jc w:val="both"/>
        <w:ind w:left="660" w:hanging="328"/>
        <w:spacing w:after="0" w:line="266"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first Measurement Date (as defined below), the actual number of rTSR CAGR Performance Units earned, if any, will be determined by multiplying (i) the Target Number of Shares Subject to rTSR CAGR Performance Units (as set forth in the Notice of Grant) by (ii) the applicable rTSR CAGR Payout Factor.</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rTSR CAGR Payout Factor on any subsequent Measurement Date exceeds the highest rTSR CAGR Payout Factor previously recorded on a preceding Measurement Date, then the actual number of additional rTSR CAGR Performance Units earned, if any, upon such Measurement Date will be determined by multiplying (i) the Target Number of Shares Subject to rTSR CAGR Performance Units by (ii) the excess of the rTSR CAGR Payout Factor on such Measurement Date over the highest rTSR CAGR Payout Factor of all preceding Measurement Dates.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Therefore, more or less than 100% of the Target Number of Shares Subject to rTSR CAGR Performance Units may be earned during the Performance Period based on the level of achievement measured against the rTSR CAGR Goal. Additionally, the number of rTSR CAGR Performance Units earned on any Measurement Date with respect to the rTSR CAGR Goal may be adjusted downward as a result of the 2x Limit (as defined below).</w:t>
      </w:r>
    </w:p>
    <w:p>
      <w:pPr>
        <w:spacing w:after="0" w:line="174"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940" w:type="dxa"/>
            <w:vAlign w:val="bottom"/>
            <w:tcBorders>
              <w:bottom w:val="single" w:sz="8" w:color="auto"/>
            </w:tcBorders>
          </w:tcPr>
          <w:p>
            <w:pPr>
              <w:spacing w:after="0"/>
              <w:rPr>
                <w:sz w:val="19"/>
                <w:szCs w:val="19"/>
                <w:color w:val="auto"/>
              </w:rPr>
            </w:pPr>
          </w:p>
        </w:tc>
        <w:tc>
          <w:tcPr>
            <w:tcW w:w="33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920" w:type="dxa"/>
            <w:vAlign w:val="bottom"/>
            <w:tcBorders>
              <w:bottom w:val="single" w:sz="8" w:color="auto"/>
              <w:right w:val="single" w:sz="8" w:color="auto"/>
            </w:tcBorders>
          </w:tcPr>
          <w:p>
            <w:pPr>
              <w:spacing w:after="0"/>
              <w:rPr>
                <w:sz w:val="19"/>
                <w:szCs w:val="19"/>
                <w:color w:val="auto"/>
              </w:rPr>
            </w:pPr>
          </w:p>
        </w:tc>
        <w:tc>
          <w:tcPr>
            <w:tcW w:w="3120" w:type="dxa"/>
            <w:vAlign w:val="bottom"/>
            <w:tcBorders>
              <w:top w:val="single" w:sz="8" w:color="auto"/>
              <w:bottom w:val="single" w:sz="8" w:color="auto"/>
              <w:right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rTSR CAGR Payout Factor</w:t>
            </w:r>
          </w:p>
        </w:tc>
        <w:tc>
          <w:tcPr>
            <w:tcW w:w="0" w:type="dxa"/>
            <w:vAlign w:val="bottom"/>
          </w:tcPr>
          <w:p>
            <w:pPr>
              <w:spacing w:after="0"/>
              <w:rPr>
                <w:sz w:val="1"/>
                <w:szCs w:val="1"/>
                <w:color w:val="auto"/>
              </w:rPr>
            </w:pPr>
          </w:p>
        </w:tc>
      </w:tr>
      <w:tr>
        <w:trPr>
          <w:trHeight w:val="187"/>
        </w:trPr>
        <w:tc>
          <w:tcPr>
            <w:tcW w:w="940" w:type="dxa"/>
            <w:vAlign w:val="bottom"/>
            <w:tcBorders>
              <w:left w:val="single" w:sz="8" w:color="auto"/>
              <w:right w:val="single" w:sz="8" w:color="auto"/>
            </w:tcBorders>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Fiscal</w:t>
            </w:r>
          </w:p>
        </w:tc>
        <w:tc>
          <w:tcPr>
            <w:tcW w:w="3380" w:type="dxa"/>
            <w:vAlign w:val="bottom"/>
          </w:tcPr>
          <w:p>
            <w:pPr>
              <w:spacing w:after="0"/>
              <w:rPr>
                <w:sz w:val="16"/>
                <w:szCs w:val="16"/>
                <w:color w:val="auto"/>
              </w:rPr>
            </w:pPr>
          </w:p>
        </w:tc>
        <w:tc>
          <w:tcPr>
            <w:tcW w:w="380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Goal</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0.50x</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1.0x</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1.5x</w:t>
            </w:r>
          </w:p>
        </w:tc>
        <w:tc>
          <w:tcPr>
            <w:tcW w:w="0" w:type="dxa"/>
            <w:vAlign w:val="bottom"/>
          </w:tcPr>
          <w:p>
            <w:pPr>
              <w:spacing w:after="0"/>
              <w:rPr>
                <w:sz w:val="1"/>
                <w:szCs w:val="1"/>
                <w:color w:val="auto"/>
              </w:rPr>
            </w:pPr>
          </w:p>
        </w:tc>
      </w:tr>
      <w:tr>
        <w:trPr>
          <w:trHeight w:val="130"/>
        </w:trPr>
        <w:tc>
          <w:tcPr>
            <w:tcW w:w="9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3380" w:type="dxa"/>
            <w:vAlign w:val="bottom"/>
          </w:tcPr>
          <w:p>
            <w:pPr>
              <w:spacing w:after="0"/>
              <w:rPr>
                <w:sz w:val="11"/>
                <w:szCs w:val="11"/>
                <w:color w:val="auto"/>
              </w:rPr>
            </w:pPr>
          </w:p>
        </w:tc>
        <w:tc>
          <w:tcPr>
            <w:tcW w:w="3800" w:type="dxa"/>
            <w:vAlign w:val="bottom"/>
            <w:tcBorders>
              <w:right w:val="single" w:sz="8" w:color="auto"/>
            </w:tcBorders>
            <w:gridSpan w:val="2"/>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94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338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tcPr>
          <w:p>
            <w:pPr>
              <w:spacing w:after="0"/>
              <w:rPr>
                <w:sz w:val="9"/>
                <w:szCs w:val="9"/>
                <w:color w:val="auto"/>
              </w:rPr>
            </w:pPr>
          </w:p>
        </w:tc>
        <w:tc>
          <w:tcPr>
            <w:tcW w:w="29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2"/>
        </w:trPr>
        <w:tc>
          <w:tcPr>
            <w:tcW w:w="940" w:type="dxa"/>
            <w:vAlign w:val="bottom"/>
            <w:tcBorders>
              <w:left w:val="single" w:sz="8" w:color="auto"/>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2026</w:t>
            </w:r>
          </w:p>
        </w:tc>
        <w:tc>
          <w:tcPr>
            <w:tcW w:w="7180" w:type="dxa"/>
            <w:vAlign w:val="bottom"/>
            <w:tcBorders>
              <w:right w:val="single" w:sz="8" w:color="auto"/>
            </w:tcBorders>
            <w:gridSpan w:val="3"/>
          </w:tcPr>
          <w:p>
            <w:pPr>
              <w:ind w:left="80"/>
              <w:spacing w:after="0" w:line="231" w:lineRule="exact"/>
              <w:rPr>
                <w:sz w:val="20"/>
                <w:szCs w:val="20"/>
                <w:color w:val="auto"/>
              </w:rPr>
            </w:pPr>
            <w:r>
              <w:rPr>
                <w:rFonts w:ascii="Times New Roman" w:cs="Times New Roman" w:eastAsia="Times New Roman" w:hAnsi="Times New Roman"/>
                <w:sz w:val="16"/>
                <w:szCs w:val="16"/>
                <w:color w:val="auto"/>
              </w:rPr>
              <w:t>Difference between Micron’s and the 55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percentile SOX (i.e., PHLX Semiconductor Sector)</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99"/>
        </w:trPr>
        <w:tc>
          <w:tcPr>
            <w:tcW w:w="940" w:type="dxa"/>
            <w:vAlign w:val="bottom"/>
            <w:tcBorders>
              <w:left w:val="single" w:sz="8" w:color="auto"/>
              <w:bottom w:val="single" w:sz="8" w:color="auto"/>
              <w:right w:val="single" w:sz="8" w:color="auto"/>
            </w:tcBorders>
          </w:tcPr>
          <w:p>
            <w:pPr>
              <w:spacing w:after="0"/>
              <w:rPr>
                <w:sz w:val="8"/>
                <w:szCs w:val="8"/>
                <w:color w:val="auto"/>
              </w:rPr>
            </w:pPr>
          </w:p>
        </w:tc>
        <w:tc>
          <w:tcPr>
            <w:tcW w:w="7180" w:type="dxa"/>
            <w:vAlign w:val="bottom"/>
            <w:tcBorders>
              <w:right w:val="single" w:sz="8" w:color="auto"/>
            </w:tcBorders>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index company’s 60 consecutive, trailing, Trading Day average 3-year total shareholder return</w:t>
            </w:r>
          </w:p>
        </w:tc>
        <w:tc>
          <w:tcPr>
            <w:tcW w:w="1120" w:type="dxa"/>
            <w:vAlign w:val="bottom"/>
            <w:tcBorders>
              <w:bottom w:val="single" w:sz="8" w:color="auto"/>
              <w:right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7"/>
        </w:trPr>
        <w:tc>
          <w:tcPr>
            <w:tcW w:w="940" w:type="dxa"/>
            <w:vAlign w:val="bottom"/>
            <w:tcBorders>
              <w:left w:val="single" w:sz="8" w:color="auto"/>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2027</w:t>
            </w:r>
          </w:p>
        </w:tc>
        <w:tc>
          <w:tcPr>
            <w:tcW w:w="7180" w:type="dxa"/>
            <w:vAlign w:val="bottom"/>
            <w:tcBorders>
              <w:right w:val="single" w:sz="8" w:color="auto"/>
            </w:tcBorders>
            <w:gridSpan w:val="3"/>
            <w:vMerge w:val="continue"/>
          </w:tcPr>
          <w:p>
            <w:pPr>
              <w:spacing w:after="0"/>
              <w:rPr>
                <w:sz w:val="8"/>
                <w:szCs w:val="8"/>
                <w:color w:val="auto"/>
              </w:rPr>
            </w:pP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167"/>
        </w:trPr>
        <w:tc>
          <w:tcPr>
            <w:tcW w:w="940" w:type="dxa"/>
            <w:vAlign w:val="bottom"/>
            <w:tcBorders>
              <w:left w:val="single" w:sz="8" w:color="auto"/>
              <w:right w:val="single" w:sz="8" w:color="auto"/>
            </w:tcBorders>
            <w:vMerge w:val="continue"/>
          </w:tcPr>
          <w:p>
            <w:pPr>
              <w:spacing w:after="0"/>
              <w:rPr>
                <w:sz w:val="14"/>
                <w:szCs w:val="14"/>
                <w:color w:val="auto"/>
              </w:rPr>
            </w:pPr>
          </w:p>
        </w:tc>
        <w:tc>
          <w:tcPr>
            <w:tcW w:w="7180" w:type="dxa"/>
            <w:vAlign w:val="bottom"/>
            <w:tcBorders>
              <w:right w:val="single" w:sz="8" w:color="auto"/>
            </w:tcBorders>
            <w:gridSpan w:val="3"/>
            <w:vMerge w:val="restart"/>
          </w:tcPr>
          <w:p>
            <w:pPr>
              <w:ind w:left="80"/>
              <w:spacing w:after="0" w:line="194" w:lineRule="exact"/>
              <w:rPr>
                <w:sz w:val="20"/>
                <w:szCs w:val="20"/>
                <w:color w:val="auto"/>
              </w:rPr>
            </w:pPr>
            <w:r>
              <w:rPr>
                <w:rFonts w:ascii="Times New Roman" w:cs="Times New Roman" w:eastAsia="Times New Roman" w:hAnsi="Times New Roman"/>
                <w:sz w:val="18"/>
                <w:szCs w:val="18"/>
                <w:color w:val="auto"/>
              </w:rPr>
              <w:t>compound annual growth rate performance (“TSR CAGR”)*</w:t>
            </w:r>
          </w:p>
        </w:tc>
        <w:tc>
          <w:tcPr>
            <w:tcW w:w="1120" w:type="dxa"/>
            <w:vAlign w:val="bottom"/>
            <w:tcBorders>
              <w:right w:val="single" w:sz="8" w:color="auto"/>
            </w:tcBorders>
            <w:vMerge w:val="continue"/>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8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940" w:type="dxa"/>
            <w:vAlign w:val="bottom"/>
            <w:tcBorders>
              <w:left w:val="single" w:sz="8" w:color="auto"/>
              <w:right w:val="single" w:sz="8" w:color="auto"/>
            </w:tcBorders>
          </w:tcPr>
          <w:p>
            <w:pPr>
              <w:spacing w:after="0"/>
              <w:rPr>
                <w:sz w:val="2"/>
                <w:szCs w:val="2"/>
                <w:color w:val="auto"/>
              </w:rPr>
            </w:pPr>
          </w:p>
        </w:tc>
        <w:tc>
          <w:tcPr>
            <w:tcW w:w="7180" w:type="dxa"/>
            <w:vAlign w:val="bottom"/>
            <w:tcBorders>
              <w:right w:val="single" w:sz="8" w:color="auto"/>
            </w:tcBorders>
            <w:gridSpan w:val="3"/>
            <w:vMerge w:val="continue"/>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880" w:type="dxa"/>
            <w:vAlign w:val="bottom"/>
            <w:tcBorders>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92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1120" w:type="dxa"/>
            <w:vAlign w:val="bottom"/>
            <w:tcBorders>
              <w:bottom w:val="single" w:sz="8" w:color="auto"/>
              <w:right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Targets are represented as percentage points (ppts).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448310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5" w:name="page96"/>
    <w:bookmarkEnd w:id="95"/>
    <w:p>
      <w:pPr>
        <w:jc w:val="both"/>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performance is between performance levels set forth in the table above, the rTSR CAGR Payout Factor will be determined based on straight line interpolation. For the avoidance of doubt and notwithstanding any contrary provision of the Award Agreement, if highest performance is below the 0.5x level on the final Measurement Date in the applicable Fiscal Year, the rTSR CAGR Payout Factor for such Fiscal Year will be zero.</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rTSR CAGR Payout Factor will be rounded to the second decimal place, as needed.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Final goal result will be the highest rTSR CAGR Payout Factor during Fiscal Years 2026 and 2027.</w:t>
      </w:r>
    </w:p>
    <w:p>
      <w:pPr>
        <w:spacing w:after="0" w:line="228" w:lineRule="exact"/>
        <w:rPr>
          <w:rFonts w:ascii="Times New Roman" w:cs="Times New Roman" w:eastAsia="Times New Roman" w:hAnsi="Times New Roman"/>
          <w:sz w:val="18"/>
          <w:szCs w:val="18"/>
          <w:color w:val="auto"/>
        </w:rPr>
      </w:pPr>
    </w:p>
    <w:p>
      <w:pPr>
        <w:jc w:val="both"/>
        <w:ind w:left="660" w:hanging="328"/>
        <w:spacing w:after="0" w:line="212" w:lineRule="auto"/>
        <w:tabs>
          <w:tab w:leader="none" w:pos="660" w:val="left"/>
        </w:tabs>
        <w:numPr>
          <w:ilvl w:val="0"/>
          <w:numId w:val="2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In determining the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company in the SOX index, such percentile is determined among the companies comprising the SOX index as of the Measurement Date, provided that any SOX index company that did not have stock listed on any established stock exchange or a national market system on the date three years prior to such Measurement Date will be excluded in determining such percentile. As an example, if there are 30 companies in the SOX index as of a Measurement Date, all of which had stock listed on an established stock exchange on the date three years prior to such Measurement Date, then the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will be determined by linear interpolation between the 16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and 17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company, ranked in order based on each company’s TSR CAGR.</w:t>
      </w:r>
    </w:p>
    <w:p>
      <w:pPr>
        <w:spacing w:after="0" w:line="197" w:lineRule="exact"/>
        <w:rPr>
          <w:rFonts w:ascii="Times New Roman" w:cs="Times New Roman" w:eastAsia="Times New Roman" w:hAnsi="Times New Roman"/>
          <w:sz w:val="36"/>
          <w:szCs w:val="36"/>
          <w:color w:val="auto"/>
          <w:vertAlign w:val="superscript"/>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rTSR CAGR Payout Factors shown in the table above, if the Company’s highest TSR CAGR is negative, then the rTSR CAGR Payout Factor will not exceed 1.0x.</w:t>
      </w:r>
    </w:p>
    <w:p>
      <w:pPr>
        <w:spacing w:after="0" w:line="15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Achievement Determination and Banked Units</w:t>
      </w:r>
      <w:r>
        <w:rPr>
          <w:rFonts w:ascii="Times New Roman" w:cs="Times New Roman" w:eastAsia="Times New Roman" w:hAnsi="Times New Roman"/>
          <w:sz w:val="18"/>
          <w:szCs w:val="18"/>
          <w:color w:val="auto"/>
        </w:rPr>
        <w:t>. Achievement levels with respect to the rTSR CAGR Payout Factor will be measured on each trading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day of the Shares on the Exchange on which Shares primarily are traded (a “</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beginning on the first Trading Day of Fiscal Year 2026 (any such date, a “</w:t>
      </w:r>
      <w:r>
        <w:rPr>
          <w:rFonts w:ascii="Times New Roman" w:cs="Times New Roman" w:eastAsia="Times New Roman" w:hAnsi="Times New Roman"/>
          <w:sz w:val="18"/>
          <w:szCs w:val="18"/>
          <w:u w:val="single" w:color="auto"/>
          <w:color w:val="auto"/>
        </w:rPr>
        <w:t>Measurement Date</w:t>
      </w:r>
      <w:r>
        <w:rPr>
          <w:rFonts w:ascii="Times New Roman" w:cs="Times New Roman" w:eastAsia="Times New Roman" w:hAnsi="Times New Roman"/>
          <w:sz w:val="18"/>
          <w:szCs w:val="18"/>
          <w:color w:val="auto"/>
        </w:rPr>
        <w:t>”). As a simplified example, assume for illustration purposes, that as of a particular Measurement Date, the 60 consecutive, trailing Trading Day average closing prices of the Company’s common stock is $120.00 and the 60 consecutive, trailing Trading Day average closing prices of a share of the Company’s common stock on the date immediately prior to the 3-year period that ends with such Measurement Date is $90.00. Also assume for illustration purposes there were no dividend distributions across the 3-year period, however, in 3-year TSR calculation any dividends distributed are included. Based on these prices, the Company’s TSR CAGR is 10%. Assume further that the 60 consecutive, trailing Trading Day average closing</w:t>
      </w:r>
    </w:p>
    <w:p>
      <w:pPr>
        <w:spacing w:after="0" w:line="1" w:lineRule="exact"/>
        <w:rPr>
          <w:sz w:val="20"/>
          <w:szCs w:val="20"/>
          <w:color w:val="auto"/>
        </w:rPr>
      </w:pPr>
    </w:p>
    <w:p>
      <w:pPr>
        <w:jc w:val="both"/>
        <w:spacing w:after="0" w:line="227" w:lineRule="auto"/>
        <w:rPr>
          <w:sz w:val="20"/>
          <w:szCs w:val="20"/>
          <w:color w:val="auto"/>
        </w:rPr>
      </w:pPr>
      <w:r>
        <w:rPr>
          <w:rFonts w:ascii="Times New Roman" w:cs="Times New Roman" w:eastAsia="Times New Roman" w:hAnsi="Times New Roman"/>
          <w:sz w:val="18"/>
          <w:szCs w:val="18"/>
          <w:color w:val="auto"/>
        </w:rPr>
        <w:t>prices of the 55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SOX index company’s stock is $40.00 both as of the same Measurement Date and the date immediately prior to the 3-year period that ends with such Measurement Date and no dividend distributions across the 3-year period, such that its TSR CAGR is 0%. The difference between the TSR CAGRs for such Measurement Date is 10 ppts, and the resulting rTSR CAGR Payout Factor with respect to such Measurement Date is 1.1x.</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6" w:name="page97"/>
    <w:bookmarkEnd w:id="96"/>
    <w:p>
      <w:pPr>
        <w:jc w:val="both"/>
        <w:spacing w:after="0" w:line="261" w:lineRule="auto"/>
        <w:rPr>
          <w:sz w:val="20"/>
          <w:szCs w:val="20"/>
          <w:color w:val="auto"/>
        </w:rPr>
      </w:pPr>
      <w:r>
        <w:rPr>
          <w:rFonts w:ascii="Times New Roman" w:cs="Times New Roman" w:eastAsia="Times New Roman" w:hAnsi="Times New Roman"/>
          <w:sz w:val="18"/>
          <w:szCs w:val="18"/>
          <w:color w:val="auto"/>
        </w:rPr>
        <w:t>rTSR CAGR Performance Units are earned based on every new high reached in the 60 consecutive, trailing Trading Day average TSR 3-year CAGR differential between Micron and the median SOX index company starting on the first Trading Day of Fiscal Year 2026. rTSR CAGR Performance Units that are earned by application of the rTSR CAGR Payout Factor are referred to herein as “</w:t>
      </w:r>
      <w:r>
        <w:rPr>
          <w:rFonts w:ascii="Times New Roman" w:cs="Times New Roman" w:eastAsia="Times New Roman" w:hAnsi="Times New Roman"/>
          <w:sz w:val="18"/>
          <w:szCs w:val="18"/>
          <w:u w:val="single" w:color="auto"/>
          <w:color w:val="auto"/>
        </w:rPr>
        <w:t>Banked rTSR CAGR Performance Units</w:t>
      </w:r>
      <w:r>
        <w:rPr>
          <w:rFonts w:ascii="Times New Roman" w:cs="Times New Roman" w:eastAsia="Times New Roman" w:hAnsi="Times New Roman"/>
          <w:sz w:val="18"/>
          <w:szCs w:val="18"/>
          <w:color w:val="auto"/>
        </w:rPr>
        <w:t>” (regardless of whether such rTSR CAGR Performance Units have vested).</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color w:val="auto"/>
        </w:rPr>
        <w:t>. As of the Certification Date that immediately follows the end of Fiscal Year 2027, 100% of the then-unvested Banked rTSR CAGR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Units (for the avoidance of doubt, inclusive of any rTSR CAGR Performance Units becoming Banked rTSR CAGR Performance Units as of such Certification Date) will vest as of such Certification Date. If Participant’s employment terminates for a reason other than termination for Cause (as such term is defined in the agreement between Participant and the Company governing the terms of Participant’s employment or termination thereof, or, if not so defined, as defined in the Plan), after rTSR CAGR Performance Units have become Banked rTSR CAGR Performance Units, such Banked rTSR CAGR Performance Units will continue to vest and be paid pursuant to the original schedule. “</w:t>
      </w:r>
      <w:r>
        <w:rPr>
          <w:rFonts w:ascii="Times New Roman" w:cs="Times New Roman" w:eastAsia="Times New Roman" w:hAnsi="Times New Roman"/>
          <w:sz w:val="18"/>
          <w:szCs w:val="18"/>
          <w:u w:val="single" w:color="auto"/>
          <w:color w:val="auto"/>
        </w:rPr>
        <w:t>Certification Date</w:t>
      </w:r>
      <w:r>
        <w:rPr>
          <w:rFonts w:ascii="Times New Roman" w:cs="Times New Roman" w:eastAsia="Times New Roman" w:hAnsi="Times New Roman"/>
          <w:sz w:val="18"/>
          <w:szCs w:val="18"/>
          <w:color w:val="auto"/>
        </w:rPr>
        <w:t>” means Certification Date as defined with respect to the HBM3E Award and Data Center SSD Award.</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u w:val="single" w:color="auto"/>
          <w:color w:val="auto"/>
        </w:rPr>
        <w:t>Vesting Upon a Qualifying Event</w:t>
      </w:r>
      <w:r>
        <w:rPr>
          <w:rFonts w:ascii="Times New Roman" w:cs="Times New Roman" w:eastAsia="Times New Roman" w:hAnsi="Times New Roman"/>
          <w:sz w:val="18"/>
          <w:szCs w:val="18"/>
          <w:color w:val="auto"/>
        </w:rPr>
        <w:t>. This paragraph shall apply only to the extent that Participant and the Company have entered into a written offer letter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similar written agreement (the “</w:t>
      </w:r>
      <w:r>
        <w:rPr>
          <w:rFonts w:ascii="Times New Roman" w:cs="Times New Roman" w:eastAsia="Times New Roman" w:hAnsi="Times New Roman"/>
          <w:sz w:val="18"/>
          <w:szCs w:val="18"/>
          <w:u w:val="single" w:color="auto"/>
          <w:color w:val="auto"/>
        </w:rPr>
        <w:t>Letter</w:t>
      </w:r>
      <w:r>
        <w:rPr>
          <w:rFonts w:ascii="Times New Roman" w:cs="Times New Roman" w:eastAsia="Times New Roman" w:hAnsi="Times New Roman"/>
          <w:sz w:val="18"/>
          <w:szCs w:val="18"/>
          <w:color w:val="auto"/>
        </w:rPr>
        <w:t>”) that provides for accelerated or continued vesting of part or all of Participant’s restricted stock awards or restricted stock share awards if Participant experiences a “Qualifying Separation from Service” or “Qualifying Termination of Employment” (as applicable, as defined in the Letter) (in either case, a “</w:t>
      </w:r>
      <w:r>
        <w:rPr>
          <w:rFonts w:ascii="Times New Roman" w:cs="Times New Roman" w:eastAsia="Times New Roman" w:hAnsi="Times New Roman"/>
          <w:sz w:val="18"/>
          <w:szCs w:val="18"/>
          <w:u w:val="single" w:color="auto"/>
          <w:color w:val="auto"/>
        </w:rPr>
        <w:t>Qualifying Event</w:t>
      </w:r>
      <w:r>
        <w:rPr>
          <w:rFonts w:ascii="Times New Roman" w:cs="Times New Roman" w:eastAsia="Times New Roman" w:hAnsi="Times New Roman"/>
          <w:sz w:val="18"/>
          <w:szCs w:val="18"/>
          <w:color w:val="auto"/>
        </w:rPr>
        <w:t>”). If Participant experiences a Qualifying Event and complies with the terms of the Letter so that Participant becomes entitled to severance benefits relating to vesting of restricted stock awards or restricted stock share awards (“</w:t>
      </w:r>
      <w:r>
        <w:rPr>
          <w:rFonts w:ascii="Times New Roman" w:cs="Times New Roman" w:eastAsia="Times New Roman" w:hAnsi="Times New Roman"/>
          <w:sz w:val="18"/>
          <w:szCs w:val="18"/>
          <w:u w:val="single" w:color="auto"/>
          <w:color w:val="auto"/>
        </w:rPr>
        <w:t>Severance Benefits</w:t>
      </w:r>
      <w:r>
        <w:rPr>
          <w:rFonts w:ascii="Times New Roman" w:cs="Times New Roman" w:eastAsia="Times New Roman" w:hAnsi="Times New Roman"/>
          <w:sz w:val="18"/>
          <w:szCs w:val="18"/>
          <w:color w:val="auto"/>
        </w:rPr>
        <w:t>”), Participant also will be entitled to partial or full vesting of this Award as a restricted stock award or restricted stock share award under the Letter and in accordance with the terms and conditions specified in the Letter. For the avoidance of doubt, any vesting provided under this paragraph is subject to all of the terms and conditions of the Letter and, if Participant does not comply with the requirements of the Letter to qualify for Severance Benefits, Participant will not be entitled to any vesting under this paragraph.</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auto"/>
        </w:rPr>
        <w:t>Payout Timing (Conversion to Shares)</w:t>
      </w:r>
      <w:r>
        <w:rPr>
          <w:rFonts w:ascii="Times New Roman" w:cs="Times New Roman" w:eastAsia="Times New Roman" w:hAnsi="Times New Roman"/>
          <w:sz w:val="18"/>
          <w:szCs w:val="18"/>
          <w:color w:val="auto"/>
        </w:rPr>
        <w:t>. The Banked rTSR CAGR Performance Units vesting as of the Certification Date that immediately follows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 of Fiscal Year 2027 (such rTSR CAGR Performance Units, the “</w:t>
      </w:r>
      <w:r>
        <w:rPr>
          <w:rFonts w:ascii="Times New Roman" w:cs="Times New Roman" w:eastAsia="Times New Roman" w:hAnsi="Times New Roman"/>
          <w:sz w:val="18"/>
          <w:szCs w:val="18"/>
          <w:u w:val="single" w:color="auto"/>
          <w:color w:val="auto"/>
        </w:rPr>
        <w:t>Vested rTSR CAGR Performance Units</w:t>
      </w:r>
      <w:r>
        <w:rPr>
          <w:rFonts w:ascii="Times New Roman" w:cs="Times New Roman" w:eastAsia="Times New Roman" w:hAnsi="Times New Roman"/>
          <w:sz w:val="18"/>
          <w:szCs w:val="18"/>
          <w:color w:val="auto"/>
        </w:rPr>
        <w:t>”) shall automatically convert to Shares on the Certification Date (the “</w:t>
      </w:r>
      <w:r>
        <w:rPr>
          <w:rFonts w:ascii="Times New Roman" w:cs="Times New Roman" w:eastAsia="Times New Roman" w:hAnsi="Times New Roman"/>
          <w:sz w:val="18"/>
          <w:szCs w:val="18"/>
          <w:u w:val="single" w:color="auto"/>
          <w:color w:val="auto"/>
        </w:rPr>
        <w:t>Conversion Date</w:t>
      </w:r>
      <w:r>
        <w:rPr>
          <w:rFonts w:ascii="Times New Roman" w:cs="Times New Roman" w:eastAsia="Times New Roman" w:hAnsi="Times New Roman"/>
          <w:sz w:val="18"/>
          <w:szCs w:val="18"/>
          <w:color w:val="auto"/>
        </w:rPr>
        <w:t>”), except that if Participant is terminated for Cause, no further rTSR CAGR Performance Units shall vest after the date of termination.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Certain Award Limitations</w:t>
      </w:r>
      <w:r>
        <w:rPr>
          <w:rFonts w:ascii="Times New Roman" w:cs="Times New Roman" w:eastAsia="Times New Roman" w:hAnsi="Times New Roman"/>
          <w:sz w:val="18"/>
          <w:szCs w:val="18"/>
          <w:color w:val="auto"/>
        </w:rPr>
        <w:t>. The maximum number of rTSR CAGR Performance Units that may vest under this Award is the Maximum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Subject to rTSR CAGR Performance Units as set forth in the Notice of Grant, subject to the following.</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7" w:name="page98"/>
    <w:bookmarkEnd w:id="97"/>
    <w:p>
      <w:pPr>
        <w:jc w:val="both"/>
        <w:spacing w:after="0" w:line="251" w:lineRule="auto"/>
        <w:rPr>
          <w:sz w:val="20"/>
          <w:szCs w:val="20"/>
          <w:color w:val="auto"/>
        </w:rPr>
      </w:pPr>
      <w:r>
        <w:rPr>
          <w:rFonts w:ascii="Times New Roman" w:cs="Times New Roman" w:eastAsia="Times New Roman" w:hAnsi="Times New Roman"/>
          <w:sz w:val="18"/>
          <w:szCs w:val="18"/>
          <w:color w:val="auto"/>
        </w:rPr>
        <w:t>Concurrently with this Award of rTSR CAGR Performance Units, Participant is receiving (a) an award of HBM3E Performance Units, which are performance-based Restricted Stock Units that may be earned based on achievement of certain goals related to HBM3E+ market share or bit shipments (the “</w:t>
      </w:r>
      <w:r>
        <w:rPr>
          <w:rFonts w:ascii="Times New Roman" w:cs="Times New Roman" w:eastAsia="Times New Roman" w:hAnsi="Times New Roman"/>
          <w:sz w:val="18"/>
          <w:szCs w:val="18"/>
          <w:u w:val="single" w:color="auto"/>
          <w:color w:val="auto"/>
        </w:rPr>
        <w:t>HBM3E Award</w:t>
      </w:r>
      <w:r>
        <w:rPr>
          <w:rFonts w:ascii="Times New Roman" w:cs="Times New Roman" w:eastAsia="Times New Roman" w:hAnsi="Times New Roman"/>
          <w:sz w:val="18"/>
          <w:szCs w:val="18"/>
          <w:color w:val="auto"/>
        </w:rPr>
        <w:t>”), as described in the award agreement covering the HBM3E Award, and (b) an award of Data Center SSD Performance Units, which are performance-based Restricted Stock Units that may be earned based upon achievement of certain goals related to data center SSD market share or bit shipments (such award, the “</w:t>
      </w:r>
      <w:r>
        <w:rPr>
          <w:rFonts w:ascii="Times New Roman" w:cs="Times New Roman" w:eastAsia="Times New Roman" w:hAnsi="Times New Roman"/>
          <w:sz w:val="18"/>
          <w:szCs w:val="18"/>
          <w:u w:val="single" w:color="auto"/>
          <w:color w:val="auto"/>
        </w:rPr>
        <w:t>Data Center SSD Award</w:t>
      </w:r>
      <w:r>
        <w:rPr>
          <w:rFonts w:ascii="Times New Roman" w:cs="Times New Roman" w:eastAsia="Times New Roman" w:hAnsi="Times New Roman"/>
          <w:sz w:val="18"/>
          <w:szCs w:val="18"/>
          <w:color w:val="auto"/>
        </w:rPr>
        <w:t>”), as described in the award agreement covering the Data Center SSD Award. This Award of rTSR CAGR Performance Units, together with the HBM3E Award and Data Center SSD Award, are referred to as the “</w:t>
      </w:r>
      <w:r>
        <w:rPr>
          <w:rFonts w:ascii="Times New Roman" w:cs="Times New Roman" w:eastAsia="Times New Roman" w:hAnsi="Times New Roman"/>
          <w:sz w:val="18"/>
          <w:szCs w:val="18"/>
          <w:u w:val="single" w:color="auto"/>
          <w:color w:val="auto"/>
        </w:rPr>
        <w:t>FY 2025 Performance Awards</w:t>
      </w:r>
      <w:r>
        <w:rPr>
          <w:rFonts w:ascii="Times New Roman" w:cs="Times New Roman" w:eastAsia="Times New Roman" w:hAnsi="Times New Roman"/>
          <w:sz w:val="18"/>
          <w:szCs w:val="18"/>
          <w:color w:val="auto"/>
        </w:rPr>
        <w:t>,” and the total number of Restricted Stock Units under the FY 2025 Performance Awards (the “</w:t>
      </w:r>
      <w:r>
        <w:rPr>
          <w:rFonts w:ascii="Times New Roman" w:cs="Times New Roman" w:eastAsia="Times New Roman" w:hAnsi="Times New Roman"/>
          <w:sz w:val="18"/>
          <w:szCs w:val="18"/>
          <w:u w:val="single" w:color="auto"/>
          <w:color w:val="auto"/>
        </w:rPr>
        <w:t>Performance Units</w:t>
      </w:r>
      <w:r>
        <w:rPr>
          <w:rFonts w:ascii="Times New Roman" w:cs="Times New Roman" w:eastAsia="Times New Roman" w:hAnsi="Times New Roman"/>
          <w:sz w:val="18"/>
          <w:szCs w:val="18"/>
          <w:color w:val="auto"/>
        </w:rPr>
        <w:t>”) eligible to be earned under the FY 2025 Performance Awards assuming at-target achievement is referred to as the “</w:t>
      </w:r>
      <w:r>
        <w:rPr>
          <w:rFonts w:ascii="Times New Roman" w:cs="Times New Roman" w:eastAsia="Times New Roman" w:hAnsi="Times New Roman"/>
          <w:sz w:val="18"/>
          <w:szCs w:val="18"/>
          <w:u w:val="single" w:color="auto"/>
          <w:color w:val="auto"/>
        </w:rPr>
        <w:t>Target Total Award</w:t>
      </w:r>
      <w:r>
        <w:rPr>
          <w:rFonts w:ascii="Times New Roman" w:cs="Times New Roman" w:eastAsia="Times New Roman" w:hAnsi="Times New Roman"/>
          <w:sz w:val="18"/>
          <w:szCs w:val="18"/>
          <w:color w:val="auto"/>
        </w:rPr>
        <w:t>” and is calculated as the sum of (i) the Target Number of Shares Subject to rTSR CAGR Performance Units under this Award of rTSR CAGR Performance Units, plus (ii) the Target Number of Shares Subject to HBM3E Performance Units as specified in the HBM3E Award, plus (iii) the Target Number of Shares Subject to Data Center SSD Performance Units as specified in the Data Center SSD Award. Notwithstanding any contrary provision of this Award Agreement, the number of Performance Units that may be earned under the FY 2025 Performance Awards (taken together) during the Performance Period will not exceed two (2) times the Target Total Award (the “</w:t>
      </w:r>
      <w:r>
        <w:rPr>
          <w:rFonts w:ascii="Times New Roman" w:cs="Times New Roman" w:eastAsia="Times New Roman" w:hAnsi="Times New Roman"/>
          <w:sz w:val="18"/>
          <w:szCs w:val="18"/>
          <w:u w:val="single" w:color="auto"/>
          <w:color w:val="auto"/>
        </w:rPr>
        <w:t>2x Limit</w:t>
      </w:r>
      <w:r>
        <w:rPr>
          <w:rFonts w:ascii="Times New Roman" w:cs="Times New Roman" w:eastAsia="Times New Roman" w:hAnsi="Times New Roman"/>
          <w:sz w:val="18"/>
          <w:szCs w:val="18"/>
          <w:color w:val="auto"/>
        </w:rPr>
        <w:t xml:space="preserve">”). To the extent that, as of any applicable date, the aggregate number of Performance Units that would otherwise be earned under the FY 2025 Performance Awards in accordance with the applicable provisions as of such date, together,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Performance Units that were earned previously in the Performance Period with respect to the FY 2025 Performance Awards, would exceed the 2x Limit, the number of Performance Units becoming earned with respect to the rTSR CAGR Award will be reduced (the “</w:t>
      </w:r>
      <w:r>
        <w:rPr>
          <w:rFonts w:ascii="Times New Roman" w:cs="Times New Roman" w:eastAsia="Times New Roman" w:hAnsi="Times New Roman"/>
          <w:sz w:val="18"/>
          <w:szCs w:val="18"/>
          <w:u w:val="single" w:color="auto"/>
          <w:color w:val="auto"/>
        </w:rPr>
        <w:t>Reduction Units</w:t>
      </w:r>
      <w:r>
        <w:rPr>
          <w:rFonts w:ascii="Times New Roman" w:cs="Times New Roman" w:eastAsia="Times New Roman" w:hAnsi="Times New Roman"/>
          <w:sz w:val="18"/>
          <w:szCs w:val="18"/>
          <w:color w:val="auto"/>
        </w:rPr>
        <w:t xml:space="preserve">”) such that the aggregate number of Performance Units becoming earned as of such date with respect to the FY 2025 Performance Awards upon such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all Performance Units that have become earned previously during the Performance Period with respect to the FY 2025 Performance Awards is equal to the 2x Limit. For the avoidance of doubt, if such reduction is required as of the Certification Date (as defined below) that immediately follows the end of Fiscal Year 2026, then the rTSR CAGR Performance Units that otherwise would be considered Banked rTSR CAGR Performance Units on such Certification Date will be reduced by the total number of Reduction Units but not to less than zero, and any remaining or additional Reduction Units will reduce the rTSR CAGR Performance Units that are scheduled to vest as of the Certification Date that immediately follows the end of Fiscal Year 2027. If, immediately after any date during the Performance Period the aggregate number of Performance Units that have become earned pursuant to the FY 2025 Performance Awards is less than the 2x Limit, then the opportunity to earn the excess of the 2x Limit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the aggregate number of Performance Units that have been earned will exist in any remaining Performance Period Fiscal Year(s).</w:t>
      </w:r>
    </w:p>
    <w:p>
      <w:pPr>
        <w:spacing w:after="0" w:line="2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the maximum aggregate grant of awards may not exceed 5,000,000 shares of the Company’s Common Stock in any one calendar year to any one participant (including for calendar year 2024, the FY 2025 Performance Awards granted to Participant), as provided in Section 5.4 of the Plan.</w:t>
      </w:r>
    </w:p>
    <w:p>
      <w:pPr>
        <w:spacing w:after="0" w:line="17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auto"/>
        </w:rPr>
        <w:t>Recoupment</w:t>
      </w:r>
      <w:r>
        <w:rPr>
          <w:rFonts w:ascii="Times New Roman" w:cs="Times New Roman" w:eastAsia="Times New Roman" w:hAnsi="Times New Roman"/>
          <w:sz w:val="18"/>
          <w:szCs w:val="18"/>
          <w:color w:val="auto"/>
        </w:rPr>
        <w:t>. As provided in further detail in Section 26 of the Terms and Conditions of Performance Unit Grant comprising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the rTSR CAGR Performance Units are subject to any Clawback Policy, or other recovery obligation as may be necessary to comply with applicable laws.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PERFORMANCE UNIT AGREEMENT</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99" w:name="page100"/>
    <w:bookmarkEnd w:id="99"/>
    <w:p>
      <w:pPr>
        <w:ind w:left="6440"/>
        <w:spacing w:after="0"/>
        <w:rPr>
          <w:sz w:val="20"/>
          <w:szCs w:val="20"/>
          <w:color w:val="auto"/>
        </w:rPr>
      </w:pPr>
      <w:r>
        <w:rPr>
          <w:rFonts w:ascii="Times New Roman" w:cs="Times New Roman" w:eastAsia="Times New Roman" w:hAnsi="Times New Roman"/>
          <w:sz w:val="17"/>
          <w:szCs w:val="17"/>
          <w:color w:val="auto"/>
        </w:rPr>
        <w:t>Nonemployee Director Annual Retainer Deferred RSU (2025 EIP)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Micron Technology, Inc. 2025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(collectively,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 Name: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the right to receive a Restricted Stock Unit Award, subject to the terms and conditions of the Plan and this Award Agreement, as follows:</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Number of Shares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Restricted Stock Units will be fully vested on the Date of Grant.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By Participant electronically accepting this Award Agreement or manually signing this Award Agreement (in either case, as and in the manner specified by Micron Technology,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Participant and the Company agree that (1) this Restricted Stock Unit Award is granted under and governed by the terms and conditions of the Plan and this Award Agreement,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Administrator upon any questions relating to the Plan and this Award Agreement. Participant further agrees to notify the Company upon any change in the residence address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RESTRICTED STOCK UNIT GRANT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Grant of Restricted Stock Units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named in the Notice of Restricted Stock Unit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 Restricted Stock Unit Award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Vesting Schedule</w:t>
      </w:r>
      <w:r>
        <w:rPr>
          <w:rFonts w:ascii="Times New Roman" w:cs="Times New Roman" w:eastAsia="Times New Roman" w:hAnsi="Times New Roman"/>
          <w:sz w:val="18"/>
          <w:szCs w:val="18"/>
          <w:color w:val="auto"/>
        </w:rPr>
        <w:t>. Except as provided in Section 4, and subject to Section 5, the Restricted Stock Units awarded by this Award Agreement will vest in accordance with the vesting provisions set forth in the Notice of Grant, subject to Participant remaining a Service Provider through each applicable vesting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Payment after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 Rule</w:t>
      </w:r>
      <w:r>
        <w:rPr>
          <w:rFonts w:ascii="Times New Roman" w:cs="Times New Roman" w:eastAsia="Times New Roman" w:hAnsi="Times New Roman"/>
          <w:sz w:val="18"/>
          <w:szCs w:val="18"/>
          <w:color w:val="auto"/>
        </w:rPr>
        <w:t>. Subject to Section 8, any Restricted Stock Units that vest will be paid to Participant (or in the event of Participant’s death, to his or her properly designated beneficiary or estate) in Shares. Subject to this Section 4 and Section 9, such vested Restricted Stock Units shall be paid in Shares upon or within fifteen (15) days following the date of Participant’s “separation from service” within the meaning of Section 409A, (such payment date being the “Settlement Date”). In no event will Participant be permitted, directly or indirectly, to specify the taxable year of payment of any Restricted Stock Units payable under this Award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Acceleration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Death or Disability</w:t>
      </w:r>
      <w:r>
        <w:rPr>
          <w:rFonts w:ascii="Times New Roman" w:cs="Times New Roman" w:eastAsia="Times New Roman" w:hAnsi="Times New Roman"/>
          <w:sz w:val="18"/>
          <w:szCs w:val="18"/>
          <w:color w:val="auto"/>
        </w:rPr>
        <w:t>. If Participant ceases to be a Service Provider on account of Participant’s death or Participant becoming Disabled, any Restricted Stock Units that both were unexpired and unvested as of the date Participant ceases to be a Service Provider, will vest on such date.</w:t>
      </w:r>
    </w:p>
    <w:p>
      <w:pPr>
        <w:spacing w:after="0" w:line="176"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Change in Control.</w:t>
      </w:r>
      <w:r>
        <w:rPr>
          <w:rFonts w:ascii="Times New Roman" w:cs="Times New Roman" w:eastAsia="Times New Roman" w:hAnsi="Times New Roman"/>
          <w:sz w:val="18"/>
          <w:szCs w:val="18"/>
          <w:color w:val="auto"/>
        </w:rPr>
        <w:t xml:space="preserve"> If a Change in Control occurs before Participant ceases to be a Service Provider, any Restricted Stock Units that both were unexpired and unvested as of immediately preceding the Change in Control, will vest upon the consummation of the Change in Control unless, as determined by the Administrator (as constituted immediately prior to the Change in Control), such Restricted Stock Units have been assumed by the Surviving Corporation, if any, or otherwise equitably converted or substituted in the Change in Control. For the purposes of this Award Agreement, the Restricted Stock Units will be considered assumed if, following the Change in Control, this Award Agreement confers the right to receive, for each Share subject to the Award Agreement immediately prior to the Change in 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shares (or other applicable equity interests) of the Surviving Corporation or its parent, the Administrator may, with the consent of the Surviving Corporation, provide for the consideration to be received upon the payout of each Restricted Stock Unit to be solely shares (or other applicable equity interests) of the Surviving Corporation or its parent equal in fair market value at the time of the Change in Control to the per Share consideration received by holders of Shares in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269240</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2" w:name="page103"/>
    <w:bookmarkEnd w:id="102"/>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Termination following a Change in Control.</w:t>
      </w:r>
      <w:r>
        <w:rPr>
          <w:rFonts w:ascii="Times New Roman" w:cs="Times New Roman" w:eastAsia="Times New Roman" w:hAnsi="Times New Roman"/>
          <w:sz w:val="18"/>
          <w:szCs w:val="18"/>
          <w:color w:val="auto"/>
        </w:rPr>
        <w:t xml:space="preserve"> If (A) a Change in Control occurs before Participant ceases to be a Service Provider, (B) as determined by the Administrator (as constituted immediately prior to the Change in Control), any Restricted Stock Units that, both were unexpired and unvested as of the date of the Change in Control, were assumed by the Surviving Corporation or otherwise equitably converted or substituted in the Change in Control, and (C) Participant’s service as a Service Provider with the Company (or any Surviving Corporation, as applicable) and all Affiliates is terminated by the Company (or any such Surviving Corporation or Affiliate, as applicable) without Cause within one (1) year after the effective date of the Change in Control, then any Restricted Stock Units that both were unexpired and unvested as of immediately preceding the termination of employment, will vest upon the termination of employment.</w:t>
      </w:r>
    </w:p>
    <w:p>
      <w:pPr>
        <w:spacing w:after="0" w:line="189"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prior sentence may be superseded in a future agreement or amendment to this Award Agreement only by direct and specific reference to such sentence.</w:t>
      </w:r>
    </w:p>
    <w:p>
      <w:pPr>
        <w:spacing w:after="0" w:line="183"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(v)            Notwithstanding anything in the Plan or this Award Agreement or any other agreement (whether entered into before, on, or after the Date of Grant), if the vesting of the balance, or some lesser portion of the balance, of the Restricted Stock Units is accelerated in connection with the cessation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w:t>
      </w:r>
    </w:p>
    <w:p>
      <w:pPr>
        <w:spacing w:after="0" w:line="3" w:lineRule="exact"/>
        <w:rPr>
          <w:sz w:val="20"/>
          <w:szCs w:val="20"/>
          <w:color w:val="auto"/>
        </w:rPr>
      </w:pPr>
    </w:p>
    <w:p>
      <w:pPr>
        <w:jc w:val="both"/>
        <w:ind w:firstLine="8"/>
        <w:spacing w:after="0" w:line="255" w:lineRule="auto"/>
        <w:tabs>
          <w:tab w:leader="none" w:pos="28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3" w:name="page104"/>
    <w:bookmarkEnd w:id="103"/>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Forfeiture Upon Termination as a Service Provider</w:t>
      </w:r>
      <w:r>
        <w:rPr>
          <w:rFonts w:ascii="Times New Roman" w:cs="Times New Roman" w:eastAsia="Times New Roman" w:hAnsi="Times New Roman"/>
          <w:sz w:val="18"/>
          <w:szCs w:val="18"/>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 ceases to be a Service Provider for any or no reason, the then-unvested Restricted Stock Units awarded by this Award Agreement will be forfeited at no cost to the Company and Participant will have no further rights thereunder. The date of forfeiture will be the date on which Participant ceases to be a Service Provider.</w:t>
      </w:r>
    </w:p>
    <w:p>
      <w:pPr>
        <w:spacing w:after="0" w:line="1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Tax Consequences</w:t>
      </w:r>
      <w:r>
        <w:rPr>
          <w:rFonts w:ascii="Times New Roman" w:cs="Times New Roman" w:eastAsia="Times New Roman" w:hAnsi="Times New Roman"/>
          <w:sz w:val="17"/>
          <w:szCs w:val="17"/>
          <w:color w:val="auto"/>
        </w:rPr>
        <w:t>. Participant has reviewed with Participant’s own tax advisors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under such procedures as the Administrator may specify from time to time or, if the Administrator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4" w:name="page105"/>
    <w:bookmarkEnd w:id="104"/>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Tax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or any Parent or Subsidiary to which Participant is providing services (together, the “</w:t>
      </w:r>
      <w:r>
        <w:rPr>
          <w:rFonts w:ascii="Times New Roman" w:cs="Times New Roman" w:eastAsia="Times New Roman" w:hAnsi="Times New Roman"/>
          <w:sz w:val="18"/>
          <w:szCs w:val="18"/>
          <w:u w:val="single" w:color="auto"/>
          <w:color w:val="auto"/>
        </w:rPr>
        <w:t>Service Recipients</w:t>
      </w:r>
      <w:r>
        <w:rPr>
          <w:rFonts w:ascii="Times New Roman" w:cs="Times New Roman" w:eastAsia="Times New Roman" w:hAnsi="Times New Roman"/>
          <w:sz w:val="18"/>
          <w:szCs w:val="18"/>
          <w:color w:val="auto"/>
        </w:rPr>
        <w:t>”), the ultimate liability for any tax and/or social insurance liability obligations and requirements in connection with the Restricted Stock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19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Tax Withholding and Default Method of Tax Withholding</w:t>
      </w:r>
      <w:r>
        <w:rPr>
          <w:rFonts w:ascii="Times New Roman" w:cs="Times New Roman" w:eastAsia="Times New Roman" w:hAnsi="Times New Roman"/>
          <w:sz w:val="18"/>
          <w:szCs w:val="18"/>
          <w:color w:val="auto"/>
        </w:rPr>
        <w:t>. When Shares are issued as payment for vested Restricted Stock Units, Participant generally will recognize immediate U.S. taxable income if Participant is a U.S. taxpayer. If Participant is a non-U.S. taxpayer, Participant may be subject to applicable taxes in his or her jurisdiction. Unless otherwise determined by the Administrator, the minimum amount of Tax Obligations that the Company determines must be withheld with respect to this Award (“</w:t>
      </w:r>
      <w:r>
        <w:rPr>
          <w:rFonts w:ascii="Times New Roman" w:cs="Times New Roman" w:eastAsia="Times New Roman" w:hAnsi="Times New Roman"/>
          <w:sz w:val="18"/>
          <w:szCs w:val="18"/>
          <w:u w:val="single" w:color="auto"/>
          <w:color w:val="auto"/>
        </w:rPr>
        <w:t>Tax Withholding Obligation</w:t>
      </w:r>
      <w:r>
        <w:rPr>
          <w:rFonts w:ascii="Times New Roman" w:cs="Times New Roman" w:eastAsia="Times New Roman" w:hAnsi="Times New Roman"/>
          <w:sz w:val="18"/>
          <w:szCs w:val="18"/>
          <w:color w:val="auto"/>
        </w:rPr>
        <w:t>”) will be satisfied by the Company withholding otherwise deliverable Shares having a value approximately equal to the Tax Withholding Obligation (or such greater amount as Participant may elect if permitted by the Administrator, if such greater amount would not result in adverse financial accounting consequences).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Administrator Discretion</w:t>
      </w:r>
      <w:r>
        <w:rPr>
          <w:rFonts w:ascii="Times New Roman" w:cs="Times New Roman" w:eastAsia="Times New Roman" w:hAnsi="Times New Roman"/>
          <w:sz w:val="18"/>
          <w:szCs w:val="18"/>
          <w:color w:val="auto"/>
        </w:rPr>
        <w:t>. If the Administrator determines that Participant cannot satisfy Participant’s Tax Withholding Obligation through the default procedure described in Section 8(b) or the Administrator otherwise determines to permit or require that Participant satisfy Participant’s Tax Withholding Obligation by a method other than through the default procedure set forth in Section 8(b), the Administrator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5" w:name="page106"/>
    <w:bookmarkEnd w:id="10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Company’s Obligation to Deliver Shares</w:t>
      </w:r>
      <w:r>
        <w:rPr>
          <w:rFonts w:ascii="Times New Roman" w:cs="Times New Roman" w:eastAsia="Times New Roman" w:hAnsi="Times New Roman"/>
          <w:sz w:val="18"/>
          <w:szCs w:val="18"/>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Dividend Equivalents</w:t>
      </w:r>
      <w:r>
        <w:rPr>
          <w:rFonts w:ascii="Times New Roman" w:cs="Times New Roman" w:eastAsia="Times New Roman" w:hAnsi="Times New Roman"/>
          <w:sz w:val="18"/>
          <w:szCs w:val="18"/>
          <w:color w:val="auto"/>
        </w:rPr>
        <w:t>. Participant shall not have voting, dividend or any other rights as a stockholder of the Company with respect to the Restricted Stock Units. Upon conversion of the Restricted Stock Units into Shares, Participant will obtain full voting, dividend and other rights as a stockholder of the Company.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REMAINING A SERVICE PROVIDER,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6" w:name="page107"/>
    <w:bookmarkEnd w:id="10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Grant is Not Transferable</w:t>
      </w:r>
      <w:r>
        <w:rPr>
          <w:rFonts w:ascii="Times New Roman" w:cs="Times New Roman" w:eastAsia="Times New Roman" w:hAnsi="Times New Roman"/>
          <w:sz w:val="18"/>
          <w:szCs w:val="18"/>
          <w:color w:val="auto"/>
        </w:rPr>
        <w:t>. Except to the limited extent provided in Section 7 and this Section 12 or as otherwise determined by the Administrator, this grant and the rights and privileges conferred hereby cannot be transferred, assigned, pledged, hypothecated or otherwise encumbered or disposed of in any way (whether by operation of law or otherwise) and will not be subject to sale under execution, attachment or similar process. Upon any attempt to transfer, assign, pledge, hypothecate or otherwise encumber or dispose of this grant, or any right or privilege conferred hereby, or upon any attempted sale under any execution, attachment or similar process, except to the limited extent provided in Section 7 and this Section 12 or as otherwise determined by the Administrator, this grant and the rights and privileges conferred hereby immediately will become null and void. Unless and until otherwise determined by the Administrator, a transfer pursuant to a qualified domestic relations order (“</w:t>
      </w:r>
      <w:r>
        <w:rPr>
          <w:rFonts w:ascii="Times New Roman" w:cs="Times New Roman" w:eastAsia="Times New Roman" w:hAnsi="Times New Roman"/>
          <w:sz w:val="18"/>
          <w:szCs w:val="18"/>
          <w:u w:val="single" w:color="auto"/>
          <w:color w:val="auto"/>
        </w:rPr>
        <w:t>QDRO</w:t>
      </w:r>
      <w:r>
        <w:rPr>
          <w:rFonts w:ascii="Times New Roman" w:cs="Times New Roman" w:eastAsia="Times New Roman" w:hAnsi="Times New Roman"/>
          <w:sz w:val="18"/>
          <w:szCs w:val="18"/>
          <w:color w:val="auto"/>
        </w:rPr>
        <w:t>”) will be permitted so long as such transfer complies with the QDRO procedures then in effect, as specified by the Administrator or the Company.</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Nature of Grant</w:t>
      </w:r>
      <w:r>
        <w:rPr>
          <w:rFonts w:ascii="Times New Roman" w:cs="Times New Roman" w:eastAsia="Times New Roman" w:hAnsi="Times New Roman"/>
          <w:sz w:val="18"/>
          <w:szCs w:val="18"/>
          <w:color w:val="auto"/>
        </w:rPr>
        <w:t>. In accepting this Award of Restricted Stock Units, Participant acknowledges, understands and agrees that: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grant of the Restricted Stock Units is voluntary and occasional and does not create any contractual or other right to receive future grants of equity awards, or benefits in lieu of equity awards, even if equity awards have been granted in the past;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all decisions with respect to future equity award grants, if any, will be at the sole discretion of the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Participant is voluntarily participating in the Plan;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Restricted Stock Units and the Shares subject to the Restricted Stock Units, and the income from and value of same, are not intended to replace any pension rights or compensation;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Restricted Stock Units and the Shares subject to the Restricted Stock Units, and the income from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future value of the Shares underlying the Restricted Stock Units is unknown, indeterminable, and cannot be predicted;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7" w:name="page108"/>
    <w:bookmarkEnd w:id="10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the following provisions apply only if Participant is providing services outside the United States:</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the Restricted Stock Units and the Shares subject to the Restricted Stock Units are not part of normal or expected compensation or salary for any purpose;</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(iii)           no claim or entitlement to compensation or damages shall arise from the forfeiture of the Restricted Stock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 or (ii) the application of any recoupment policy or any recovery or clawback policy otherwise required by law,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8" w:name="page109"/>
    <w:bookmarkEnd w:id="10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9" w:name="page110"/>
    <w:bookmarkEnd w:id="10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Language</w:t>
      </w:r>
      <w:r>
        <w:rPr>
          <w:rFonts w:ascii="Times New Roman" w:cs="Times New Roman" w:eastAsia="Times New Roman" w:hAnsi="Times New Roman"/>
          <w:sz w:val="18"/>
          <w:szCs w:val="18"/>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0" w:name="page111"/>
    <w:bookmarkEnd w:id="11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Amendment, Suspension or Termination of the Plan</w:t>
      </w:r>
      <w:r>
        <w:rPr>
          <w:rFonts w:ascii="Times New Roman" w:cs="Times New Roman" w:eastAsia="Times New Roman" w:hAnsi="Times New Roman"/>
          <w:sz w:val="18"/>
          <w:szCs w:val="18"/>
          <w:color w:val="auto"/>
        </w:rPr>
        <w:t>. By accepting this Award, Participant expressly warrants that Participant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Administrator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Forfeiture Under Policy or Law</w:t>
      </w:r>
      <w:r>
        <w:rPr>
          <w:rFonts w:ascii="Times New Roman" w:cs="Times New Roman" w:eastAsia="Times New Roman" w:hAnsi="Times New Roman"/>
          <w:sz w:val="18"/>
          <w:szCs w:val="18"/>
          <w:color w:val="auto"/>
        </w:rPr>
        <w:t>. Participant’s rights with respect to this Award Agreement and the Award of Restricted Stock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Restricted Stock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Administrator,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1" w:name="page112"/>
    <w:bookmarkEnd w:id="11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Restricted Stock Units to re-convey, transfer or otherwise return the Shares and/or other amounts to the Company upon the Company’s enforcement of any Clawback Policy or recovery policy.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Governing Law; Venue; Severability</w:t>
      </w:r>
      <w:r>
        <w:rPr>
          <w:rFonts w:ascii="Times New Roman" w:cs="Times New Roman" w:eastAsia="Times New Roman" w:hAnsi="Times New Roman"/>
          <w:sz w:val="18"/>
          <w:szCs w:val="18"/>
          <w:color w:val="auto"/>
        </w:rPr>
        <w:t>. This Award Agreement and the Restricted Stock Units are governed by the internal substantive laws, but not the choice of law rules, of the State of Delaware, USA. For purposes of litigating any dispute that arises under these Restricted Stock Units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Country Addendum</w:t>
      </w:r>
      <w:r>
        <w:rPr>
          <w:rFonts w:ascii="Times New Roman" w:cs="Times New Roman" w:eastAsia="Times New Roman" w:hAnsi="Times New Roman"/>
          <w:sz w:val="18"/>
          <w:szCs w:val="18"/>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Restricted Stock Unit Award (as determined by the Administrator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2" w:name="page113"/>
    <w:bookmarkEnd w:id="1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Country Addendum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13" w:name="page114"/>
    <w:bookmarkEnd w:id="113"/>
    <w:p>
      <w:pPr>
        <w:ind w:left="6580"/>
        <w:spacing w:after="0"/>
        <w:rPr>
          <w:sz w:val="20"/>
          <w:szCs w:val="20"/>
          <w:color w:val="auto"/>
        </w:rPr>
      </w:pPr>
      <w:r>
        <w:rPr>
          <w:rFonts w:ascii="Times New Roman" w:cs="Times New Roman" w:eastAsia="Times New Roman" w:hAnsi="Times New Roman"/>
          <w:sz w:val="17"/>
          <w:szCs w:val="17"/>
          <w:color w:val="auto"/>
        </w:rPr>
        <w:t>Nonemployee Director Annual Award Deferred RSU (2025 EIP)</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Micron Technology, Inc. 2025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(collectively,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 Name: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the right to receive a Restricted Stock Unit Award, subject to the terms and conditions of the Plan and this Award Agreement, as follows:</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9">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0">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1">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Number of Shares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2">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3">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any acceleration provisions contained in the Plan or set forth below, the Restricted Stock Units will be scheduled to vest in accordance with the following schedule: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Insert Vesting Schedule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Participant ceases to be a member of the Board for any reason before Participant vests in all or some of the Restricted Stock Units, the unvested Restricted Stock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any of its Subsidiaries or Parents, as applicable (provided that any such other written agreement must have been duly authorized and signed by an officer of the Company or any of its Subsidiaries or Parents).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By Participant electronically accepting this Award Agreement or manually signing this Award Agreement (in either case, as and in the manner specified by the Company), Participant and the Company agree that (1) this Restricted Stock Unit Award is granted under and governed by the terms and conditions of the Plan and this Award Agreement,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Administrator upon any questions relating to the Plan and this Award Agreement. Participant further agrees to notify the Company upon any change in the residence address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6">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15" w:name="page116"/>
    <w:bookmarkEnd w:id="11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RESTRICTED STOCK UNIT GRANT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Grant of Restricted Stock Units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named in the Notice of Restricted Stock Unit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 Restricted Stock Unit Award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Vesting Schedule</w:t>
      </w:r>
      <w:r>
        <w:rPr>
          <w:rFonts w:ascii="Times New Roman" w:cs="Times New Roman" w:eastAsia="Times New Roman" w:hAnsi="Times New Roman"/>
          <w:sz w:val="18"/>
          <w:szCs w:val="18"/>
          <w:color w:val="auto"/>
        </w:rPr>
        <w:t>. Except as provided in Section 4, and subject to Section 5, the Restricted Stock Units awarded by this Award Agreement will vest in accordance with the vesting provisions set forth in the Notice of Grant, subject to Participant remaining a member of the Board through each applicable vesting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Payment after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 Rule</w:t>
      </w:r>
      <w:r>
        <w:rPr>
          <w:rFonts w:ascii="Times New Roman" w:cs="Times New Roman" w:eastAsia="Times New Roman" w:hAnsi="Times New Roman"/>
          <w:sz w:val="18"/>
          <w:szCs w:val="18"/>
          <w:color w:val="auto"/>
        </w:rPr>
        <w:t>. Subject to Section 8, any Restricted Stock Units that vest will be paid to Participant (or in the event of Participant’s death, to his or her properly designated beneficiary or estate) in Shares. Subject to this Section 4 and Section 9, such vested Restricted Stock Units shall be paid in Shares as soon as administratively practicable after vesting, but in each such case within fifteen (15) days following the vesting date (such payment date being the “Settlement Date”). In no event will Participant be permitted, directly or indirectly, to specify the taxable year of payment of any Restricted Stock Units payable under this Award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Acceleration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944"/>
        <w:spacing w:after="0" w:line="275"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Death or Disability</w:t>
      </w:r>
      <w:r>
        <w:rPr>
          <w:rFonts w:ascii="Times New Roman" w:cs="Times New Roman" w:eastAsia="Times New Roman" w:hAnsi="Times New Roman"/>
          <w:sz w:val="18"/>
          <w:szCs w:val="18"/>
          <w:color w:val="auto"/>
        </w:rPr>
        <w:t>. If Participant ceases to be a member of the Board on account of Participant’s death or Participant becoming Disabled, any Restricted Stock Units that both were unexpired and unvested as of the date of termination from the Board, will vest on such date.  </w:t>
      </w:r>
    </w:p>
    <w:p>
      <w:pPr>
        <w:spacing w:after="0" w:line="192" w:lineRule="exact"/>
        <w:rPr>
          <w:sz w:val="20"/>
          <w:szCs w:val="20"/>
          <w:color w:val="auto"/>
        </w:rPr>
      </w:pPr>
    </w:p>
    <w:p>
      <w:pPr>
        <w:jc w:val="both"/>
        <w:ind w:firstLine="1944"/>
        <w:spacing w:after="0" w:line="251"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Change in Control.</w:t>
      </w:r>
      <w:r>
        <w:rPr>
          <w:rFonts w:ascii="Times New Roman" w:cs="Times New Roman" w:eastAsia="Times New Roman" w:hAnsi="Times New Roman"/>
          <w:sz w:val="18"/>
          <w:szCs w:val="18"/>
          <w:color w:val="auto"/>
        </w:rPr>
        <w:t xml:space="preserve"> If a Change in Control occurs while Participant is a member of the Board, any Restricted Stock Units that both were unexpired and unvested as of immediately preceding the Change in Control, will vest upon the consummation of the Change in Control unless, as determined by the Administrator (as constituted immediately prior to the Change in Control), such Restricted Stock Units have been assumed by the Surviving Corporation, if any, or otherwise equitably converted or substituted in the Change in Control. For the purposes of this Award Agreement, the Restricted Stock Units will be considered assumed if, following the Change in Control, this Award Agreement confers the right to receive, for each Share subject to the Award Agreement immediately prior to the Change in 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shares (or other applicable equity interests) of the Surviving Corporation or its parent, the Administrator may, with the consent of the Surviving Corporation, provide for the consideration to be received upon the payout of each Restricted Stock Unit to be solely shares (or other applicable equity interests) of the Surviving Corporation or its parent equal in fair market value at the time of the Change in Control to the per Share consideration received by holders of Shares in the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6" w:name="page117"/>
    <w:bookmarkEnd w:id="116"/>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Termination after Three Years of Board Service.</w:t>
      </w:r>
      <w:r>
        <w:rPr>
          <w:rFonts w:ascii="Times New Roman" w:cs="Times New Roman" w:eastAsia="Times New Roman" w:hAnsi="Times New Roman"/>
          <w:sz w:val="18"/>
          <w:szCs w:val="18"/>
          <w:color w:val="auto"/>
        </w:rPr>
        <w:t xml:space="preserve"> If Participant ceases to be a member of the Board after having attained at least three (3) years of service on the Board prior to the effective date of Participant’s termination from the Board, any Restricted Stock Units that both were unexpired and unvested as of the date of termination, will vest on such date.</w:t>
      </w:r>
    </w:p>
    <w:p>
      <w:pPr>
        <w:spacing w:after="0" w:line="176"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prior sentence may be superseded in a future agreement or amendment to this Award Agreement only by direct and specific reference to such sentence.</w:t>
      </w:r>
    </w:p>
    <w:p>
      <w:pPr>
        <w:spacing w:after="0" w:line="183"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(v)             Notwithstanding anything in the Plan or this Award Agreement or any other agreement (whether entered into before, on, or after the Date of Grant), if the vesting of the balance, or some lesser portion of the balance, of the Restricted Stock Units is accelerated in connection with the cessation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w:t>
      </w:r>
    </w:p>
    <w:p>
      <w:pPr>
        <w:spacing w:after="0" w:line="3" w:lineRule="exact"/>
        <w:rPr>
          <w:sz w:val="20"/>
          <w:szCs w:val="20"/>
          <w:color w:val="auto"/>
        </w:rPr>
      </w:pPr>
    </w:p>
    <w:p>
      <w:pPr>
        <w:jc w:val="both"/>
        <w:ind w:firstLine="8"/>
        <w:spacing w:after="0" w:line="255" w:lineRule="auto"/>
        <w:tabs>
          <w:tab w:leader="none" w:pos="28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18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7" w:name="page118"/>
    <w:bookmarkEnd w:id="11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Forfeiture Upon Termination from the Board</w:t>
      </w:r>
      <w:r>
        <w:rPr>
          <w:rFonts w:ascii="Times New Roman" w:cs="Times New Roman" w:eastAsia="Times New Roman" w:hAnsi="Times New Roman"/>
          <w:sz w:val="18"/>
          <w:szCs w:val="18"/>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 ceases to be a member of the Board for any or no reason, the then-unvested Restricted Stock Units awarded by this Award Agreement will be forfeited at no cost to the Company and Participant will have no further rights thereunder. The date of forfeiture will be the date of termination from the Board.</w:t>
      </w:r>
    </w:p>
    <w:p>
      <w:pPr>
        <w:spacing w:after="0" w:line="1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Tax Consequences</w:t>
      </w:r>
      <w:r>
        <w:rPr>
          <w:rFonts w:ascii="Times New Roman" w:cs="Times New Roman" w:eastAsia="Times New Roman" w:hAnsi="Times New Roman"/>
          <w:sz w:val="17"/>
          <w:szCs w:val="17"/>
          <w:color w:val="auto"/>
        </w:rPr>
        <w:t>. Participant has reviewed with Participant’s own tax advisors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under such procedures as the Administrator may specify from time to time or, if the Administrator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Tax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or any Parent or Subsidiary to which Participant is providing services (together, the “</w:t>
      </w:r>
      <w:r>
        <w:rPr>
          <w:rFonts w:ascii="Times New Roman" w:cs="Times New Roman" w:eastAsia="Times New Roman" w:hAnsi="Times New Roman"/>
          <w:sz w:val="18"/>
          <w:szCs w:val="18"/>
          <w:u w:val="single" w:color="auto"/>
          <w:color w:val="auto"/>
        </w:rPr>
        <w:t>Service Recipients</w:t>
      </w:r>
      <w:r>
        <w:rPr>
          <w:rFonts w:ascii="Times New Roman" w:cs="Times New Roman" w:eastAsia="Times New Roman" w:hAnsi="Times New Roman"/>
          <w:sz w:val="18"/>
          <w:szCs w:val="18"/>
          <w:color w:val="auto"/>
        </w:rPr>
        <w:t>”), the ultimate liability for any tax and/or social insurance liability obligations and requirements in connection with the Restricted Stock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8" w:name="page119"/>
    <w:bookmarkEnd w:id="118"/>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Tax Withholding and Default Method of Tax Withholding</w:t>
      </w:r>
      <w:r>
        <w:rPr>
          <w:rFonts w:ascii="Times New Roman" w:cs="Times New Roman" w:eastAsia="Times New Roman" w:hAnsi="Times New Roman"/>
          <w:sz w:val="18"/>
          <w:szCs w:val="18"/>
          <w:color w:val="auto"/>
        </w:rPr>
        <w:t>. When Shares are issued as payment for vested Restricted Stock Units, Participant generally will recognize immediate U.S. taxable income if Participant is a U.S. taxpayer. If Participant is a non-U.S. taxpayer, Participant may be subject to applicable taxes in his or her jurisdiction. Unless otherwise determined by the Administrator, the minimum amount of Tax Obligations that the Company determines must be withheld with respect to this Award (“</w:t>
      </w:r>
      <w:r>
        <w:rPr>
          <w:rFonts w:ascii="Times New Roman" w:cs="Times New Roman" w:eastAsia="Times New Roman" w:hAnsi="Times New Roman"/>
          <w:sz w:val="18"/>
          <w:szCs w:val="18"/>
          <w:u w:val="single" w:color="auto"/>
          <w:color w:val="auto"/>
        </w:rPr>
        <w:t>Tax Withholding Obligation</w:t>
      </w:r>
      <w:r>
        <w:rPr>
          <w:rFonts w:ascii="Times New Roman" w:cs="Times New Roman" w:eastAsia="Times New Roman" w:hAnsi="Times New Roman"/>
          <w:sz w:val="18"/>
          <w:szCs w:val="18"/>
          <w:color w:val="auto"/>
        </w:rPr>
        <w:t>”) will be satisfied by the Company withholding otherwise deliverable Shares having a value approximately equal to the Tax Withholding Obligation (or such greater amount as Participant may elect if permitted by the Administrator, if such greater amount would not result in adverse financial accounting consequences).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Administrator Discretion</w:t>
      </w:r>
      <w:r>
        <w:rPr>
          <w:rFonts w:ascii="Times New Roman" w:cs="Times New Roman" w:eastAsia="Times New Roman" w:hAnsi="Times New Roman"/>
          <w:sz w:val="18"/>
          <w:szCs w:val="18"/>
          <w:color w:val="auto"/>
        </w:rPr>
        <w:t>. If the Administrator determines that Participant cannot satisfy Participant’s Tax Withholding Obligation through the default procedure described in Section 8(b) or the Administrator otherwise determines to permit or require that Participant satisfy Participant’s Tax Withholding Obligation by a method other than through the default procedure set forth in Section 8(b), the Administrator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Withholding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19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Company’s Obligation to Deliver Shares</w:t>
      </w:r>
      <w:r>
        <w:rPr>
          <w:rFonts w:ascii="Times New Roman" w:cs="Times New Roman" w:eastAsia="Times New Roman" w:hAnsi="Times New Roman"/>
          <w:sz w:val="18"/>
          <w:szCs w:val="18"/>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9" w:name="page120"/>
    <w:bookmarkEnd w:id="11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Dividend Equivalents</w:t>
      </w:r>
      <w:r>
        <w:rPr>
          <w:rFonts w:ascii="Times New Roman" w:cs="Times New Roman" w:eastAsia="Times New Roman" w:hAnsi="Times New Roman"/>
          <w:sz w:val="18"/>
          <w:szCs w:val="18"/>
          <w:color w:val="auto"/>
        </w:rPr>
        <w:t>. If the Company declares and pays a cash dividend on Shares for which the record date occurs while Restricted Stock Units subject to this Award Agreement remain outstanding, then certain cash amounts (referred to as “</w:t>
      </w:r>
      <w:r>
        <w:rPr>
          <w:rFonts w:ascii="Times New Roman" w:cs="Times New Roman" w:eastAsia="Times New Roman" w:hAnsi="Times New Roman"/>
          <w:sz w:val="18"/>
          <w:szCs w:val="18"/>
          <w:u w:val="single" w:color="auto"/>
          <w:color w:val="auto"/>
        </w:rPr>
        <w:t>DEUs</w:t>
      </w:r>
      <w:r>
        <w:rPr>
          <w:rFonts w:ascii="Times New Roman" w:cs="Times New Roman" w:eastAsia="Times New Roman" w:hAnsi="Times New Roman"/>
          <w:sz w:val="18"/>
          <w:szCs w:val="18"/>
          <w:color w:val="auto"/>
        </w:rPr>
        <w:t>”) will be credited under this Award Agreement in accordance with this Section 9, but only if Participant remains a Service Provider through the applicable record date for that cash dividend. Subject to the provisions of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187" w:lineRule="exact"/>
        <w:rPr>
          <w:sz w:val="20"/>
          <w:szCs w:val="20"/>
          <w:color w:val="auto"/>
        </w:rPr>
      </w:pPr>
    </w:p>
    <w:p>
      <w:pPr>
        <w:ind w:left="980" w:hanging="324"/>
        <w:spacing w:after="0"/>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is the aggregate cash amount of the DEUs to be credited with respect to that cash dividend.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 the amount of the cash dividend paid by the Company to stockholders with respect to one Share. In other words, this amount is the cash amount of each DEU to be credited with respect to a particular cash dividend.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is the number of Restricted Stock Units remaining subject to this Award Agreement as of the cash dividend record date but immediately prior to the application of this Section 9 for that cash dividend.</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Vesting of DEUs</w:t>
      </w:r>
      <w:r>
        <w:rPr>
          <w:rFonts w:ascii="Times New Roman" w:cs="Times New Roman" w:eastAsia="Times New Roman" w:hAnsi="Times New Roman"/>
          <w:sz w:val="18"/>
          <w:szCs w:val="18"/>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a Service Provider through the vesting date and the portion of the Award to which the DEUs are attributable actually vests.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Settlement and General</w:t>
      </w:r>
      <w:r>
        <w:rPr>
          <w:rFonts w:ascii="Times New Roman" w:cs="Times New Roman" w:eastAsia="Times New Roman" w:hAnsi="Times New Roman"/>
          <w:sz w:val="18"/>
          <w:szCs w:val="18"/>
          <w:color w:val="auto"/>
        </w:rPr>
        <w:t>. DEUs credited under this Section 9 will be subject to the same terms and conditions as the other Shares underlying the Restricted Stock Units on which the DEUs were paid, including (but not limited to) being settled at the same time as the settlement of the Restricted Stock Units on which the DEUs were paid (but DEUs will be paid in cash and be subject to the other provisions of this Section 9 and the Award Agreement). DEUs will not accrue interest and will not be credited with any investment returns related to Shares or otherwise.</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Timing.</w:t>
      </w:r>
      <w:r>
        <w:rPr>
          <w:rFonts w:ascii="Times New Roman" w:cs="Times New Roman" w:eastAsia="Times New Roman" w:hAnsi="Times New Roman"/>
          <w:sz w:val="18"/>
          <w:szCs w:val="18"/>
          <w:color w:val="auto"/>
        </w:rPr>
        <w:t xml:space="preserve">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Administrator,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specifically provided in this Section 9(c), no other additional Restricted Stock Units, DEUs or cash will be credited with respect to any Restricted Stock Units that previously vested and were settled.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0" w:name="page121"/>
    <w:bookmarkEnd w:id="12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REMAINING A MEMBER OF THE BOARD,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Grant is Not Transferable</w:t>
      </w:r>
      <w:r>
        <w:rPr>
          <w:rFonts w:ascii="Times New Roman" w:cs="Times New Roman" w:eastAsia="Times New Roman" w:hAnsi="Times New Roman"/>
          <w:sz w:val="18"/>
          <w:szCs w:val="18"/>
          <w:color w:val="auto"/>
        </w:rPr>
        <w:t>. Except to the limited extent provided in Section 7 and this Section 12 or as otherwise determined by the Administrator, this grant and the rights and privileges conferred hereby cannot be transferred, assigned, pledged, hypothecated or otherwise encumbered or disposed of in any way (whether by operation of law or otherwise) and will not be subject to sale under execution, attachment or similar process. Upon any attempt to transfer, assign, pledge, hypothecate or otherwise encumber or dispose of this grant, or any right or privilege conferred hereby, or upon any attempted sale under any execution, attachment or similar process, except to the limited extent provided in Section 7 and this Section 12 or as otherwise determined by the Administrator, this grant and the rights and privileges conferred hereby immediately will become null and void. Unless and until otherwise determined by the Administrator, a transfer pursuant to a qualified domestic relations order (“</w:t>
      </w:r>
      <w:r>
        <w:rPr>
          <w:rFonts w:ascii="Times New Roman" w:cs="Times New Roman" w:eastAsia="Times New Roman" w:hAnsi="Times New Roman"/>
          <w:sz w:val="18"/>
          <w:szCs w:val="18"/>
          <w:u w:val="single" w:color="auto"/>
          <w:color w:val="auto"/>
        </w:rPr>
        <w:t>QDRO</w:t>
      </w:r>
      <w:r>
        <w:rPr>
          <w:rFonts w:ascii="Times New Roman" w:cs="Times New Roman" w:eastAsia="Times New Roman" w:hAnsi="Times New Roman"/>
          <w:sz w:val="18"/>
          <w:szCs w:val="18"/>
          <w:color w:val="auto"/>
        </w:rPr>
        <w:t>”) will be permitted so long as such transfer complies with the QDRO procedures then in effect, as specified by the Administrator or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1" w:name="page122"/>
    <w:bookmarkEnd w:id="121"/>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Nature of Grant</w:t>
      </w:r>
      <w:r>
        <w:rPr>
          <w:rFonts w:ascii="Times New Roman" w:cs="Times New Roman" w:eastAsia="Times New Roman" w:hAnsi="Times New Roman"/>
          <w:sz w:val="18"/>
          <w:szCs w:val="18"/>
          <w:color w:val="auto"/>
        </w:rPr>
        <w:t>. In accepting this Award of Restricted Stock Units, Participant acknowledges, understands and agrees that: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grant of the Restricted Stock Units is voluntary and occasional and does not create any contractual or other right to receive future grants of equity awards, or benefits in lieu of equity awards, even if equity awards have been granted in the past;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all decisions with respect to future equity award grants, if any, will be at the sole discretion of the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Participant is voluntarily participating in the Plan;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Restricted Stock Units and the Shares subject to the Restricted Stock Units, and the income from and value of same, are not intended to replace any pension rights or compensation;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the Restricted Stock Units and the Shares subject to the Restricted Stock Units, and the income from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future value of the Shares underlying the Restricted Stock Units is unknown, indeterminable, and cannot be predicted;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2" w:name="page123"/>
    <w:bookmarkEnd w:id="122"/>
    <w:p>
      <w:pPr>
        <w:ind w:left="1300"/>
        <w:spacing w:after="0"/>
        <w:rPr>
          <w:sz w:val="20"/>
          <w:szCs w:val="20"/>
          <w:color w:val="auto"/>
        </w:rPr>
      </w:pPr>
      <w:r>
        <w:rPr>
          <w:rFonts w:ascii="Times New Roman" w:cs="Times New Roman" w:eastAsia="Times New Roman" w:hAnsi="Times New Roman"/>
          <w:sz w:val="18"/>
          <w:szCs w:val="18"/>
          <w:color w:val="auto"/>
        </w:rPr>
        <w:t>(j)            the following provisions apply only if Participant is providing services outside the United States:</w:t>
      </w:r>
    </w:p>
    <w:p>
      <w:pPr>
        <w:spacing w:after="0" w:line="225" w:lineRule="exact"/>
        <w:rPr>
          <w:sz w:val="20"/>
          <w:szCs w:val="20"/>
          <w:color w:val="auto"/>
        </w:rPr>
      </w:pPr>
    </w:p>
    <w:p>
      <w:pPr>
        <w:jc w:val="both"/>
        <w:ind w:firstLine="1944"/>
        <w:spacing w:after="0" w:line="282" w:lineRule="auto"/>
        <w:rPr>
          <w:sz w:val="20"/>
          <w:szCs w:val="20"/>
          <w:color w:val="auto"/>
        </w:rPr>
      </w:pPr>
      <w:r>
        <w:rPr>
          <w:rFonts w:ascii="Times New Roman" w:cs="Times New Roman" w:eastAsia="Times New Roman" w:hAnsi="Times New Roman"/>
          <w:sz w:val="18"/>
          <w:szCs w:val="18"/>
          <w:color w:val="auto"/>
        </w:rPr>
        <w:t>(i)              the Restricted Stock Units and the Shares subject to the Restricted Stock Units are not part of normal or expected compensation or salary for any purpose;</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(iii)            no claim or entitlement to compensation or damages shall arise from the forfeiture of the Restricted Stock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 or (ii) the application of any recoupment policy or any recovery or clawback policy otherwise required by law,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17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3" w:name="page124"/>
    <w:bookmarkEnd w:id="123"/>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4" w:name="page125"/>
    <w:bookmarkEnd w:id="12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Language</w:t>
      </w:r>
      <w:r>
        <w:rPr>
          <w:rFonts w:ascii="Times New Roman" w:cs="Times New Roman" w:eastAsia="Times New Roman" w:hAnsi="Times New Roman"/>
          <w:sz w:val="18"/>
          <w:szCs w:val="18"/>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Amendment, Suspension or Termination of the Plan</w:t>
      </w:r>
      <w:r>
        <w:rPr>
          <w:rFonts w:ascii="Times New Roman" w:cs="Times New Roman" w:eastAsia="Times New Roman" w:hAnsi="Times New Roman"/>
          <w:sz w:val="18"/>
          <w:szCs w:val="18"/>
          <w:color w:val="auto"/>
        </w:rPr>
        <w:t>. By accepting this Award, Participant expressly warrants that Participant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5" w:name="page126"/>
    <w:bookmarkEnd w:id="125"/>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Administrator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Forfeiture Under Policy or Law</w:t>
      </w:r>
      <w:r>
        <w:rPr>
          <w:rFonts w:ascii="Times New Roman" w:cs="Times New Roman" w:eastAsia="Times New Roman" w:hAnsi="Times New Roman"/>
          <w:sz w:val="18"/>
          <w:szCs w:val="18"/>
          <w:color w:val="auto"/>
        </w:rPr>
        <w:t>. Participant’s rights with respect to this Award Agreement and the Award of Restricted Stock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Restricted Stock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Administrator,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Restricted Stock Units to re-convey, transfer or otherwise return the Shares and/or other amounts to the Company upon the Company’s enforcement of any Clawback Policy or recovery policy.</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Governing Law; Venue; Severability</w:t>
      </w:r>
      <w:r>
        <w:rPr>
          <w:rFonts w:ascii="Times New Roman" w:cs="Times New Roman" w:eastAsia="Times New Roman" w:hAnsi="Times New Roman"/>
          <w:sz w:val="18"/>
          <w:szCs w:val="18"/>
          <w:color w:val="auto"/>
        </w:rPr>
        <w:t>. This Award Agreement and the Restricted Stock Units are governed by the internal substantive laws, but not the choice of law rules, of the State of Delaware, USA. For purposes of litigating any dispute that arises under these Restricted Stock Units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6" w:name="page127"/>
    <w:bookmarkEnd w:id="12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Country Addendum</w:t>
      </w:r>
      <w:r>
        <w:rPr>
          <w:rFonts w:ascii="Times New Roman" w:cs="Times New Roman" w:eastAsia="Times New Roman" w:hAnsi="Times New Roman"/>
          <w:sz w:val="18"/>
          <w:szCs w:val="18"/>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Restricted Stock Unit Award (as determined by the Administrator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27" w:name="page128"/>
    <w:bookmarkEnd w:id="1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Country Addendum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color w:val="auto"/>
        </w:rPr>
        <w:t>Form of RSU Agreement (2025 EIP)</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RESTRICTED STOCK UNIT GRANT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Micron Technology, Inc. 2025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will have the same defined meanings in this Restricted Stock Unit Agreement which includes the Notice of Restricted Stock Unit Grant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xml:space="preserve">”), the Terms and Conditions of Restricted Stock Unit Grant,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and all other exhibits, appendices, and addenda attached hereto (collectively, the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Participant Name:</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Address: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the right to receive a Restricted Stock Unit Award, subject to the terms and conditions of the Plan and this Award Agreement, as follows:</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Grant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1">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Date of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3">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Total Number of Shares Subject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8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2576830</wp:posOffset>
            </wp:positionH>
            <wp:positionV relativeFrom="paragraph">
              <wp:posOffset>17145</wp:posOffset>
            </wp:positionV>
            <wp:extent cx="24942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any acceleration provisions contained in the Plan or set forth below, the Restricted Stock Units will be scheduled to vest in accordance with the following schedule: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Insert Vesting Schedule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If Participant’s status as a Service Provider ends for any reason before Participant vests in all or some of the Restricted Stock Units, the unvested Restricted Stock Units and Participant’s right to acquire any Shares hereunder will terminate and never will vest, unless specifically provided otherwise in this Award Agreement or in another written agreement between Participant and Micron Technology,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or any of its Subsidiaries or Parents, as applicable (provided that any such other written agreement must have been duly authorized and signed by an officer of the Company or any of its Subsidiaries or Parents).</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By Participant electronically accepting this Award Agreement or manually signing this Award Agreement (in either case, as and in the manner specified by the Company), Participant and the Company agree that (1) this Restricted Stock Unit Award is granted under and governed by the terms and conditions of the Plan and this Award Agreement, (2) Participant acknowledges that Participant has received a copy of the Plan and the prospectus for the Plan (and/or that Participant has electronic access to a copy of the Plan and prospectus), (3) Participant acknowledges that Participant has reviewed the Plan, the related prospectus, and this Award Agreement in their entirety, has had an opportunity to obtain the advice of counsel prior to signing or accepting this Award Agreement, and fully understands all provisions of the Plan and this Award Agreement, and (4) Participant agrees to accept as binding, conclusive, and final all decisions or interpretations of the Administrator upon any questions relating to the Plan and this Award Agreement. Participant further agrees to notify the Company upon any change in the residence address indicated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Printed Name][Note: delete for electronic acceptance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right"/>
        <w:ind w:right="435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RESTRICTED STOCK UNIT GRANT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           </w:t>
      </w:r>
      <w:r>
        <w:rPr>
          <w:rFonts w:ascii="Times New Roman" w:cs="Times New Roman" w:eastAsia="Times New Roman" w:hAnsi="Times New Roman"/>
          <w:sz w:val="18"/>
          <w:szCs w:val="18"/>
          <w:u w:val="single" w:color="auto"/>
          <w:color w:val="auto"/>
        </w:rPr>
        <w:t>  Grant of Restricted Stock Units</w:t>
      </w:r>
      <w:r>
        <w:rPr>
          <w:rFonts w:ascii="Times New Roman" w:cs="Times New Roman" w:eastAsia="Times New Roman" w:hAnsi="Times New Roman"/>
          <w:sz w:val="18"/>
          <w:szCs w:val="18"/>
          <w:color w:val="auto"/>
        </w:rPr>
        <w:t>. The Company hereby grants to the individual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named in the Notice of Restricted Stock Unit Grant of this Award Agreement (the “</w:t>
      </w:r>
      <w:r>
        <w:rPr>
          <w:rFonts w:ascii="Times New Roman" w:cs="Times New Roman" w:eastAsia="Times New Roman" w:hAnsi="Times New Roman"/>
          <w:sz w:val="18"/>
          <w:szCs w:val="18"/>
          <w:u w:val="single" w:color="auto"/>
          <w:color w:val="auto"/>
        </w:rPr>
        <w:t>Notice of Grant</w:t>
      </w:r>
      <w:r>
        <w:rPr>
          <w:rFonts w:ascii="Times New Roman" w:cs="Times New Roman" w:eastAsia="Times New Roman" w:hAnsi="Times New Roman"/>
          <w:sz w:val="18"/>
          <w:szCs w:val="18"/>
          <w:color w:val="auto"/>
        </w:rPr>
        <w:t>”) a Restricted Stock Unit Award under the Plan, subject to the terms and conditions of this Award Agreement and the Plan, which is incorporated herein by reference. Subject to Section 16.2 of the Plan, in the event of a conflict between the terms and conditions of the Plan and this Award Agreement, the terms and conditions of the Plan shall prevail.</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           </w:t>
      </w:r>
      <w:r>
        <w:rPr>
          <w:rFonts w:ascii="Times New Roman" w:cs="Times New Roman" w:eastAsia="Times New Roman" w:hAnsi="Times New Roman"/>
          <w:sz w:val="18"/>
          <w:szCs w:val="18"/>
          <w:u w:val="single" w:color="auto"/>
          <w:color w:val="auto"/>
        </w:rPr>
        <w:t>  Company’s Obligation to Pay</w:t>
      </w:r>
      <w:r>
        <w:rPr>
          <w:rFonts w:ascii="Times New Roman" w:cs="Times New Roman" w:eastAsia="Times New Roman" w:hAnsi="Times New Roman"/>
          <w:sz w:val="18"/>
          <w:szCs w:val="18"/>
          <w:color w:val="auto"/>
        </w:rPr>
        <w:t>. Each Restricted Stock Unit represents the right to receive a Share on the date it vests. Unless and until the Restricted Stock Units will have vested in the manner set forth in Section 3 or 4, Participant will have no right to payment of any such Restricted Stock Units. Prior to actual payment of any vested Restricted Stock Units, such Restricted Stock Unit will represent an unsecured obligation of the Company, payable (if at all) only from the general assets of the Company.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           </w:t>
      </w:r>
      <w:r>
        <w:rPr>
          <w:rFonts w:ascii="Times New Roman" w:cs="Times New Roman" w:eastAsia="Times New Roman" w:hAnsi="Times New Roman"/>
          <w:sz w:val="18"/>
          <w:szCs w:val="18"/>
          <w:u w:val="single" w:color="auto"/>
          <w:color w:val="auto"/>
        </w:rPr>
        <w:t>  Vesting Schedule</w:t>
      </w:r>
      <w:r>
        <w:rPr>
          <w:rFonts w:ascii="Times New Roman" w:cs="Times New Roman" w:eastAsia="Times New Roman" w:hAnsi="Times New Roman"/>
          <w:sz w:val="18"/>
          <w:szCs w:val="18"/>
          <w:color w:val="auto"/>
        </w:rPr>
        <w:t>. Except as provided in Section 4, and subject to Section 5, the Restricted Stock Units awarded by this Award Agreement will vest in accordance with the vesting provisions set forth in the Notice of Grant, subject to Participant remaining a Service Provider through each applicable vesting date.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           </w:t>
      </w:r>
      <w:r>
        <w:rPr>
          <w:rFonts w:ascii="Times New Roman" w:cs="Times New Roman" w:eastAsia="Times New Roman" w:hAnsi="Times New Roman"/>
          <w:sz w:val="18"/>
          <w:szCs w:val="18"/>
          <w:u w:val="single" w:color="auto"/>
          <w:color w:val="auto"/>
        </w:rPr>
        <w:t>  Payment after Vesting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 Rule</w:t>
      </w:r>
      <w:r>
        <w:rPr>
          <w:rFonts w:ascii="Times New Roman" w:cs="Times New Roman" w:eastAsia="Times New Roman" w:hAnsi="Times New Roman"/>
          <w:sz w:val="18"/>
          <w:szCs w:val="18"/>
          <w:color w:val="auto"/>
        </w:rPr>
        <w:t>. Subject to Section 8, any Restricted Stock Units that vest will be paid to Participant (or in the event of Participant’s death, to his or her properly designated beneficiary or estate) in Shares. Subject to this Section 4 and Section 9, such vested Restricted Stock Units shall be paid in Shares as soon as administratively practicable after vesting, but in each such case within thirty (30) days following the vesting date (such payment date being the “Settlement Date”). In no event will Participant be permitted, directly or indirectly, to specify the taxable year of payment of any Restricted Stock Units payable under this Award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Acceleration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Death or Disability</w:t>
      </w:r>
      <w:r>
        <w:rPr>
          <w:rFonts w:ascii="Times New Roman" w:cs="Times New Roman" w:eastAsia="Times New Roman" w:hAnsi="Times New Roman"/>
          <w:sz w:val="18"/>
          <w:szCs w:val="18"/>
          <w:color w:val="auto"/>
        </w:rPr>
        <w:t>. If Participant ceases to be a Service Provider on account of Participant’s death or Participant becoming Disabled, any Restricted Stock Units that both were unexpired and unvested as of the date Participant ceases to be a Service Provider, will vest on such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1" w:name="page132"/>
    <w:bookmarkEnd w:id="131"/>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Change in Control.</w:t>
      </w:r>
      <w:r>
        <w:rPr>
          <w:rFonts w:ascii="Times New Roman" w:cs="Times New Roman" w:eastAsia="Times New Roman" w:hAnsi="Times New Roman"/>
          <w:sz w:val="18"/>
          <w:szCs w:val="18"/>
          <w:color w:val="auto"/>
        </w:rPr>
        <w:t xml:space="preserve"> If a Change in Control occurs before Participant ceases to be a Service Provider, any Restricted Stock Units that both were unexpired and unvested as of immediately preceding the Change in Control, will vest upon the consummation of the Change in Control unless, as determined by the Administrator (as constituted immediately prior to the Change in Control), such Restricted Stock Units have been assumed by the Surviving Corporation, if any, or otherwise equitably converted or substituted in the Change in Control. For the purposes of this Award Agreement, the Restricted Stock Units will be considered assumed if, following the Change in Control, this Award Agreement confers the right to receive, for each Share subject to the Award Agreement immediately prior to the Change in Control, the consideration (whether shares,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shares (or other applicable equity interests) of the Surviving Corporation or its parent, the Administrator may, with the consent of the Surviving Corporation, provide for the consideration to be received upon the payout of each Restricted Stock Unit to be solely shares (or other applicable equity interests) of the Surviving Corporation or its parent equal in fair market value at the time of the Change in Control to the per Share consideration received by holders of Shares in the Change in Control.</w:t>
      </w:r>
    </w:p>
    <w:p>
      <w:pPr>
        <w:spacing w:after="0" w:line="190" w:lineRule="exact"/>
        <w:rPr>
          <w:sz w:val="20"/>
          <w:szCs w:val="20"/>
          <w:color w:val="auto"/>
        </w:rPr>
      </w:pPr>
    </w:p>
    <w:p>
      <w:pPr>
        <w:jc w:val="both"/>
        <w:ind w:firstLine="1944"/>
        <w:spacing w:after="0" w:line="255"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Termination following a Change in Control.</w:t>
      </w:r>
      <w:r>
        <w:rPr>
          <w:rFonts w:ascii="Times New Roman" w:cs="Times New Roman" w:eastAsia="Times New Roman" w:hAnsi="Times New Roman"/>
          <w:sz w:val="18"/>
          <w:szCs w:val="18"/>
          <w:color w:val="auto"/>
        </w:rPr>
        <w:t xml:space="preserve"> If (A) a Change in Control occurs before Participant ceases to be a Service Provider, (B) as determined by the Administrator (as constituted immediately prior to the Change in Control), any Restricted Stock Units that, both were unexpired and unvested as of the date of the Change in Control, were assumed by the Surviving Corporation or otherwise equitably converted or substituted in the Change in Control, and (C) Participant’s service as a Service Provider with the Company (or any Surviving Corporation, as applicable) and all Affiliates is terminated by the Company (or any such Surviving Corporation or Affiliate, as applicable) without Cause within one (1) year after the effective date of the Change in Control, then any Restricted Stock Units that both were unexpired and unvested as of immediately preceding the termination of employment, will vest upon the termination of employment.</w:t>
      </w:r>
    </w:p>
    <w:p>
      <w:pPr>
        <w:spacing w:after="0" w:line="189" w:lineRule="exact"/>
        <w:rPr>
          <w:sz w:val="20"/>
          <w:szCs w:val="20"/>
          <w:color w:val="auto"/>
        </w:rPr>
      </w:pPr>
    </w:p>
    <w:p>
      <w:pPr>
        <w:jc w:val="both"/>
        <w:ind w:firstLine="1944"/>
        <w:spacing w:after="0" w:line="258"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Discretionary Acceleration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Restricted Stock Units at any time, subject to the terms of the Plan. If so accelerated, such Restricted Stock Units will be considered as having vested as of the date specified by the Administrator. If Participant is a U.S. taxpayer, the payment of Shares vesting pursuant to this Section 4(b) shall in all cases be paid at a time or in a manner that is exempt from, or complies with, Code Section 409A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The prior sentence may be superseded in a future agreement or amendment to this Award Agreement only by direct and specific reference to such sentence.</w:t>
      </w:r>
    </w:p>
    <w:p>
      <w:pPr>
        <w:spacing w:after="0" w:line="183" w:lineRule="exact"/>
        <w:rPr>
          <w:sz w:val="20"/>
          <w:szCs w:val="20"/>
          <w:color w:val="auto"/>
        </w:rPr>
      </w:pPr>
    </w:p>
    <w:p>
      <w:pPr>
        <w:jc w:val="both"/>
        <w:ind w:firstLine="1944"/>
        <w:spacing w:after="0" w:line="253" w:lineRule="auto"/>
        <w:rPr>
          <w:sz w:val="20"/>
          <w:szCs w:val="20"/>
          <w:color w:val="auto"/>
        </w:rPr>
      </w:pPr>
      <w:r>
        <w:rPr>
          <w:rFonts w:ascii="Times New Roman" w:cs="Times New Roman" w:eastAsia="Times New Roman" w:hAnsi="Times New Roman"/>
          <w:sz w:val="18"/>
          <w:szCs w:val="18"/>
          <w:color w:val="auto"/>
        </w:rPr>
        <w:t>(v)             Notwithstanding anything in the Plan or this Award Agreement or any other agreement (whether entered into before, on, or after the Date of Grant), if the vesting of the balance, or some lesser portion of the balance, of the Restricted Stock Units is accelerated in connection with the cessation of Participant’s status as a Service Provider (provided that such termination is a “separation from service” within the meaning of Section 409A, as determined by the Administrator), other than due to Participant’s death, and if (x) Participant is a U.S. taxpayer and a “specified employee” within the meaning of Section 409A at the time of such termination as a Service Provider and (y) the payment of such accelerated Restricted Stock Units will result in the imposition of additional tax under Section 409A if paid to Participant on or within the six (6) month period following the cessation of Participant’s status as a Service Provider, then the payment of such accelerated Restricted Stock Units will not be made until the date six</w:t>
      </w:r>
    </w:p>
    <w:p>
      <w:pPr>
        <w:spacing w:after="0" w:line="3" w:lineRule="exact"/>
        <w:rPr>
          <w:sz w:val="20"/>
          <w:szCs w:val="20"/>
          <w:color w:val="auto"/>
        </w:rPr>
      </w:pPr>
    </w:p>
    <w:p>
      <w:pPr>
        <w:jc w:val="both"/>
        <w:ind w:firstLine="8"/>
        <w:spacing w:after="0" w:line="255" w:lineRule="auto"/>
        <w:tabs>
          <w:tab w:leader="none" w:pos="28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and one (1) day following the date of cessation of Participant’s status as a Service Provider, unless Participant dies following his or her termination as a Service Provider, in which case, the Restricted Stock Units will be paid in Shares to Participant’s estate as soon as practicable following his or her death.</w:t>
      </w:r>
    </w:p>
    <w:p>
      <w:pPr>
        <w:spacing w:after="0" w:line="200" w:lineRule="exact"/>
        <w:rPr>
          <w:rFonts w:ascii="Times New Roman" w:cs="Times New Roman" w:eastAsia="Times New Roman" w:hAnsi="Times New Roman"/>
          <w:sz w:val="18"/>
          <w:szCs w:val="18"/>
          <w:color w:val="auto"/>
        </w:rPr>
      </w:pPr>
    </w:p>
    <w:p>
      <w:pPr>
        <w:spacing w:after="0" w:line="201" w:lineRule="exact"/>
        <w:rPr>
          <w:rFonts w:ascii="Times New Roman" w:cs="Times New Roman" w:eastAsia="Times New Roman" w:hAnsi="Times New Roman"/>
          <w:sz w:val="18"/>
          <w:szCs w:val="18"/>
          <w:color w:val="auto"/>
        </w:rPr>
      </w:pPr>
    </w:p>
    <w:p>
      <w:pPr>
        <w:ind w:left="5580" w:hanging="106"/>
        <w:spacing w:after="0"/>
        <w:tabs>
          <w:tab w:leader="none" w:pos="55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2" w:name="page133"/>
    <w:bookmarkEnd w:id="13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Section 409A</w:t>
      </w:r>
      <w:r>
        <w:rPr>
          <w:rFonts w:ascii="Times New Roman" w:cs="Times New Roman" w:eastAsia="Times New Roman" w:hAnsi="Times New Roman"/>
          <w:sz w:val="18"/>
          <w:szCs w:val="18"/>
          <w:color w:val="auto"/>
        </w:rPr>
        <w:t>. It is the intent of this Award Agreement that it and all payments and benefits to U.S. taxpayers hereunder be exempt from, or comply with, the requirements of Section 409A so that none of the Restricted Stock Units provided under this Award Agreement or Shares issuable thereunder will be subject to the additional tax imposed under Section 409A, and any ambiguities herein will be interpreted to be so exempt or so comply. Each payment payable under this Award Agreement is intended to constitute a separate payment for purposes of Treasury Regulation Section 1.409A-2(b)(2). However, in no event will the Company or any of its Parent or Subsidiaries have any liability or obligation to reimburse, indemnify, or hold harmless Participant for any taxes, penalties, and interest that may be imposed, or other costs that may be incurred, as a result of Section 409A.</w:t>
      </w:r>
    </w:p>
    <w:p>
      <w:pPr>
        <w:spacing w:after="0" w:line="200" w:lineRule="exact"/>
        <w:rPr>
          <w:sz w:val="20"/>
          <w:szCs w:val="20"/>
          <w:color w:val="auto"/>
        </w:rPr>
      </w:pPr>
    </w:p>
    <w:p>
      <w:pPr>
        <w:spacing w:after="0" w:line="20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           </w:t>
      </w:r>
      <w:r>
        <w:rPr>
          <w:rFonts w:ascii="Times New Roman" w:cs="Times New Roman" w:eastAsia="Times New Roman" w:hAnsi="Times New Roman"/>
          <w:sz w:val="18"/>
          <w:szCs w:val="18"/>
          <w:u w:val="single" w:color="auto"/>
          <w:color w:val="auto"/>
        </w:rPr>
        <w:t>  Forfeiture Upon Termination as a Service Provider</w:t>
      </w:r>
      <w:r>
        <w:rPr>
          <w:rFonts w:ascii="Times New Roman" w:cs="Times New Roman" w:eastAsia="Times New Roman" w:hAnsi="Times New Roman"/>
          <w:sz w:val="18"/>
          <w:szCs w:val="18"/>
          <w:color w:val="auto"/>
        </w:rPr>
        <w:t>. Unless specifically provided otherwise in this Award Agreement or in another written agreement between Participant and the Company or any of its Subsidiaries or Parents (provided that any such other written agreement must have been duly authorized and signed by an officer of the Company or any of its Subsidiaries or Parents), as applicable, if Participant ceases to be a Service Provider for any or no reason, the then-unvested Restricted Stock Units awarded by this Award Agreement will be forfeited at no cost to the Company and Participant will have no further rights thereunder. The date of forfeiture will be the date on which Participant ceases to be a Service Provider.</w:t>
      </w:r>
    </w:p>
    <w:p>
      <w:pPr>
        <w:spacing w:after="0" w:line="183"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6.           </w:t>
      </w:r>
      <w:r>
        <w:rPr>
          <w:rFonts w:ascii="Times New Roman" w:cs="Times New Roman" w:eastAsia="Times New Roman" w:hAnsi="Times New Roman"/>
          <w:sz w:val="17"/>
          <w:szCs w:val="17"/>
          <w:u w:val="single" w:color="auto"/>
          <w:color w:val="auto"/>
        </w:rPr>
        <w:t>  Tax Consequences</w:t>
      </w:r>
      <w:r>
        <w:rPr>
          <w:rFonts w:ascii="Times New Roman" w:cs="Times New Roman" w:eastAsia="Times New Roman" w:hAnsi="Times New Roman"/>
          <w:sz w:val="17"/>
          <w:szCs w:val="17"/>
          <w:color w:val="auto"/>
        </w:rPr>
        <w:t>. Participant has reviewed with Participant’s own tax advisors the U.S. federal, state, local, and non-U.S. tax consequences of this Award Agreement and any potential related transactions. Participant agrees that Participant is relying solely on such advisors with respect to such matters and not on any statements or representations of the Company or any of its agents, written or oral. Participant understands that Participant (and not the Company) shall be solely responsible for Participant’s own tax liability that may arise as a result of this Award Agreement and related transactions.</w:t>
      </w:r>
    </w:p>
    <w:p>
      <w:pPr>
        <w:spacing w:after="0" w:line="16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7.           </w:t>
      </w:r>
      <w:r>
        <w:rPr>
          <w:rFonts w:ascii="Times New Roman" w:cs="Times New Roman" w:eastAsia="Times New Roman" w:hAnsi="Times New Roman"/>
          <w:sz w:val="18"/>
          <w:szCs w:val="18"/>
          <w:u w:val="single" w:color="auto"/>
          <w:color w:val="auto"/>
        </w:rPr>
        <w:t>  Death of Participant</w:t>
      </w:r>
      <w:r>
        <w:rPr>
          <w:rFonts w:ascii="Times New Roman" w:cs="Times New Roman" w:eastAsia="Times New Roman" w:hAnsi="Times New Roman"/>
          <w:sz w:val="18"/>
          <w:szCs w:val="18"/>
          <w:color w:val="auto"/>
        </w:rPr>
        <w:t>. Any distribution or delivery to be made to Participant under this Award Agreement will, if Participant is then deceased, be made to Participant’s designated beneficiary under such procedures as the Administrator may specify from time to time or, if the Administrator does not permit beneficiary designations or no beneficiary survives Participant, to the administrator or executor of Participant’s estate. Any such transferee must furnish the Company with (a) written notice of his or her status as transferee, and (b) evidence satisfactory to the Company to establish the validity of the transfer and compliance with any laws or regulations pertaining to said transfer.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3" w:name="page134"/>
    <w:bookmarkEnd w:id="133"/>
    <w:p>
      <w:pPr>
        <w:ind w:left="660"/>
        <w:spacing w:after="0"/>
        <w:rPr>
          <w:sz w:val="20"/>
          <w:szCs w:val="20"/>
          <w:color w:val="auto"/>
        </w:rPr>
      </w:pPr>
      <w:r>
        <w:rPr>
          <w:rFonts w:ascii="Times New Roman" w:cs="Times New Roman" w:eastAsia="Times New Roman" w:hAnsi="Times New Roman"/>
          <w:sz w:val="18"/>
          <w:szCs w:val="18"/>
          <w:color w:val="auto"/>
        </w:rPr>
        <w:t>8.           </w:t>
      </w:r>
      <w:r>
        <w:rPr>
          <w:rFonts w:ascii="Times New Roman" w:cs="Times New Roman" w:eastAsia="Times New Roman" w:hAnsi="Times New Roman"/>
          <w:sz w:val="18"/>
          <w:szCs w:val="18"/>
          <w:u w:val="single" w:color="auto"/>
          <w:color w:val="auto"/>
        </w:rPr>
        <w:t>  Tax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Responsibility for Taxes</w:t>
      </w:r>
      <w:r>
        <w:rPr>
          <w:rFonts w:ascii="Times New Roman" w:cs="Times New Roman" w:eastAsia="Times New Roman" w:hAnsi="Times New Roman"/>
          <w:sz w:val="18"/>
          <w:szCs w:val="18"/>
          <w:color w:val="auto"/>
        </w:rPr>
        <w:t>. Participant acknowledges that, regardless of any action taken by the Company or, if different, Participant’s employer (the “</w:t>
      </w:r>
      <w:r>
        <w:rPr>
          <w:rFonts w:ascii="Times New Roman" w:cs="Times New Roman" w:eastAsia="Times New Roman" w:hAnsi="Times New Roman"/>
          <w:sz w:val="18"/>
          <w:szCs w:val="18"/>
          <w:u w:val="single" w:color="auto"/>
          <w:color w:val="auto"/>
        </w:rPr>
        <w:t>Employer</w:t>
      </w:r>
      <w:r>
        <w:rPr>
          <w:rFonts w:ascii="Times New Roman" w:cs="Times New Roman" w:eastAsia="Times New Roman" w:hAnsi="Times New Roman"/>
          <w:sz w:val="18"/>
          <w:szCs w:val="18"/>
          <w:color w:val="auto"/>
        </w:rPr>
        <w:t>”) or any Parent or Subsidiary to which Participant is providing services (together, the “</w:t>
      </w:r>
      <w:r>
        <w:rPr>
          <w:rFonts w:ascii="Times New Roman" w:cs="Times New Roman" w:eastAsia="Times New Roman" w:hAnsi="Times New Roman"/>
          <w:sz w:val="18"/>
          <w:szCs w:val="18"/>
          <w:u w:val="single" w:color="auto"/>
          <w:color w:val="auto"/>
        </w:rPr>
        <w:t>Service Recipients</w:t>
      </w:r>
      <w:r>
        <w:rPr>
          <w:rFonts w:ascii="Times New Roman" w:cs="Times New Roman" w:eastAsia="Times New Roman" w:hAnsi="Times New Roman"/>
          <w:sz w:val="18"/>
          <w:szCs w:val="18"/>
          <w:color w:val="auto"/>
        </w:rPr>
        <w:t>”), the ultimate liability for any tax and/or social insurance liability obligations and requirements in connection with the Restricted Stock Units, including, without limitation, (i) all federal (including Participant’s Federal Insurance Contributions Act (FICA) obligations), state, local and non-U.S. taxes that are required to be withheld by any Service Recipient or other payment of tax-related items related to Participant’s participation in the Plan and legally applicable to Participant, (ii) Participant’s and, to the extent required by any Service Recipient, the Service Recipient’s fringe benefit tax liability, if any, associated with the grant, vesting, or settlement of the Restricted Stock Units or sale of Shares, and (iii) any other Service Recipient taxes the responsibility for which Participant has, or has agreed to bear, with respect to the Restricted Stock Units (or settlement thereof or issuance of Shares thereunder) (collectively, the “</w:t>
      </w: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 is and remains Participant’s sole responsibility and may exceed the amount actually withheld by the applicable Service Recipient(s). Participant further acknowledges that no Service Recipient (A) makes any representations or undertakings regarding the treatment of any Tax Obligations in connection with any aspect of the Restricted Stock Units, including, but not limited to, the grant, vesting or settlement of the Restricted Stock Units, the subsequent sale of Shares acquired pursuant to such settlement and the receipt of any dividends or other distributions, and (B) makes any commitment to and is under any obligation to structure the terms of the grant or any aspect of the Restricted Stock Units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applicable Service Recipient(s)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(as determined by the Company), Participant acknowledges and agrees that the Shares that otherwise would be delivered to Participant will be permanently forfeited at no cost to the Company.</w:t>
      </w:r>
    </w:p>
    <w:p>
      <w:pPr>
        <w:spacing w:after="0" w:line="191"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Tax Withholding and Default Method of Tax Withholding</w:t>
      </w:r>
      <w:r>
        <w:rPr>
          <w:rFonts w:ascii="Times New Roman" w:cs="Times New Roman" w:eastAsia="Times New Roman" w:hAnsi="Times New Roman"/>
          <w:sz w:val="18"/>
          <w:szCs w:val="18"/>
          <w:color w:val="auto"/>
        </w:rPr>
        <w:t>. When Shares are issued as payment for vested Restricted Stock Units, Participant generally will recognize immediate U.S. taxable income if Participant is a U.S. taxpayer. If Participant is a non-U.S. taxpayer, Participant may be subject to applicable taxes in his or her jurisdiction. Unless otherwise determined by the Administrator, the minimum amount of Tax Obligations that the Company determines must be withheld with respect to this Award (“</w:t>
      </w:r>
      <w:r>
        <w:rPr>
          <w:rFonts w:ascii="Times New Roman" w:cs="Times New Roman" w:eastAsia="Times New Roman" w:hAnsi="Times New Roman"/>
          <w:sz w:val="18"/>
          <w:szCs w:val="18"/>
          <w:u w:val="single" w:color="auto"/>
          <w:color w:val="auto"/>
        </w:rPr>
        <w:t>Tax Withholding Obligation</w:t>
      </w:r>
      <w:r>
        <w:rPr>
          <w:rFonts w:ascii="Times New Roman" w:cs="Times New Roman" w:eastAsia="Times New Roman" w:hAnsi="Times New Roman"/>
          <w:sz w:val="18"/>
          <w:szCs w:val="18"/>
          <w:color w:val="auto"/>
        </w:rPr>
        <w:t>”) will be satisfied by the Company withholding otherwise deliverable Shares having a value approximately equal to the Tax Withholding Obligation (or such greater amount as Participant may elect if permitted by the Administrator, if such greater amount would not result in adverse financial accounting consequences).</w:t>
      </w:r>
    </w:p>
    <w:p>
      <w:pPr>
        <w:spacing w:after="0" w:line="18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Administrator Discretion</w:t>
      </w:r>
      <w:r>
        <w:rPr>
          <w:rFonts w:ascii="Times New Roman" w:cs="Times New Roman" w:eastAsia="Times New Roman" w:hAnsi="Times New Roman"/>
          <w:sz w:val="18"/>
          <w:szCs w:val="18"/>
          <w:color w:val="auto"/>
        </w:rPr>
        <w:t>. If the Administrator determines that Participant cannot satisfy Participant’s Tax Withholding Obligation through the default procedure described in Section 8(b) or the Administrator otherwise determines to permit or require that Participant satisfy Participant’s Tax Withholding Obligation by a method other than through the default procedure set forth in Section 8(b), the Administrator may permit or require Participant to satisfy Participant’s Tax Withholding Obligation, in whole or in part (without limitation), if permissible by applicable local law, by (i) paying cash in U.S. dollars, (ii) selling a sufficient number of the Shares otherwise deliverable to Participant through such means as the Company may determine in its sole discretion (whether through a broker or otherwise) on Participant’s behalf pursuant to this authorization without further consent (provided that, notwithstanding the preceding, Participant agrees to complete such related steps and procedures as the Company may specify) having a fair market value approximately equal to such Tax Obligations, (iii) having the amount of such Tax Withholding Obligation withheld from Participant’s wages or other cash compensation paid to Participant by the applicable Service Recipient(s), (iv) delivering to the Company Shares that Participant owns and that have vested with a fair market value equal to the minimum amount statutorily required to be withheld (or such greater amount as Participant may elect if permitted by the Administrator, if such greater amount would not result in adverse financial accounting consequences), or (v) such other means as the Administrator deems appropriate.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4" w:name="page135"/>
    <w:bookmarkEnd w:id="13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Company’s Obligation to Deliver Shares</w:t>
      </w:r>
      <w:r>
        <w:rPr>
          <w:rFonts w:ascii="Times New Roman" w:cs="Times New Roman" w:eastAsia="Times New Roman" w:hAnsi="Times New Roman"/>
          <w:sz w:val="18"/>
          <w:szCs w:val="18"/>
          <w:color w:val="auto"/>
        </w:rPr>
        <w:t>. For clarification purposes, in no event will the Company issue Participant any Shares unless and until arrangements satisfactory to the Administrator have been made for the payment of Participant’s Tax Withholding Obligation. If Participant fails to make satisfactory arrangements for the payment of such Tax Withholding Obligations hereunder at the time any applicable Restricted Stock Units otherwise are scheduled to vest pursuant to Sections 3 or 4 or Participant’s Tax Withholding Obligations otherwise become due, Participant will permanently forfeit such Restricted Stock Units to which Participant’s Tax Withholding Obligation relates and any right to receive Shares thereunder and such Restricted Stock Units will be returned to the Company at no cost to the Company.</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9.           </w:t>
      </w:r>
      <w:r>
        <w:rPr>
          <w:rFonts w:ascii="Times New Roman" w:cs="Times New Roman" w:eastAsia="Times New Roman" w:hAnsi="Times New Roman"/>
          <w:sz w:val="18"/>
          <w:szCs w:val="18"/>
          <w:u w:val="single" w:color="auto"/>
          <w:color w:val="auto"/>
        </w:rPr>
        <w:t>  Dividend Equivalents</w:t>
      </w:r>
      <w:r>
        <w:rPr>
          <w:rFonts w:ascii="Times New Roman" w:cs="Times New Roman" w:eastAsia="Times New Roman" w:hAnsi="Times New Roman"/>
          <w:sz w:val="18"/>
          <w:szCs w:val="18"/>
          <w:color w:val="auto"/>
        </w:rPr>
        <w:t>. If the Company declares and pays a cash dividend on Shares for which the record date occurs while Restricted Stock Units subject to this Award Agreement remain outstanding, then certain cash amounts (referred to as “</w:t>
      </w:r>
      <w:r>
        <w:rPr>
          <w:rFonts w:ascii="Times New Roman" w:cs="Times New Roman" w:eastAsia="Times New Roman" w:hAnsi="Times New Roman"/>
          <w:sz w:val="18"/>
          <w:szCs w:val="18"/>
          <w:u w:val="single" w:color="auto"/>
          <w:color w:val="auto"/>
        </w:rPr>
        <w:t>DEUs</w:t>
      </w:r>
      <w:r>
        <w:rPr>
          <w:rFonts w:ascii="Times New Roman" w:cs="Times New Roman" w:eastAsia="Times New Roman" w:hAnsi="Times New Roman"/>
          <w:sz w:val="18"/>
          <w:szCs w:val="18"/>
          <w:color w:val="auto"/>
        </w:rPr>
        <w:t>”) will be credited under this Award Agreement in accordance with this Section 9, but only if Participant remains a Service Provider through the applicable record date for that cash dividend. Subject to the provisions of this Section 9, upon the occurrence of such a cash dividend, the cash amount of each DEU will equal the cash dividend amount per Share paid to stockholders. The aggregate cash amount of the DEUs that will be credited under this Award Agreement for a particular cash dividend will be determined by the following formula: X = (A x B); where:</w:t>
      </w:r>
    </w:p>
    <w:p>
      <w:pPr>
        <w:spacing w:after="0" w:line="187" w:lineRule="exact"/>
        <w:rPr>
          <w:sz w:val="20"/>
          <w:szCs w:val="20"/>
          <w:color w:val="auto"/>
        </w:rPr>
      </w:pPr>
    </w:p>
    <w:p>
      <w:pPr>
        <w:ind w:left="980" w:hanging="324"/>
        <w:spacing w:after="0"/>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is the aggregate cash amount of the DEUs to be credited with respect to that cash dividend.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is the amount of the cash dividend paid by the Company to stockholders with respect to one Share. In other words, this amount is the cash amount of each DEU to be credited with respect to a particular cash dividend.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is the number of Restricted Stock Units remaining subject to this Award Agreement as of the cash dividend record date but immediately prior to the application of this Section 9 for that cash dividend.</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Vesting of DEUs</w:t>
      </w:r>
      <w:r>
        <w:rPr>
          <w:rFonts w:ascii="Times New Roman" w:cs="Times New Roman" w:eastAsia="Times New Roman" w:hAnsi="Times New Roman"/>
          <w:sz w:val="18"/>
          <w:szCs w:val="18"/>
          <w:color w:val="auto"/>
        </w:rPr>
        <w:t>. Any DEUs credited under this Section 9 will be scheduled to vest as follows: the DEUs will vest on the vesting date for the portion of the Award to which the DEUs are attributable. However, the following exception applies: if a vesting date for the Award already occurred before the cash dividend payment date, then the installment of DEUs that would have vested on the vesting date that already passed instead will be scheduled to vest on the next vesting date under the Award occurring after the cash dividend payment date, if any, otherwise the vesting of such DEUs will be dealt with as provided in Section 9(c) below. Notwithstanding the preceding, on any vesting date, DEUs will vest only if Participant remains a Service Provider through the vesting date and the portion of the Award to which the DEUs are attributable actually vests.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Settlement and General</w:t>
      </w:r>
      <w:r>
        <w:rPr>
          <w:rFonts w:ascii="Times New Roman" w:cs="Times New Roman" w:eastAsia="Times New Roman" w:hAnsi="Times New Roman"/>
          <w:sz w:val="18"/>
          <w:szCs w:val="18"/>
          <w:color w:val="auto"/>
        </w:rPr>
        <w:t>. DEUs credited under this Section 9 will be subject to the same terms and conditions as the other Shares underlying the Restricted Stock Units on which the DEUs were paid, including (but not limited to) being settled at the same time as the settlement of the Restricted Stock Units on which the DEUs were paid (but DEUs will be paid in cash and be subject to the other provisions of this Section 9 and the Award Agreement). DEUs will not accrue interest and will not be credited with any investment returns related to Shares or otherwise.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5" w:name="page136"/>
    <w:bookmarkEnd w:id="13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Timing.</w:t>
      </w:r>
      <w:r>
        <w:rPr>
          <w:rFonts w:ascii="Times New Roman" w:cs="Times New Roman" w:eastAsia="Times New Roman" w:hAnsi="Times New Roman"/>
          <w:sz w:val="18"/>
          <w:szCs w:val="18"/>
          <w:color w:val="auto"/>
        </w:rPr>
        <w:t xml:space="preserve"> If a Settlement Date occurs after a cash dividend record date, but before the payment date for that dividend, and Participant (if otherwise eligible in accordance with the above provisions of this Section 9) consequently did not receive the cash dividend or any credited DEUs with respect to such Shares issued on the applicable Settlement Date, Participant nevertheless will be entitled to receive cash in lieu of such dividend or DEUs, as determined by the Administrator, in its discretion, in an amount determined pursuant to this Section 9, which amount will be immediately paid in cash on the cash dividend payment date (or as soon as reasonably practicable thereafter but not later than thirty (30) days after the cash dividend payment date). For the avoidance of doubt, except as provided in this Section 9(c), no other additional Restricted Stock Units, DEUs or cash will be credited with respect to any Restricted Stock Units that previously vested and were settled.</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         </w:t>
      </w:r>
      <w:r>
        <w:rPr>
          <w:rFonts w:ascii="Times New Roman" w:cs="Times New Roman" w:eastAsia="Times New Roman" w:hAnsi="Times New Roman"/>
          <w:sz w:val="18"/>
          <w:szCs w:val="18"/>
          <w:u w:val="single" w:color="auto"/>
          <w:color w:val="auto"/>
        </w:rPr>
        <w:t>  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No Guarantee of Continued Service</w:t>
      </w:r>
      <w:r>
        <w:rPr>
          <w:rFonts w:ascii="Times New Roman" w:cs="Times New Roman" w:eastAsia="Times New Roman" w:hAnsi="Times New Roman"/>
          <w:sz w:val="18"/>
          <w:szCs w:val="18"/>
          <w:color w:val="auto"/>
        </w:rPr>
        <w:t>. PARTICIPANT ACKNOWLEDGES AND AGREES THAT THE VESTING OF THE RESTRICTED STOCK UNITS PURSUANT TO THE VESTING SCHEDULE HEREOF IS EARNED ONLY BY REMAINING A SERVICE PROVIDER, WHICH UNLESS PROVIDED OTHERWISE UNDER APPLICABLE LAW IS AT THE WILL OF THE APPLICABLE SERVICE RECIPIENT AND NOT THROUGH THE ACT OF BEING HIRED, BEING GRANTED THIS RESTRICTED STOCK UNIT AWARD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SHALL NOT INTERFERE IN ANY WAY WITH PARTICIPANT’S RIGHT OR THE RIGHT OF ANY SERVICE RECIPIENT TO TERMINATE PARTICIPANT’S RELATIONSHIP AS A SERVICE PROVIDER, SUBJECT TO APPLICABLE LAW, WHICH TERMINATION, UNLESS PROVIDED OTHERWISE UNDER APPLICABLE LAW, MAY BE AT ANY TIME, WITH OR WITHOUT CAUSE.</w:t>
      </w:r>
    </w:p>
    <w:p>
      <w:pPr>
        <w:spacing w:after="0" w:line="19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  Grant is Not Transferable</w:t>
      </w:r>
      <w:r>
        <w:rPr>
          <w:rFonts w:ascii="Times New Roman" w:cs="Times New Roman" w:eastAsia="Times New Roman" w:hAnsi="Times New Roman"/>
          <w:sz w:val="18"/>
          <w:szCs w:val="18"/>
          <w:color w:val="auto"/>
        </w:rPr>
        <w:t>. Except to the limited extent provided in Section 7 and this Section 12 or as otherwise determined by the Administrator, this grant and the rights and privileges conferred hereby cannot be transferred, assigned, pledged or hypothecated in any way (whether by operation of law or otherwise) and will not be subject to sale under execution, attachment or similar process. Upon any attempt to transfer, assign, pledge, hypothecate or otherwise dispose of this grant, or any right or privilege conferred hereby, or upon any attempted sale under any execution, attachment or similar process, except to the limited extent provided in Section 7 and this Section 12 or as otherwise determined by the Administrator, this grant and the rights and privileges conferred hereby immediately will become null and void. Unless and until otherwise determined by the Administrator, a transfer pursuant to a qualified domestic relations order (“</w:t>
      </w:r>
      <w:r>
        <w:rPr>
          <w:rFonts w:ascii="Times New Roman" w:cs="Times New Roman" w:eastAsia="Times New Roman" w:hAnsi="Times New Roman"/>
          <w:sz w:val="18"/>
          <w:szCs w:val="18"/>
          <w:u w:val="single" w:color="auto"/>
          <w:color w:val="auto"/>
        </w:rPr>
        <w:t>QDRO</w:t>
      </w:r>
      <w:r>
        <w:rPr>
          <w:rFonts w:ascii="Times New Roman" w:cs="Times New Roman" w:eastAsia="Times New Roman" w:hAnsi="Times New Roman"/>
          <w:sz w:val="18"/>
          <w:szCs w:val="18"/>
          <w:color w:val="auto"/>
        </w:rPr>
        <w:t>”) will be permitted so long as such transfer complies with the QDRO procedures then in effect, as specified by the Administrator or the Company.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6" w:name="page137"/>
    <w:bookmarkEnd w:id="136"/>
    <w:p>
      <w:pPr>
        <w:ind w:left="66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  Nature of Grant</w:t>
      </w:r>
      <w:r>
        <w:rPr>
          <w:rFonts w:ascii="Times New Roman" w:cs="Times New Roman" w:eastAsia="Times New Roman" w:hAnsi="Times New Roman"/>
          <w:sz w:val="18"/>
          <w:szCs w:val="18"/>
          <w:color w:val="auto"/>
        </w:rPr>
        <w:t>. In accepting this Award of Restricted Stock Units, Participant acknowledges, understands and agrees that: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the grant of the Restricted Stock Units is voluntary and occasional and does not create any contractual or other right to receive future grants of equity awards, or benefits in lieu of equity awards, even if equity awards have been granted in the past;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all decisions with respect to future equity award grants, if any, will be at the sole discretion of the Administrator;</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Participant is voluntarily participating in the Plan;</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Restricted Stock Units and the Shares subject to the Restricted Stock Units, and the income from and value of same, are not intended to replace any pension rights or compensation;</w:t>
      </w:r>
    </w:p>
    <w:p>
      <w:pPr>
        <w:spacing w:after="0" w:line="162"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(e)           the Restricted Stock Units and the Shares subject to the Restricted Stock Units, and the income and value of same, are not part of normal or expected compensation for purposes of calculating any severance, resignation, termination, redundancy, dismissal, end-of-service payments, bonuses, holiday pay, long-service awards, pension or retirement or welfare benefits or similar payments;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unless otherwise agreed with the Company in writing, the Restricted Stock Units and the Shares subject to the Restricted Stock Units, and the income from and value of same, are not granted as consideration for, or in connection with, the service Participant may provide as a director of a Subsidiary;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future value of the Shares underlying the Restricted Stock Units is unknown, indeterminable, and cannot be predicted;</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(h)           for purposes of the Restricted Stock Units, Participant’s status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Participant’s right to vest in the Restricted Stock Units under the Plan, if any, will terminate as of such date and will not be extended by any notice period (e.g., Participant’s period of service would not include any contractual notice period or any period of “garden leave” or similar period mandated under employment laws in the jurisdiction where Participant is a Service Provider or the terms of Participant’s employment or service agreement, if any, unless Participant is providing bona fide services during such time); the Administrator shall have the exclusive discretion to determine when Participant is no longer actively providing services for purposes of the Restricted Stock Units grant (including whether Participant may still be considered to be providing services while on a leave of absence and consistent with local law);</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7" w:name="page138"/>
    <w:bookmarkEnd w:id="13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unless otherwise provided in the Plan or by the Administrator in its discretion, the Restricted Stock Units and the benefits evidenced by this Award Agreement do not create any entitlement to have the Restricted Stock Units or any such benefits transferred to, or assumed by, another company nor be exchanged, cashed out or substituted for, in connection with any corporate transaction affecting the Shares;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the following provisions apply only if Participant is providing services outside the United States:</w:t>
      </w:r>
    </w:p>
    <w:p>
      <w:pPr>
        <w:spacing w:after="0" w:line="225" w:lineRule="exact"/>
        <w:rPr>
          <w:sz w:val="20"/>
          <w:szCs w:val="20"/>
          <w:color w:val="auto"/>
        </w:rPr>
      </w:pPr>
    </w:p>
    <w:p>
      <w:pPr>
        <w:jc w:val="both"/>
        <w:ind w:right="20" w:firstLine="1944"/>
        <w:spacing w:after="0" w:line="282" w:lineRule="auto"/>
        <w:rPr>
          <w:sz w:val="20"/>
          <w:szCs w:val="20"/>
          <w:color w:val="auto"/>
        </w:rPr>
      </w:pPr>
      <w:r>
        <w:rPr>
          <w:rFonts w:ascii="Times New Roman" w:cs="Times New Roman" w:eastAsia="Times New Roman" w:hAnsi="Times New Roman"/>
          <w:sz w:val="18"/>
          <w:szCs w:val="18"/>
          <w:color w:val="auto"/>
        </w:rPr>
        <w:t>(i)             the Restricted Stock Units and the Shares subject to the Restricted Stock Units are not part of normal or expected compensation or salary for any purpose;</w:t>
      </w:r>
    </w:p>
    <w:p>
      <w:pPr>
        <w:spacing w:after="0" w:line="162" w:lineRule="exact"/>
        <w:rPr>
          <w:sz w:val="20"/>
          <w:szCs w:val="20"/>
          <w:color w:val="auto"/>
        </w:rPr>
      </w:pPr>
    </w:p>
    <w:p>
      <w:pPr>
        <w:jc w:val="both"/>
        <w:ind w:firstLine="1944"/>
        <w:spacing w:after="0" w:line="266" w:lineRule="auto"/>
        <w:rPr>
          <w:sz w:val="20"/>
          <w:szCs w:val="20"/>
          <w:color w:val="auto"/>
        </w:rPr>
      </w:pPr>
      <w:r>
        <w:rPr>
          <w:rFonts w:ascii="Times New Roman" w:cs="Times New Roman" w:eastAsia="Times New Roman" w:hAnsi="Times New Roman"/>
          <w:sz w:val="18"/>
          <w:szCs w:val="18"/>
          <w:color w:val="auto"/>
        </w:rPr>
        <w:t>(ii)             Participant acknowledges and agrees that no Service Recipient shall be liable for any foreign exchange rate fluctuation between Participant’s local currency and the United States Dollar that may affect the value of the Restricted Stock Units or of any amounts due to Participant pursuant to the settlement of the Restricted Stock Units or the subsequent sale of any Shares acquired upon settlement; and</w:t>
      </w:r>
    </w:p>
    <w:p>
      <w:pPr>
        <w:spacing w:after="0" w:line="176" w:lineRule="exact"/>
        <w:rPr>
          <w:sz w:val="20"/>
          <w:szCs w:val="20"/>
          <w:color w:val="auto"/>
        </w:rPr>
      </w:pPr>
    </w:p>
    <w:p>
      <w:pPr>
        <w:jc w:val="both"/>
        <w:ind w:firstLine="1944"/>
        <w:spacing w:after="0" w:line="254" w:lineRule="auto"/>
        <w:rPr>
          <w:sz w:val="20"/>
          <w:szCs w:val="20"/>
          <w:color w:val="auto"/>
        </w:rPr>
      </w:pPr>
      <w:r>
        <w:rPr>
          <w:rFonts w:ascii="Times New Roman" w:cs="Times New Roman" w:eastAsia="Times New Roman" w:hAnsi="Times New Roman"/>
          <w:sz w:val="18"/>
          <w:szCs w:val="18"/>
          <w:color w:val="auto"/>
        </w:rPr>
        <w:t>(iii)             no claim or entitlement to compensation or damages shall arise from the forfeiture of the Restricted Stock Units or recoupment of any Shares acquired under the Plan resulting from (i) the termination of Participant’s status as a Service Provider (for any reason whatsoever whether or not later found to be invalid or in breach of employment laws in the jurisdiction where Participant is a Service Provider or the terms of Participant’s employment or service agreement, if any) and / or (ii) the application of any recoupment policy or any recovery or clawback policy otherwise required by law, and in consideration of the grant of the Restricted Stock Units to which Participant is otherwise not entitled, Participant irrevocably agrees never to institute any claim against any Service Recipient, waives his or her ability, if any, to bring any such claim, and releases each Service Recipient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  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Shares underlying the Restricted Stock Units. Participant is hereby advised to consult with his or her own personal tax, legal, and financial advisors regarding his or her participation in the Plan before taking any action related to the Plan.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i w:val="1"/>
          <w:iCs w:val="1"/>
          <w:u w:val="single" w:color="auto"/>
          <w:color w:val="auto"/>
        </w:rPr>
        <w:t>Data Privacy</w:t>
      </w:r>
      <w:r>
        <w:rPr>
          <w:rFonts w:ascii="Times New Roman" w:cs="Times New Roman" w:eastAsia="Times New Roman" w:hAnsi="Times New Roman"/>
          <w:sz w:val="18"/>
          <w:szCs w:val="18"/>
          <w:b w:val="1"/>
          <w:bCs w:val="1"/>
          <w:i w:val="1"/>
          <w:iCs w:val="1"/>
          <w:color w:val="auto"/>
        </w:rPr>
        <w:t>. Participant hereby explicitly and unambiguously consents to the collection, use and transfer, in electronic or other form,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of Participant’s personal data as described in this Award Agreement and any other Restricted Stock Unit grant materials by and among, as applicable, the Service Recipients for the exclusive purpose of implementing, administering and managing Participant’s participation in the Plan.</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8" w:name="page139"/>
    <w:bookmarkEnd w:id="138"/>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Service Recipient may hold certain personal information about Participant, including, but not limited to, Participant’s name, home address and telephone number, date of birth, social insurance number or other identification number, salary, nationality, job title, any Shares or directorships held in the Company, details of all Restricted Stock Units or any other entitlement to Shares awarded, canceled, exercised, vested, unvested, or outstanding in Participant’s favor (“</w:t>
      </w:r>
      <w:r>
        <w:rPr>
          <w:rFonts w:ascii="Times New Roman" w:cs="Times New Roman" w:eastAsia="Times New Roman" w:hAnsi="Times New Roman"/>
          <w:sz w:val="18"/>
          <w:szCs w:val="18"/>
          <w:b w:val="1"/>
          <w:bCs w:val="1"/>
          <w:i w:val="1"/>
          <w:iCs w:val="1"/>
          <w:u w:val="single" w:color="auto"/>
          <w:color w:val="auto"/>
        </w:rPr>
        <w:t>Data</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17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Data may be transferred to a stock plan service provider, as may be selected by the Company in the future, assisting the Company with the implementation, administration, and management of the Plan. Participant understands that the recipients of the Data may be located in the United States or elsewhere, and that the recipients’ country of operation (e.g., the United States) may have different data privacy laws and protections than Participant’s country. Participant understands that if he or she resides outside the United States, he or she may request a list with the names and addresses of any potential recipients of the Data by contacting the Company’s Data Privacy Team at privacy@micron.com. Participant authorizes the Company, any stock plan service provider selected by the Company,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his or her participation in the Plan. Participant understands that Data will be held only as long as is necessary to implement, administer, and manage Participant’s participation in the Plan. Participant understands if he or she resides outside the United States, he or she may, at any time, view Data, request additional information about the storage and processing of Data, require any necessary amendments to Data, or refuse or withdraw the consents herein, in any case without cost, by contacting the Company’s Data Privacy Team at privacy@micron.com in writing. Further, Participant understands that he or she is providing the consents herein on a purely voluntary basis. If Participant does not consent, or if Participant later seeks to revoke his or her consent, his or her status as a Service Provider and career with the Service Recipient will not be adversely affected. The only adverse consequence of refusing or withdrawing Participant’s consent is that the Company would not be able to grant Participant equity awards or administer or maintain such awards. Therefore, Participant understands that refusing or withdrawing his or her consent may affect Participant’s ability to participate in the Plan. For more information on the consequences of Participant’s refusal to consent or withdrawal of consent, Participant understands that he or she may contact the Data Privacy Team.</w:t>
      </w:r>
    </w:p>
    <w:p>
      <w:pPr>
        <w:spacing w:after="0" w:line="19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  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Micron Technology, Inc., 8000 South Federal Way, Boise, Idaho 83716, United States of America; Attention: Corporate Secretary; or at such other address as the Company may hereafter designate in writing.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  Electronic Delivery and Acceptance</w:t>
      </w:r>
      <w:r>
        <w:rPr>
          <w:rFonts w:ascii="Times New Roman" w:cs="Times New Roman" w:eastAsia="Times New Roman" w:hAnsi="Times New Roman"/>
          <w:sz w:val="18"/>
          <w:szCs w:val="18"/>
          <w:color w:val="auto"/>
        </w:rPr>
        <w:t>. The Company may, in its sole discretion, decide to deliver any documents related to the Restricted Stock Units awarded under the Plan or future equity awards that may be awarded under the Plan by electronic means or require Participant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  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9" w:name="page140"/>
    <w:bookmarkEnd w:id="13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be assigned only with the prior written consent of the Company.</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20.         </w:t>
      </w:r>
      <w:r>
        <w:rPr>
          <w:rFonts w:ascii="Times New Roman" w:cs="Times New Roman" w:eastAsia="Times New Roman" w:hAnsi="Times New Roman"/>
          <w:sz w:val="18"/>
          <w:szCs w:val="18"/>
          <w:u w:val="single" w:color="auto"/>
          <w:color w:val="auto"/>
        </w:rPr>
        <w:t>  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non-U.S. law, the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issuance of Shares to Participant (or his or her estate) hereunder, such issuance will not occur unless and until such listing, registration, qualification, rule compliance, clearance, consent or approval will have been completed, effected, or obtained free of any conditions not acceptable to the Company. The Company will use its commercially reasonable efforts to satisfy the requirements and conditions provided in the preceding sentence. Subject to the terms of this Award Agreement and the Plan, the Company shall not be required to issue any certificate or certificates for (or make any entry on the books of the Company or of a duly authorized transfer agent of the Company of) the Shares hereunder prior to the lapse of such reasonable period of time following the date of vesting of the Restricted Stock Units as the Administrator may establish from time to time for reasons of administrative convenience.</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Language</w:t>
      </w:r>
      <w:r>
        <w:rPr>
          <w:rFonts w:ascii="Times New Roman" w:cs="Times New Roman" w:eastAsia="Times New Roman" w:hAnsi="Times New Roman"/>
          <w:sz w:val="18"/>
          <w:szCs w:val="18"/>
          <w:color w:val="auto"/>
        </w:rPr>
        <w:t>. Participant acknowledges that he or she is proficient in the English language, or has consulted with an advisor who is proficient in the English language, so as to enable Participant to understand the provisions of this Award Agreement and the Plan.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any Restricted Stock Units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 Agreement.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0" w:name="page141"/>
    <w:bookmarkEnd w:id="140"/>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u w:val="single" w:color="auto"/>
          <w:color w:val="auto"/>
        </w:rPr>
        <w:t>  Amendment, Suspension or Termination of the Plan</w:t>
      </w:r>
      <w:r>
        <w:rPr>
          <w:rFonts w:ascii="Times New Roman" w:cs="Times New Roman" w:eastAsia="Times New Roman" w:hAnsi="Times New Roman"/>
          <w:sz w:val="18"/>
          <w:szCs w:val="18"/>
          <w:color w:val="auto"/>
        </w:rPr>
        <w:t>. By accepting this Award, Participant expressly warrants that Participant has received an Award of Restricted Stock Units under the Plan, and has received, read and understood a description of the Plan. Participant understands that the Plan is discretionary in nature and may be amended, suspended, or terminated by the Administrator at any time.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u w:val="single" w:color="auto"/>
          <w:color w:val="auto"/>
        </w:rPr>
        <w:t>  Modifications to the Award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The Administrator may amend, modify, or terminate the Award and this Award Agreement without approval of Participant; provided, however, that such amendment, modification or termination shall not, without Participant’s consent, materially adversely affect Participant’s rights under this Award Agreement. Notwithstanding anything to the contrary in the Plan or this Award Agreement, the Company reserves the right (but is not obligated) to revise this Award Agreement as it deems necessary or advisable, in its sole discretion and without the consent of Participant, to comply with Section 409A or to otherwise avoid imposition of any additional tax or income recognition under Section 409A in connection with this Award of Restricted Stock Units. Any such revisions shall be intended, to the extent reasonably practicable, to preserve the material economic benefits of this Award to Participant. Modifications to this Award Agreement can be made only in an express written contract executed by a duly authorized officer of the Company.</w:t>
      </w:r>
    </w:p>
    <w:p>
      <w:pPr>
        <w:spacing w:after="0" w:line="194"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u w:val="single" w:color="auto"/>
          <w:color w:val="auto"/>
        </w:rPr>
        <w:t>  Forfeiture Under Policy or Law</w:t>
      </w:r>
      <w:r>
        <w:rPr>
          <w:rFonts w:ascii="Times New Roman" w:cs="Times New Roman" w:eastAsia="Times New Roman" w:hAnsi="Times New Roman"/>
          <w:sz w:val="18"/>
          <w:szCs w:val="18"/>
          <w:color w:val="auto"/>
        </w:rPr>
        <w:t>. Participant’s rights with respect to this Award Agreement and the Award of Restricted Stock Units (including any Shares, DEUs or other cash or property received by or on behalf of Participant with respect to the Award) will be subject to reduction, cancellation, forfeiture, recoupment, reimbursement, or reacquisition under any clawback, compensation recovery or similar policy that the Company may adopt from time to time, whether or not such policy is mandated by law (a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or as may be necessary to comply with applicable laws. For example (but not by way of limitation), as provided in any such Clawback Policy or applicable law, Participant might be required to repay to the Company part or all of the Shares (if any) that Participant receives under this Award Agreement and to forfeit some of the Restricted Stock Units covered by the Award at no cost to the Company. Further, if Participant receives any amount in excess of the amount Participant should have received under the terms of this Award Agreement for any reason (including without limitation by reason of a financial restatement, mistake in calculations or administrative error), all as determined by the Administrator, then Participant shall be required to promptly repay any such excess amount to the Company. No recovery of compensation under a Clawback Policy or to comply with applicable law will constitute “good reason” or “constructive termination” (or similar term) for Participant’s resignation under any agreement with the Company or any Parent, Subsidiary or Affiliate of the Company.</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order to satisfy any recoupment obligation arising under any Clawback Policy or recovery policy of the Company or otherwise under applicable laws, rules, regulations or stock exchange listing standards, among other things, Participant expressly and explicitly authorizes the Company to issue instructions, on Participant's behalf, to any brokerage firm or stock plan service provider engaged by the Company to hold any Shares or other amounts acquired pursuant to the Restricted Stock Units to re-convey, transfer or otherwise return the Shares and/or other amounts to the Company upon the Company’s enforcement of any Clawback Policy or recovery policy.</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1" w:name="page142"/>
    <w:bookmarkEnd w:id="14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27.         </w:t>
      </w:r>
      <w:r>
        <w:rPr>
          <w:rFonts w:ascii="Times New Roman" w:cs="Times New Roman" w:eastAsia="Times New Roman" w:hAnsi="Times New Roman"/>
          <w:sz w:val="18"/>
          <w:szCs w:val="18"/>
          <w:u w:val="single" w:color="auto"/>
          <w:color w:val="auto"/>
        </w:rPr>
        <w:t>  Governing Law; Venue; Severability</w:t>
      </w:r>
      <w:r>
        <w:rPr>
          <w:rFonts w:ascii="Times New Roman" w:cs="Times New Roman" w:eastAsia="Times New Roman" w:hAnsi="Times New Roman"/>
          <w:sz w:val="18"/>
          <w:szCs w:val="18"/>
          <w:color w:val="auto"/>
        </w:rPr>
        <w:t>. This Award Agreement and the Restricted Stock Units are governed by the internal substantive laws, but not the choice of law rules, of the State of Delaware, USA. For purposes of litigating any dispute that arises under these Restricted Stock Units or this Award Agreement, the parties hereby submit to and consent to the jurisdiction of the State of Idaho, USA and agree that such litigation will be conducted in the courts of Ada County, Idaho, USA or the United States federal courts for the District of Idaho, and no other courts, where this Award Agreement is made and/or to be performed. If any provision hereof becomes or is declared by a court of competent jurisdiction to be illegal, unenforceable or void, the remaining provisions of this Award Agreement shall continue in full force and effect.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Plan is incorporated herein by this reference. The Plan and this Award Agreement (including the appendices and exhibits referenced herein) constitute the entire agreement of the parties with respect to the subject matter hereof and supersede in their entirety all prior undertakings and agreements of the Company and Participant with respect to the subject matter hereof.</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u w:val="single" w:color="auto"/>
          <w:color w:val="auto"/>
        </w:rPr>
        <w:t>  Country Addendum</w:t>
      </w:r>
      <w:r>
        <w:rPr>
          <w:rFonts w:ascii="Times New Roman" w:cs="Times New Roman" w:eastAsia="Times New Roman" w:hAnsi="Times New Roman"/>
          <w:sz w:val="18"/>
          <w:szCs w:val="18"/>
          <w:color w:val="auto"/>
        </w:rPr>
        <w:t>. Notwithstanding any provisions in this Award Agreement, the Restricted Stock Unit grant shall be subject to any special terms and conditions set forth in an appendix (if any) to this Award Agreement for any country whose laws are applicable to Participant and this Restricted Stock Unit Award (as determined by the Administrator in its sole discretion) (the “</w:t>
      </w: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Moreover, if Participant relocates to one of the countries included in the Country Addendum (if any),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          *</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42" w:name="page143"/>
    <w:bookmarkEnd w:id="1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MICRON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2025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RESTRICTED STOCK UNIT AGREEMENT</w:t>
      </w: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[Omitted]</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Country Addendum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43" w:name="page144"/>
    <w:bookmarkEnd w:id="143"/>
    <w:p>
      <w:pPr>
        <w:ind w:left="2840"/>
        <w:spacing w:after="0"/>
        <w:rPr>
          <w:sz w:val="20"/>
          <w:szCs w:val="20"/>
          <w:color w:val="auto"/>
        </w:rPr>
      </w:pPr>
      <w:r>
        <w:rPr>
          <w:rFonts w:ascii="Arial" w:cs="Arial" w:eastAsia="Arial" w:hAnsi="Arial"/>
          <w:sz w:val="36"/>
          <w:szCs w:val="36"/>
          <w:b w:val="1"/>
          <w:bCs w:val="1"/>
          <w:color w:val="auto"/>
        </w:rPr>
        <w:t>Calculation of Filing Fee Tables</w:t>
      </w:r>
    </w:p>
    <w:p>
      <w:pPr>
        <w:spacing w:after="0" w:line="221" w:lineRule="exact"/>
        <w:rPr>
          <w:sz w:val="20"/>
          <w:szCs w:val="20"/>
          <w:color w:val="auto"/>
        </w:rPr>
      </w:pPr>
    </w:p>
    <w:p>
      <w:pPr>
        <w:ind w:left="5220"/>
        <w:spacing w:after="0"/>
        <w:rPr>
          <w:sz w:val="20"/>
          <w:szCs w:val="20"/>
          <w:color w:val="auto"/>
        </w:rPr>
      </w:pPr>
      <w:r>
        <w:rPr>
          <w:rFonts w:ascii="Arial" w:cs="Arial" w:eastAsia="Arial" w:hAnsi="Arial"/>
          <w:sz w:val="36"/>
          <w:szCs w:val="36"/>
          <w:b w:val="1"/>
          <w:bCs w:val="1"/>
          <w:color w:val="auto"/>
        </w:rPr>
        <w:t>S-8</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36"/>
          <w:szCs w:val="36"/>
          <w:b w:val="1"/>
          <w:bCs w:val="1"/>
          <w:color w:val="auto"/>
        </w:rPr>
        <w:t>MICRON TECHNOLOGY INC</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Table 1: Newly Registered Securities</w:t>
      </w:r>
    </w:p>
    <w:p>
      <w:pPr>
        <w:spacing w:after="0" w:line="45"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72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40" w:type="dxa"/>
            <w:vAlign w:val="bottom"/>
            <w:shd w:val="clear" w:color="auto" w:fill="9ADAF6"/>
          </w:tcPr>
          <w:p>
            <w:pPr>
              <w:jc w:val="center"/>
              <w:spacing w:after="0" w:line="223" w:lineRule="exact"/>
              <w:rPr>
                <w:sz w:val="20"/>
                <w:szCs w:val="20"/>
                <w:color w:val="auto"/>
              </w:rPr>
            </w:pPr>
            <w:r>
              <w:rPr>
                <w:rFonts w:ascii="Arial" w:cs="Arial" w:eastAsia="Arial" w:hAnsi="Arial"/>
                <w:sz w:val="22"/>
                <w:szCs w:val="22"/>
                <w:b w:val="1"/>
                <w:bCs w:val="1"/>
                <w:color w:val="auto"/>
                <w:w w:val="98"/>
              </w:rPr>
              <w:t>Proposed</w:t>
            </w:r>
          </w:p>
        </w:tc>
        <w:tc>
          <w:tcPr>
            <w:tcW w:w="20" w:type="dxa"/>
            <w:vAlign w:val="bottom"/>
          </w:tcPr>
          <w:p>
            <w:pPr>
              <w:spacing w:after="0"/>
              <w:rPr>
                <w:sz w:val="19"/>
                <w:szCs w:val="19"/>
                <w:color w:val="auto"/>
              </w:rPr>
            </w:pPr>
          </w:p>
        </w:tc>
        <w:tc>
          <w:tcPr>
            <w:tcW w:w="1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vMerge w:val="restart"/>
            <w:shd w:val="clear" w:color="auto" w:fill="9ADAF6"/>
          </w:tcPr>
          <w:p>
            <w:pPr>
              <w:ind w:left="40"/>
              <w:spacing w:after="0"/>
              <w:rPr>
                <w:sz w:val="20"/>
                <w:szCs w:val="20"/>
                <w:color w:val="auto"/>
              </w:rPr>
            </w:pPr>
            <w:r>
              <w:rPr>
                <w:rFonts w:ascii="Arial" w:cs="Arial" w:eastAsia="Arial" w:hAnsi="Arial"/>
                <w:sz w:val="22"/>
                <w:szCs w:val="22"/>
                <w:b w:val="1"/>
                <w:bCs w:val="1"/>
                <w:color w:val="auto"/>
                <w:w w:val="99"/>
              </w:rPr>
              <w:t>Security</w:t>
            </w:r>
          </w:p>
        </w:tc>
        <w:tc>
          <w:tcPr>
            <w:tcW w:w="20" w:type="dxa"/>
            <w:vAlign w:val="bottom"/>
          </w:tcPr>
          <w:p>
            <w:pPr>
              <w:spacing w:after="0"/>
              <w:rPr>
                <w:sz w:val="21"/>
                <w:szCs w:val="21"/>
                <w:color w:val="auto"/>
              </w:rPr>
            </w:pPr>
          </w:p>
        </w:tc>
        <w:tc>
          <w:tcPr>
            <w:tcW w:w="96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6"/>
              </w:rPr>
              <w:t>Security</w:t>
            </w:r>
          </w:p>
        </w:tc>
        <w:tc>
          <w:tcPr>
            <w:tcW w:w="20" w:type="dxa"/>
            <w:vAlign w:val="bottom"/>
          </w:tcPr>
          <w:p>
            <w:pPr>
              <w:spacing w:after="0"/>
              <w:rPr>
                <w:sz w:val="21"/>
                <w:szCs w:val="21"/>
                <w:color w:val="auto"/>
              </w:rPr>
            </w:pPr>
          </w:p>
        </w:tc>
        <w:tc>
          <w:tcPr>
            <w:tcW w:w="120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4"/>
              </w:rPr>
              <w:t>Fee</w:t>
            </w:r>
          </w:p>
        </w:tc>
        <w:tc>
          <w:tcPr>
            <w:tcW w:w="20" w:type="dxa"/>
            <w:vAlign w:val="bottom"/>
          </w:tcPr>
          <w:p>
            <w:pPr>
              <w:spacing w:after="0"/>
              <w:rPr>
                <w:sz w:val="21"/>
                <w:szCs w:val="21"/>
                <w:color w:val="auto"/>
              </w:rPr>
            </w:pPr>
          </w:p>
        </w:tc>
        <w:tc>
          <w:tcPr>
            <w:tcW w:w="1160" w:type="dxa"/>
            <w:vAlign w:val="bottom"/>
            <w:vMerge w:val="restart"/>
            <w:shd w:val="clear" w:color="auto" w:fill="9ADAF6"/>
          </w:tcPr>
          <w:p>
            <w:pPr>
              <w:jc w:val="right"/>
              <w:ind w:right="52"/>
              <w:spacing w:after="0"/>
              <w:rPr>
                <w:sz w:val="20"/>
                <w:szCs w:val="20"/>
                <w:color w:val="auto"/>
              </w:rPr>
            </w:pPr>
            <w:r>
              <w:rPr>
                <w:rFonts w:ascii="Arial" w:cs="Arial" w:eastAsia="Arial" w:hAnsi="Arial"/>
                <w:sz w:val="22"/>
                <w:szCs w:val="22"/>
                <w:b w:val="1"/>
                <w:bCs w:val="1"/>
                <w:color w:val="auto"/>
              </w:rPr>
              <w:t>Amount</w:t>
            </w:r>
          </w:p>
        </w:tc>
        <w:tc>
          <w:tcPr>
            <w:tcW w:w="20" w:type="dxa"/>
            <w:vAlign w:val="bottom"/>
          </w:tcPr>
          <w:p>
            <w:pPr>
              <w:spacing w:after="0"/>
              <w:rPr>
                <w:sz w:val="21"/>
                <w:szCs w:val="21"/>
                <w:color w:val="auto"/>
              </w:rPr>
            </w:pPr>
          </w:p>
        </w:tc>
        <w:tc>
          <w:tcPr>
            <w:tcW w:w="12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1"/>
                <w:szCs w:val="21"/>
                <w:color w:val="auto"/>
              </w:rPr>
            </w:pPr>
          </w:p>
        </w:tc>
        <w:tc>
          <w:tcPr>
            <w:tcW w:w="172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Maximum</w:t>
            </w:r>
          </w:p>
        </w:tc>
        <w:tc>
          <w:tcPr>
            <w:tcW w:w="20" w:type="dxa"/>
            <w:vAlign w:val="bottom"/>
          </w:tcPr>
          <w:p>
            <w:pPr>
              <w:spacing w:after="0"/>
              <w:rPr>
                <w:sz w:val="21"/>
                <w:szCs w:val="21"/>
                <w:color w:val="auto"/>
              </w:rPr>
            </w:pPr>
          </w:p>
        </w:tc>
        <w:tc>
          <w:tcPr>
            <w:tcW w:w="1060" w:type="dxa"/>
            <w:vAlign w:val="bottom"/>
            <w:shd w:val="clear" w:color="auto" w:fill="9ADAF6"/>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shd w:val="clear" w:color="auto" w:fill="9ADAF6"/>
          </w:tcPr>
          <w:p>
            <w:pPr>
              <w:jc w:val="center"/>
              <w:spacing w:after="0" w:line="243" w:lineRule="exact"/>
              <w:rPr>
                <w:sz w:val="20"/>
                <w:szCs w:val="20"/>
                <w:color w:val="auto"/>
              </w:rPr>
            </w:pPr>
            <w:r>
              <w:rPr>
                <w:rFonts w:ascii="Arial" w:cs="Arial" w:eastAsia="Arial" w:hAnsi="Arial"/>
                <w:sz w:val="22"/>
                <w:szCs w:val="22"/>
                <w:b w:val="1"/>
                <w:bCs w:val="1"/>
                <w:color w:val="auto"/>
                <w:w w:val="98"/>
              </w:rPr>
              <w:t>Amount of</w:t>
            </w: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Class</w:t>
            </w: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7"/>
              </w:rPr>
              <w:t>Calculation</w:t>
            </w:r>
          </w:p>
        </w:tc>
        <w:tc>
          <w:tcPr>
            <w:tcW w:w="20" w:type="dxa"/>
            <w:vAlign w:val="bottom"/>
          </w:tcPr>
          <w:p>
            <w:pPr>
              <w:spacing w:after="0"/>
              <w:rPr>
                <w:sz w:val="18"/>
                <w:szCs w:val="18"/>
                <w:color w:val="auto"/>
              </w:rPr>
            </w:pPr>
          </w:p>
        </w:tc>
        <w:tc>
          <w:tcPr>
            <w:tcW w:w="116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Offering</w:t>
            </w:r>
          </w:p>
        </w:tc>
        <w:tc>
          <w:tcPr>
            <w:tcW w:w="20" w:type="dxa"/>
            <w:vAlign w:val="bottom"/>
          </w:tcPr>
          <w:p>
            <w:pPr>
              <w:spacing w:after="0"/>
              <w:rPr>
                <w:sz w:val="18"/>
                <w:szCs w:val="18"/>
                <w:color w:val="auto"/>
              </w:rPr>
            </w:pPr>
          </w:p>
        </w:tc>
        <w:tc>
          <w:tcPr>
            <w:tcW w:w="172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9"/>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Fee Rate</w:t>
            </w:r>
          </w:p>
        </w:tc>
        <w:tc>
          <w:tcPr>
            <w:tcW w:w="20" w:type="dxa"/>
            <w:vAlign w:val="bottom"/>
          </w:tcPr>
          <w:p>
            <w:pPr>
              <w:spacing w:after="0"/>
              <w:rPr>
                <w:sz w:val="18"/>
                <w:szCs w:val="18"/>
                <w:color w:val="auto"/>
              </w:rPr>
            </w:pPr>
          </w:p>
        </w:tc>
        <w:tc>
          <w:tcPr>
            <w:tcW w:w="1440" w:type="dxa"/>
            <w:vAlign w:val="bottom"/>
            <w:shd w:val="clear" w:color="auto" w:fill="9ADAF6"/>
          </w:tcPr>
          <w:p>
            <w:pPr>
              <w:jc w:val="center"/>
              <w:spacing w:after="0" w:line="218" w:lineRule="exact"/>
              <w:rPr>
                <w:sz w:val="20"/>
                <w:szCs w:val="20"/>
                <w:color w:val="auto"/>
              </w:rPr>
            </w:pPr>
            <w:r>
              <w:rPr>
                <w:rFonts w:ascii="Arial" w:cs="Arial" w:eastAsia="Arial" w:hAnsi="Arial"/>
                <w:sz w:val="22"/>
                <w:szCs w:val="22"/>
                <w:b w:val="1"/>
                <w:bCs w:val="1"/>
                <w:color w:val="auto"/>
                <w:w w:val="98"/>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20" w:type="dxa"/>
            <w:vAlign w:val="bottom"/>
            <w:shd w:val="clear" w:color="auto" w:fill="9ADAF6"/>
          </w:tcPr>
          <w:p>
            <w:pPr>
              <w:ind w:left="220"/>
              <w:spacing w:after="0"/>
              <w:rPr>
                <w:sz w:val="20"/>
                <w:szCs w:val="20"/>
                <w:color w:val="auto"/>
              </w:rPr>
            </w:pPr>
            <w:r>
              <w:rPr>
                <w:rFonts w:ascii="Arial" w:cs="Arial" w:eastAsia="Arial" w:hAnsi="Arial"/>
                <w:sz w:val="22"/>
                <w:szCs w:val="22"/>
                <w:b w:val="1"/>
                <w:bCs w:val="1"/>
                <w:color w:val="auto"/>
              </w:rPr>
              <w:t>Type</w:t>
            </w:r>
          </w:p>
        </w:tc>
        <w:tc>
          <w:tcPr>
            <w:tcW w:w="20" w:type="dxa"/>
            <w:vAlign w:val="bottom"/>
          </w:tcPr>
          <w:p>
            <w:pPr>
              <w:spacing w:after="0"/>
              <w:rPr>
                <w:sz w:val="23"/>
                <w:szCs w:val="23"/>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7"/>
              </w:rPr>
              <w:t>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rPr>
              <w:t>Rule</w:t>
            </w:r>
          </w:p>
        </w:tc>
        <w:tc>
          <w:tcPr>
            <w:tcW w:w="20" w:type="dxa"/>
            <w:vAlign w:val="bottom"/>
          </w:tcPr>
          <w:p>
            <w:pPr>
              <w:spacing w:after="0"/>
              <w:rPr>
                <w:sz w:val="23"/>
                <w:szCs w:val="23"/>
                <w:color w:val="auto"/>
              </w:rPr>
            </w:pPr>
          </w:p>
        </w:tc>
        <w:tc>
          <w:tcPr>
            <w:tcW w:w="1160" w:type="dxa"/>
            <w:vAlign w:val="bottom"/>
            <w:shd w:val="clear" w:color="auto" w:fill="9ADAF6"/>
          </w:tcPr>
          <w:p>
            <w:pPr>
              <w:jc w:val="right"/>
              <w:spacing w:after="0"/>
              <w:rPr>
                <w:sz w:val="20"/>
                <w:szCs w:val="20"/>
                <w:color w:val="auto"/>
              </w:rPr>
            </w:pPr>
            <w:r>
              <w:rPr>
                <w:rFonts w:ascii="Arial" w:cs="Arial" w:eastAsia="Arial" w:hAnsi="Arial"/>
                <w:sz w:val="22"/>
                <w:szCs w:val="22"/>
                <w:b w:val="1"/>
                <w:bCs w:val="1"/>
                <w:color w:val="auto"/>
                <w:w w:val="98"/>
              </w:rPr>
              <w:t>Registered</w:t>
            </w:r>
          </w:p>
        </w:tc>
        <w:tc>
          <w:tcPr>
            <w:tcW w:w="20" w:type="dxa"/>
            <w:vAlign w:val="bottom"/>
          </w:tcPr>
          <w:p>
            <w:pPr>
              <w:spacing w:after="0"/>
              <w:rPr>
                <w:sz w:val="23"/>
                <w:szCs w:val="23"/>
                <w:color w:val="auto"/>
              </w:rPr>
            </w:pPr>
          </w:p>
        </w:tc>
        <w:tc>
          <w:tcPr>
            <w:tcW w:w="12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6"/>
              </w:rPr>
              <w:t>Price Per</w:t>
            </w:r>
          </w:p>
        </w:tc>
        <w:tc>
          <w:tcPr>
            <w:tcW w:w="20" w:type="dxa"/>
            <w:vAlign w:val="bottom"/>
          </w:tcPr>
          <w:p>
            <w:pPr>
              <w:spacing w:after="0"/>
              <w:rPr>
                <w:sz w:val="23"/>
                <w:szCs w:val="23"/>
                <w:color w:val="auto"/>
              </w:rPr>
            </w:pPr>
          </w:p>
        </w:tc>
        <w:tc>
          <w:tcPr>
            <w:tcW w:w="172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4"/>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shd w:val="clear" w:color="auto" w:fill="9ADAF6"/>
          </w:tcPr>
          <w:p>
            <w:pPr>
              <w:jc w:val="center"/>
              <w:spacing w:after="0"/>
              <w:rPr>
                <w:sz w:val="20"/>
                <w:szCs w:val="20"/>
                <w:color w:val="auto"/>
              </w:rPr>
            </w:pPr>
            <w:r>
              <w:rPr>
                <w:rFonts w:ascii="Arial" w:cs="Arial" w:eastAsia="Arial" w:hAnsi="Arial"/>
                <w:sz w:val="22"/>
                <w:szCs w:val="22"/>
                <w:b w:val="1"/>
                <w:bCs w:val="1"/>
                <w:color w:val="auto"/>
                <w:w w:val="98"/>
              </w:rPr>
              <w:t>Unit</w:t>
            </w:r>
          </w:p>
        </w:tc>
        <w:tc>
          <w:tcPr>
            <w:tcW w:w="20" w:type="dxa"/>
            <w:vAlign w:val="bottom"/>
          </w:tcPr>
          <w:p>
            <w:pPr>
              <w:spacing w:after="0"/>
              <w:rPr>
                <w:sz w:val="24"/>
                <w:szCs w:val="24"/>
                <w:color w:val="auto"/>
              </w:rPr>
            </w:pPr>
          </w:p>
        </w:tc>
        <w:tc>
          <w:tcPr>
            <w:tcW w:w="172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jc w:val="center"/>
              <w:spacing w:after="0" w:line="230" w:lineRule="exact"/>
              <w:rPr>
                <w:sz w:val="20"/>
                <w:szCs w:val="20"/>
                <w:color w:val="auto"/>
              </w:rPr>
            </w:pPr>
            <w:r>
              <w:rPr>
                <w:rFonts w:ascii="Arial" w:cs="Arial" w:eastAsia="Arial" w:hAnsi="Arial"/>
                <w:sz w:val="22"/>
                <w:szCs w:val="22"/>
                <w:color w:val="auto"/>
                <w:w w:val="98"/>
              </w:rPr>
              <w:t>Common</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72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0" w:type="dxa"/>
            <w:vAlign w:val="bottom"/>
            <w:tcBorders>
              <w:left w:val="single" w:sz="8" w:color="auto"/>
            </w:tcBorders>
          </w:tcPr>
          <w:p>
            <w:pPr>
              <w:spacing w:after="0"/>
              <w:rPr>
                <w:sz w:val="21"/>
                <w:szCs w:val="21"/>
                <w:color w:val="auto"/>
              </w:rPr>
            </w:pPr>
          </w:p>
        </w:tc>
        <w:tc>
          <w:tcPr>
            <w:tcW w:w="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960" w:type="dxa"/>
            <w:vAlign w:val="bottom"/>
            <w:shd w:val="clear" w:color="auto" w:fill="E7E7E2"/>
          </w:tcPr>
          <w:p>
            <w:pPr>
              <w:ind w:left="20"/>
              <w:spacing w:after="0" w:line="243" w:lineRule="exact"/>
              <w:rPr>
                <w:sz w:val="20"/>
                <w:szCs w:val="20"/>
                <w:color w:val="auto"/>
              </w:rPr>
            </w:pPr>
            <w:r>
              <w:rPr>
                <w:rFonts w:ascii="Arial" w:cs="Arial" w:eastAsia="Arial" w:hAnsi="Arial"/>
                <w:sz w:val="22"/>
                <w:szCs w:val="22"/>
                <w:color w:val="auto"/>
              </w:rPr>
              <w:t>Stock,</w:t>
            </w:r>
          </w:p>
        </w:tc>
        <w:tc>
          <w:tcPr>
            <w:tcW w:w="20" w:type="dxa"/>
            <w:vAlign w:val="bottom"/>
          </w:tcPr>
          <w:p>
            <w:pPr>
              <w:spacing w:after="0"/>
              <w:rPr>
                <w:sz w:val="21"/>
                <w:szCs w:val="21"/>
                <w:color w:val="auto"/>
              </w:rPr>
            </w:pPr>
          </w:p>
        </w:tc>
        <w:tc>
          <w:tcPr>
            <w:tcW w:w="120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1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24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72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1"/>
                <w:szCs w:val="21"/>
                <w:color w:val="auto"/>
              </w:rPr>
            </w:pPr>
          </w:p>
        </w:tc>
        <w:tc>
          <w:tcPr>
            <w:tcW w:w="1060" w:type="dxa"/>
            <w:vAlign w:val="bottom"/>
            <w:shd w:val="clear" w:color="auto" w:fill="E7E7E2"/>
          </w:tcPr>
          <w:p>
            <w:pPr>
              <w:spacing w:after="0"/>
              <w:rPr>
                <w:sz w:val="21"/>
                <w:szCs w:val="21"/>
                <w:color w:val="auto"/>
              </w:rPr>
            </w:pPr>
          </w:p>
        </w:tc>
        <w:tc>
          <w:tcPr>
            <w:tcW w:w="20" w:type="dxa"/>
            <w:vAlign w:val="bottom"/>
          </w:tcPr>
          <w:p>
            <w:pPr>
              <w:spacing w:after="0"/>
              <w:rPr>
                <w:sz w:val="21"/>
                <w:szCs w:val="21"/>
                <w:color w:val="auto"/>
              </w:rPr>
            </w:pPr>
          </w:p>
        </w:tc>
        <w:tc>
          <w:tcPr>
            <w:tcW w:w="1440" w:type="dxa"/>
            <w:vAlign w:val="bottom"/>
            <w:shd w:val="clear" w:color="auto" w:fill="E7E7E2"/>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7"/>
              </w:rPr>
              <w:t>1</w:t>
            </w:r>
          </w:p>
        </w:tc>
        <w:tc>
          <w:tcPr>
            <w:tcW w:w="20" w:type="dxa"/>
            <w:vAlign w:val="bottom"/>
          </w:tcPr>
          <w:p>
            <w:pPr>
              <w:spacing w:after="0"/>
              <w:rPr>
                <w:sz w:val="10"/>
                <w:szCs w:val="10"/>
                <w:color w:val="auto"/>
              </w:rPr>
            </w:pPr>
          </w:p>
        </w:tc>
        <w:tc>
          <w:tcPr>
            <w:tcW w:w="920" w:type="dxa"/>
            <w:vAlign w:val="bottom"/>
            <w:vMerge w:val="restart"/>
            <w:shd w:val="clear" w:color="auto" w:fill="E7E7E2"/>
          </w:tcPr>
          <w:p>
            <w:pPr>
              <w:ind w:left="20"/>
              <w:spacing w:after="0"/>
              <w:rPr>
                <w:sz w:val="20"/>
                <w:szCs w:val="20"/>
                <w:color w:val="auto"/>
              </w:rPr>
            </w:pPr>
            <w:r>
              <w:rPr>
                <w:rFonts w:ascii="Arial" w:cs="Arial" w:eastAsia="Arial" w:hAnsi="Arial"/>
                <w:sz w:val="22"/>
                <w:szCs w:val="22"/>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$0.10 par</w:t>
            </w:r>
          </w:p>
        </w:tc>
        <w:tc>
          <w:tcPr>
            <w:tcW w:w="20" w:type="dxa"/>
            <w:vAlign w:val="bottom"/>
          </w:tcPr>
          <w:p>
            <w:pPr>
              <w:spacing w:after="0"/>
              <w:rPr>
                <w:sz w:val="10"/>
                <w:szCs w:val="1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2"/>
                <w:szCs w:val="22"/>
                <w:color w:val="auto"/>
                <w:w w:val="98"/>
              </w:rPr>
              <w:t>Other</w:t>
            </w:r>
          </w:p>
        </w:tc>
        <w:tc>
          <w:tcPr>
            <w:tcW w:w="20" w:type="dxa"/>
            <w:vAlign w:val="bottom"/>
          </w:tcPr>
          <w:p>
            <w:pPr>
              <w:spacing w:after="0"/>
              <w:rPr>
                <w:sz w:val="10"/>
                <w:szCs w:val="10"/>
                <w:color w:val="auto"/>
              </w:rPr>
            </w:pPr>
          </w:p>
        </w:tc>
        <w:tc>
          <w:tcPr>
            <w:tcW w:w="11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48,575,795</w:t>
            </w:r>
          </w:p>
        </w:tc>
        <w:tc>
          <w:tcPr>
            <w:tcW w:w="20" w:type="dxa"/>
            <w:vAlign w:val="bottom"/>
          </w:tcPr>
          <w:p>
            <w:pPr>
              <w:spacing w:after="0"/>
              <w:rPr>
                <w:sz w:val="10"/>
                <w:szCs w:val="10"/>
                <w:color w:val="auto"/>
              </w:rPr>
            </w:pPr>
          </w:p>
        </w:tc>
        <w:tc>
          <w:tcPr>
            <w:tcW w:w="12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$ 94.44</w:t>
            </w:r>
          </w:p>
        </w:tc>
        <w:tc>
          <w:tcPr>
            <w:tcW w:w="20" w:type="dxa"/>
            <w:vAlign w:val="bottom"/>
          </w:tcPr>
          <w:p>
            <w:pPr>
              <w:spacing w:after="0"/>
              <w:rPr>
                <w:sz w:val="10"/>
                <w:szCs w:val="10"/>
                <w:color w:val="auto"/>
              </w:rPr>
            </w:pPr>
          </w:p>
        </w:tc>
        <w:tc>
          <w:tcPr>
            <w:tcW w:w="17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w w:val="98"/>
              </w:rPr>
              <w:t>0.0001531</w:t>
            </w:r>
          </w:p>
        </w:tc>
        <w:tc>
          <w:tcPr>
            <w:tcW w:w="20" w:type="dxa"/>
            <w:vAlign w:val="bottom"/>
          </w:tcPr>
          <w:p>
            <w:pPr>
              <w:spacing w:after="0"/>
              <w:rPr>
                <w:sz w:val="10"/>
                <w:szCs w:val="1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2"/>
                <w:szCs w:val="22"/>
                <w:color w:val="auto"/>
              </w:rPr>
              <w:t>$ 702,345.96</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720" w:type="dxa"/>
            <w:vAlign w:val="bottom"/>
            <w:shd w:val="clear" w:color="auto" w:fill="E7E7E2"/>
          </w:tcPr>
          <w:p>
            <w:pPr>
              <w:jc w:val="right"/>
              <w:spacing w:after="0" w:line="216" w:lineRule="exact"/>
              <w:rPr>
                <w:sz w:val="20"/>
                <w:szCs w:val="20"/>
                <w:color w:val="auto"/>
              </w:rPr>
            </w:pPr>
            <w:r>
              <w:rPr>
                <w:rFonts w:ascii="Arial" w:cs="Arial" w:eastAsia="Arial" w:hAnsi="Arial"/>
                <w:sz w:val="22"/>
                <w:szCs w:val="22"/>
                <w:color w:val="auto"/>
                <w:w w:val="98"/>
              </w:rPr>
              <w:t>4,587,498,079.80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jc w:val="center"/>
              <w:spacing w:after="0" w:line="149" w:lineRule="exact"/>
              <w:rPr>
                <w:sz w:val="20"/>
                <w:szCs w:val="20"/>
                <w:color w:val="auto"/>
              </w:rPr>
            </w:pPr>
            <w:r>
              <w:rPr>
                <w:rFonts w:ascii="Arial" w:cs="Arial" w:eastAsia="Arial" w:hAnsi="Arial"/>
                <w:sz w:val="17"/>
                <w:szCs w:val="17"/>
                <w:color w:val="auto"/>
              </w:rPr>
              <w:t>value per</w:t>
            </w: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2"/>
                <w:szCs w:val="22"/>
                <w:color w:val="auto"/>
              </w:rPr>
              <w:t>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Offering Amounts:</w:t>
            </w:r>
          </w:p>
        </w:tc>
        <w:tc>
          <w:tcPr>
            <w:tcW w:w="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$ 702,345.96</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Arial" w:cs="Arial" w:eastAsia="Arial" w:hAnsi="Arial"/>
                <w:sz w:val="22"/>
                <w:szCs w:val="22"/>
                <w:color w:val="auto"/>
                <w:w w:val="99"/>
              </w:rPr>
              <w:t>4,587,498,079.80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Total Fee Offsets:</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80" w:type="dxa"/>
            <w:vAlign w:val="bottom"/>
            <w:gridSpan w:val="3"/>
          </w:tcPr>
          <w:p>
            <w:pPr>
              <w:jc w:val="right"/>
              <w:spacing w:after="0"/>
              <w:rPr>
                <w:sz w:val="20"/>
                <w:szCs w:val="20"/>
                <w:color w:val="auto"/>
              </w:rPr>
            </w:pPr>
            <w:r>
              <w:rPr>
                <w:rFonts w:ascii="Arial" w:cs="Arial" w:eastAsia="Arial" w:hAnsi="Arial"/>
                <w:sz w:val="22"/>
                <w:szCs w:val="22"/>
                <w:color w:val="auto"/>
              </w:rPr>
              <w:t>Net Fee Due:</w:t>
            </w: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2"/>
                <w:szCs w:val="22"/>
                <w:color w:val="auto"/>
              </w:rPr>
              <w:t>$ 702,345.96</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40" w:type="dxa"/>
            <w:vAlign w:val="bottom"/>
            <w:tcBorders>
              <w:left w:val="single" w:sz="8" w:color="auto"/>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Offering Note</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color w:val="auto"/>
        </w:rPr>
        <w:t>1</w:t>
      </w:r>
    </w:p>
    <w:p>
      <w:pPr>
        <w:spacing w:after="0" w:line="80" w:lineRule="exact"/>
        <w:rPr>
          <w:sz w:val="20"/>
          <w:szCs w:val="20"/>
          <w:color w:val="auto"/>
        </w:rPr>
      </w:pPr>
    </w:p>
    <w:p>
      <w:pPr>
        <w:ind w:left="560" w:hanging="322"/>
        <w:spacing w:after="0"/>
        <w:tabs>
          <w:tab w:leader="none" w:pos="56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To be issued pursuant to the Micron Technology, Inc. 2025 Equity Incentive Plan.</w:t>
      </w:r>
    </w:p>
    <w:p>
      <w:pPr>
        <w:spacing w:after="0" w:line="233" w:lineRule="exact"/>
        <w:rPr>
          <w:rFonts w:ascii="Arial" w:cs="Arial" w:eastAsia="Arial" w:hAnsi="Arial"/>
          <w:sz w:val="22"/>
          <w:szCs w:val="22"/>
          <w:color w:val="auto"/>
        </w:rPr>
      </w:pPr>
    </w:p>
    <w:p>
      <w:pPr>
        <w:ind w:left="240" w:right="140" w:hanging="2"/>
        <w:spacing w:after="0" w:line="238" w:lineRule="auto"/>
        <w:tabs>
          <w:tab w:leader="none" w:pos="564" w:val="left"/>
        </w:tabs>
        <w:numPr>
          <w:ilvl w:val="0"/>
          <w:numId w:val="32"/>
        </w:numPr>
        <w:rPr>
          <w:rFonts w:ascii="Arial" w:cs="Arial" w:eastAsia="Arial" w:hAnsi="Arial"/>
          <w:sz w:val="22"/>
          <w:szCs w:val="22"/>
          <w:color w:val="auto"/>
        </w:rPr>
      </w:pPr>
      <w:r>
        <w:rPr>
          <w:rFonts w:ascii="Arial" w:cs="Arial" w:eastAsia="Arial" w:hAnsi="Arial"/>
          <w:sz w:val="22"/>
          <w:szCs w:val="22"/>
          <w:color w:val="auto"/>
        </w:rPr>
        <w:t>Pursuant to Rule 416 under the Securities Act of 1933, as amended (the "Securities Act"), to the extent additional shares of the Registrant's Common Stock may be issued or issuable as a result of a stock split, stock dividend, or other distribution declared at any time by the Board of Directors of the Registrant while this Registration Statement is in effect, this Registration Statement is hereby declared to cover all of such additional Common Stock.</w:t>
      </w:r>
    </w:p>
    <w:p>
      <w:pPr>
        <w:spacing w:after="0" w:line="203" w:lineRule="exact"/>
        <w:rPr>
          <w:rFonts w:ascii="Arial" w:cs="Arial" w:eastAsia="Arial" w:hAnsi="Arial"/>
          <w:sz w:val="22"/>
          <w:szCs w:val="22"/>
          <w:color w:val="auto"/>
        </w:rPr>
      </w:pPr>
    </w:p>
    <w:p>
      <w:pPr>
        <w:ind w:left="240" w:hanging="2"/>
        <w:spacing w:after="0" w:line="245" w:lineRule="auto"/>
        <w:tabs>
          <w:tab w:leader="none" w:pos="552" w:val="left"/>
        </w:tabs>
        <w:numPr>
          <w:ilvl w:val="0"/>
          <w:numId w:val="32"/>
        </w:numPr>
        <w:rPr>
          <w:rFonts w:ascii="Arial" w:cs="Arial" w:eastAsia="Arial" w:hAnsi="Arial"/>
          <w:sz w:val="22"/>
          <w:szCs w:val="22"/>
          <w:color w:val="auto"/>
        </w:rPr>
      </w:pPr>
      <w:r>
        <w:rPr>
          <w:rFonts w:ascii="Arial" w:cs="Arial" w:eastAsia="Arial" w:hAnsi="Arial"/>
          <w:sz w:val="22"/>
          <w:szCs w:val="22"/>
          <w:color w:val="auto"/>
        </w:rPr>
        <w:t>Estimated in accordance with Rules 457(c) and 457(h) under the Securities Act, solely for the purpose of calculating the registration fee on the basis of $94.44 per share, which is the average of the high and low price of the Registrant's Common Stock as reported on the Nasdaq Global Select Market on January 13,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78105</wp:posOffset>
            </wp:positionV>
            <wp:extent cx="697738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3">
                      <a:extLst>
                        <a:ext uri="{28A0092B-C50C-407E-A947-70E740481C1C}"/>
                      </a:extLst>
                    </a:blip>
                    <a:srcRect/>
                    <a:stretch>
                      <a:fillRect/>
                    </a:stretch>
                  </pic:blipFill>
                  <pic:spPr bwMode="auto">
                    <a:xfrm>
                      <a:off x="0" y="0"/>
                      <a:ext cx="6977380" cy="42545"/>
                    </a:xfrm>
                    <a:prstGeom prst="rect">
                      <a:avLst/>
                    </a:prstGeom>
                    <a:noFill/>
                  </pic:spPr>
                </pic:pic>
              </a:graphicData>
            </a:graphic>
          </wp:anchor>
        </w:drawing>
      </w:r>
    </w:p>
    <w:sectPr>
      <w:pgSz w:w="11900" w:h="16838" w:orient="portrait"/>
      <w:cols w:equalWidth="0" w:num="1">
        <w:col w:w="11000"/>
      </w:cols>
      <w:pgMar w:left="360" w:top="142"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E6AFB66"/>
    <w:multiLevelType w:val="hybridMultilevel"/>
    <w:lvl w:ilvl="0">
      <w:lvlJc w:val="left"/>
      <w:lvlText w:val="(%1)"/>
      <w:numFmt w:val="lowerLetter"/>
      <w:start w:val="1"/>
    </w:lvl>
  </w:abstractNum>
  <w:abstractNum w:abstractNumId="1">
    <w:nsid w:val="25E45D32"/>
    <w:multiLevelType w:val="hybridMultilevel"/>
    <w:lvl w:ilvl="0">
      <w:lvlJc w:val="left"/>
      <w:lvlText w:val="(%1)"/>
      <w:numFmt w:val="lowerLetter"/>
      <w:start w:val="3"/>
    </w:lvl>
  </w:abstractNum>
  <w:abstractNum w:abstractNumId="2">
    <w:nsid w:val="519B500D"/>
    <w:multiLevelType w:val="hybridMultilevel"/>
    <w:lvl w:ilvl="0">
      <w:lvlJc w:val="left"/>
      <w:lvlText w:val="(%1)"/>
      <w:numFmt w:val="decimal"/>
      <w:start w:val="1"/>
    </w:lvl>
  </w:abstractNum>
  <w:abstractNum w:abstractNumId="3">
    <w:nsid w:val="431BD7B7"/>
    <w:multiLevelType w:val="hybridMultilevel"/>
    <w:lvl w:ilvl="0">
      <w:lvlJc w:val="left"/>
      <w:lvlText w:val="(%1)"/>
      <w:numFmt w:val="lowerRoman"/>
      <w:start w:val="2"/>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lowerLetter"/>
      <w:start w:val="2"/>
    </w:lvl>
  </w:abstractNum>
  <w:abstractNum w:abstractNumId="6">
    <w:nsid w:val="257130A3"/>
    <w:multiLevelType w:val="hybridMultilevel"/>
    <w:lvl w:ilvl="0">
      <w:lvlJc w:val="left"/>
      <w:lvlText w:val="(%1)"/>
      <w:numFmt w:val="upperLetter"/>
      <w:start w:val="2"/>
    </w:lvl>
  </w:abstractNum>
  <w:abstractNum w:abstractNumId="7">
    <w:nsid w:val="62BBD95A"/>
    <w:multiLevelType w:val="hybridMultilevel"/>
    <w:lvl w:ilvl="0">
      <w:lvlJc w:val="left"/>
      <w:lvlText w:val="(%1)"/>
      <w:numFmt w:val="lowerRoman"/>
      <w:start w:val="2"/>
    </w:lvl>
  </w:abstractNum>
  <w:abstractNum w:abstractNumId="8">
    <w:nsid w:val="436C6125"/>
    <w:multiLevelType w:val="hybridMultilevel"/>
    <w:lvl w:ilvl="0">
      <w:lvlJc w:val="left"/>
      <w:lvlText w:val="(%1)"/>
      <w:numFmt w:val="lowerRoman"/>
      <w:start w:val="2"/>
    </w:lvl>
  </w:abstractNum>
  <w:abstractNum w:abstractNumId="9">
    <w:nsid w:val="628C895D"/>
    <w:multiLevelType w:val="hybridMultilevel"/>
    <w:lvl w:ilvl="0">
      <w:lvlJc w:val="left"/>
      <w:lvlText w:val="·"/>
      <w:numFmt w:val="bullet"/>
      <w:start w:val="1"/>
    </w:lvl>
    <w:lvl w:ilvl="1">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lvl w:ilvl="1">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o"/>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
      <w:numFmt w:val="bullet"/>
      <w:start w:val="1"/>
    </w:lvl>
    <w:lvl w:ilvl="1">
      <w:lvlJc w:val="left"/>
      <w:lvlText w:val="·"/>
      <w:numFmt w:val="bullet"/>
      <w:start w:val="1"/>
    </w:lvl>
  </w:abstractNum>
  <w:abstractNum w:abstractNumId="19">
    <w:nsid w:val="B03E0C6"/>
    <w:multiLevelType w:val="hybridMultilevel"/>
    <w:lvl w:ilvl="0">
      <w:lvlJc w:val="left"/>
      <w:lvlText w:val="·"/>
      <w:numFmt w:val="bullet"/>
      <w:start w:val="1"/>
    </w:lvl>
  </w:abstractNum>
  <w:abstractNum w:abstractNumId="20">
    <w:nsid w:val="189A769B"/>
    <w:multiLevelType w:val="hybridMultilevel"/>
    <w:lvl w:ilvl="0">
      <w:lvlJc w:val="left"/>
      <w:lvlText w:val="·"/>
      <w:numFmt w:val="bullet"/>
      <w:start w:val="1"/>
    </w:lvl>
  </w:abstractNum>
  <w:abstractNum w:abstractNumId="21">
    <w:nsid w:val="54E49EB4"/>
    <w:multiLevelType w:val="hybridMultilevel"/>
    <w:lvl w:ilvl="0">
      <w:lvlJc w:val="left"/>
      <w:lvlText w:val="o"/>
      <w:numFmt w:val="bullet"/>
      <w:start w:val="1"/>
    </w:lvl>
  </w:abstractNum>
  <w:abstractNum w:abstractNumId="22">
    <w:nsid w:val="71F32454"/>
    <w:multiLevelType w:val="hybridMultilevel"/>
    <w:lvl w:ilvl="0">
      <w:lvlJc w:val="left"/>
      <w:lvlText w:val="·"/>
      <w:numFmt w:val="bullet"/>
      <w:start w:val="1"/>
    </w:lvl>
  </w:abstractNum>
  <w:abstractNum w:abstractNumId="23">
    <w:nsid w:val="2CA88611"/>
    <w:multiLevelType w:val="hybridMultilevel"/>
    <w:lvl w:ilvl="0">
      <w:lvlJc w:val="left"/>
      <w:lvlText w:val="·"/>
      <w:numFmt w:val="bullet"/>
      <w:start w:val="1"/>
    </w:lvl>
  </w:abstractNum>
  <w:abstractNum w:abstractNumId="24">
    <w:nsid w:val="836C40E"/>
    <w:multiLevelType w:val="hybridMultilevel"/>
    <w:lvl w:ilvl="0">
      <w:lvlJc w:val="left"/>
      <w:lvlText w:val="·"/>
      <w:numFmt w:val="bullet"/>
      <w:start w:val="1"/>
    </w:lvl>
  </w:abstractNum>
  <w:abstractNum w:abstractNumId="25">
    <w:nsid w:val="2901D82"/>
    <w:multiLevelType w:val="hybridMultilevel"/>
    <w:lvl w:ilvl="0">
      <w:lvlJc w:val="left"/>
      <w:lvlText w:val="·"/>
      <w:numFmt w:val="bullet"/>
      <w:start w:val="1"/>
    </w:lvl>
  </w:abstractNum>
  <w:abstractNum w:abstractNumId="26">
    <w:nsid w:val="3A95F874"/>
    <w:multiLevelType w:val="hybridMultilevel"/>
    <w:lvl w:ilvl="0">
      <w:lvlJc w:val="left"/>
      <w:lvlText w:val="(%1)"/>
      <w:numFmt w:val="decimal"/>
      <w:start w:val="6"/>
    </w:lvl>
    <w:lvl w:ilvl="1">
      <w:lvlJc w:val="left"/>
      <w:lvlText w:val="-"/>
      <w:numFmt w:val="bullet"/>
      <w:start w:val="1"/>
    </w:lvl>
  </w:abstractNum>
  <w:abstractNum w:abstractNumId="27">
    <w:nsid w:val="8138641"/>
    <w:multiLevelType w:val="hybridMultilevel"/>
    <w:lvl w:ilvl="0">
      <w:lvlJc w:val="left"/>
      <w:lvlText w:val="(%1)"/>
      <w:numFmt w:val="decimal"/>
      <w:start w:val="6"/>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1)"/>
      <w:numFmt w:val="decimal"/>
      <w:start w:val="6"/>
    </w:lvl>
    <w:lvl w:ilvl="1">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23" Type="http://schemas.openxmlformats.org/officeDocument/2006/relationships/image" Target="media/image8.png"/><Relationship Id="rId24"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jpeg"/><Relationship Id="rId30" Type="http://schemas.openxmlformats.org/officeDocument/2006/relationships/image" Target="media/image12.png"/><Relationship Id="rId31" Type="http://schemas.openxmlformats.org/officeDocument/2006/relationships/image" Target="media/image13.jpe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37" Type="http://schemas.openxmlformats.org/officeDocument/2006/relationships/image" Target="media/image19.png"/><Relationship Id="rId38" Type="http://schemas.openxmlformats.org/officeDocument/2006/relationships/image" Target="media/image20.png"/><Relationship Id="rId39" Type="http://schemas.openxmlformats.org/officeDocument/2006/relationships/image" Target="media/image21.png"/><Relationship Id="rId40" Type="http://schemas.openxmlformats.org/officeDocument/2006/relationships/image" Target="media/image22.png"/><Relationship Id="rId41" Type="http://schemas.openxmlformats.org/officeDocument/2006/relationships/image" Target="media/image23.png"/><Relationship Id="rId42" Type="http://schemas.openxmlformats.org/officeDocument/2006/relationships/image" Target="media/image24.png"/><Relationship Id="rId43" Type="http://schemas.openxmlformats.org/officeDocument/2006/relationships/image" Target="media/image25.png"/><Relationship Id="rId44" Type="http://schemas.openxmlformats.org/officeDocument/2006/relationships/image" Target="media/image26.png"/><Relationship Id="rId45" Type="http://schemas.openxmlformats.org/officeDocument/2006/relationships/image" Target="media/image27.png"/><Relationship Id="rId46" Type="http://schemas.openxmlformats.org/officeDocument/2006/relationships/image" Target="media/image28.png"/><Relationship Id="rId47"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pn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57" Type="http://schemas.openxmlformats.org/officeDocument/2006/relationships/image" Target="media/image39.png"/><Relationship Id="rId58" Type="http://schemas.openxmlformats.org/officeDocument/2006/relationships/image" Target="media/image40.png"/><Relationship Id="rId59" Type="http://schemas.openxmlformats.org/officeDocument/2006/relationships/image" Target="media/image41.png"/><Relationship Id="rId60" Type="http://schemas.openxmlformats.org/officeDocument/2006/relationships/image" Target="media/image42.png"/><Relationship Id="rId61" Type="http://schemas.openxmlformats.org/officeDocument/2006/relationships/image" Target="media/image43.png"/><Relationship Id="rId62" Type="http://schemas.openxmlformats.org/officeDocument/2006/relationships/image" Target="media/image44.png"/><Relationship Id="rId63" Type="http://schemas.openxmlformats.org/officeDocument/2006/relationships/image" Target="media/image45.png"/><Relationship Id="rId64" Type="http://schemas.openxmlformats.org/officeDocument/2006/relationships/image" Target="media/image46.png"/><Relationship Id="rId65" Type="http://schemas.openxmlformats.org/officeDocument/2006/relationships/image" Target="media/image47.png"/><Relationship Id="rId66" Type="http://schemas.openxmlformats.org/officeDocument/2006/relationships/image" Target="media/image48.png"/><Relationship Id="rId67" Type="http://schemas.openxmlformats.org/officeDocument/2006/relationships/image" Target="media/image49.png"/><Relationship Id="rId68" Type="http://schemas.openxmlformats.org/officeDocument/2006/relationships/image" Target="media/image50.png"/><Relationship Id="rId69" Type="http://schemas.openxmlformats.org/officeDocument/2006/relationships/image" Target="media/image51.png"/><Relationship Id="rId70" Type="http://schemas.openxmlformats.org/officeDocument/2006/relationships/image" Target="media/image52.png"/><Relationship Id="rId71" Type="http://schemas.openxmlformats.org/officeDocument/2006/relationships/image" Target="media/image53.png"/><Relationship Id="rId72" Type="http://schemas.openxmlformats.org/officeDocument/2006/relationships/image" Target="media/image54.png"/><Relationship Id="rId73" Type="http://schemas.openxmlformats.org/officeDocument/2006/relationships/image" Target="media/image55.png"/><Relationship Id="rId74" Type="http://schemas.openxmlformats.org/officeDocument/2006/relationships/image" Target="media/image56.png"/><Relationship Id="rId75" Type="http://schemas.openxmlformats.org/officeDocument/2006/relationships/image" Target="media/image57.png"/><Relationship Id="rId76" Type="http://schemas.openxmlformats.org/officeDocument/2006/relationships/image" Target="media/image58.png"/><Relationship Id="rId77" Type="http://schemas.openxmlformats.org/officeDocument/2006/relationships/image" Target="media/image59.png"/><Relationship Id="rId78" Type="http://schemas.openxmlformats.org/officeDocument/2006/relationships/image" Target="media/image60.png"/><Relationship Id="rId79" Type="http://schemas.openxmlformats.org/officeDocument/2006/relationships/image" Target="media/image61.png"/><Relationship Id="rId80" Type="http://schemas.openxmlformats.org/officeDocument/2006/relationships/image" Target="media/image62.png"/><Relationship Id="rId81" Type="http://schemas.openxmlformats.org/officeDocument/2006/relationships/image" Target="media/image63.png"/><Relationship Id="rId82" Type="http://schemas.openxmlformats.org/officeDocument/2006/relationships/image" Target="media/image64.png"/><Relationship Id="rId83" Type="http://schemas.openxmlformats.org/officeDocument/2006/relationships/image" Target="media/image65.png"/><Relationship Id="rId84" Type="http://schemas.openxmlformats.org/officeDocument/2006/relationships/image" Target="media/image66.png"/><Relationship Id="rId85" Type="http://schemas.openxmlformats.org/officeDocument/2006/relationships/image" Target="media/image67.png"/><Relationship Id="rId86" Type="http://schemas.openxmlformats.org/officeDocument/2006/relationships/image" Target="media/image68.png"/><Relationship Id="rId87" Type="http://schemas.openxmlformats.org/officeDocument/2006/relationships/image" Target="media/image69.png"/><Relationship Id="rId88" Type="http://schemas.openxmlformats.org/officeDocument/2006/relationships/image" Target="media/image70.png"/><Relationship Id="rId89" Type="http://schemas.openxmlformats.org/officeDocument/2006/relationships/image" Target="media/image71.png"/><Relationship Id="rId90" Type="http://schemas.openxmlformats.org/officeDocument/2006/relationships/image" Target="media/image72.png"/><Relationship Id="rId91" Type="http://schemas.openxmlformats.org/officeDocument/2006/relationships/image" Target="media/image73.png"/><Relationship Id="rId92" Type="http://schemas.openxmlformats.org/officeDocument/2006/relationships/image" Target="media/image74.png"/><Relationship Id="rId93" Type="http://schemas.openxmlformats.org/officeDocument/2006/relationships/image" Target="media/image75.png"/><Relationship Id="rId94" Type="http://schemas.openxmlformats.org/officeDocument/2006/relationships/image" Target="media/image76.png"/><Relationship Id="rId95" Type="http://schemas.openxmlformats.org/officeDocument/2006/relationships/image" Target="media/image77.png"/><Relationship Id="rId96" Type="http://schemas.openxmlformats.org/officeDocument/2006/relationships/image" Target="media/image78.png"/><Relationship Id="rId97" Type="http://schemas.openxmlformats.org/officeDocument/2006/relationships/image" Target="media/image79.png"/><Relationship Id="rId98" Type="http://schemas.openxmlformats.org/officeDocument/2006/relationships/image" Target="media/image80.png"/><Relationship Id="rId99" Type="http://schemas.openxmlformats.org/officeDocument/2006/relationships/image" Target="media/image81.png"/><Relationship Id="rId100" Type="http://schemas.openxmlformats.org/officeDocument/2006/relationships/image" Target="media/image82.png"/><Relationship Id="rId101" Type="http://schemas.openxmlformats.org/officeDocument/2006/relationships/image" Target="media/image83.png"/><Relationship Id="rId102" Type="http://schemas.openxmlformats.org/officeDocument/2006/relationships/image" Target="media/image84.png"/><Relationship Id="rId103" Type="http://schemas.openxmlformats.org/officeDocument/2006/relationships/image" Target="media/image85.png"/><Relationship Id="rId104" Type="http://schemas.openxmlformats.org/officeDocument/2006/relationships/image" Target="media/image86.png"/><Relationship Id="rId105" Type="http://schemas.openxmlformats.org/officeDocument/2006/relationships/image" Target="media/image87.png"/><Relationship Id="rId106" Type="http://schemas.openxmlformats.org/officeDocument/2006/relationships/image" Target="media/image88.png"/><Relationship Id="rId107" Type="http://schemas.openxmlformats.org/officeDocument/2006/relationships/image" Target="media/image89.png"/><Relationship Id="rId108" Type="http://schemas.openxmlformats.org/officeDocument/2006/relationships/image" Target="media/image90.png"/><Relationship Id="rId109" Type="http://schemas.openxmlformats.org/officeDocument/2006/relationships/image" Target="media/image91.png"/><Relationship Id="rId110" Type="http://schemas.openxmlformats.org/officeDocument/2006/relationships/image" Target="media/image92.png"/><Relationship Id="rId111" Type="http://schemas.openxmlformats.org/officeDocument/2006/relationships/image" Target="media/image93.png"/><Relationship Id="rId112" Type="http://schemas.openxmlformats.org/officeDocument/2006/relationships/image" Target="media/image94.png"/><Relationship Id="rId113" Type="http://schemas.openxmlformats.org/officeDocument/2006/relationships/image" Target="media/image95.png"/><Relationship Id="rId114" Type="http://schemas.openxmlformats.org/officeDocument/2006/relationships/image" Target="media/image96.png"/><Relationship Id="rId115" Type="http://schemas.openxmlformats.org/officeDocument/2006/relationships/image" Target="media/image97.png"/><Relationship Id="rId116" Type="http://schemas.openxmlformats.org/officeDocument/2006/relationships/image" Target="media/image98.png"/><Relationship Id="rId117" Type="http://schemas.openxmlformats.org/officeDocument/2006/relationships/image" Target="media/image99.png"/><Relationship Id="rId118" Type="http://schemas.openxmlformats.org/officeDocument/2006/relationships/image" Target="media/image100.png"/><Relationship Id="rId119" Type="http://schemas.openxmlformats.org/officeDocument/2006/relationships/image" Target="media/image101.png"/><Relationship Id="rId120" Type="http://schemas.openxmlformats.org/officeDocument/2006/relationships/image" Target="media/image102.png"/><Relationship Id="rId121" Type="http://schemas.openxmlformats.org/officeDocument/2006/relationships/image" Target="media/image103.png"/><Relationship Id="rId122" Type="http://schemas.openxmlformats.org/officeDocument/2006/relationships/image" Target="media/image104.png"/><Relationship Id="rId123" Type="http://schemas.openxmlformats.org/officeDocument/2006/relationships/image" Target="media/image105.png"/><Relationship Id="rId124" Type="http://schemas.openxmlformats.org/officeDocument/2006/relationships/image" Target="media/image106.png"/><Relationship Id="rId125" Type="http://schemas.openxmlformats.org/officeDocument/2006/relationships/image" Target="media/image107.png"/><Relationship Id="rId126" Type="http://schemas.openxmlformats.org/officeDocument/2006/relationships/image" Target="media/image108.png"/><Relationship Id="rId127" Type="http://schemas.openxmlformats.org/officeDocument/2006/relationships/image" Target="media/image109.png"/><Relationship Id="rId128" Type="http://schemas.openxmlformats.org/officeDocument/2006/relationships/image" Target="media/image110.png"/><Relationship Id="rId129" Type="http://schemas.openxmlformats.org/officeDocument/2006/relationships/image" Target="media/image111.png"/><Relationship Id="rId130" Type="http://schemas.openxmlformats.org/officeDocument/2006/relationships/image" Target="media/image112.png"/><Relationship Id="rId131" Type="http://schemas.openxmlformats.org/officeDocument/2006/relationships/image" Target="media/image113.png"/><Relationship Id="rId132" Type="http://schemas.openxmlformats.org/officeDocument/2006/relationships/image" Target="media/image114.png"/><Relationship Id="rId133" Type="http://schemas.openxmlformats.org/officeDocument/2006/relationships/image" Target="media/image115.png"/><Relationship Id="rId134" Type="http://schemas.openxmlformats.org/officeDocument/2006/relationships/image" Target="media/image116.png"/><Relationship Id="rId135" Type="http://schemas.openxmlformats.org/officeDocument/2006/relationships/image" Target="media/image117.png"/><Relationship Id="rId136" Type="http://schemas.openxmlformats.org/officeDocument/2006/relationships/image" Target="media/image118.png"/><Relationship Id="rId137" Type="http://schemas.openxmlformats.org/officeDocument/2006/relationships/image" Target="media/image119.png"/><Relationship Id="rId138" Type="http://schemas.openxmlformats.org/officeDocument/2006/relationships/image" Target="media/image120.png"/><Relationship Id="rId139" Type="http://schemas.openxmlformats.org/officeDocument/2006/relationships/image" Target="media/image121.png"/><Relationship Id="rId140"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3" Type="http://schemas.openxmlformats.org/officeDocument/2006/relationships/image" Target="media/image125.png"/><Relationship Id="rId144" Type="http://schemas.openxmlformats.org/officeDocument/2006/relationships/image" Target="media/image126.png"/><Relationship Id="rId145" Type="http://schemas.openxmlformats.org/officeDocument/2006/relationships/image" Target="media/image127.png"/><Relationship Id="rId146" Type="http://schemas.openxmlformats.org/officeDocument/2006/relationships/image" Target="media/image128.png"/><Relationship Id="rId147" Type="http://schemas.openxmlformats.org/officeDocument/2006/relationships/image" Target="media/image129.png"/><Relationship Id="rId148" Type="http://schemas.openxmlformats.org/officeDocument/2006/relationships/image" Target="media/image130.png"/><Relationship Id="rId149" Type="http://schemas.openxmlformats.org/officeDocument/2006/relationships/image" Target="media/image131.png"/><Relationship Id="rId150" Type="http://schemas.openxmlformats.org/officeDocument/2006/relationships/image" Target="media/image132.png"/><Relationship Id="rId151" Type="http://schemas.openxmlformats.org/officeDocument/2006/relationships/image" Target="media/image133.png"/><Relationship Id="rId152" Type="http://schemas.openxmlformats.org/officeDocument/2006/relationships/image" Target="media/image134.png"/><Relationship Id="rId153" Type="http://schemas.openxmlformats.org/officeDocument/2006/relationships/image" Target="media/image135.png"/><Relationship Id="rId154" Type="http://schemas.openxmlformats.org/officeDocument/2006/relationships/image" Target="media/image136.png"/><Relationship Id="rId155" Type="http://schemas.openxmlformats.org/officeDocument/2006/relationships/image" Target="media/image137.png"/><Relationship Id="rId156" Type="http://schemas.openxmlformats.org/officeDocument/2006/relationships/image" Target="media/image138.png"/><Relationship Id="rId157" Type="http://schemas.openxmlformats.org/officeDocument/2006/relationships/image" Target="media/image139.png"/><Relationship Id="rId158" Type="http://schemas.openxmlformats.org/officeDocument/2006/relationships/image" Target="media/image140.png"/><Relationship Id="rId159" Type="http://schemas.openxmlformats.org/officeDocument/2006/relationships/image" Target="media/image141.png"/><Relationship Id="rId160" Type="http://schemas.openxmlformats.org/officeDocument/2006/relationships/image" Target="media/image142.png"/><Relationship Id="rId161" Type="http://schemas.openxmlformats.org/officeDocument/2006/relationships/image" Target="media/image143.png"/><Relationship Id="rId162" Type="http://schemas.openxmlformats.org/officeDocument/2006/relationships/image" Target="media/image144.png"/><Relationship Id="rId163" Type="http://schemas.openxmlformats.org/officeDocument/2006/relationships/image" Target="media/image145.png"/><Relationship Id="rId164" Type="http://schemas.openxmlformats.org/officeDocument/2006/relationships/image" Target="media/image146.png"/><Relationship Id="rId165" Type="http://schemas.openxmlformats.org/officeDocument/2006/relationships/image" Target="media/image147.png"/><Relationship Id="rId166" Type="http://schemas.openxmlformats.org/officeDocument/2006/relationships/image" Target="media/image148.png"/><Relationship Id="rId167" Type="http://schemas.openxmlformats.org/officeDocument/2006/relationships/image" Target="media/image149.png"/><Relationship Id="rId168" Type="http://schemas.openxmlformats.org/officeDocument/2006/relationships/image" Target="media/image150.png"/><Relationship Id="rId169" Type="http://schemas.openxmlformats.org/officeDocument/2006/relationships/image" Target="media/image151.png"/><Relationship Id="rId170" Type="http://schemas.openxmlformats.org/officeDocument/2006/relationships/image" Target="media/image152.png"/><Relationship Id="rId171" Type="http://schemas.openxmlformats.org/officeDocument/2006/relationships/image" Target="media/image153.png"/><Relationship Id="rId172" Type="http://schemas.openxmlformats.org/officeDocument/2006/relationships/image" Target="media/image154.png"/><Relationship Id="rId173" Type="http://schemas.openxmlformats.org/officeDocument/2006/relationships/image" Target="media/image155.png"/><Relationship Id="rId174" Type="http://schemas.openxmlformats.org/officeDocument/2006/relationships/image" Target="media/image156.png"/><Relationship Id="rId175" Type="http://schemas.openxmlformats.org/officeDocument/2006/relationships/image" Target="media/image157.png"/><Relationship Id="rId176" Type="http://schemas.openxmlformats.org/officeDocument/2006/relationships/image" Target="media/image158.png"/><Relationship Id="rId177" Type="http://schemas.openxmlformats.org/officeDocument/2006/relationships/image" Target="media/image159.png"/><Relationship Id="rId178" Type="http://schemas.openxmlformats.org/officeDocument/2006/relationships/image" Target="media/image160.png"/><Relationship Id="rId179" Type="http://schemas.openxmlformats.org/officeDocument/2006/relationships/image" Target="media/image161.png"/><Relationship Id="rId180" Type="http://schemas.openxmlformats.org/officeDocument/2006/relationships/image" Target="media/image162.png"/><Relationship Id="rId181" Type="http://schemas.openxmlformats.org/officeDocument/2006/relationships/image" Target="media/image163.png"/><Relationship Id="rId182" Type="http://schemas.openxmlformats.org/officeDocument/2006/relationships/image" Target="media/image164.png"/><Relationship Id="rId183" Type="http://schemas.openxmlformats.org/officeDocument/2006/relationships/image" Target="media/image165.png"/><Relationship Id="rId184" Type="http://schemas.openxmlformats.org/officeDocument/2006/relationships/image" Target="media/image166.png"/><Relationship Id="rId185" Type="http://schemas.openxmlformats.org/officeDocument/2006/relationships/image" Target="media/image167.png"/><Relationship Id="rId186" Type="http://schemas.openxmlformats.org/officeDocument/2006/relationships/image" Target="media/image168.png"/><Relationship Id="rId187" Type="http://schemas.openxmlformats.org/officeDocument/2006/relationships/image" Target="media/image169.png"/><Relationship Id="rId188" Type="http://schemas.openxmlformats.org/officeDocument/2006/relationships/image" Target="media/image170.png"/><Relationship Id="rId189" Type="http://schemas.openxmlformats.org/officeDocument/2006/relationships/image" Target="media/image171.png"/><Relationship Id="rId190" Type="http://schemas.openxmlformats.org/officeDocument/2006/relationships/image" Target="media/image172.png"/><Relationship Id="rId191" Type="http://schemas.openxmlformats.org/officeDocument/2006/relationships/image" Target="media/image173.png"/><Relationship Id="rId192" Type="http://schemas.openxmlformats.org/officeDocument/2006/relationships/image" Target="media/image174.png"/><Relationship Id="rId193" Type="http://schemas.openxmlformats.org/officeDocument/2006/relationships/image" Target="media/image175.png"/><Relationship Id="rId194" Type="http://schemas.openxmlformats.org/officeDocument/2006/relationships/image" Target="media/image176.png"/><Relationship Id="rId195" Type="http://schemas.openxmlformats.org/officeDocument/2006/relationships/image" Target="media/image177.png"/><Relationship Id="rId196" Type="http://schemas.openxmlformats.org/officeDocument/2006/relationships/image" Target="media/image178.png"/><Relationship Id="rId197" Type="http://schemas.openxmlformats.org/officeDocument/2006/relationships/image" Target="media/image179.png"/><Relationship Id="rId198" Type="http://schemas.openxmlformats.org/officeDocument/2006/relationships/image" Target="media/image180.png"/><Relationship Id="rId199" Type="http://schemas.openxmlformats.org/officeDocument/2006/relationships/image" Target="media/image181.png"/><Relationship Id="rId200" Type="http://schemas.openxmlformats.org/officeDocument/2006/relationships/image" Target="media/image182.png"/><Relationship Id="rId201" Type="http://schemas.openxmlformats.org/officeDocument/2006/relationships/image" Target="media/image183.png"/><Relationship Id="rId202" Type="http://schemas.openxmlformats.org/officeDocument/2006/relationships/image" Target="media/image184.png"/><Relationship Id="rId203" Type="http://schemas.openxmlformats.org/officeDocument/2006/relationships/image" Target="media/image185.png"/><Relationship Id="rId15" Type="http://schemas.openxmlformats.org/officeDocument/2006/relationships/hyperlink" Target="https://www.sec.gov/ix?doc=/Archives/edgar/data/723125/000072312524000027/mu-20240829.htm" TargetMode="External"/><Relationship Id="rId16" Type="http://schemas.openxmlformats.org/officeDocument/2006/relationships/hyperlink" Target="https://www.sec.gov/ix?doc=/Archives/edgar/data/0000723125/000072312524000047/mu-20241128.htm" TargetMode="External"/><Relationship Id="rId17" Type="http://schemas.openxmlformats.org/officeDocument/2006/relationships/hyperlink" Target="https://www.sec.gov/ix?doc=/Archives/edgar/data/0000723125/000072312524000039/mu-20241126.htm" TargetMode="External"/><Relationship Id="rId18" Type="http://schemas.openxmlformats.org/officeDocument/2006/relationships/hyperlink" Target="https://www.sec.gov/ix?doc=/Archives/edgar/data/0000723125/000110465924112626/tm2425615d2_8k.htm" TargetMode="External"/><Relationship Id="rId19" Type="http://schemas.openxmlformats.org/officeDocument/2006/relationships/hyperlink" Target="https://www.sec.gov/ix?doc=/Archives/edgar/data/0000723125/000110465924127174/tm2430615d1_8k.htm" TargetMode="External"/><Relationship Id="rId20" Type="http://schemas.openxmlformats.org/officeDocument/2006/relationships/hyperlink" Target="https://www.sec.gov/ix?doc=/Archives/edgar/data/723125/000110465925004100/tm2425615d5_8k.htm" TargetMode="External"/><Relationship Id="rId21" Type="http://schemas.openxmlformats.org/officeDocument/2006/relationships/hyperlink" Target="https://www.sec.gov/ix?doc=/Archives/edgar/data/723125/000110465925004879/tm253757d1_8k.htm" TargetMode="External"/><Relationship Id="rId22" Type="http://schemas.openxmlformats.org/officeDocument/2006/relationships/hyperlink" Target="https://www.sec.gov/Archives/edgar/data/723125/000072312509000145/form8a12b-nasdaq.htm" TargetMode="External"/><Relationship Id="rId25" Type="http://schemas.openxmlformats.org/officeDocument/2006/relationships/hyperlink" Target="https://www.sec.gov/Archives/edgar/data/723125/000110465915004447/a15-3005_2ex99d2.htm" TargetMode="External"/><Relationship Id="rId26" Type="http://schemas.openxmlformats.org/officeDocument/2006/relationships/hyperlink" Target="https://www.sec.gov/Archives/edgar/data/723125/000110465924112626/tm2425615d2_ex3-1.htm" TargetMode="External"/><Relationship Id="rId27" Type="http://schemas.openxmlformats.org/officeDocument/2006/relationships/hyperlink" Target="https://www.sec.gov/Archives/edgar/data/723125/000110465925004879/tm253757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2025-01-21T15:51:54Z</dcterms:created>
  <dcterms:modified xsi:type="dcterms:W3CDTF">2025-01-21T15:51:54Z</dcterms:modified>
</cp:coreProperties>
</file>