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22,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March 22, 2018, we announced the financial results for our second quarter of fiscal year 2018 ended March 1, 2018. The full text of the press release issued in connection with the announcement is attached as Exhibit 99.1 to this Current Report on Form 8-K.</w:t>
      </w:r>
    </w:p>
    <w:p>
      <w:pPr>
        <w:spacing w:after="0" w:line="170"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(the "Securities Act"), or the Exchange Act, except as shall be expressly set forth by specific reference in such filing or document.</w:t>
      </w:r>
    </w:p>
    <w:p>
      <w:pPr>
        <w:spacing w:after="0" w:line="330"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furnishing certain information regarding our business on Exhibit 99.2 to this report.</w:t>
      </w:r>
    </w:p>
    <w:p>
      <w:pPr>
        <w:spacing w:after="0" w:line="225" w:lineRule="exact"/>
        <w:rPr>
          <w:sz w:val="20"/>
          <w:szCs w:val="20"/>
          <w:color w:val="auto"/>
        </w:rPr>
      </w:pPr>
    </w:p>
    <w:p>
      <w:pPr>
        <w:ind w:right="600" w:firstLine="324"/>
        <w:spacing w:after="0" w:line="312" w:lineRule="auto"/>
        <w:rPr>
          <w:sz w:val="20"/>
          <w:szCs w:val="20"/>
          <w:color w:val="auto"/>
        </w:rPr>
      </w:pPr>
      <w:r>
        <w:rPr>
          <w:rFonts w:ascii="Arial" w:cs="Arial" w:eastAsia="Arial" w:hAnsi="Arial"/>
          <w:sz w:val="16"/>
          <w:szCs w:val="16"/>
          <w:color w:val="auto"/>
        </w:rPr>
        <w:t>The information in Item 7.01 of this Current Report on Form 8-K shall not be deemed "filed" for purposes of Section 18 of the Exchange Act or otherwise subject to the liabilities of that section. In addition, this information shall not be incorporated by reference into any filing or other document pursuant to the Securities Act, or the Exchange Act, except as shall be expressly set forth by specific reference in such filing or document.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6"/>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6"/>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196"/>
        </w:trPr>
        <w:tc>
          <w:tcPr>
            <w:tcW w:w="10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issued on March 22, 2018</w:t>
              </w:r>
            </w:hyperlink>
          </w:p>
        </w:tc>
        <w:tc>
          <w:tcPr>
            <w:tcW w:w="6880" w:type="dxa"/>
            <w:vAlign w:val="bottom"/>
            <w:gridSpan w:val="2"/>
          </w:tcPr>
          <w:p>
            <w:pPr>
              <w:spacing w:after="0"/>
              <w:rPr>
                <w:sz w:val="17"/>
                <w:szCs w:val="17"/>
                <w:color w:val="auto"/>
              </w:rPr>
            </w:pPr>
          </w:p>
        </w:tc>
      </w:tr>
      <w:tr>
        <w:trPr>
          <w:trHeight w:val="250"/>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2">
              <w:r>
                <w:rPr>
                  <w:rFonts w:ascii="Arial" w:cs="Arial" w:eastAsia="Arial" w:hAnsi="Arial"/>
                  <w:sz w:val="18"/>
                  <w:szCs w:val="18"/>
                  <w:color w:val="0000FF"/>
                  <w:w w:val="90"/>
                </w:rPr>
                <w:t>Disclosure regarding business of Micron Technology, Inc.</w:t>
              </w:r>
            </w:hyperlink>
          </w:p>
        </w:tc>
        <w:tc>
          <w:tcPr>
            <w:tcW w:w="5600" w:type="dxa"/>
            <w:vAlign w:val="bottom"/>
          </w:tcPr>
          <w:p>
            <w:pPr>
              <w:spacing w:after="0"/>
              <w:rPr>
                <w:sz w:val="21"/>
                <w:szCs w:val="21"/>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100" w:type="dxa"/>
            <w:vAlign w:val="bottom"/>
            <w:gridSpan w:val="2"/>
          </w:tcPr>
          <w:p>
            <w:pPr>
              <w:ind w:left="18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80"/>
              <w:spacing w:after="0"/>
              <w:rPr>
                <w:sz w:val="20"/>
                <w:szCs w:val="20"/>
                <w:color w:val="auto"/>
              </w:rPr>
            </w:pPr>
            <w:r>
              <w:rPr>
                <w:rFonts w:ascii="Arial" w:cs="Arial" w:eastAsia="Arial" w:hAnsi="Arial"/>
                <w:sz w:val="18"/>
                <w:szCs w:val="18"/>
                <w:color w:val="auto"/>
              </w:rPr>
              <w:t>March 22, 2018</w:t>
            </w:r>
          </w:p>
        </w:tc>
        <w:tc>
          <w:tcPr>
            <w:tcW w:w="2760" w:type="dxa"/>
            <w:vAlign w:val="bottom"/>
          </w:tcPr>
          <w:p>
            <w:pPr>
              <w:ind w:left="182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760" w:type="dxa"/>
            <w:vAlign w:val="bottom"/>
            <w:vMerge w:val="restart"/>
          </w:tcPr>
          <w:p>
            <w:pPr>
              <w:ind w:left="182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760" w:type="dxa"/>
            <w:vAlign w:val="bottom"/>
          </w:tcPr>
          <w:p>
            <w:pPr>
              <w:ind w:left="182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8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2020" w:type="dxa"/>
            <w:vAlign w:val="bottom"/>
          </w:tcPr>
          <w:p>
            <w:pPr>
              <w:spacing w:after="0"/>
              <w:rPr>
                <w:sz w:val="24"/>
                <w:szCs w:val="24"/>
                <w:color w:val="auto"/>
              </w:rPr>
            </w:pPr>
          </w:p>
        </w:tc>
      </w:tr>
      <w:tr>
        <w:trPr>
          <w:trHeight w:val="638"/>
        </w:trPr>
        <w:tc>
          <w:tcPr>
            <w:tcW w:w="3580" w:type="dxa"/>
            <w:vAlign w:val="bottom"/>
            <w:gridSpan w:val="3"/>
          </w:tcPr>
          <w:p>
            <w:pPr>
              <w:ind w:left="40"/>
              <w:spacing w:after="0"/>
              <w:rPr>
                <w:sz w:val="20"/>
                <w:szCs w:val="20"/>
                <w:color w:val="auto"/>
              </w:rPr>
            </w:pPr>
            <w:r>
              <w:rPr>
                <w:rFonts w:ascii="Arial" w:cs="Arial" w:eastAsia="Arial" w:hAnsi="Arial"/>
                <w:sz w:val="22"/>
                <w:szCs w:val="22"/>
                <w:color w:val="auto"/>
                <w:w w:val="86"/>
              </w:rPr>
              <w:t>Contacts:Shanye Hudson</w:t>
            </w:r>
          </w:p>
        </w:tc>
        <w:tc>
          <w:tcPr>
            <w:tcW w:w="2020" w:type="dxa"/>
            <w:vAlign w:val="bottom"/>
          </w:tcPr>
          <w:p>
            <w:pPr>
              <w:spacing w:after="0"/>
              <w:rPr>
                <w:sz w:val="20"/>
                <w:szCs w:val="20"/>
                <w:color w:val="auto"/>
              </w:rPr>
            </w:pPr>
            <w:r>
              <w:rPr>
                <w:rFonts w:ascii="Arial" w:cs="Arial" w:eastAsia="Arial" w:hAnsi="Arial"/>
                <w:sz w:val="22"/>
                <w:szCs w:val="22"/>
                <w:color w:val="auto"/>
              </w:rPr>
              <w:t>David Oro</w:t>
            </w:r>
          </w:p>
        </w:tc>
      </w:tr>
      <w:tr>
        <w:trPr>
          <w:trHeight w:val="297"/>
        </w:trPr>
        <w:tc>
          <w:tcPr>
            <w:tcW w:w="12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020" w:type="dxa"/>
            <w:vAlign w:val="bottom"/>
          </w:tcPr>
          <w:p>
            <w:pPr>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194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7"/>
              </w:rPr>
              <w:t>shudson@micron.com</w:t>
            </w:r>
          </w:p>
        </w:tc>
        <w:tc>
          <w:tcPr>
            <w:tcW w:w="380" w:type="dxa"/>
            <w:vAlign w:val="bottom"/>
          </w:tcPr>
          <w:p>
            <w:pPr>
              <w:spacing w:after="0"/>
              <w:rPr>
                <w:sz w:val="21"/>
                <w:szCs w:val="21"/>
                <w:color w:val="auto"/>
              </w:rPr>
            </w:pPr>
          </w:p>
        </w:tc>
        <w:tc>
          <w:tcPr>
            <w:tcW w:w="202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90"/>
              </w:rPr>
              <w:t>davidoro@micron.com</w:t>
            </w:r>
          </w:p>
        </w:tc>
      </w:tr>
      <w:tr>
        <w:trPr>
          <w:trHeight w:val="328"/>
        </w:trPr>
        <w:tc>
          <w:tcPr>
            <w:tcW w:w="3200" w:type="dxa"/>
            <w:vAlign w:val="bottom"/>
            <w:gridSpan w:val="2"/>
          </w:tcPr>
          <w:p>
            <w:pPr>
              <w:ind w:left="1260"/>
              <w:spacing w:after="0"/>
              <w:rPr>
                <w:sz w:val="20"/>
                <w:szCs w:val="20"/>
                <w:color w:val="auto"/>
              </w:rPr>
            </w:pPr>
            <w:r>
              <w:rPr>
                <w:rFonts w:ascii="Arial" w:cs="Arial" w:eastAsia="Arial" w:hAnsi="Arial"/>
                <w:sz w:val="22"/>
                <w:szCs w:val="22"/>
                <w:color w:val="auto"/>
              </w:rPr>
              <w:t>(208) 492-1205</w:t>
            </w:r>
          </w:p>
        </w:tc>
        <w:tc>
          <w:tcPr>
            <w:tcW w:w="38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(707) 558-8585</w:t>
            </w: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QUARTER OF FISCAL 2018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Record revenue and profitability supported by solid execution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broad demand for Micron’s products</w:t>
      </w:r>
    </w:p>
    <w:p>
      <w:pPr>
        <w:spacing w:after="0" w:line="236" w:lineRule="exact"/>
        <w:rPr>
          <w:sz w:val="20"/>
          <w:szCs w:val="20"/>
          <w:color w:val="auto"/>
        </w:rPr>
      </w:pPr>
    </w:p>
    <w:p>
      <w:pPr>
        <w:ind w:right="440" w:firstLine="324"/>
        <w:spacing w:after="0" w:line="269" w:lineRule="auto"/>
        <w:rPr>
          <w:sz w:val="20"/>
          <w:szCs w:val="20"/>
          <w:color w:val="auto"/>
        </w:rPr>
      </w:pPr>
      <w:r>
        <w:rPr>
          <w:rFonts w:ascii="Arial" w:cs="Arial" w:eastAsia="Arial" w:hAnsi="Arial"/>
          <w:sz w:val="22"/>
          <w:szCs w:val="22"/>
          <w:b w:val="1"/>
          <w:bCs w:val="1"/>
          <w:color w:val="auto"/>
        </w:rPr>
        <w:t xml:space="preserve">BOISE, Idaho, </w:t>
      </w:r>
      <w:r>
        <w:rPr>
          <w:rFonts w:ascii="Arial" w:cs="Arial" w:eastAsia="Arial" w:hAnsi="Arial"/>
          <w:sz w:val="22"/>
          <w:szCs w:val="22"/>
          <w:color w:val="auto"/>
        </w:rPr>
        <w:t>March 22, 2018 – Micron Technology, Inc., (NASDAQ: MU) today announced results of operations for its</w:t>
      </w:r>
      <w:r>
        <w:rPr>
          <w:rFonts w:ascii="Arial" w:cs="Arial" w:eastAsia="Arial" w:hAnsi="Arial"/>
          <w:sz w:val="22"/>
          <w:szCs w:val="22"/>
          <w:b w:val="1"/>
          <w:bCs w:val="1"/>
          <w:color w:val="auto"/>
        </w:rPr>
        <w:t xml:space="preserve"> </w:t>
      </w:r>
      <w:r>
        <w:rPr>
          <w:rFonts w:ascii="Arial" w:cs="Arial" w:eastAsia="Arial" w:hAnsi="Arial"/>
          <w:sz w:val="22"/>
          <w:szCs w:val="22"/>
          <w:color w:val="auto"/>
        </w:rPr>
        <w:t>second quarter of fiscal 2018, which ended March 1, 2018.</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Fiscal Q2 2018 Highlights</w:t>
      </w:r>
    </w:p>
    <w:p>
      <w:pPr>
        <w:spacing w:after="0" w:line="28" w:lineRule="exact"/>
        <w:rPr>
          <w:sz w:val="20"/>
          <w:szCs w:val="20"/>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Revenues of $7.35 billion, up 58 percent compared with the same period last year</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GAAP net income of $3.31 billion, or $2.67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net income of $3.50 billion, or $2.82 per diluted share</w:t>
      </w:r>
    </w:p>
    <w:p>
      <w:pPr>
        <w:spacing w:after="0" w:line="3" w:lineRule="exact"/>
        <w:rPr>
          <w:rFonts w:ascii="Arial" w:cs="Arial" w:eastAsia="Arial" w:hAnsi="Arial"/>
          <w:sz w:val="22"/>
          <w:szCs w:val="22"/>
          <w:color w:val="auto"/>
        </w:rPr>
      </w:pPr>
    </w:p>
    <w:p>
      <w:pPr>
        <w:ind w:left="1300" w:right="440" w:hanging="320"/>
        <w:spacing w:after="0" w:line="246" w:lineRule="auto"/>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Operating cash flow of $4.35 billion, compared with $1.77 billion for the same period last year (adjusted for the Inotera acquisition)</w:t>
      </w:r>
    </w:p>
    <w:p>
      <w:pPr>
        <w:spacing w:after="0" w:line="233"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21"/>
          <w:szCs w:val="21"/>
          <w:color w:val="auto"/>
        </w:rPr>
        <w:t>"Micron executed exceptionally well in the second quarter, delivering record results and strong free cash flow driven by broad-based demand for our memory and storage solutions. Our performance was accentuated by an ongoing shift to high-value solutions as we grew sales to our cloud, mobile and automotive customers and set new records for SSDs and graphics memory," said Micron President and CEO Sanjay Mehrotra. "Secular technology trends are driving robust demand for memory and storage, and Micron is well-positioned to address these growing opportunities."</w:t>
      </w:r>
    </w:p>
    <w:p>
      <w:pPr>
        <w:spacing w:after="0" w:line="359"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auto"/>
        </w:rPr>
        <w:t>Quarterly Financial Results</w:t>
      </w:r>
    </w:p>
    <w:p>
      <w:pPr>
        <w:spacing w:after="0" w:line="28" w:lineRule="exact"/>
        <w:rPr>
          <w:sz w:val="20"/>
          <w:szCs w:val="20"/>
          <w:color w:val="auto"/>
        </w:rPr>
      </w:pPr>
    </w:p>
    <w:tbl>
      <w:tblPr>
        <w:tblLayout w:type="fixed"/>
        <w:tblInd w:w="1130" w:type="dxa"/>
        <w:tblCellMar>
          <w:top w:w="0" w:type="dxa"/>
          <w:left w:w="0" w:type="dxa"/>
          <w:bottom w:w="0" w:type="dxa"/>
          <w:right w:w="0" w:type="dxa"/>
        </w:tblCellMar>
      </w:tblPr>
      <w:tr>
        <w:trPr>
          <w:trHeight w:val="281"/>
        </w:trPr>
        <w:tc>
          <w:tcPr>
            <w:tcW w:w="3440" w:type="dxa"/>
            <w:vAlign w:val="bottom"/>
            <w:tcBorders>
              <w:top w:val="single" w:sz="8" w:color="auto"/>
              <w:left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center"/>
              <w:ind w:right="30"/>
              <w:spacing w:after="0" w:line="281" w:lineRule="exact"/>
              <w:rPr>
                <w:sz w:val="20"/>
                <w:szCs w:val="20"/>
                <w:color w:val="auto"/>
              </w:rPr>
            </w:pPr>
            <w:r>
              <w:rPr>
                <w:rFonts w:ascii="Arial" w:cs="Arial" w:eastAsia="Arial" w:hAnsi="Arial"/>
                <w:sz w:val="18"/>
                <w:szCs w:val="18"/>
                <w:b w:val="1"/>
                <w:bCs w:val="1"/>
                <w:color w:val="auto"/>
                <w:w w:val="90"/>
              </w:rPr>
              <w:t xml:space="preserve">GAAP </w:t>
            </w:r>
            <w:r>
              <w:rPr>
                <w:rFonts w:ascii="Arial" w:cs="Arial" w:eastAsia="Arial" w:hAnsi="Arial"/>
                <w:sz w:val="25"/>
                <w:szCs w:val="25"/>
                <w:b w:val="1"/>
                <w:bCs w:val="1"/>
                <w:color w:val="auto"/>
                <w:w w:val="90"/>
                <w:vertAlign w:val="superscript"/>
              </w:rPr>
              <w:t>(1)</w:t>
            </w:r>
          </w:p>
        </w:tc>
        <w:tc>
          <w:tcPr>
            <w:tcW w:w="1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gridSpan w:val="4"/>
          </w:tcPr>
          <w:p>
            <w:pPr>
              <w:jc w:val="center"/>
              <w:spacing w:after="0" w:line="281" w:lineRule="exact"/>
              <w:rPr>
                <w:sz w:val="20"/>
                <w:szCs w:val="20"/>
                <w:color w:val="auto"/>
              </w:rPr>
            </w:pPr>
            <w:r>
              <w:rPr>
                <w:rFonts w:ascii="Arial" w:cs="Arial" w:eastAsia="Arial" w:hAnsi="Arial"/>
                <w:sz w:val="18"/>
                <w:szCs w:val="18"/>
                <w:b w:val="1"/>
                <w:bCs w:val="1"/>
                <w:color w:val="auto"/>
                <w:w w:val="91"/>
              </w:rPr>
              <w:t xml:space="preserve">Non-GAAP </w:t>
            </w:r>
            <w:r>
              <w:rPr>
                <w:rFonts w:ascii="Arial" w:cs="Arial" w:eastAsia="Arial" w:hAnsi="Arial"/>
                <w:sz w:val="25"/>
                <w:szCs w:val="25"/>
                <w:b w:val="1"/>
                <w:bCs w:val="1"/>
                <w:color w:val="auto"/>
                <w:w w:val="91"/>
                <w:vertAlign w:val="superscript"/>
              </w:rPr>
              <w:t>(2)</w:t>
            </w:r>
          </w:p>
        </w:tc>
        <w:tc>
          <w:tcPr>
            <w:tcW w:w="80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(in millions except per share amounts)</w:t>
            </w:r>
          </w:p>
        </w:tc>
        <w:tc>
          <w:tcPr>
            <w:tcW w:w="140" w:type="dxa"/>
            <w:vAlign w:val="bottom"/>
          </w:tcPr>
          <w:p>
            <w:pPr>
              <w:spacing w:after="0"/>
              <w:rPr>
                <w:sz w:val="20"/>
                <w:szCs w:val="20"/>
                <w:color w:val="auto"/>
              </w:rPr>
            </w:pPr>
          </w:p>
        </w:tc>
        <w:tc>
          <w:tcPr>
            <w:tcW w:w="7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FQ2-18</w:t>
            </w:r>
          </w:p>
        </w:tc>
        <w:tc>
          <w:tcPr>
            <w:tcW w:w="120" w:type="dxa"/>
            <w:vAlign w:val="bottom"/>
          </w:tcPr>
          <w:p>
            <w:pPr>
              <w:spacing w:after="0"/>
              <w:rPr>
                <w:sz w:val="20"/>
                <w:szCs w:val="20"/>
                <w:color w:val="auto"/>
              </w:rPr>
            </w:pPr>
          </w:p>
        </w:tc>
        <w:tc>
          <w:tcPr>
            <w:tcW w:w="8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FQ1-18</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FQ2-17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8"/>
              </w:rPr>
              <w:t>FQ2-18</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FQ1-18</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FQ2-17</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69"/>
        </w:trPr>
        <w:tc>
          <w:tcPr>
            <w:tcW w:w="3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7,351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6,803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4,648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100" w:type="dxa"/>
            <w:vAlign w:val="bottom"/>
            <w:tcBorders>
              <w:bottom w:val="single" w:sz="8" w:color="CCEEFF"/>
              <w:right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6,803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4,648</w:t>
            </w:r>
          </w:p>
        </w:tc>
      </w:tr>
      <w:tr>
        <w:trPr>
          <w:trHeight w:val="237"/>
        </w:trPr>
        <w:tc>
          <w:tcPr>
            <w:tcW w:w="3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4,270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3,747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1,704</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10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3,769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1,789</w:t>
            </w:r>
          </w:p>
        </w:tc>
      </w:tr>
      <w:tr>
        <w:trPr>
          <w:trHeight w:val="270"/>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percent of net sales</w:t>
            </w:r>
          </w:p>
        </w:tc>
        <w:tc>
          <w:tcPr>
            <w:tcW w:w="14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58.1%</w:t>
            </w:r>
          </w:p>
        </w:tc>
        <w:tc>
          <w:tcPr>
            <w:tcW w:w="120" w:type="dxa"/>
            <w:vAlign w:val="bottom"/>
          </w:tcPr>
          <w:p>
            <w:pPr>
              <w:spacing w:after="0"/>
              <w:rPr>
                <w:sz w:val="23"/>
                <w:szCs w:val="23"/>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55.1%</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36.7%</w:t>
            </w: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i w:val="1"/>
                <w:iCs w:val="1"/>
                <w:color w:val="auto"/>
              </w:rPr>
              <w:t>58.4%</w:t>
            </w:r>
          </w:p>
        </w:tc>
        <w:tc>
          <w:tcPr>
            <w:tcW w:w="1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i w:val="1"/>
                <w:iCs w:val="1"/>
                <w:color w:val="auto"/>
                <w:w w:val="93"/>
              </w:rPr>
              <w:t>55.4%</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38.5%</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1,044</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1,177</w:t>
            </w:r>
          </w:p>
        </w:tc>
      </w:tr>
      <w:tr>
        <w:trPr>
          <w:trHeight w:val="302"/>
        </w:trPr>
        <w:tc>
          <w:tcPr>
            <w:tcW w:w="3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percent of net sales</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48.5%</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45.5%</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22.5%</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49.4%</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i w:val="1"/>
                <w:iCs w:val="1"/>
                <w:color w:val="auto"/>
                <w:w w:val="93"/>
              </w:rPr>
              <w:t>46.4%</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25.3%</w:t>
            </w:r>
          </w:p>
        </w:tc>
      </w:tr>
      <w:tr>
        <w:trPr>
          <w:trHeight w:val="237"/>
        </w:trPr>
        <w:tc>
          <w:tcPr>
            <w:tcW w:w="3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3,309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2,678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894</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3,495</w:t>
            </w:r>
          </w:p>
        </w:tc>
        <w:tc>
          <w:tcPr>
            <w:tcW w:w="10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2,994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1,031</w:t>
            </w:r>
          </w:p>
        </w:tc>
      </w:tr>
      <w:tr>
        <w:trPr>
          <w:trHeight w:val="270"/>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2.67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0.77</w:t>
            </w:r>
          </w:p>
        </w:tc>
        <w:tc>
          <w:tcPr>
            <w:tcW w:w="120" w:type="dxa"/>
            <w:vAlign w:val="bottom"/>
            <w:tcBorders>
              <w:right w:val="single" w:sz="8" w:color="auto"/>
            </w:tcBorders>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0.90</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ind w:right="100" w:firstLine="324"/>
        <w:spacing w:after="0" w:line="312" w:lineRule="auto"/>
        <w:rPr>
          <w:sz w:val="20"/>
          <w:szCs w:val="20"/>
          <w:color w:val="auto"/>
        </w:rPr>
      </w:pPr>
      <w:r>
        <w:rPr>
          <w:rFonts w:ascii="Arial" w:cs="Arial" w:eastAsia="Arial" w:hAnsi="Arial"/>
          <w:sz w:val="19"/>
          <w:szCs w:val="19"/>
          <w:color w:val="auto"/>
        </w:rPr>
        <w:t>Revenues for the second quarter of 2018 were 8 percent higher compared to the first quarter of 2018, reflecting increased demand broadly across our products and end markets. Our overall consolidated gross margin of 58.1 percent for the second quarter of 2018 was higher compared to 55.1 percent for the first quarter of 2018 primarily due to execution across our product portfolio.</w:t>
      </w:r>
    </w:p>
    <w:p>
      <w:pPr>
        <w:sectPr>
          <w:pgSz w:w="11900" w:h="16838" w:orient="portrait"/>
          <w:cols w:equalWidth="0" w:num="1">
            <w:col w:w="11420"/>
          </w:cols>
          <w:pgMar w:left="240" w:top="801" w:right="239" w:bottom="1440" w:gutter="0" w:footer="0" w:header="0"/>
        </w:sectPr>
      </w:pPr>
    </w:p>
    <w:bookmarkStart w:id="4" w:name="page5"/>
    <w:bookmarkEnd w:id="4"/>
    <w:p>
      <w:pPr>
        <w:jc w:val="both"/>
        <w:ind w:right="20" w:firstLine="324"/>
        <w:spacing w:after="0" w:line="253" w:lineRule="auto"/>
        <w:rPr>
          <w:sz w:val="20"/>
          <w:szCs w:val="20"/>
          <w:color w:val="auto"/>
        </w:rPr>
      </w:pPr>
      <w:r>
        <w:rPr>
          <w:rFonts w:ascii="Arial" w:cs="Arial" w:eastAsia="Arial" w:hAnsi="Arial"/>
          <w:sz w:val="22"/>
          <w:szCs w:val="22"/>
          <w:color w:val="auto"/>
        </w:rPr>
        <w:t>Investments in capital expenditures, net of amounts funded by partners, were $2.11 billion, which resulted in adjusted free cash flows of $2.2 billion for the second quarter of 2018. We ended the second quarter with cash, marketable investments, and restricted cash of $8.68 billion.</w:t>
      </w:r>
    </w:p>
    <w:p>
      <w:pPr>
        <w:spacing w:after="0" w:line="226" w:lineRule="exact"/>
        <w:rPr>
          <w:sz w:val="20"/>
          <w:szCs w:val="20"/>
          <w:color w:val="auto"/>
        </w:rPr>
      </w:pPr>
    </w:p>
    <w:p>
      <w:pPr>
        <w:ind w:right="220" w:firstLine="324"/>
        <w:spacing w:after="0" w:line="291" w:lineRule="auto"/>
        <w:rPr>
          <w:sz w:val="20"/>
          <w:szCs w:val="20"/>
          <w:color w:val="auto"/>
        </w:rPr>
      </w:pPr>
      <w:r>
        <w:rPr>
          <w:rFonts w:ascii="Arial" w:cs="Arial" w:eastAsia="Arial" w:hAnsi="Arial"/>
          <w:sz w:val="19"/>
          <w:szCs w:val="19"/>
          <w:color w:val="auto"/>
        </w:rPr>
        <w:t xml:space="preserve">We will host a conference call on Thursday, March 22, 2018 at 2:30 p.m. MT to discuss our financial results. The call, audio, and slides will be available online at </w:t>
      </w:r>
      <w:r>
        <w:rPr>
          <w:rFonts w:ascii="Arial" w:cs="Arial" w:eastAsia="Arial" w:hAnsi="Arial"/>
          <w:sz w:val="19"/>
          <w:szCs w:val="19"/>
          <w:u w:val="single" w:color="auto"/>
          <w:color w:val="006EBF"/>
        </w:rPr>
        <w:t>investors.micron.com</w:t>
      </w:r>
      <w:r>
        <w:rPr>
          <w:rFonts w:ascii="Arial" w:cs="Arial" w:eastAsia="Arial" w:hAnsi="Arial"/>
          <w:sz w:val="19"/>
          <w:szCs w:val="19"/>
          <w:color w:val="auto"/>
        </w:rPr>
        <w:t>. A webcast replay will be available on our website until March 22,</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21"/>
          <w:szCs w:val="21"/>
          <w:color w:val="auto"/>
        </w:rPr>
        <w:t xml:space="preserve">2019. A taped audio replay of the conference call will also be available at 1-404-537-3406 or 1-855-859-2056 (conference number: 4687088) beginning at 5:30 p.m. MT, Thursday, March 22, 2018 and continuing through Thursday, March 29, 2018. For Investor Relations and other company updates, follow @MicronTech on Twitter at </w:t>
      </w:r>
      <w:r>
        <w:rPr>
          <w:rFonts w:ascii="Arial" w:cs="Arial" w:eastAsia="Arial" w:hAnsi="Arial"/>
          <w:sz w:val="21"/>
          <w:szCs w:val="21"/>
          <w:u w:val="single" w:color="auto"/>
          <w:color w:val="006EBF"/>
        </w:rPr>
        <w:t>twitter.com/MicronTech</w:t>
      </w:r>
      <w:r>
        <w:rPr>
          <w:rFonts w:ascii="Arial" w:cs="Arial" w:eastAsia="Arial" w:hAnsi="Arial"/>
          <w:sz w:val="21"/>
          <w:szCs w:val="21"/>
          <w:color w:val="auto"/>
        </w:rPr>
        <w:t>.</w:t>
      </w:r>
    </w:p>
    <w:p>
      <w:pPr>
        <w:spacing w:after="0" w:line="218" w:lineRule="exact"/>
        <w:rPr>
          <w:sz w:val="20"/>
          <w:szCs w:val="20"/>
          <w:color w:val="auto"/>
        </w:rPr>
      </w:pPr>
    </w:p>
    <w:p>
      <w:pPr>
        <w:ind w:right="60" w:firstLine="324"/>
        <w:spacing w:after="0" w:line="294" w:lineRule="auto"/>
        <w:rPr>
          <w:sz w:val="20"/>
          <w:szCs w:val="20"/>
          <w:color w:val="auto"/>
        </w:rPr>
      </w:pPr>
      <w:r>
        <w:rPr>
          <w:rFonts w:ascii="Arial" w:cs="Arial" w:eastAsia="Arial" w:hAnsi="Arial"/>
          <w:sz w:val="19"/>
          <w:szCs w:val="19"/>
          <w:color w:val="auto"/>
        </w:rPr>
        <w:t xml:space="preserve">We are an industry leader in innovative memory and storage solutions. Through our global brands – Micron®, Crucial®, and Ballistix® – our broad portfolio of high-performance memory and storage technologies, including DRAM, NAND, NOR Flash, and 3D XPoint™ memory, is transforming how the world uses information to enrich life. Backed by nearly 40 years of technology leadership, our memory and storage solutions enable disruptive trends, including artificial intelligence, machine learning, and autonomous vehicles in key market segments like cloud, data center, networking, and mobile. Our common stock is traded on the NASDAQ under the MU symbol. To learn more about Micron Technology, Inc., visit </w:t>
      </w:r>
      <w:r>
        <w:rPr>
          <w:rFonts w:ascii="Arial" w:cs="Arial" w:eastAsia="Arial" w:hAnsi="Arial"/>
          <w:sz w:val="19"/>
          <w:szCs w:val="19"/>
          <w:u w:val="single" w:color="auto"/>
          <w:color w:val="006EBF"/>
        </w:rPr>
        <w:t>micron.com</w:t>
      </w:r>
      <w:r>
        <w:rPr>
          <w:rFonts w:ascii="Arial" w:cs="Arial" w:eastAsia="Arial" w:hAnsi="Arial"/>
          <w:sz w:val="19"/>
          <w:szCs w:val="19"/>
          <w:color w:val="auto"/>
        </w:rPr>
        <w:t>.</w:t>
      </w:r>
    </w:p>
    <w:p>
      <w:pPr>
        <w:spacing w:after="0" w:line="190" w:lineRule="exact"/>
        <w:rPr>
          <w:sz w:val="20"/>
          <w:szCs w:val="20"/>
          <w:color w:val="auto"/>
        </w:rPr>
      </w:pPr>
    </w:p>
    <w:p>
      <w:pPr>
        <w:ind w:right="140" w:firstLine="324"/>
        <w:spacing w:after="0" w:line="263" w:lineRule="auto"/>
        <w:rPr>
          <w:sz w:val="20"/>
          <w:szCs w:val="20"/>
          <w:color w:val="auto"/>
        </w:rPr>
      </w:pPr>
      <w:r>
        <w:rPr>
          <w:rFonts w:ascii="Arial" w:cs="Arial" w:eastAsia="Arial" w:hAnsi="Arial"/>
          <w:sz w:val="22"/>
          <w:szCs w:val="22"/>
          <w:i w:val="1"/>
          <w:iCs w:val="1"/>
          <w:color w:val="auto"/>
        </w:rPr>
        <w:t>The Micron logo and Micron symbol are trademarks of Micron Technology, Inc. All other trademarks are the property of their respective owners.</w:t>
      </w:r>
    </w:p>
    <w:p>
      <w:pPr>
        <w:spacing w:after="0" w:line="215" w:lineRule="exact"/>
        <w:rPr>
          <w:sz w:val="20"/>
          <w:szCs w:val="20"/>
          <w:color w:val="auto"/>
        </w:rPr>
      </w:pPr>
    </w:p>
    <w:p>
      <w:pPr>
        <w:ind w:right="100" w:firstLine="324"/>
        <w:spacing w:after="0" w:line="290" w:lineRule="auto"/>
        <w:rPr>
          <w:sz w:val="20"/>
          <w:szCs w:val="20"/>
          <w:color w:val="auto"/>
        </w:rPr>
      </w:pPr>
      <w:r>
        <w:rPr>
          <w:rFonts w:ascii="Arial" w:cs="Arial" w:eastAsia="Arial" w:hAnsi="Arial"/>
          <w:sz w:val="19"/>
          <w:szCs w:val="19"/>
          <w:i w:val="1"/>
          <w:iCs w:val="1"/>
          <w:color w:val="auto"/>
        </w:rPr>
        <w:t xml:space="preserve">This press release contains forward-looking statements regarding the industry and our strategic position and financial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9"/>
          <w:szCs w:val="19"/>
          <w:i w:val="1"/>
          <w:iCs w:val="1"/>
          <w:u w:val="single" w:color="auto"/>
          <w:color w:val="006EBF"/>
        </w:rPr>
        <w:t>www.micron.com/certainfactors</w:t>
      </w:r>
      <w:r>
        <w:rPr>
          <w:rFonts w:ascii="Arial" w:cs="Arial" w:eastAsia="Arial" w:hAnsi="Arial"/>
          <w:sz w:val="19"/>
          <w:szCs w:val="19"/>
          <w:i w:val="1"/>
          <w:iCs w:val="1"/>
          <w:color w:val="000000"/>
        </w:rPr>
        <w:t>. Although we believe that the expectations reflected in the forward-looking statements are</w:t>
      </w:r>
      <w:r>
        <w:rPr>
          <w:rFonts w:ascii="Arial" w:cs="Arial" w:eastAsia="Arial" w:hAnsi="Arial"/>
          <w:sz w:val="19"/>
          <w:szCs w:val="19"/>
          <w:i w:val="1"/>
          <w:iCs w:val="1"/>
          <w:color w:val="006EBF"/>
        </w:rPr>
        <w:t xml:space="preserve"> </w:t>
      </w:r>
      <w:r>
        <w:rPr>
          <w:rFonts w:ascii="Arial" w:cs="Arial" w:eastAsia="Arial" w:hAnsi="Arial"/>
          <w:sz w:val="19"/>
          <w:szCs w:val="19"/>
          <w:i w:val="1"/>
          <w:iCs w:val="1"/>
          <w:color w:val="000000"/>
        </w:rPr>
        <w:t>reasonable, we cannot guarantee future results, levels of activity, performance, or achievements. We are under no duty to update any of the forward-looking statements after the date of this release to conform these statements to actual results.</w:t>
      </w:r>
    </w:p>
    <w:p>
      <w:pPr>
        <w:spacing w:after="0" w:line="161" w:lineRule="exact"/>
        <w:rPr>
          <w:sz w:val="20"/>
          <w:szCs w:val="20"/>
          <w:color w:val="auto"/>
        </w:rPr>
      </w:pPr>
    </w:p>
    <w:p>
      <w:pPr>
        <w:ind w:left="560" w:hanging="228"/>
        <w:spacing w:after="0"/>
        <w:tabs>
          <w:tab w:leader="none" w:pos="560" w:val="left"/>
        </w:tabs>
        <w:numPr>
          <w:ilvl w:val="0"/>
          <w:numId w:val="3"/>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ind w:right="40" w:firstLine="332"/>
        <w:spacing w:after="0" w:line="263" w:lineRule="auto"/>
        <w:tabs>
          <w:tab w:leader="none" w:pos="546" w:val="left"/>
        </w:tabs>
        <w:numPr>
          <w:ilvl w:val="0"/>
          <w:numId w:val="3"/>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our management excludes in analyzing our operating results and understanding trends in our earnings. Non-GAAP also includes the impact on shares used in per share calculations of our outstanding capped call transactions and from the exclusion of stock-based compensation. For a reconciliation of GAAP to non-GAAP results, see the accompanying financial tables and footnotes.</w:t>
      </w:r>
    </w:p>
    <w:p>
      <w:pPr>
        <w:sectPr>
          <w:pgSz w:w="11900" w:h="16838" w:orient="portrait"/>
          <w:cols w:equalWidth="0" w:num="1">
            <w:col w:w="11360"/>
          </w:cols>
          <w:pgMar w:left="240" w:top="807"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FINANCIAL SUMMARY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2nd Qtr.</w:t>
            </w:r>
          </w:p>
        </w:tc>
        <w:tc>
          <w:tcPr>
            <w:tcW w:w="160" w:type="dxa"/>
            <w:vAlign w:val="bottom"/>
          </w:tcPr>
          <w:p>
            <w:pPr>
              <w:spacing w:after="0"/>
              <w:rPr>
                <w:sz w:val="20"/>
                <w:szCs w:val="20"/>
                <w:color w:val="auto"/>
              </w:rPr>
            </w:pPr>
          </w:p>
        </w:tc>
        <w:tc>
          <w:tcPr>
            <w:tcW w:w="1440" w:type="dxa"/>
            <w:vAlign w:val="bottom"/>
            <w:gridSpan w:val="2"/>
          </w:tcPr>
          <w:p>
            <w:pPr>
              <w:ind w:left="300"/>
              <w:spacing w:after="0"/>
              <w:rPr>
                <w:sz w:val="20"/>
                <w:szCs w:val="20"/>
                <w:color w:val="auto"/>
              </w:rPr>
            </w:pPr>
            <w:r>
              <w:rPr>
                <w:rFonts w:ascii="Arial" w:cs="Arial" w:eastAsia="Arial" w:hAnsi="Arial"/>
                <w:sz w:val="18"/>
                <w:szCs w:val="18"/>
                <w:b w:val="1"/>
                <w:bCs w:val="1"/>
                <w:color w:val="auto"/>
              </w:rPr>
              <w:t>1st Qtr.</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2nd Qtr.</w:t>
            </w:r>
          </w:p>
        </w:tc>
        <w:tc>
          <w:tcPr>
            <w:tcW w:w="240" w:type="dxa"/>
            <w:vAlign w:val="bottom"/>
          </w:tcPr>
          <w:p>
            <w:pPr>
              <w:spacing w:after="0"/>
              <w:rPr>
                <w:sz w:val="20"/>
                <w:szCs w:val="20"/>
                <w:color w:val="auto"/>
              </w:rPr>
            </w:pPr>
          </w:p>
        </w:tc>
        <w:tc>
          <w:tcPr>
            <w:tcW w:w="28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52"/>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1,</w:t>
            </w:r>
          </w:p>
        </w:tc>
        <w:tc>
          <w:tcPr>
            <w:tcW w:w="16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30,</w:t>
            </w:r>
          </w:p>
        </w:tc>
        <w:tc>
          <w:tcPr>
            <w:tcW w:w="24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2,</w:t>
            </w:r>
          </w:p>
        </w:tc>
        <w:tc>
          <w:tcPr>
            <w:tcW w:w="240" w:type="dxa"/>
            <w:vAlign w:val="bottom"/>
          </w:tcPr>
          <w:p>
            <w:pPr>
              <w:spacing w:after="0"/>
              <w:rPr>
                <w:sz w:val="21"/>
                <w:szCs w:val="21"/>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24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2,</w:t>
            </w:r>
          </w:p>
        </w:tc>
      </w:tr>
      <w:tr>
        <w:trPr>
          <w:trHeight w:val="234"/>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5,903</w:t>
            </w:r>
          </w:p>
        </w:tc>
      </w:tr>
      <w:tr>
        <w:trPr>
          <w:trHeight w:val="27"/>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346</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operating (income) expense, net</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income (expense), net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4"/>
              </w:rPr>
              <w:t xml:space="preserve">Other non-operating income (expense), net </w:t>
            </w:r>
            <w:r>
              <w:rPr>
                <w:rFonts w:ascii="Arial" w:cs="Arial" w:eastAsia="Arial" w:hAnsi="Arial"/>
                <w:sz w:val="25"/>
                <w:szCs w:val="25"/>
                <w:color w:val="auto"/>
                <w:w w:val="94"/>
                <w:vertAlign w:val="superscript"/>
              </w:rPr>
              <w:t>(1)</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Equity in net income (loss) of equity method</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investees</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r>
      <w:tr>
        <w:trPr>
          <w:trHeight w:val="297"/>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Number of shares used in per share calculations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1,070</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1,125</w:t>
            </w:r>
          </w:p>
        </w:tc>
      </w:tr>
      <w:tr>
        <w:trPr>
          <w:trHeight w:val="27"/>
        </w:trPr>
        <w:tc>
          <w:tcPr>
            <w:tcW w:w="3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0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16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30,</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31,</w:t>
            </w: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5,428</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3,759</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15,836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13,358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12,457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21,864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19,431</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35,336</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3,664</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1,262</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5,334</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7,802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7,644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9,872</w:t>
            </w:r>
          </w:p>
        </w:tc>
      </w:tr>
      <w:tr>
        <w:trPr>
          <w:trHeight w:val="297"/>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Total Micron shareholders' equity </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25,697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22,526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18,621</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26,566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23,393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19,470</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52"/>
        </w:trPr>
        <w:tc>
          <w:tcPr>
            <w:tcW w:w="8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1,</w:t>
            </w:r>
          </w:p>
        </w:tc>
        <w:tc>
          <w:tcPr>
            <w:tcW w:w="24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2,</w:t>
            </w:r>
          </w:p>
        </w:tc>
      </w:tr>
      <w:tr>
        <w:trPr>
          <w:trHeight w:val="234"/>
        </w:trPr>
        <w:tc>
          <w:tcPr>
            <w:tcW w:w="8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r>
      <w:tr>
        <w:trPr>
          <w:trHeight w:val="270"/>
        </w:trPr>
        <w:tc>
          <w:tcPr>
            <w:tcW w:w="83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cash provided by (used for) investing activities </w:t>
            </w:r>
            <w:r>
              <w:rPr>
                <w:rFonts w:ascii="Arial" w:cs="Arial" w:eastAsia="Arial" w:hAnsi="Arial"/>
                <w:sz w:val="25"/>
                <w:szCs w:val="25"/>
                <w:color w:val="auto"/>
                <w:vertAlign w:val="superscript"/>
              </w:rPr>
              <w:t>(a)</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(5,385)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2,341</w:t>
            </w:r>
          </w:p>
        </w:tc>
      </w:tr>
      <w:tr>
        <w:trPr>
          <w:trHeight w:val="297"/>
        </w:trPr>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Investments in capital expenditures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(2,461)</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Inotera</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Repayments of debt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stock</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issuance of debt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2,961</w:t>
            </w:r>
          </w:p>
        </w:tc>
      </w:tr>
    </w:tbl>
    <w:p>
      <w:pPr>
        <w:spacing w:after="0" w:line="2"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 xml:space="preserve">March 2, 2017 amount adjusted for the retrospective adoption of ASU 2016-18 – </w:t>
      </w:r>
      <w:r>
        <w:rPr>
          <w:rFonts w:ascii="Arial" w:cs="Arial" w:eastAsia="Arial" w:hAnsi="Arial"/>
          <w:sz w:val="15"/>
          <w:szCs w:val="15"/>
          <w:i w:val="1"/>
          <w:iCs w:val="1"/>
          <w:color w:val="auto"/>
        </w:rPr>
        <w:t>Restricted Cash.</w:t>
      </w:r>
    </w:p>
    <w:p>
      <w:pPr>
        <w:sectPr>
          <w:pgSz w:w="11900" w:h="16838" w:orient="portrait"/>
          <w:cols w:equalWidth="0" w:num="1">
            <w:col w:w="11420"/>
          </w:cols>
          <w:pgMar w:left="240" w:top="801" w:right="239" w:bottom="1440" w:gutter="0" w:footer="0" w:header="0"/>
        </w:sectPr>
      </w:pPr>
    </w:p>
    <w:bookmarkStart w:id="7" w:name="page8"/>
    <w:bookmarkEnd w:id="7"/>
    <w:p>
      <w:pPr>
        <w:ind w:left="332" w:right="300" w:hanging="332"/>
        <w:spacing w:after="0" w:line="277"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first and second quarters of 2018, Intel Corporation provided non-interest bearing convertible debt financing of $150 million and $500 million, respectively, to IM Flash Technologies, LLC ("IMFT") pursuant to the terms of the IMFT joint venture agreement.</w:t>
      </w:r>
    </w:p>
    <w:p>
      <w:pPr>
        <w:spacing w:after="0" w:line="170" w:lineRule="exact"/>
        <w:rPr>
          <w:rFonts w:ascii="Arial" w:cs="Arial" w:eastAsia="Arial" w:hAnsi="Arial"/>
          <w:sz w:val="18"/>
          <w:szCs w:val="18"/>
          <w:color w:val="auto"/>
        </w:rPr>
      </w:pPr>
    </w:p>
    <w:p>
      <w:pPr>
        <w:ind w:left="332"/>
        <w:spacing w:after="0" w:line="276" w:lineRule="auto"/>
        <w:rPr>
          <w:rFonts w:ascii="Arial" w:cs="Arial" w:eastAsia="Arial" w:hAnsi="Arial"/>
          <w:sz w:val="18"/>
          <w:szCs w:val="18"/>
          <w:color w:val="auto"/>
        </w:rPr>
      </w:pPr>
      <w:r>
        <w:rPr>
          <w:rFonts w:ascii="Arial" w:cs="Arial" w:eastAsia="Arial" w:hAnsi="Arial"/>
          <w:sz w:val="17"/>
          <w:szCs w:val="17"/>
          <w:color w:val="auto"/>
        </w:rPr>
        <w:t>In the second quarter of 2018, we settled convertible notes with aggregate principal amount of $65 million for cash of $295 million. Additionally, holders converted $71 million of aggregate principal amount of our convertible notes in the second quarter of 2018, which resulted in an increase to the carrying value of $238 million. As a result of the conversions, we recognized non-operating losses of $23 million in the second quarter of 2018. We will settle the conversions entirely in cash in the third quarter of 2018. In the first quarter of 2018, we redeemed notes with an aggregate principal amount of $2.25 billion for cash of $2.42 billion and recognized non-operating losses of $190 million.</w:t>
      </w:r>
    </w:p>
    <w:p>
      <w:pPr>
        <w:spacing w:after="0" w:line="172" w:lineRule="exact"/>
        <w:rPr>
          <w:rFonts w:ascii="Arial" w:cs="Arial" w:eastAsia="Arial" w:hAnsi="Arial"/>
          <w:sz w:val="18"/>
          <w:szCs w:val="18"/>
          <w:color w:val="auto"/>
        </w:rPr>
      </w:pPr>
    </w:p>
    <w:p>
      <w:pPr>
        <w:ind w:left="332" w:hanging="332"/>
        <w:spacing w:after="0" w:line="270"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December 22, 2017, the U.S. government enacted comprehensive tax legislation commonly referred to as the Tax Cuts and Jobs Act (the "Tax Act") that lowers the U.S. corporate income tax rate from 35% to 21% and significantly affects how income from foreign operations is taxed in the United States. As a result of our fiscal year-end, our U.S. statutory federal rate will be 25.7% for 2018 (based on the 35% corporate rate through December 31, 2017 and 21% from that date through the end of fiscal year 2018) and 21% for subsequent years. The Tax Act imposes a one-time transition tax in 2018 on the higher of our accumulated foreign income, as determined as of November 2, 2017 or December 31, 2017 (the "Repatriation Tax"); provides a U.S. federal tax exemption on foreign earnings distributed to the United States; and, beginning in 2019, creates a new minimum tax on certain foreign earnings in excess of a deemed return on tangible assets (the "Foreign Minimum Tax"). The Tax Act allows us to elect to pay any Repatriation Tax due in eight annual interest-free payments in increasing amounts beginning in December 2018. In connection with the provisions of the Tax Act, we are continuing to evaluate whether to account for the Foreign Minimum Tax provisions that begin for us in 2019 as a period cost or in our measurement of deferred taxes.</w:t>
      </w:r>
    </w:p>
    <w:p>
      <w:pPr>
        <w:spacing w:after="0" w:line="177" w:lineRule="exact"/>
        <w:rPr>
          <w:rFonts w:ascii="Arial" w:cs="Arial" w:eastAsia="Arial" w:hAnsi="Arial"/>
          <w:sz w:val="17"/>
          <w:szCs w:val="17"/>
          <w:color w:val="auto"/>
        </w:rPr>
      </w:pPr>
    </w:p>
    <w:p>
      <w:pPr>
        <w:ind w:left="332" w:right="100"/>
        <w:spacing w:after="0" w:line="259" w:lineRule="auto"/>
        <w:rPr>
          <w:rFonts w:ascii="Arial" w:cs="Arial" w:eastAsia="Arial" w:hAnsi="Arial"/>
          <w:sz w:val="17"/>
          <w:szCs w:val="17"/>
          <w:color w:val="auto"/>
        </w:rPr>
      </w:pPr>
      <w:r>
        <w:rPr>
          <w:rFonts w:ascii="Arial" w:cs="Arial" w:eastAsia="Arial" w:hAnsi="Arial"/>
          <w:sz w:val="18"/>
          <w:szCs w:val="18"/>
          <w:color w:val="auto"/>
        </w:rPr>
        <w:t>The Securities and Exchange Commission's Staff Accounting Bulletin No. 118 allows the use of provisional amounts (reasonable estimates) if our analyses of the impacts of the Tax Act has not been completed when our financial statements for the second quarter of fiscal year 2018 are issued. Provisional amounts may be adjusted during a one-year measurement period as accounting for the income tax effects of the Tax Act are completed or as estimates are revised. Our income tax (provision) benefit consisted of the following:</w:t>
      </w:r>
    </w:p>
    <w:p>
      <w:pPr>
        <w:spacing w:after="0" w:line="345"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Second Quarter</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First Quarter</w:t>
            </w:r>
          </w:p>
        </w:tc>
        <w:tc>
          <w:tcPr>
            <w:tcW w:w="3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92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3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Provisional estimate for the Repatriation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on substantially all of our</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foreign earnings, net of</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related to uncertain tax</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positions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w w:val="94"/>
              </w:rPr>
              <w:t>Remeasurement of deferred tax assets and</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rPr>
              <w:t>liabilities reflecting the lower U.S.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corporate tax rates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Provisional estimate for the release of the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valuation allowance on the net deferred</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assets of our U.S.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Utilization of and other changes in net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rPr>
              <w:t>deferred tax assets of MMJ, MMT, and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MTTW</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tax (provision) benefit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7"/>
        </w:trPr>
        <w:tc>
          <w:tcPr>
            <w:tcW w:w="33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3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32" w:right="640" w:hanging="332"/>
        <w:spacing w:after="0" w:line="277"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2017, we issued 34 million shares of our common stock for $41.00 per share in a public offering, for proceeds of $1.36 billion, net of underwriting fees and other offering costs.</w:t>
      </w:r>
    </w:p>
    <w:p>
      <w:pPr>
        <w:sectPr>
          <w:pgSz w:w="11900" w:h="16838" w:orient="portrait"/>
          <w:cols w:equalWidth="0" w:num="1">
            <w:col w:w="11372"/>
          </w:cols>
          <w:pgMar w:left="248" w:top="800" w:right="279" w:bottom="1440" w:gutter="0" w:footer="0" w:header="0"/>
        </w:sectPr>
      </w:pPr>
    </w:p>
    <w:bookmarkStart w:id="8" w:name="page9"/>
    <w:bookmarkEnd w:id="8"/>
    <w:p>
      <w:pPr>
        <w:jc w:val="center"/>
        <w:ind w:right="-319"/>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2nd Qtr.</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1st Qtr.</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2nd Qtr.</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gridSpan w:val="4"/>
          </w:tcPr>
          <w:p>
            <w:pPr>
              <w:jc w:val="right"/>
              <w:ind w:right="3"/>
              <w:spacing w:after="0"/>
              <w:rPr>
                <w:sz w:val="20"/>
                <w:szCs w:val="20"/>
                <w:color w:val="auto"/>
              </w:rPr>
            </w:pPr>
            <w:r>
              <w:rPr>
                <w:rFonts w:ascii="Arial" w:cs="Arial" w:eastAsia="Arial" w:hAnsi="Arial"/>
                <w:sz w:val="16"/>
                <w:szCs w:val="16"/>
                <w:b w:val="1"/>
                <w:bCs w:val="1"/>
                <w:color w:val="auto"/>
              </w:rPr>
              <w:t>March 1, 2018</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6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91"/>
              </w:rPr>
              <w:t>November 30, 2017</w:t>
            </w:r>
          </w:p>
        </w:tc>
        <w:tc>
          <w:tcPr>
            <w:tcW w:w="140" w:type="dxa"/>
            <w:vAlign w:val="bottom"/>
          </w:tcPr>
          <w:p>
            <w:pPr>
              <w:spacing w:after="0"/>
              <w:rPr>
                <w:sz w:val="23"/>
                <w:szCs w:val="23"/>
                <w:color w:val="auto"/>
              </w:rPr>
            </w:pPr>
          </w:p>
        </w:tc>
        <w:tc>
          <w:tcPr>
            <w:tcW w:w="1540" w:type="dxa"/>
            <w:vAlign w:val="bottom"/>
            <w:gridSpan w:val="4"/>
          </w:tcPr>
          <w:p>
            <w:pPr>
              <w:ind w:left="520"/>
              <w:spacing w:after="0"/>
              <w:rPr>
                <w:sz w:val="20"/>
                <w:szCs w:val="20"/>
                <w:color w:val="auto"/>
              </w:rPr>
            </w:pPr>
            <w:r>
              <w:rPr>
                <w:rFonts w:ascii="Arial" w:cs="Arial" w:eastAsia="Arial" w:hAnsi="Arial"/>
                <w:sz w:val="16"/>
                <w:szCs w:val="16"/>
                <w:b w:val="1"/>
                <w:bCs w:val="1"/>
                <w:color w:val="auto"/>
                <w:w w:val="95"/>
              </w:rPr>
              <w:t>March 2, 2017</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59"/>
              <w:spacing w:after="0"/>
              <w:rPr>
                <w:sz w:val="20"/>
                <w:szCs w:val="20"/>
                <w:color w:val="auto"/>
              </w:rPr>
            </w:pPr>
            <w:r>
              <w:rPr>
                <w:rFonts w:ascii="Arial" w:cs="Arial" w:eastAsia="Arial" w:hAnsi="Arial"/>
                <w:sz w:val="16"/>
                <w:szCs w:val="16"/>
                <w:b w:val="1"/>
                <w:bCs w:val="1"/>
                <w:color w:val="auto"/>
              </w:rPr>
              <w:t>GAAP</w:t>
            </w:r>
          </w:p>
        </w:tc>
        <w:tc>
          <w:tcPr>
            <w:tcW w:w="140" w:type="dxa"/>
            <w:vAlign w:val="bottom"/>
          </w:tcPr>
          <w:p>
            <w:pPr>
              <w:spacing w:after="0"/>
              <w:rPr>
                <w:sz w:val="18"/>
                <w:szCs w:val="18"/>
                <w:color w:val="auto"/>
              </w:rPr>
            </w:pPr>
          </w:p>
        </w:tc>
        <w:tc>
          <w:tcPr>
            <w:tcW w:w="480" w:type="dxa"/>
            <w:vAlign w:val="bottom"/>
          </w:tcPr>
          <w:p>
            <w:pPr>
              <w:jc w:val="right"/>
              <w:ind w:right="119"/>
              <w:spacing w:after="0"/>
              <w:rPr>
                <w:sz w:val="20"/>
                <w:szCs w:val="20"/>
                <w:color w:val="auto"/>
              </w:rPr>
            </w:pPr>
            <w:r>
              <w:rPr>
                <w:rFonts w:ascii="Arial" w:cs="Arial" w:eastAsia="Arial" w:hAnsi="Arial"/>
                <w:sz w:val="16"/>
                <w:szCs w:val="16"/>
                <w:b w:val="1"/>
                <w:bCs w:val="1"/>
                <w:color w:val="auto"/>
              </w:rPr>
              <w:t>Adj</w:t>
            </w: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Non-GAAP</w:t>
            </w:r>
          </w:p>
        </w:tc>
        <w:tc>
          <w:tcPr>
            <w:tcW w:w="16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60" w:type="dxa"/>
            <w:vAlign w:val="bottom"/>
          </w:tcPr>
          <w:p>
            <w:pPr>
              <w:spacing w:after="0"/>
              <w:rPr>
                <w:sz w:val="18"/>
                <w:szCs w:val="18"/>
                <w:color w:val="auto"/>
              </w:rPr>
            </w:pPr>
          </w:p>
        </w:tc>
        <w:tc>
          <w:tcPr>
            <w:tcW w:w="460" w:type="dxa"/>
            <w:vAlign w:val="bottom"/>
          </w:tcPr>
          <w:p>
            <w:pPr>
              <w:jc w:val="center"/>
              <w:ind w:right="39"/>
              <w:spacing w:after="0"/>
              <w:rPr>
                <w:sz w:val="20"/>
                <w:szCs w:val="20"/>
                <w:color w:val="auto"/>
              </w:rPr>
            </w:pPr>
            <w:r>
              <w:rPr>
                <w:rFonts w:ascii="Arial" w:cs="Arial" w:eastAsia="Arial" w:hAnsi="Arial"/>
                <w:sz w:val="16"/>
                <w:szCs w:val="16"/>
                <w:b w:val="1"/>
                <w:bCs w:val="1"/>
                <w:color w:val="auto"/>
              </w:rPr>
              <w:t>Adj</w:t>
            </w:r>
          </w:p>
        </w:tc>
        <w:tc>
          <w:tcPr>
            <w:tcW w:w="120" w:type="dxa"/>
            <w:vAlign w:val="bottom"/>
          </w:tcPr>
          <w:p>
            <w:pPr>
              <w:spacing w:after="0"/>
              <w:rPr>
                <w:sz w:val="18"/>
                <w:szCs w:val="18"/>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GAAP</w:t>
            </w:r>
          </w:p>
        </w:tc>
        <w:tc>
          <w:tcPr>
            <w:tcW w:w="140" w:type="dxa"/>
            <w:vAlign w:val="bottom"/>
          </w:tcPr>
          <w:p>
            <w:pPr>
              <w:spacing w:after="0"/>
              <w:rPr>
                <w:sz w:val="18"/>
                <w:szCs w:val="18"/>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60" w:type="dxa"/>
            <w:vAlign w:val="bottom"/>
          </w:tcPr>
          <w:p>
            <w:pPr>
              <w:spacing w:after="0"/>
              <w:rPr>
                <w:sz w:val="18"/>
                <w:szCs w:val="18"/>
                <w:color w:val="auto"/>
              </w:rPr>
            </w:pPr>
          </w:p>
        </w:tc>
        <w:tc>
          <w:tcPr>
            <w:tcW w:w="480" w:type="dxa"/>
            <w:vAlign w:val="bottom"/>
          </w:tcPr>
          <w:p>
            <w:pPr>
              <w:jc w:val="right"/>
              <w:ind w:right="99"/>
              <w:spacing w:after="0"/>
              <w:rPr>
                <w:sz w:val="20"/>
                <w:szCs w:val="20"/>
                <w:color w:val="auto"/>
              </w:rPr>
            </w:pPr>
            <w:r>
              <w:rPr>
                <w:rFonts w:ascii="Arial" w:cs="Arial" w:eastAsia="Arial" w:hAnsi="Arial"/>
                <w:sz w:val="16"/>
                <w:szCs w:val="16"/>
                <w:b w:val="1"/>
                <w:bCs w:val="1"/>
                <w:color w:val="auto"/>
              </w:rPr>
              <w:t>Adj</w:t>
            </w: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w w:val="96"/>
              </w:rPr>
              <w:t>Non-GAAP</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7,351</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6,803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4,648</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4,648</w:t>
            </w:r>
          </w:p>
        </w:tc>
        <w:tc>
          <w:tcPr>
            <w:tcW w:w="0" w:type="dxa"/>
            <w:vAlign w:val="bottom"/>
          </w:tcPr>
          <w:p>
            <w:pPr>
              <w:spacing w:after="0"/>
              <w:rPr>
                <w:sz w:val="1"/>
                <w:szCs w:val="1"/>
                <w:color w:val="auto"/>
              </w:rPr>
            </w:pPr>
          </w:p>
        </w:tc>
      </w:tr>
      <w:tr>
        <w:trPr>
          <w:trHeight w:val="237"/>
        </w:trPr>
        <w:tc>
          <w:tcPr>
            <w:tcW w:w="196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3,081</w:t>
            </w:r>
          </w:p>
        </w:tc>
        <w:tc>
          <w:tcPr>
            <w:tcW w:w="14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3,055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3,056</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3,034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2,944</w:t>
            </w:r>
          </w:p>
        </w:tc>
        <w:tc>
          <w:tcPr>
            <w:tcW w:w="16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2,859</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Gross margin</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4,270</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3,747</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1,704</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1,789</w:t>
            </w:r>
          </w:p>
        </w:tc>
        <w:tc>
          <w:tcPr>
            <w:tcW w:w="0" w:type="dxa"/>
            <w:vAlign w:val="bottom"/>
          </w:tcPr>
          <w:p>
            <w:pPr>
              <w:spacing w:after="0"/>
              <w:rPr>
                <w:sz w:val="1"/>
                <w:szCs w:val="1"/>
                <w:color w:val="auto"/>
              </w:rPr>
            </w:pPr>
          </w:p>
        </w:tc>
      </w:tr>
      <w:tr>
        <w:trPr>
          <w:trHeight w:val="237"/>
        </w:trPr>
        <w:tc>
          <w:tcPr>
            <w:tcW w:w="1960" w:type="dxa"/>
            <w:vAlign w:val="bottom"/>
          </w:tcPr>
          <w:p>
            <w:pPr>
              <w:ind w:left="16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tcPr>
          <w:p>
            <w:pPr>
              <w:spacing w:after="0"/>
              <w:rPr>
                <w:sz w:val="20"/>
                <w:szCs w:val="20"/>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i w:val="1"/>
                <w:iCs w:val="1"/>
                <w:color w:val="auto"/>
              </w:rPr>
              <w:t>58.1%</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i w:val="1"/>
                <w:iCs w:val="1"/>
                <w:color w:val="auto"/>
              </w:rPr>
              <w:t>58.4%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i w:val="1"/>
                <w:iCs w:val="1"/>
                <w:color w:val="auto"/>
              </w:rPr>
              <w:t>55.1%</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i w:val="1"/>
                <w:iCs w:val="1"/>
                <w:color w:val="auto"/>
              </w:rPr>
              <w:t>55.4%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i w:val="1"/>
                <w:iCs w:val="1"/>
                <w:color w:val="auto"/>
              </w:rPr>
              <w:t>36.7%</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99"/>
              <w:spacing w:after="0"/>
              <w:rPr>
                <w:sz w:val="20"/>
                <w:szCs w:val="20"/>
                <w:color w:val="auto"/>
              </w:rPr>
            </w:pPr>
            <w:r>
              <w:rPr>
                <w:rFonts w:ascii="Arial" w:cs="Arial" w:eastAsia="Arial" w:hAnsi="Arial"/>
                <w:sz w:val="16"/>
                <w:szCs w:val="16"/>
                <w:i w:val="1"/>
                <w:iCs w:val="1"/>
                <w:color w:val="auto"/>
                <w:w w:val="92"/>
              </w:rPr>
              <w:t>38.5%</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960" w:type="dxa"/>
            <w:vAlign w:val="bottom"/>
          </w:tcPr>
          <w:p>
            <w:pPr>
              <w:ind w:left="20"/>
              <w:spacing w:after="0"/>
              <w:rPr>
                <w:sz w:val="20"/>
                <w:szCs w:val="20"/>
                <w:color w:val="auto"/>
              </w:rPr>
            </w:pPr>
            <w:r>
              <w:rPr>
                <w:rFonts w:ascii="Arial" w:cs="Arial" w:eastAsia="Arial" w:hAnsi="Arial"/>
                <w:sz w:val="16"/>
                <w:szCs w:val="16"/>
                <w:color w:val="auto"/>
              </w:rPr>
              <w:t>Selling, general, and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180"/>
              <w:spacing w:after="0"/>
              <w:rPr>
                <w:sz w:val="20"/>
                <w:szCs w:val="20"/>
                <w:color w:val="auto"/>
              </w:rPr>
            </w:pPr>
            <w:r>
              <w:rPr>
                <w:rFonts w:ascii="Arial" w:cs="Arial" w:eastAsia="Arial" w:hAnsi="Arial"/>
                <w:sz w:val="16"/>
                <w:szCs w:val="16"/>
                <w:color w:val="auto"/>
              </w:rPr>
              <w:t>administrative</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196</w:t>
            </w:r>
          </w:p>
        </w:tc>
        <w:tc>
          <w:tcPr>
            <w:tcW w:w="140" w:type="dxa"/>
            <w:vAlign w:val="bottom"/>
          </w:tcPr>
          <w:p>
            <w:pPr>
              <w:spacing w:after="0"/>
              <w:rPr>
                <w:sz w:val="17"/>
                <w:szCs w:val="17"/>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60" w:type="dxa"/>
            <w:vAlign w:val="bottom"/>
          </w:tcPr>
          <w:p>
            <w:pPr>
              <w:spacing w:after="0"/>
              <w:rPr>
                <w:sz w:val="17"/>
                <w:szCs w:val="17"/>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7"/>
                <w:szCs w:val="17"/>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20"/>
        </w:trPr>
        <w:tc>
          <w:tcPr>
            <w:tcW w:w="1960" w:type="dxa"/>
            <w:vAlign w:val="bottom"/>
          </w:tcPr>
          <w:p>
            <w:pPr>
              <w:ind w:left="20"/>
              <w:spacing w:after="0"/>
              <w:rPr>
                <w:sz w:val="20"/>
                <w:szCs w:val="20"/>
                <w:color w:val="auto"/>
              </w:rPr>
            </w:pPr>
            <w:r>
              <w:rPr>
                <w:rFonts w:ascii="Arial" w:cs="Arial" w:eastAsia="Arial" w:hAnsi="Arial"/>
                <w:sz w:val="16"/>
                <w:szCs w:val="16"/>
                <w:color w:val="auto"/>
              </w:rPr>
              <w:t>Other operating (income)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180"/>
              <w:spacing w:after="0"/>
              <w:rPr>
                <w:sz w:val="20"/>
                <w:szCs w:val="20"/>
                <w:color w:val="auto"/>
              </w:rPr>
            </w:pPr>
            <w:r>
              <w:rPr>
                <w:rFonts w:ascii="Arial" w:cs="Arial" w:eastAsia="Arial" w:hAnsi="Arial"/>
                <w:sz w:val="16"/>
                <w:szCs w:val="16"/>
                <w:color w:val="auto"/>
              </w:rPr>
              <w:t>expense, net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7"/>
                <w:szCs w:val="17"/>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17"/>
        </w:trPr>
        <w:tc>
          <w:tcPr>
            <w:tcW w:w="1960" w:type="dxa"/>
            <w:vAlign w:val="bottom"/>
          </w:tcPr>
          <w:p>
            <w:pPr>
              <w:ind w:left="160"/>
              <w:spacing w:after="0"/>
              <w:rPr>
                <w:sz w:val="20"/>
                <w:szCs w:val="20"/>
                <w:color w:val="auto"/>
              </w:rPr>
            </w:pPr>
            <w:r>
              <w:rPr>
                <w:rFonts w:ascii="Arial" w:cs="Arial" w:eastAsia="Arial" w:hAnsi="Arial"/>
                <w:sz w:val="16"/>
                <w:szCs w:val="16"/>
                <w:color w:val="auto"/>
              </w:rPr>
              <w:t>Operating income</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3,567</w:t>
            </w: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63</w:t>
            </w: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3,630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3,097</w:t>
            </w: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3,157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1,044</w:t>
            </w: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133</w:t>
            </w: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i w:val="1"/>
                <w:iCs w:val="1"/>
                <w:color w:val="auto"/>
              </w:rPr>
              <w:t>48.5%</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i w:val="1"/>
                <w:iCs w:val="1"/>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i w:val="1"/>
                <w:iCs w:val="1"/>
                <w:color w:val="auto"/>
              </w:rPr>
              <w:t>45.5%</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i w:val="1"/>
                <w:iCs w:val="1"/>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i w:val="1"/>
                <w:iCs w:val="1"/>
                <w:color w:val="auto"/>
              </w:rPr>
              <w:t>22.5%</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i w:val="1"/>
                <w:iCs w:val="1"/>
                <w:color w:val="auto"/>
                <w:w w:val="92"/>
              </w:rPr>
              <w:t>25.3%</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20"/>
        </w:trPr>
        <w:tc>
          <w:tcPr>
            <w:tcW w:w="1960" w:type="dxa"/>
            <w:vAlign w:val="bottom"/>
          </w:tcPr>
          <w:p>
            <w:pPr>
              <w:ind w:left="20"/>
              <w:spacing w:after="0"/>
              <w:rPr>
                <w:sz w:val="20"/>
                <w:szCs w:val="20"/>
                <w:color w:val="auto"/>
              </w:rPr>
            </w:pPr>
            <w:r>
              <w:rPr>
                <w:rFonts w:ascii="Arial" w:cs="Arial" w:eastAsia="Arial" w:hAnsi="Arial"/>
                <w:sz w:val="16"/>
                <w:szCs w:val="16"/>
                <w:color w:val="auto"/>
                <w:w w:val="96"/>
              </w:rPr>
              <w:t>Other non-operating income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180"/>
              <w:spacing w:after="0"/>
              <w:rPr>
                <w:sz w:val="20"/>
                <w:szCs w:val="20"/>
                <w:color w:val="auto"/>
              </w:rPr>
            </w:pPr>
            <w:r>
              <w:rPr>
                <w:rFonts w:ascii="Arial" w:cs="Arial" w:eastAsia="Arial" w:hAnsi="Arial"/>
                <w:sz w:val="16"/>
                <w:szCs w:val="16"/>
                <w:color w:val="auto"/>
              </w:rPr>
              <w:t>(expense), net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7"/>
                <w:szCs w:val="17"/>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(204)</w:t>
            </w:r>
          </w:p>
        </w:tc>
        <w:tc>
          <w:tcPr>
            <w:tcW w:w="16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7"/>
                <w:szCs w:val="17"/>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7"/>
                <w:szCs w:val="17"/>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w:t>
            </w: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2,792</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3,085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925</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benefit</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0"/>
        </w:trPr>
        <w:tc>
          <w:tcPr>
            <w:tcW w:w="1960" w:type="dxa"/>
            <w:vAlign w:val="bottom"/>
          </w:tcPr>
          <w:p>
            <w:pPr>
              <w:ind w:left="20"/>
              <w:spacing w:after="0"/>
              <w:rPr>
                <w:sz w:val="20"/>
                <w:szCs w:val="20"/>
                <w:color w:val="auto"/>
              </w:rPr>
            </w:pPr>
            <w:r>
              <w:rPr>
                <w:rFonts w:ascii="Arial" w:cs="Arial" w:eastAsia="Arial" w:hAnsi="Arial"/>
                <w:sz w:val="16"/>
                <w:szCs w:val="16"/>
                <w:color w:val="auto"/>
              </w:rPr>
              <w:t>Equity in net income (loss)</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180"/>
              <w:spacing w:after="0"/>
              <w:rPr>
                <w:sz w:val="20"/>
                <w:szCs w:val="20"/>
                <w:color w:val="auto"/>
              </w:rPr>
            </w:pPr>
            <w:r>
              <w:rPr>
                <w:rFonts w:ascii="Arial" w:cs="Arial" w:eastAsia="Arial" w:hAnsi="Arial"/>
                <w:sz w:val="16"/>
                <w:szCs w:val="16"/>
                <w:color w:val="auto"/>
                <w:w w:val="92"/>
              </w:rPr>
              <w:t>of equity method investees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186</w:t>
            </w: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2,678</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894</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attributable to</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1960" w:type="dxa"/>
            <w:vAlign w:val="bottom"/>
          </w:tcPr>
          <w:p>
            <w:pPr>
              <w:ind w:left="160"/>
              <w:spacing w:after="0"/>
              <w:rPr>
                <w:sz w:val="20"/>
                <w:szCs w:val="20"/>
                <w:color w:val="auto"/>
              </w:rPr>
            </w:pPr>
            <w:r>
              <w:rPr>
                <w:rFonts w:ascii="Arial" w:cs="Arial" w:eastAsia="Arial" w:hAnsi="Arial"/>
                <w:sz w:val="16"/>
                <w:szCs w:val="16"/>
                <w:color w:val="auto"/>
                <w:w w:val="97"/>
              </w:rPr>
              <w:t>Net income attributable to</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3,309</w:t>
            </w: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186</w:t>
            </w:r>
          </w:p>
        </w:tc>
        <w:tc>
          <w:tcPr>
            <w:tcW w:w="260" w:type="dxa"/>
            <w:vAlign w:val="bottom"/>
            <w:tcBorders>
              <w:top w:val="single" w:sz="8" w:color="auto"/>
            </w:tcBorders>
            <w:vMerge w:val="restart"/>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3,495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2,678</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316</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2,994</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894</w:t>
            </w:r>
          </w:p>
        </w:tc>
        <w:tc>
          <w:tcPr>
            <w:tcW w:w="16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137</w:t>
            </w:r>
          </w:p>
        </w:tc>
        <w:tc>
          <w:tcPr>
            <w:tcW w:w="2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259"/>
        </w:trPr>
        <w:tc>
          <w:tcPr>
            <w:tcW w:w="19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Micron</w:t>
            </w:r>
          </w:p>
        </w:tc>
        <w:tc>
          <w:tcPr>
            <w:tcW w:w="16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480" w:type="dxa"/>
            <w:vAlign w:val="bottom"/>
            <w:tcBorders>
              <w:bottom w:val="single" w:sz="8" w:color="auto"/>
            </w:tcBorders>
            <w:vMerge w:val="continue"/>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4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48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1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20"/>
              <w:spacing w:after="0"/>
              <w:rPr>
                <w:sz w:val="20"/>
                <w:szCs w:val="20"/>
                <w:color w:val="auto"/>
              </w:rPr>
            </w:pPr>
            <w:r>
              <w:rPr>
                <w:rFonts w:ascii="Arial" w:cs="Arial" w:eastAsia="Arial" w:hAnsi="Arial"/>
                <w:sz w:val="16"/>
                <w:szCs w:val="16"/>
                <w:color w:val="auto"/>
                <w:w w:val="98"/>
              </w:rPr>
              <w:t>Shares used in calculations</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1,238</w:t>
            </w:r>
          </w:p>
        </w:tc>
        <w:tc>
          <w:tcPr>
            <w:tcW w:w="1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1,225</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1,220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1,160</w:t>
            </w:r>
          </w:p>
        </w:tc>
        <w:tc>
          <w:tcPr>
            <w:tcW w:w="16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1,146</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6"/>
              </w:rPr>
              <w:t>0.15</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0.77</w:t>
            </w: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0.13</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33"/>
        </w:trPr>
        <w:tc>
          <w:tcPr>
            <w:tcW w:w="1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280"/>
          </w:cols>
          <w:pgMar w:left="1320" w:top="796" w:right="12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ADJUSTMENTS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2nd Qtr.</w:t>
            </w: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1st Qtr.</w:t>
            </w:r>
          </w:p>
        </w:tc>
        <w:tc>
          <w:tcPr>
            <w:tcW w:w="16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2nd Qtr.</w:t>
            </w:r>
          </w:p>
        </w:tc>
        <w:tc>
          <w:tcPr>
            <w:tcW w:w="0" w:type="dxa"/>
            <w:vAlign w:val="bottom"/>
          </w:tcPr>
          <w:p>
            <w:pPr>
              <w:spacing w:after="0"/>
              <w:rPr>
                <w:sz w:val="1"/>
                <w:szCs w:val="1"/>
                <w:color w:val="auto"/>
              </w:rPr>
            </w:pPr>
          </w:p>
        </w:tc>
      </w:tr>
      <w:tr>
        <w:trPr>
          <w:trHeight w:val="252"/>
        </w:trPr>
        <w:tc>
          <w:tcPr>
            <w:tcW w:w="6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November 30,</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1, 2018</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March 2, 2017</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Non-GAAP adjustments</w:t>
            </w: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Flow-through of Inotera inventory step up</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Amortization of debt discount and other costs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Other non-operating income (expense)</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debt repurchases and conversions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(Gain) loss from changes in currency exchange rates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(Gain) loss from business acquisition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Impact of U.S. income tax reform</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Estimated tax effects of above, including tax benefits from stock-based compensation,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and non-cash changes in net deferred taxes</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tables above reconcile GAAP to non-GAAP results, diluted shares, and diluted earnings per share. The non-GAAP adjustments above may or may not be infrequent or nonrecurring in nature but are a result of periodic or non-core operating activities. We believe this non-GAAP information is helpful to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w:t>
      </w:r>
    </w:p>
    <w:p>
      <w:pPr>
        <w:sectPr>
          <w:pgSz w:w="11900" w:h="16838" w:orient="portrait"/>
          <w:cols w:equalWidth="0" w:num="1">
            <w:col w:w="11420"/>
          </w:cols>
          <w:pgMar w:left="240" w:top="796" w:right="239" w:bottom="1440" w:gutter="0" w:footer="0" w:header="0"/>
        </w:sectPr>
      </w:pPr>
    </w:p>
    <w:bookmarkStart w:id="10" w:name="page11"/>
    <w:bookmarkEnd w:id="10"/>
    <w:p>
      <w:pPr>
        <w:ind w:right="200"/>
        <w:spacing w:after="0" w:line="277" w:lineRule="auto"/>
        <w:rPr>
          <w:sz w:val="20"/>
          <w:szCs w:val="20"/>
          <w:color w:val="auto"/>
        </w:rPr>
      </w:pPr>
      <w:r>
        <w:rPr>
          <w:rFonts w:ascii="Arial" w:cs="Arial" w:eastAsia="Arial" w:hAnsi="Arial"/>
          <w:sz w:val="18"/>
          <w:szCs w:val="18"/>
          <w:color w:val="auto"/>
        </w:rPr>
        <w:t>The presentation of these adjusted amounts vary from numbers presented in accordance with U.S. GAAP and therefore may not be comparable to amounts reported by other companies.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management excludes the following items in analyzing our operating results and understanding trends in our earnings: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debt and MMJ installment debt;</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Gains and losses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Impact of the U.S. income tax reform for provisional estimate of Repatriation Tax, release of U.S. valuation allowance, and remeasurement of net deferred taxes reflecting the lower U.S. corporate tax rates; and</w:t>
      </w: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estimated tax effects of above, including tax benefits from stock-based compensation, and non-cash changes in net deferred taxes.</w:t>
      </w:r>
    </w:p>
    <w:p>
      <w:pPr>
        <w:spacing w:after="0" w:line="22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outstanding capped call transactions are anti-dilutive in GAAP earnings per share but are expected to mitigate the dilutive effect of our convertible notes. In periods with non-GAAP income attributable to Micron, non-GAAP diluted shares include the impact of the capped calls, based on the average share price for the period the capped calls are outstanding. Non-GAAP diluted shares are also adjusted for the impact of additional shares resulting from the exclusion of stock-based compensation from non-GAAP income.</w:t>
      </w:r>
    </w:p>
    <w:p>
      <w:pPr>
        <w:sectPr>
          <w:pgSz w:w="11900" w:h="16838" w:orient="portrait"/>
          <w:cols w:equalWidth="0" w:num="1">
            <w:col w:w="11360"/>
          </w:cols>
          <w:pgMar w:left="240" w:top="800" w:right="299" w:bottom="1440" w:gutter="0" w:footer="0" w:header="0"/>
        </w:sectPr>
      </w:pPr>
    </w:p>
    <w:bookmarkStart w:id="11" w:name="page12"/>
    <w:bookmarkEnd w:id="11"/>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33020</wp:posOffset>
            </wp:positionV>
            <wp:extent cx="5848985" cy="3293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3293110"/>
                    </a:xfrm>
                    <a:prstGeom prst="rect">
                      <a:avLst/>
                    </a:prstGeom>
                    <a:noFill/>
                  </pic:spPr>
                </pic:pic>
              </a:graphicData>
            </a:graphic>
          </wp:anchor>
        </w:drawing>
      </w:r>
    </w:p>
    <w:sectPr>
      <w:pgSz w:w="11900" w:h="16838" w:orient="portrait"/>
      <w:cols w:equalWidth="0" w:num="1">
        <w:col w:w="10220"/>
      </w:cols>
      <w:pgMar w:left="14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2019-12-29T00:26:56Z</dcterms:created>
  <dcterms:modified xsi:type="dcterms:W3CDTF">2019-12-29T00:26:56Z</dcterms:modified>
</cp:coreProperties>
</file>