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976"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ectPr>
          <w:pgSz w:w="11900" w:h="16838" w:orient="portrait"/>
          <w:cols w:equalWidth="0" w:num="1">
            <w:col w:w="11240"/>
          </w:cols>
          <w:pgMar w:left="320" w:top="976" w:right="339" w:bottom="1440" w:gutter="0" w:footer="0" w:header="0"/>
          <w:type w:val="continuous"/>
        </w:sectPr>
      </w:pP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60" w:type="dxa"/>
            <w:vAlign w:val="bottom"/>
            <w:gridSpan w:val="3"/>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32"/>
        </w:trPr>
        <w:tc>
          <w:tcPr>
            <w:tcW w:w="4260" w:type="dxa"/>
            <w:vAlign w:val="bottom"/>
            <w:gridSpan w:val="3"/>
          </w:tcPr>
          <w:p>
            <w:pPr>
              <w:ind w:left="1140"/>
              <w:spacing w:after="0"/>
              <w:rPr>
                <w:sz w:val="20"/>
                <w:szCs w:val="20"/>
                <w:color w:val="auto"/>
              </w:rPr>
            </w:pPr>
            <w:r>
              <w:rPr>
                <w:rFonts w:ascii="Arial" w:cs="Arial" w:eastAsia="Arial" w:hAnsi="Arial"/>
                <w:sz w:val="18"/>
                <w:szCs w:val="18"/>
                <w:b w:val="1"/>
                <w:bCs w:val="1"/>
                <w:color w:val="auto"/>
              </w:rPr>
              <w:t>Title of each class</w:t>
            </w:r>
          </w:p>
        </w:tc>
        <w:tc>
          <w:tcPr>
            <w:tcW w:w="204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9"/>
              </w:rPr>
              <w:t>Trading symbol</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par value $0.10 per share</w:t>
            </w: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center"/>
              <w:ind w:right="330"/>
              <w:spacing w:after="0"/>
              <w:rPr>
                <w:sz w:val="20"/>
                <w:szCs w:val="20"/>
                <w:color w:val="auto"/>
              </w:rPr>
            </w:pPr>
            <w:r>
              <w:rPr>
                <w:rFonts w:ascii="Arial" w:cs="Arial" w:eastAsia="Arial" w:hAnsi="Arial"/>
                <w:sz w:val="18"/>
                <w:szCs w:val="18"/>
                <w:color w:val="auto"/>
                <w:w w:val="99"/>
              </w:rPr>
              <w:t>MU</w:t>
            </w:r>
          </w:p>
        </w:tc>
        <w:tc>
          <w:tcPr>
            <w:tcW w:w="22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Notes Offering</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On April 24, 2020, Micron Technology, Inc. (“Micron,” “we” or “our”) settled its offering of $1,250,000,000 aggregate principal amount of 2.497% senior notes due 2023 (the “Notes”), as further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Repayment of Entire Amount of Outstanding Borrowings Under Revolving Credit Facility</w:t>
      </w:r>
    </w:p>
    <w:p>
      <w:pPr>
        <w:spacing w:after="0" w:line="22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On April 24, 2020, Micron used the net proceeds of the offering of the Notes, together with cash on hand, to repay the entire $2.5 billion principal amount of outstanding borrowings under its existing $2.5 billion committed revolving credit facility (the "Revolving Credit Facility").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Material Definitive Agreement.</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April 21, 2020, Micron entered into an underwriting agreement with Citigroup Global Markets Inc., Credit Suisse Securities (USA) LLC, and Morgan Stanley &amp; Co. LLC, as representatives of the several underwriters named therein (the “Underwriters”), relating to the issuance and sale by Micron of $1,250,000,000 aggregate principal amount of Notes. The Notes were issued and sold in a public offering pursuant to a registration statement on Form S-3 (File No. 333-220882), including the prospectus contained therein, filed with the Securities and Exchange Commission (the “SEC”) under the Securities Act of 1933, as amended, a preliminary prospectus supplement dated April 21, 2020 and a related final prospectus supplement dated April 21, 2020. The transaction closed on April 24,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Agreement</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Underwriting Agreement includes customary representations, warranties and covenants by Micron. Under the terms of the Underwriting Agreement, Micron has agreed to indemnify the Underwriters against certain liabilities.</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description of the Underwriting Agreement contained herein is qualified in its entirety by reference to the Underwriting Agreement filed as Exhibit 1.1 to this Current Report on Form 8-K and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Indenture</w:t>
      </w:r>
    </w:p>
    <w:p>
      <w:pPr>
        <w:spacing w:after="0" w:line="225"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The Notes were issued pursuant to an indenture, dated as of February 6, 2019 (the “Base Indenture”), as supplemented by a third supplemental indenture, dated as of April 24, 2020 (the “Supplemental Indenture” and referred to together with the Base Indenture as the “Indenture”), between Micron and U.S. Bank National Association, as trustee. The Indenture contains certain covenants, events of default and other customary provisions.</w:t>
      </w:r>
    </w:p>
    <w:p>
      <w:pPr>
        <w:spacing w:after="0" w:line="14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Notes bear interest at a rate of 2.497% per year and will mature on April 24, 2023. Interest on the Notes is payable on April 24 and October 24 of each year, beginning on October 24, 2020.</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Micron may redeem the Notes, in whole at any time or in part from time to time, at a redemption price equal to the greater of (i) 100% of the principal amount of the Notes to be redeemed and (ii) the sum of the present values of the remaining scheduled payments of principal and interest thereon (exclusive of interest accrued to the date of redemption), discounted to the date of redemption on a semi-annual basis (assuming a 360-day year consisting of twelve 30-day months) at the then current Treasury Rate plus 35 basis points, plus accrued and unpaid interest, if any, on the amount being redeemed to, but excluding, the date of redemption.</w:t>
      </w:r>
    </w:p>
    <w:p>
      <w:pPr>
        <w:spacing w:after="0" w:line="18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If Micron experiences specified change of control triggering events, Micron must offer to repurchase the Notes at a price equal to 101% of the principal amount of the Notes repurchased, plus accrued and unpaid interest, if any.</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Indenture contains limited affirmative and negative covenants of Micron, each of which is subject to a number of limitations and exceptions in the Indenture. The negative covenants restrict the ability of Micron and certain of its subsidiaries to incur liens on Principal Property (as defined in the Indenture); to engage in sale and lease-back transactions with respect to any Principal Property; and the ability of Micron to consolidate, merge or convey, transfer or lease all or substantially all of its properties and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ind w:right="620" w:firstLine="648"/>
        <w:spacing w:after="0" w:line="263" w:lineRule="auto"/>
        <w:rPr>
          <w:sz w:val="20"/>
          <w:szCs w:val="20"/>
          <w:color w:val="auto"/>
        </w:rPr>
      </w:pPr>
      <w:r>
        <w:rPr>
          <w:rFonts w:ascii="Arial" w:cs="Arial" w:eastAsia="Arial" w:hAnsi="Arial"/>
          <w:sz w:val="18"/>
          <w:szCs w:val="18"/>
          <w:color w:val="auto"/>
        </w:rPr>
        <w:t>Events of default under the Indenture include a failure to make payments, non-performance of affirmative and negative covenants, and the occurrence of bankruptcy and insolvency-related events. Micron’s obligations may be accelerated upon an event of default, in which case the entire principal amount of the Notes would become immediately due and payable.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Micron intends to use the net proceeds of the offering to repay a portion of the outstanding borrowings under the Revolving Credit Facility.</w:t>
      </w:r>
    </w:p>
    <w:p>
      <w:pPr>
        <w:spacing w:after="0" w:line="23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foregoing description of certain terms of the Indenture does not purport to be complete and is qualified in its entirety by reference to the full text of the Base Indenture, the Supplemental Indenture, and the form of the Notes which are filed with this report as Exhibits 4.1, 4.2, and 4.3,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The information set forth above under “Repayment of Entire Amount of Outstanding Borrowings Under Revolving Credit Facility”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Recent Developments and Risk Factor</w:t>
      </w:r>
    </w:p>
    <w:p>
      <w:pPr>
        <w:spacing w:after="0" w:line="225"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In connection with the offering of the Notes, Micron disclosed in the related prospectus supplement (the “Prospectus Supplement”) the information set forth in Exhibit 99.1 hereto, which Exhibit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Legality Opinion</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Wilson Sonsini Goodrich &amp; Rosati, Professional Corporation, counsel to Micron, has issued an opinion to Micron dated April 24, 2020 regarding the legality of the Notes. A copy of the opinion is filed as Exhibit 5.1 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5560" w:type="dxa"/>
            <w:vAlign w:val="bottom"/>
            <w:gridSpan w:val="5"/>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40" w:type="dxa"/>
            <w:vAlign w:val="bottom"/>
            <w:tcBorders>
              <w:top w:val="single" w:sz="8" w:color="auto"/>
            </w:tcBorders>
          </w:tcPr>
          <w:p>
            <w:pPr>
              <w:ind w:left="20"/>
              <w:spacing w:after="0" w:line="169"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1.1</w:t>
              </w:r>
            </w:hyperlink>
          </w:p>
        </w:tc>
        <w:tc>
          <w:tcPr>
            <w:tcW w:w="220" w:type="dxa"/>
            <w:vAlign w:val="bottom"/>
          </w:tcPr>
          <w:p>
            <w:pPr>
              <w:spacing w:after="0"/>
              <w:rPr>
                <w:sz w:val="14"/>
                <w:szCs w:val="14"/>
                <w:color w:val="auto"/>
              </w:rPr>
            </w:pPr>
          </w:p>
        </w:tc>
        <w:tc>
          <w:tcPr>
            <w:tcW w:w="9400" w:type="dxa"/>
            <w:vAlign w:val="bottom"/>
            <w:tcBorders>
              <w:top w:val="single" w:sz="8" w:color="auto"/>
              <w:bottom w:val="single" w:sz="8" w:color="0000EE"/>
            </w:tcBorders>
            <w:gridSpan w:val="4"/>
          </w:tcPr>
          <w:p>
            <w:pPr>
              <w:spacing w:after="0" w:line="169"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Underwriting Agreement, dated April 21, 2020, by and among Micron Technology, Inc. and Citigroup Global Markets Inc., Credit</w:t>
              </w:r>
            </w:hyperlink>
          </w:p>
        </w:tc>
        <w:tc>
          <w:tcPr>
            <w:tcW w:w="480" w:type="dxa"/>
            <w:vAlign w:val="bottom"/>
            <w:tcBorders>
              <w:top w:val="single" w:sz="8" w:color="auto"/>
            </w:tcBorders>
            <w:gridSpan w:val="4"/>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Suisse Securities (USA) LLC, and Morgan Stanley &amp; Co. LLC, as representatives of the several underwriters on Schedule I attached</w:t>
              </w:r>
            </w:hyperlink>
          </w:p>
        </w:tc>
        <w:tc>
          <w:tcPr>
            <w:tcW w:w="3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thereto</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4.1</w:t>
              </w:r>
            </w:hyperlink>
          </w:p>
        </w:tc>
        <w:tc>
          <w:tcPr>
            <w:tcW w:w="220" w:type="dxa"/>
            <w:vAlign w:val="bottom"/>
          </w:tcPr>
          <w:p>
            <w:pPr>
              <w:spacing w:after="0"/>
              <w:rPr>
                <w:sz w:val="17"/>
                <w:szCs w:val="17"/>
                <w:color w:val="auto"/>
              </w:rPr>
            </w:pPr>
          </w:p>
        </w:tc>
        <w:tc>
          <w:tcPr>
            <w:tcW w:w="9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8">
              <w:r>
                <w:rPr>
                  <w:rFonts w:ascii="Arial" w:cs="Arial" w:eastAsia="Arial" w:hAnsi="Arial"/>
                  <w:sz w:val="18"/>
                  <w:szCs w:val="18"/>
                  <w:color w:val="0000EE"/>
                  <w:w w:val="90"/>
                </w:rPr>
                <w:t>Indenture, dated February 6, 2019, by and between Micron Technology, Inc. and U.S. Bank National Association, as Trustee, filed as</w:t>
              </w:r>
            </w:hyperlink>
          </w:p>
        </w:tc>
        <w:tc>
          <w:tcPr>
            <w:tcW w:w="30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8"/>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Exhibit 4.1 to Micron’s Form 8-K filed on February 6, 2019</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4.2</w:t>
              </w:r>
            </w:hyperlink>
          </w:p>
        </w:tc>
        <w:tc>
          <w:tcPr>
            <w:tcW w:w="220" w:type="dxa"/>
            <w:vAlign w:val="bottom"/>
          </w:tcPr>
          <w:p>
            <w:pPr>
              <w:spacing w:after="0"/>
              <w:rPr>
                <w:sz w:val="17"/>
                <w:szCs w:val="17"/>
                <w:color w:val="auto"/>
              </w:rPr>
            </w:pPr>
          </w:p>
        </w:tc>
        <w:tc>
          <w:tcPr>
            <w:tcW w:w="9880" w:type="dxa"/>
            <w:vAlign w:val="bottom"/>
            <w:gridSpan w:val="8"/>
          </w:tcPr>
          <w:p>
            <w:pPr>
              <w:spacing w:after="0" w:line="196" w:lineRule="exact"/>
              <w:rPr>
                <w:rFonts w:ascii="Arial" w:cs="Arial" w:eastAsia="Arial" w:hAnsi="Arial"/>
                <w:sz w:val="18"/>
                <w:szCs w:val="18"/>
                <w:color w:val="0000EE"/>
                <w:w w:val="93"/>
              </w:rPr>
            </w:pPr>
            <w:hyperlink w:anchor="page43">
              <w:r>
                <w:rPr>
                  <w:rFonts w:ascii="Arial" w:cs="Arial" w:eastAsia="Arial" w:hAnsi="Arial"/>
                  <w:sz w:val="18"/>
                  <w:szCs w:val="18"/>
                  <w:color w:val="0000EE"/>
                  <w:w w:val="93"/>
                </w:rPr>
                <w:t>Third Supplemental Indenture, dated April 24, 2020, by and between Micron Technology, Inc. and U.S. Bank National Association, as</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43">
              <w:r>
                <w:rPr>
                  <w:rFonts w:ascii="Arial" w:cs="Arial" w:eastAsia="Arial" w:hAnsi="Arial"/>
                  <w:sz w:val="18"/>
                  <w:szCs w:val="18"/>
                  <w:color w:val="0000EE"/>
                  <w:w w:val="85"/>
                </w:rPr>
                <w:t>Trustee</w:t>
              </w:r>
            </w:hyperlink>
          </w:p>
        </w:tc>
        <w:tc>
          <w:tcPr>
            <w:tcW w:w="9140" w:type="dxa"/>
            <w:vAlign w:val="bottom"/>
            <w:tcBorders>
              <w:top w:val="single" w:sz="8" w:color="0000EE"/>
            </w:tcBorders>
            <w:gridSpan w:val="5"/>
          </w:tcPr>
          <w:p>
            <w:pPr>
              <w:spacing w:after="0"/>
              <w:rPr>
                <w:sz w:val="17"/>
                <w:szCs w:val="17"/>
                <w:color w:val="auto"/>
              </w:rPr>
            </w:pPr>
          </w:p>
        </w:tc>
        <w:tc>
          <w:tcPr>
            <w:tcW w:w="200" w:type="dxa"/>
            <w:vAlign w:val="bottom"/>
          </w:tcPr>
          <w:p>
            <w:pPr>
              <w:spacing w:after="0"/>
              <w:rPr>
                <w:sz w:val="17"/>
                <w:szCs w:val="17"/>
                <w:color w:val="auto"/>
              </w:rPr>
            </w:pPr>
          </w:p>
        </w:tc>
      </w:tr>
      <w:tr>
        <w:trPr>
          <w:trHeight w:val="222"/>
        </w:trPr>
        <w:tc>
          <w:tcPr>
            <w:tcW w:w="1140" w:type="dxa"/>
            <w:vAlign w:val="bottom"/>
          </w:tcPr>
          <w:p>
            <w:pPr>
              <w:ind w:left="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4.3</w:t>
              </w:r>
            </w:hyperlink>
          </w:p>
        </w:tc>
        <w:tc>
          <w:tcPr>
            <w:tcW w:w="220" w:type="dxa"/>
            <w:vAlign w:val="bottom"/>
          </w:tcPr>
          <w:p>
            <w:pPr>
              <w:spacing w:after="0"/>
              <w:rPr>
                <w:sz w:val="19"/>
                <w:szCs w:val="19"/>
                <w:color w:val="auto"/>
              </w:rPr>
            </w:pPr>
          </w:p>
        </w:tc>
        <w:tc>
          <w:tcPr>
            <w:tcW w:w="9880" w:type="dxa"/>
            <w:vAlign w:val="bottom"/>
            <w:gridSpan w:val="8"/>
          </w:tcPr>
          <w:p>
            <w:pPr>
              <w:spacing w:after="0"/>
              <w:rPr>
                <w:rFonts w:ascii="Arial" w:cs="Arial" w:eastAsia="Arial" w:hAnsi="Arial"/>
                <w:sz w:val="18"/>
                <w:szCs w:val="18"/>
                <w:u w:val="single" w:color="auto"/>
                <w:color w:val="0000EE"/>
                <w:w w:val="98"/>
              </w:rPr>
            </w:pPr>
            <w:hyperlink w:anchor="page43">
              <w:r>
                <w:rPr>
                  <w:rFonts w:ascii="Arial" w:cs="Arial" w:eastAsia="Arial" w:hAnsi="Arial"/>
                  <w:sz w:val="18"/>
                  <w:szCs w:val="18"/>
                  <w:u w:val="single" w:color="auto"/>
                  <w:color w:val="0000EE"/>
                  <w:w w:val="98"/>
                </w:rPr>
                <w:t>Form of Note for Micron Technology, Inc.’s 2.497% Senior Notes due 2023 (incorporated by reference from Exhibit 4.2 hereto)</w:t>
              </w:r>
            </w:hyperlink>
          </w:p>
        </w:tc>
      </w:tr>
      <w:tr>
        <w:trPr>
          <w:trHeight w:val="216"/>
        </w:trPr>
        <w:tc>
          <w:tcPr>
            <w:tcW w:w="1140" w:type="dxa"/>
            <w:vAlign w:val="bottom"/>
          </w:tcPr>
          <w:p>
            <w:pPr>
              <w:ind w:left="2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5.1</w:t>
              </w:r>
            </w:hyperlink>
          </w:p>
        </w:tc>
        <w:tc>
          <w:tcPr>
            <w:tcW w:w="220" w:type="dxa"/>
            <w:vAlign w:val="bottom"/>
          </w:tcPr>
          <w:p>
            <w:pPr>
              <w:spacing w:after="0"/>
              <w:rPr>
                <w:sz w:val="18"/>
                <w:szCs w:val="18"/>
                <w:color w:val="auto"/>
              </w:rPr>
            </w:pPr>
          </w:p>
        </w:tc>
        <w:tc>
          <w:tcPr>
            <w:tcW w:w="9880" w:type="dxa"/>
            <w:vAlign w:val="bottom"/>
            <w:gridSpan w:val="8"/>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Opinion of Wilson Sonsini Goodrich &amp; Rosati, Professional Corporation</w:t>
              </w:r>
            </w:hyperlink>
          </w:p>
        </w:tc>
      </w:tr>
      <w:tr>
        <w:trPr>
          <w:trHeight w:val="216"/>
        </w:trPr>
        <w:tc>
          <w:tcPr>
            <w:tcW w:w="1140" w:type="dxa"/>
            <w:vAlign w:val="bottom"/>
          </w:tcPr>
          <w:p>
            <w:pPr>
              <w:ind w:left="2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23.1</w:t>
              </w:r>
            </w:hyperlink>
          </w:p>
        </w:tc>
        <w:tc>
          <w:tcPr>
            <w:tcW w:w="220" w:type="dxa"/>
            <w:vAlign w:val="bottom"/>
          </w:tcPr>
          <w:p>
            <w:pPr>
              <w:spacing w:after="0"/>
              <w:rPr>
                <w:sz w:val="18"/>
                <w:szCs w:val="18"/>
                <w:color w:val="auto"/>
              </w:rPr>
            </w:pPr>
          </w:p>
        </w:tc>
        <w:tc>
          <w:tcPr>
            <w:tcW w:w="9880" w:type="dxa"/>
            <w:vAlign w:val="bottom"/>
            <w:gridSpan w:val="8"/>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Consent of Wilson Sonsini Goodrich &amp; Rosati, Professional Corporation (included in Exhibit 5.1)</w:t>
              </w:r>
            </w:hyperlink>
          </w:p>
        </w:tc>
      </w:tr>
      <w:tr>
        <w:trPr>
          <w:trHeight w:val="216"/>
        </w:trPr>
        <w:tc>
          <w:tcPr>
            <w:tcW w:w="1140" w:type="dxa"/>
            <w:vAlign w:val="bottom"/>
          </w:tcPr>
          <w:p>
            <w:pPr>
              <w:ind w:left="2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99.1</w:t>
              </w:r>
            </w:hyperlink>
          </w:p>
        </w:tc>
        <w:tc>
          <w:tcPr>
            <w:tcW w:w="220" w:type="dxa"/>
            <w:vAlign w:val="bottom"/>
          </w:tcPr>
          <w:p>
            <w:pPr>
              <w:spacing w:after="0"/>
              <w:rPr>
                <w:sz w:val="18"/>
                <w:szCs w:val="18"/>
                <w:color w:val="auto"/>
              </w:rPr>
            </w:pPr>
          </w:p>
        </w:tc>
        <w:tc>
          <w:tcPr>
            <w:tcW w:w="9880" w:type="dxa"/>
            <w:vAlign w:val="bottom"/>
            <w:gridSpan w:val="8"/>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Disclosure from Prospectus Supplement</w:t>
              </w:r>
            </w:hyperlink>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0"/>
                <w:szCs w:val="20"/>
                <w:color w:val="auto"/>
              </w:rPr>
            </w:pPr>
          </w:p>
        </w:tc>
        <w:tc>
          <w:tcPr>
            <w:tcW w:w="988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2"/>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MICRON TECHNOLOGY, INC.</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David A. Zinsner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1.1</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$1,250,000,000 2.497% SENIOR NOTES DUE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April 21,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other several Underwriters listed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10010-3629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Micron Technology,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to issue and sell to the several underwriters listed in Schedule I hereto (the “</w:t>
      </w:r>
      <w:r>
        <w:rPr>
          <w:rFonts w:ascii="Arial" w:cs="Arial" w:eastAsia="Arial" w:hAnsi="Arial"/>
          <w:sz w:val="18"/>
          <w:szCs w:val="18"/>
          <w:b w:val="1"/>
          <w:bCs w:val="1"/>
          <w:color w:val="auto"/>
        </w:rPr>
        <w:t>Underwriters</w:t>
      </w:r>
      <w:r>
        <w:rPr>
          <w:rFonts w:ascii="Arial" w:cs="Arial" w:eastAsia="Arial" w:hAnsi="Arial"/>
          <w:sz w:val="18"/>
          <w:szCs w:val="18"/>
          <w:color w:val="auto"/>
        </w:rPr>
        <w:t>”), for whom you are acting as representatives (the “</w:t>
      </w:r>
      <w:r>
        <w:rPr>
          <w:rFonts w:ascii="Arial" w:cs="Arial" w:eastAsia="Arial" w:hAnsi="Arial"/>
          <w:sz w:val="18"/>
          <w:szCs w:val="18"/>
          <w:b w:val="1"/>
          <w:bCs w:val="1"/>
          <w:color w:val="auto"/>
        </w:rPr>
        <w:t>Representatives</w:t>
      </w:r>
      <w:r>
        <w:rPr>
          <w:rFonts w:ascii="Arial" w:cs="Arial" w:eastAsia="Arial" w:hAnsi="Arial"/>
          <w:sz w:val="18"/>
          <w:szCs w:val="18"/>
          <w:color w:val="auto"/>
        </w:rPr>
        <w:t>”), $1,250,000,000 principal amount of its 2.497% Senior Notes due 2023 (the “</w:t>
      </w:r>
      <w:r>
        <w:rPr>
          <w:rFonts w:ascii="Arial" w:cs="Arial" w:eastAsia="Arial" w:hAnsi="Arial"/>
          <w:sz w:val="18"/>
          <w:szCs w:val="18"/>
          <w:b w:val="1"/>
          <w:bCs w:val="1"/>
          <w:color w:val="auto"/>
        </w:rPr>
        <w:t>Securities</w:t>
      </w:r>
      <w:r>
        <w:rPr>
          <w:rFonts w:ascii="Arial" w:cs="Arial" w:eastAsia="Arial" w:hAnsi="Arial"/>
          <w:sz w:val="18"/>
          <w:szCs w:val="18"/>
          <w:color w:val="auto"/>
        </w:rPr>
        <w:t>”). The Securities will be issued pursuant to an indenture dated as of February 6, 2019 between the Company and U.S. Bank National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supplemented by a third supplemental indenture thereto (collectively, the “</w:t>
      </w:r>
      <w:r>
        <w:rPr>
          <w:rFonts w:ascii="Arial" w:cs="Arial" w:eastAsia="Arial" w:hAnsi="Arial"/>
          <w:sz w:val="18"/>
          <w:szCs w:val="18"/>
          <w:b w:val="1"/>
          <w:bCs w:val="1"/>
          <w:color w:val="auto"/>
        </w:rPr>
        <w:t>Indenture</w:t>
      </w:r>
      <w:r>
        <w:rPr>
          <w:rFonts w:ascii="Arial" w:cs="Arial" w:eastAsia="Arial" w:hAnsi="Arial"/>
          <w:sz w:val="18"/>
          <w:szCs w:val="18"/>
          <w:color w:val="auto"/>
        </w:rPr>
        <w:t>”), to be dated as of the Closing Date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660"/>
        <w:spacing w:after="0"/>
        <w:rPr>
          <w:sz w:val="20"/>
          <w:szCs w:val="20"/>
          <w:color w:val="auto"/>
        </w:rPr>
      </w:pPr>
      <w:r>
        <w:rPr>
          <w:rFonts w:ascii="Arial" w:cs="Arial" w:eastAsia="Arial" w:hAnsi="Arial"/>
          <w:sz w:val="17"/>
          <w:szCs w:val="17"/>
          <w:color w:val="auto"/>
        </w:rPr>
        <w:t>In connection with the sale of the Securities, the Company has prepared and filed with the Securities and Exchange Commission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Commission</w:t>
      </w:r>
      <w:r>
        <w:rPr>
          <w:rFonts w:ascii="Arial" w:cs="Arial" w:eastAsia="Arial" w:hAnsi="Arial"/>
          <w:sz w:val="16"/>
          <w:szCs w:val="16"/>
          <w:color w:val="auto"/>
        </w:rPr>
        <w:t>”) under the Securities Act of 1933, as amended, and the rules and regulations of the Commission thereunder (collectively, the “</w:t>
      </w:r>
      <w:r>
        <w:rPr>
          <w:rFonts w:ascii="Arial" w:cs="Arial" w:eastAsia="Arial" w:hAnsi="Arial"/>
          <w:sz w:val="16"/>
          <w:szCs w:val="16"/>
          <w:b w:val="1"/>
          <w:bCs w:val="1"/>
          <w:color w:val="auto"/>
        </w:rPr>
        <w:t>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w:t>
      </w:r>
      <w:r>
        <w:rPr>
          <w:rFonts w:ascii="Arial" w:cs="Arial" w:eastAsia="Arial" w:hAnsi="Arial"/>
          <w:sz w:val="16"/>
          <w:szCs w:val="16"/>
          <w:color w:val="auto"/>
        </w:rPr>
        <w:t>”), a registration statement on Form S-3 (File No. 333-220882) including a prospectus, relating to the securities identified therein that may be issued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from time to time. Such registration statement, as amended at the time it became effective, including the information, if any, deemed pursuant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Rule 430A, 430B or 430C under the Securities Act to be part of the registration statement at the time of its effectiveness (“</w:t>
      </w:r>
      <w:r>
        <w:rPr>
          <w:rFonts w:ascii="Arial" w:cs="Arial" w:eastAsia="Arial" w:hAnsi="Arial"/>
          <w:sz w:val="16"/>
          <w:szCs w:val="16"/>
          <w:b w:val="1"/>
          <w:bCs w:val="1"/>
          <w:color w:val="auto"/>
        </w:rPr>
        <w:t>Rule 430 Information</w:t>
      </w:r>
      <w:r>
        <w:rPr>
          <w:rFonts w:ascii="Arial" w:cs="Arial" w:eastAsia="Arial" w:hAnsi="Arial"/>
          <w:sz w:val="16"/>
          <w:szCs w:val="16"/>
          <w:color w:val="auto"/>
        </w:rPr>
        <w: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referred to herein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as used herein,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the preliminary prospectus supplement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Company, dated April 21, 2020, relating to the Securities, and filed with the Commission pursuant to Rule 424(b) under the Securities Act together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prospectus included in the Registration Statement at the time of its effectiveness that omitted Rule 430 Information, and the term “</w:t>
      </w:r>
      <w:r>
        <w:rPr>
          <w:rFonts w:ascii="Arial" w:cs="Arial" w:eastAsia="Arial" w:hAnsi="Arial"/>
          <w:sz w:val="16"/>
          <w:szCs w:val="16"/>
          <w:b w:val="1"/>
          <w:bCs w:val="1"/>
          <w:color w:val="auto"/>
        </w:rPr>
        <w:t>Prospectus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means the final prospectus relating to the Securities in the form first furnished to the Underwriters (or made available upon request of purchasers pursuant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Rule 173 under the Securities Act) for use in connection with confirmation of sales of the Securities. Any reference in this underwriting agreement (this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to the Registration Statement, any Preliminary Prospectus or the Prospectus shall be deemed to refer to and include the documents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therein pursuant to Item 12 of Form S-3 under the Securities Act, as of the effective date of the Registration Statement or the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such Preliminary Prospectus or the Prospectus, as the case may be and any reference to “</w:t>
      </w:r>
      <w:r>
        <w:rPr>
          <w:rFonts w:ascii="Arial" w:cs="Arial" w:eastAsia="Arial" w:hAnsi="Arial"/>
          <w:sz w:val="16"/>
          <w:szCs w:val="16"/>
          <w:b w:val="1"/>
          <w:bCs w:val="1"/>
          <w:color w:val="auto"/>
        </w:rPr>
        <w:t>amend</w:t>
      </w:r>
      <w:r>
        <w:rPr>
          <w:rFonts w:ascii="Arial" w:cs="Arial" w:eastAsia="Arial" w:hAnsi="Arial"/>
          <w:sz w:val="16"/>
          <w:szCs w:val="16"/>
          <w:color w:val="auto"/>
        </w:rPr>
        <w:t>”, “</w:t>
      </w:r>
      <w:r>
        <w:rPr>
          <w:rFonts w:ascii="Arial" w:cs="Arial" w:eastAsia="Arial" w:hAnsi="Arial"/>
          <w:sz w:val="16"/>
          <w:szCs w:val="16"/>
          <w:b w:val="1"/>
          <w:bCs w:val="1"/>
          <w:color w:val="auto"/>
        </w:rPr>
        <w:t>amendment</w:t>
      </w:r>
      <w:r>
        <w:rPr>
          <w:rFonts w:ascii="Arial" w:cs="Arial" w:eastAsia="Arial" w:hAnsi="Arial"/>
          <w:sz w:val="16"/>
          <w:szCs w:val="16"/>
          <w:color w:val="auto"/>
        </w:rPr>
        <w:t>” or “</w:t>
      </w:r>
      <w:r>
        <w:rPr>
          <w:rFonts w:ascii="Arial" w:cs="Arial" w:eastAsia="Arial" w:hAnsi="Arial"/>
          <w:sz w:val="16"/>
          <w:szCs w:val="16"/>
          <w:b w:val="1"/>
          <w:bCs w:val="1"/>
          <w:color w:val="auto"/>
        </w:rPr>
        <w:t>supplement</w:t>
      </w:r>
      <w:r>
        <w:rPr>
          <w:rFonts w:ascii="Arial" w:cs="Arial" w:eastAsia="Arial" w:hAnsi="Arial"/>
          <w:sz w:val="16"/>
          <w:szCs w:val="16"/>
          <w:color w:val="auto"/>
        </w:rPr>
        <w:t>” with respect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any Preliminary Prospectus or the Prospectus shall be deemed to refer to and include any documents filed after such date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Exchange Act of 1934, as amended, and the rules and regulations of the Commission thereunder (collectively, the “</w:t>
      </w:r>
      <w:r>
        <w:rPr>
          <w:rFonts w:ascii="Arial" w:cs="Arial" w:eastAsia="Arial" w:hAnsi="Arial"/>
          <w:sz w:val="16"/>
          <w:szCs w:val="16"/>
          <w:b w:val="1"/>
          <w:bCs w:val="1"/>
          <w:color w:val="auto"/>
        </w:rPr>
        <w:t>Exchange Act</w:t>
      </w:r>
      <w:r>
        <w:rPr>
          <w:rFonts w:ascii="Arial" w:cs="Arial" w:eastAsia="Arial" w:hAnsi="Arial"/>
          <w:sz w:val="16"/>
          <w:szCs w:val="16"/>
          <w:color w:val="auto"/>
        </w:rPr>
        <w:t>”) that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deemed to be incorporated by reference therein. Capitalized terms used but not defined herein shall have the meanings given to such terms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and the Prospectus.</w:t>
      </w:r>
    </w:p>
    <w:p>
      <w:pPr>
        <w:spacing w:after="0" w:line="207"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At or prior to the Applicable Time (as defined below), the Company had prepared the following information (collectively, the “</w:t>
      </w:r>
      <w:r>
        <w:rPr>
          <w:rFonts w:ascii="Arial" w:cs="Arial" w:eastAsia="Arial" w:hAnsi="Arial"/>
          <w:sz w:val="18"/>
          <w:szCs w:val="18"/>
          <w:b w:val="1"/>
          <w:bCs w:val="1"/>
          <w:color w:val="auto"/>
        </w:rPr>
        <w:t>Time of Sale</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w:t>
      </w:r>
      <w:r>
        <w:rPr>
          <w:rFonts w:ascii="Arial" w:cs="Arial" w:eastAsia="Arial" w:hAnsi="Arial"/>
          <w:sz w:val="18"/>
          <w:szCs w:val="18"/>
          <w:color w:val="auto"/>
        </w:rPr>
        <w:t>”): a Preliminary Prospectus dated April 21, 2020, and each “</w:t>
      </w:r>
      <w:r>
        <w:rPr>
          <w:rFonts w:ascii="Arial" w:cs="Arial" w:eastAsia="Arial" w:hAnsi="Arial"/>
          <w:sz w:val="18"/>
          <w:szCs w:val="18"/>
          <w:b w:val="1"/>
          <w:bCs w:val="1"/>
          <w:color w:val="auto"/>
        </w:rPr>
        <w:t>free-writing prospectus</w:t>
      </w:r>
      <w:r>
        <w:rPr>
          <w:rFonts w:ascii="Arial" w:cs="Arial" w:eastAsia="Arial" w:hAnsi="Arial"/>
          <w:sz w:val="18"/>
          <w:szCs w:val="18"/>
          <w:color w:val="auto"/>
        </w:rPr>
        <w:t>” (as defined pursuant to Rule 405 under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listed on Schedule II hereto. “</w:t>
      </w:r>
      <w:r>
        <w:rPr>
          <w:rFonts w:ascii="Arial" w:cs="Arial" w:eastAsia="Arial" w:hAnsi="Arial"/>
          <w:sz w:val="18"/>
          <w:szCs w:val="18"/>
          <w:b w:val="1"/>
          <w:bCs w:val="1"/>
          <w:color w:val="auto"/>
        </w:rPr>
        <w:t>Applicable Time</w:t>
      </w:r>
      <w:r>
        <w:rPr>
          <w:rFonts w:ascii="Arial" w:cs="Arial" w:eastAsia="Arial" w:hAnsi="Arial"/>
          <w:sz w:val="18"/>
          <w:szCs w:val="18"/>
          <w:color w:val="auto"/>
        </w:rPr>
        <w:t>” means 3:55 p.m., New York City time, on April 21, 2020.</w:t>
      </w:r>
    </w:p>
    <w:p>
      <w:pPr>
        <w:spacing w:after="0" w:line="180"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you that:</w:t>
      </w:r>
    </w:p>
    <w:p>
      <w:pPr>
        <w:spacing w:after="0" w:line="225" w:lineRule="exact"/>
        <w:rPr>
          <w:rFonts w:ascii="Arial" w:cs="Arial" w:eastAsia="Arial" w:hAnsi="Arial"/>
          <w:sz w:val="18"/>
          <w:szCs w:val="18"/>
          <w:color w:val="auto"/>
        </w:rPr>
      </w:pPr>
    </w:p>
    <w:p>
      <w:pPr>
        <w:ind w:left="660" w:firstLine="644"/>
        <w:spacing w:after="0" w:line="271" w:lineRule="auto"/>
        <w:tabs>
          <w:tab w:leader="none" w:pos="2047" w:val="left"/>
        </w:tabs>
        <w:numPr>
          <w:ilvl w:val="1"/>
          <w:numId w:val="2"/>
        </w:numPr>
        <w:rPr>
          <w:rFonts w:ascii="Arial" w:cs="Arial" w:eastAsia="Arial" w:hAnsi="Arial"/>
          <w:sz w:val="17"/>
          <w:szCs w:val="17"/>
          <w:color w:val="010000"/>
        </w:rPr>
      </w:pPr>
      <w:r>
        <w:rPr>
          <w:rFonts w:ascii="Arial" w:cs="Arial" w:eastAsia="Arial" w:hAnsi="Arial"/>
          <w:sz w:val="17"/>
          <w:szCs w:val="17"/>
          <w:color w:val="auto"/>
        </w:rPr>
        <w:t>No order preventing or suspending the use of any Preliminary Prospectus has been issued by the Commission, and the Preliminary Prospectus included in the Time of Sale Information,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provided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8(b) hereof.</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460" w:right="140" w:firstLine="644"/>
        <w:spacing w:after="0" w:line="290" w:lineRule="auto"/>
        <w:tabs>
          <w:tab w:leader="none" w:pos="937" w:val="left"/>
        </w:tabs>
        <w:numPr>
          <w:ilvl w:val="0"/>
          <w:numId w:val="3"/>
        </w:numPr>
        <w:rPr>
          <w:rFonts w:ascii="Arial" w:cs="Arial" w:eastAsia="Arial" w:hAnsi="Arial"/>
          <w:sz w:val="16"/>
          <w:szCs w:val="16"/>
          <w:color w:val="010000"/>
        </w:rPr>
      </w:pPr>
      <w:r>
        <w:rPr>
          <w:rFonts w:ascii="Arial" w:cs="Arial" w:eastAsia="Arial" w:hAnsi="Arial"/>
          <w:sz w:val="16"/>
          <w:szCs w:val="16"/>
          <w:color w:val="auto"/>
        </w:rPr>
        <w:t xml:space="preserve">The Time of Sale Information, at the Applicable Time,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Time of Sale Information, it being understood and agreed that the only such information furnished by any Underwriter consists of the information described as such in Section 8(b) hereof.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165" w:lineRule="exact"/>
        <w:rPr>
          <w:rFonts w:ascii="Arial" w:cs="Arial" w:eastAsia="Arial" w:hAnsi="Arial"/>
          <w:sz w:val="16"/>
          <w:szCs w:val="16"/>
          <w:color w:val="010000"/>
        </w:rPr>
      </w:pPr>
    </w:p>
    <w:p>
      <w:pPr>
        <w:ind w:left="-460" w:firstLine="644"/>
        <w:spacing w:after="0" w:line="285" w:lineRule="auto"/>
        <w:tabs>
          <w:tab w:leader="none" w:pos="927" w:val="left"/>
        </w:tabs>
        <w:numPr>
          <w:ilvl w:val="0"/>
          <w:numId w:val="3"/>
        </w:numPr>
        <w:rPr>
          <w:rFonts w:ascii="Arial" w:cs="Arial" w:eastAsia="Arial" w:hAnsi="Arial"/>
          <w:sz w:val="16"/>
          <w:szCs w:val="16"/>
          <w:color w:val="010000"/>
        </w:rPr>
      </w:pPr>
      <w:r>
        <w:rPr>
          <w:rFonts w:ascii="Arial" w:cs="Arial" w:eastAsia="Arial" w:hAnsi="Arial"/>
          <w:sz w:val="16"/>
          <w:szCs w:val="16"/>
          <w:color w:val="auto"/>
        </w:rPr>
        <w:t>Other than the Registration Statement, the Preliminary Prospectus and the Prospectus, the Company (including its agents and representatives, other than the Underwriters in their capacity as such) has not prepared, made, used, authorized, approved or referred to and will not prepare, make, use, authorize, approve or refer to any “</w:t>
      </w:r>
      <w:r>
        <w:rPr>
          <w:rFonts w:ascii="Arial" w:cs="Arial" w:eastAsia="Arial" w:hAnsi="Arial"/>
          <w:sz w:val="16"/>
          <w:szCs w:val="16"/>
          <w:b w:val="1"/>
          <w:bCs w:val="1"/>
          <w:color w:val="auto"/>
        </w:rPr>
        <w:t>written communication</w:t>
      </w:r>
      <w:r>
        <w:rPr>
          <w:rFonts w:ascii="Arial" w:cs="Arial" w:eastAsia="Arial" w:hAnsi="Arial"/>
          <w:sz w:val="16"/>
          <w:szCs w:val="16"/>
          <w:color w:val="auto"/>
        </w:rPr>
        <w:t>” (as defined in Rule 405 under the Securities Act) that constitutes an offer to sell or solicitation of an offer to buy the Securities (each such communication by the Company or its agents and representatives (other than a communication referred to in clause (i) below) an “</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other than (i) any document not constituting a prospectus pursuant to Section 2(a)(10)(a) of the Securities Act or Rule 134 under the Securities Act or (ii) the documents listed on Schedule II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Time of Sale Information and, when taken together with any other Issuer Free Writing Prospectus, the Preliminary Prospectus accompanying or delivered prior to the first delivery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provided that the Company makes no representation or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8(b) hereof.</w:t>
      </w:r>
    </w:p>
    <w:p>
      <w:pPr>
        <w:spacing w:after="0" w:line="39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 w:name="page9"/>
    <w:bookmarkEnd w:id="8"/>
    <w:p>
      <w:pPr>
        <w:ind w:left="-460" w:firstLine="644"/>
        <w:spacing w:after="0" w:line="268" w:lineRule="auto"/>
        <w:tabs>
          <w:tab w:leader="none" w:pos="937" w:val="left"/>
        </w:tabs>
        <w:numPr>
          <w:ilvl w:val="0"/>
          <w:numId w:val="4"/>
        </w:numPr>
        <w:rPr>
          <w:rFonts w:ascii="Arial" w:cs="Arial" w:eastAsia="Arial" w:hAnsi="Arial"/>
          <w:sz w:val="17"/>
          <w:szCs w:val="17"/>
          <w:color w:val="010000"/>
        </w:rPr>
      </w:pPr>
      <w:r>
        <w:rPr>
          <w:rFonts w:ascii="Arial" w:cs="Arial" w:eastAsia="Arial" w:hAnsi="Arial"/>
          <w:sz w:val="17"/>
          <w:szCs w:val="17"/>
          <w:color w:val="auto"/>
        </w:rPr>
        <w:t>The Registration Statement is an “</w:t>
      </w:r>
      <w:r>
        <w:rPr>
          <w:rFonts w:ascii="Arial" w:cs="Arial" w:eastAsia="Arial" w:hAnsi="Arial"/>
          <w:sz w:val="17"/>
          <w:szCs w:val="17"/>
          <w:b w:val="1"/>
          <w:bCs w:val="1"/>
          <w:color w:val="auto"/>
        </w:rPr>
        <w:t>automatic shelf registration statement</w:t>
      </w:r>
      <w:r>
        <w:rPr>
          <w:rFonts w:ascii="Arial" w:cs="Arial" w:eastAsia="Arial" w:hAnsi="Arial"/>
          <w:sz w:val="17"/>
          <w:szCs w:val="17"/>
          <w:color w:val="auto"/>
        </w:rPr>
        <w: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Securities has been initiated or, to the knowledge of the Company, threatened by the Commission; as of the applicable effective date of the Registration Statement and any post-effective amendment thereto, the Registration Statement and any post-effective amendment complied and will comply in all material respects with the Securities Act and the Trust Indenture Act of 1939, as amended, and the rules and regulations of the Commission thereunder (collectively, the “</w:t>
      </w:r>
      <w:r>
        <w:rPr>
          <w:rFonts w:ascii="Arial" w:cs="Arial" w:eastAsia="Arial" w:hAnsi="Arial"/>
          <w:sz w:val="17"/>
          <w:szCs w:val="17"/>
          <w:b w:val="1"/>
          <w:bCs w:val="1"/>
          <w:color w:val="auto"/>
        </w:rPr>
        <w:t>Trust Indenture Act</w:t>
      </w:r>
      <w:r>
        <w:rPr>
          <w:rFonts w:ascii="Arial" w:cs="Arial" w:eastAsia="Arial" w:hAnsi="Arial"/>
          <w:sz w:val="17"/>
          <w:szCs w:val="17"/>
          <w:color w:val="auto"/>
        </w:rPr>
        <w:t xml:space="preserve">”),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does not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(i) that part of the Registration Statement that constitutes the Statement of Eligibility and Qualification (Form T-1) of the Trustee under the Trust Indenture Act or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spacing w:after="0" w:line="178" w:lineRule="exact"/>
        <w:rPr>
          <w:rFonts w:ascii="Arial" w:cs="Arial" w:eastAsia="Arial" w:hAnsi="Arial"/>
          <w:sz w:val="17"/>
          <w:szCs w:val="17"/>
          <w:color w:val="010000"/>
        </w:rPr>
      </w:pPr>
    </w:p>
    <w:p>
      <w:pPr>
        <w:ind w:left="-460" w:firstLine="644"/>
        <w:spacing w:after="0" w:line="290" w:lineRule="auto"/>
        <w:tabs>
          <w:tab w:leader="none" w:pos="927" w:val="left"/>
        </w:tabs>
        <w:numPr>
          <w:ilvl w:val="0"/>
          <w:numId w:val="4"/>
        </w:numPr>
        <w:rPr>
          <w:rFonts w:ascii="Arial" w:cs="Arial" w:eastAsia="Arial" w:hAnsi="Arial"/>
          <w:sz w:val="16"/>
          <w:szCs w:val="16"/>
          <w:color w:val="010000"/>
        </w:rPr>
      </w:pPr>
      <w:r>
        <w:rPr>
          <w:rFonts w:ascii="Arial" w:cs="Arial" w:eastAsia="Arial" w:hAnsi="Arial"/>
          <w:sz w:val="16"/>
          <w:szCs w:val="16"/>
          <w:color w:val="auto"/>
        </w:rPr>
        <w:t>The documents incorporated by reference in each of the Registration Statement, the Prospectus and the Time of Sale Information, when they became effective or were filed with the Commission, as the case may be, conformed in all material respects to the requirements of the Securities Act or the Exchange Act, as applicable,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Time of Sale Information, when such documents become effective or are filed with the Commission, as the case may be, will conform in all material respects to the requirements of the Securities Act or the Exchange Act, as applicable, and will not contain any untrue statement of a material fact or omit to state a material fact necessary to make the statements therein, in the light of the circumstances under which they were made, not misleading.</w:t>
      </w:r>
    </w:p>
    <w:p>
      <w:pPr>
        <w:spacing w:after="0" w:line="3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904" w:right="379" w:bottom="1440" w:gutter="0" w:footer="0" w:header="0"/>
        </w:sectPr>
      </w:pPr>
    </w:p>
    <w:bookmarkStart w:id="9" w:name="page10"/>
    <w:bookmarkEnd w:id="9"/>
    <w:p>
      <w:pPr>
        <w:ind w:left="-460" w:firstLine="644"/>
        <w:spacing w:after="0" w:line="255" w:lineRule="auto"/>
        <w:tabs>
          <w:tab w:leader="none" w:pos="952" w:val="left"/>
        </w:tabs>
        <w:numPr>
          <w:ilvl w:val="0"/>
          <w:numId w:val="5"/>
        </w:numPr>
        <w:rPr>
          <w:rFonts w:ascii="Arial" w:cs="Arial" w:eastAsia="Arial" w:hAnsi="Arial"/>
          <w:sz w:val="18"/>
          <w:szCs w:val="18"/>
          <w:color w:val="010000"/>
        </w:rPr>
      </w:pPr>
      <w:r>
        <w:rPr>
          <w:rFonts w:ascii="Arial" w:cs="Arial" w:eastAsia="Arial" w:hAnsi="Arial"/>
          <w:sz w:val="18"/>
          <w:szCs w:val="18"/>
          <w:color w:val="auto"/>
        </w:rPr>
        <w:t>The Company has been duly incorporated, is validly existing as a corporation under the laws of the jurisdiction of its incorporation, has the corporate power and authority to own its property and to conduct its business as described in the Registration Statement, the Time of Sale Information and the Prospectus and is duly qualified to transact business in each jurisdiction in which the conduct of its business or its ownership or leasing of property requires such qualification, except where the failure to be so qualified, individually or in the aggregate, would not reasonably be expected to result in a Material Adverse Effect (as defined below). The Company is in good standing in each jurisdiction identified on Schedule III hereto.</w:t>
      </w:r>
    </w:p>
    <w:p>
      <w:pPr>
        <w:spacing w:after="0" w:line="192" w:lineRule="exact"/>
        <w:rPr>
          <w:rFonts w:ascii="Arial" w:cs="Arial" w:eastAsia="Arial" w:hAnsi="Arial"/>
          <w:sz w:val="18"/>
          <w:szCs w:val="18"/>
          <w:color w:val="010000"/>
        </w:rPr>
      </w:pPr>
    </w:p>
    <w:p>
      <w:pPr>
        <w:ind w:left="940" w:hanging="756"/>
        <w:spacing w:after="0"/>
        <w:tabs>
          <w:tab w:leader="none" w:pos="940" w:val="left"/>
        </w:tabs>
        <w:numPr>
          <w:ilvl w:val="0"/>
          <w:numId w:val="5"/>
        </w:numPr>
        <w:rPr>
          <w:rFonts w:ascii="Arial" w:cs="Arial" w:eastAsia="Arial" w:hAnsi="Arial"/>
          <w:sz w:val="18"/>
          <w:szCs w:val="18"/>
          <w:color w:val="010000"/>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010000"/>
        </w:rPr>
      </w:pPr>
    </w:p>
    <w:p>
      <w:pPr>
        <w:ind w:left="-460" w:right="80" w:firstLine="644"/>
        <w:spacing w:after="0" w:line="286" w:lineRule="auto"/>
        <w:tabs>
          <w:tab w:leader="none" w:pos="937" w:val="left"/>
        </w:tabs>
        <w:numPr>
          <w:ilvl w:val="0"/>
          <w:numId w:val="5"/>
        </w:numPr>
        <w:rPr>
          <w:rFonts w:ascii="Arial" w:cs="Arial" w:eastAsia="Arial" w:hAnsi="Arial"/>
          <w:sz w:val="17"/>
          <w:szCs w:val="17"/>
          <w:color w:val="010000"/>
        </w:rPr>
      </w:pPr>
      <w:r>
        <w:rPr>
          <w:rFonts w:ascii="Arial" w:cs="Arial" w:eastAsia="Arial" w:hAnsi="Arial"/>
          <w:sz w:val="17"/>
          <w:szCs w:val="17"/>
          <w:color w:val="auto"/>
        </w:rPr>
        <w:t>The Company has an authorized capitalization as set forth in the Registration Statement, the Time of Sale Information and the Prospectus, and all of the shares of common stock of the Company, par value $0.10 per share (“</w:t>
      </w:r>
      <w:r>
        <w:rPr>
          <w:rFonts w:ascii="Arial" w:cs="Arial" w:eastAsia="Arial" w:hAnsi="Arial"/>
          <w:sz w:val="17"/>
          <w:szCs w:val="17"/>
          <w:b w:val="1"/>
          <w:bCs w:val="1"/>
          <w:color w:val="auto"/>
        </w:rPr>
        <w:t>Common Stock</w:t>
      </w:r>
      <w:r>
        <w:rPr>
          <w:rFonts w:ascii="Arial" w:cs="Arial" w:eastAsia="Arial" w:hAnsi="Arial"/>
          <w:sz w:val="17"/>
          <w:szCs w:val="17"/>
          <w:color w:val="auto"/>
        </w:rPr>
        <w:t>”) outstanding prior to the issuance of the Securities have been duly authorized and are validly issued, fully paid and non-assessable.</w:t>
      </w:r>
    </w:p>
    <w:p>
      <w:pPr>
        <w:spacing w:after="0" w:line="165" w:lineRule="exact"/>
        <w:rPr>
          <w:rFonts w:ascii="Arial" w:cs="Arial" w:eastAsia="Arial" w:hAnsi="Arial"/>
          <w:sz w:val="17"/>
          <w:szCs w:val="17"/>
          <w:color w:val="010000"/>
        </w:rPr>
      </w:pPr>
    </w:p>
    <w:p>
      <w:pPr>
        <w:ind w:left="-460" w:firstLine="644"/>
        <w:spacing w:after="0" w:line="254" w:lineRule="auto"/>
        <w:tabs>
          <w:tab w:leader="none" w:pos="943" w:val="left"/>
        </w:tabs>
        <w:numPr>
          <w:ilvl w:val="0"/>
          <w:numId w:val="5"/>
        </w:numPr>
        <w:rPr>
          <w:rFonts w:ascii="Arial" w:cs="Arial" w:eastAsia="Arial" w:hAnsi="Arial"/>
          <w:sz w:val="18"/>
          <w:szCs w:val="18"/>
          <w:color w:val="010000"/>
        </w:rPr>
      </w:pPr>
      <w:r>
        <w:rPr>
          <w:rFonts w:ascii="Arial" w:cs="Arial" w:eastAsia="Arial" w:hAnsi="Arial"/>
          <w:sz w:val="18"/>
          <w:szCs w:val="18"/>
          <w:color w:val="auto"/>
        </w:rPr>
        <w:t>The Securities have been duly authorized and, when executed and authenticated in accordance with the provisions of the Indenture and delivered to and paid for by the Underwriters in accordance with the terms of this Agreement (assuming due authentication by the Trustee in the manner described in the Indenture), will be valid and binding obligations of the Company, enforceable in accordance with their terms, subject to applicable bankruptcy, insolvency, reorganization, moratorium and similar laws affecting creditors’ rights and remedies generally and equitable principles of general applicability, including principles of commercial reasonableness, good faith and fair dealing (regardless of whether enforcement is sought in a proceeding at law or in equity) (collectively, the “</w:t>
      </w:r>
      <w:r>
        <w:rPr>
          <w:rFonts w:ascii="Arial" w:cs="Arial" w:eastAsia="Arial" w:hAnsi="Arial"/>
          <w:sz w:val="18"/>
          <w:szCs w:val="18"/>
          <w:b w:val="1"/>
          <w:bCs w:val="1"/>
          <w:color w:val="auto"/>
        </w:rPr>
        <w:t>Enforceability Exceptions</w:t>
      </w:r>
      <w:r>
        <w:rPr>
          <w:rFonts w:ascii="Arial" w:cs="Arial" w:eastAsia="Arial" w:hAnsi="Arial"/>
          <w:sz w:val="18"/>
          <w:szCs w:val="18"/>
          <w:color w:val="auto"/>
        </w:rPr>
        <w:t>”), and will be entitled to the benefits of the Indenture.</w:t>
      </w:r>
    </w:p>
    <w:p>
      <w:pPr>
        <w:spacing w:after="0" w:line="200" w:lineRule="exact"/>
        <w:rPr>
          <w:sz w:val="20"/>
          <w:szCs w:val="20"/>
          <w:color w:val="auto"/>
        </w:rPr>
      </w:pP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908" w:right="379" w:bottom="1440" w:gutter="0" w:footer="0" w:header="0"/>
        </w:sectPr>
      </w:pPr>
    </w:p>
    <w:bookmarkStart w:id="10" w:name="page11"/>
    <w:bookmarkEnd w:id="10"/>
    <w:p>
      <w:pPr>
        <w:ind w:left="-460" w:right="360" w:firstLine="644"/>
        <w:spacing w:after="0" w:line="296" w:lineRule="auto"/>
        <w:tabs>
          <w:tab w:leader="none" w:pos="943" w:val="left"/>
        </w:tabs>
        <w:numPr>
          <w:ilvl w:val="0"/>
          <w:numId w:val="6"/>
        </w:numPr>
        <w:rPr>
          <w:rFonts w:ascii="Arial" w:cs="Arial" w:eastAsia="Arial" w:hAnsi="Arial"/>
          <w:sz w:val="16"/>
          <w:szCs w:val="16"/>
          <w:color w:val="010000"/>
        </w:rPr>
      </w:pPr>
      <w:r>
        <w:rPr>
          <w:rFonts w:ascii="Arial" w:cs="Arial" w:eastAsia="Arial" w:hAnsi="Arial"/>
          <w:sz w:val="16"/>
          <w:szCs w:val="16"/>
          <w:color w:val="auto"/>
        </w:rPr>
        <w:t>The Indenture has been duly qualified under the Trust Indenture Act and has been duly authorized and, when executed and delivered by the Company, assuming the due authorization, execution and delivery thereof by the other parties thereto, is a valid and binding agreement of, the Company, enforceable against the Company in accordance with its terms, subject to the Enforceability Exceptions; and the Securities and the Indenture will conform in all material respects to the descriptions thereof in the Registration Statement, the Time of Sale Information and the Prospectus. The Indenture will conform in all material respects to the requirements of the Trust Indenture Act.</w:t>
      </w:r>
    </w:p>
    <w:p>
      <w:pPr>
        <w:spacing w:after="0" w:line="161" w:lineRule="exact"/>
        <w:rPr>
          <w:rFonts w:ascii="Arial" w:cs="Arial" w:eastAsia="Arial" w:hAnsi="Arial"/>
          <w:sz w:val="16"/>
          <w:szCs w:val="16"/>
          <w:color w:val="010000"/>
        </w:rPr>
      </w:pPr>
    </w:p>
    <w:p>
      <w:pPr>
        <w:ind w:left="-460" w:firstLine="644"/>
        <w:spacing w:after="0" w:line="268" w:lineRule="auto"/>
        <w:tabs>
          <w:tab w:leader="none" w:pos="937" w:val="left"/>
        </w:tabs>
        <w:numPr>
          <w:ilvl w:val="0"/>
          <w:numId w:val="6"/>
        </w:numPr>
        <w:rPr>
          <w:rFonts w:ascii="Arial" w:cs="Arial" w:eastAsia="Arial" w:hAnsi="Arial"/>
          <w:sz w:val="17"/>
          <w:szCs w:val="17"/>
          <w:color w:val="010000"/>
        </w:rPr>
      </w:pPr>
      <w:r>
        <w:rPr>
          <w:rFonts w:ascii="Arial" w:cs="Arial" w:eastAsia="Arial" w:hAnsi="Arial"/>
          <w:sz w:val="17"/>
          <w:szCs w:val="17"/>
          <w:color w:val="auto"/>
        </w:rPr>
        <w:t>The execution and delivery by the Company of, and the performance by the Company of its obligations under, this Agreement, the Indenture and the Securities will not conflict with or result in a breach of or violation of any of the terms or provisions of or constitute a default under any agreement or other instrument binding upon the Company or any of its “significant subsidiaries” (as defined in Regulation S-X promulgated under the Securities Act; each a “</w:t>
      </w:r>
      <w:r>
        <w:rPr>
          <w:rFonts w:ascii="Arial" w:cs="Arial" w:eastAsia="Arial" w:hAnsi="Arial"/>
          <w:sz w:val="17"/>
          <w:szCs w:val="17"/>
          <w:b w:val="1"/>
          <w:bCs w:val="1"/>
          <w:color w:val="auto"/>
        </w:rPr>
        <w:t>Significant Subsidiary</w:t>
      </w:r>
      <w:r>
        <w:rPr>
          <w:rFonts w:ascii="Arial" w:cs="Arial" w:eastAsia="Arial" w:hAnsi="Arial"/>
          <w:sz w:val="17"/>
          <w:szCs w:val="17"/>
          <w:color w:val="auto"/>
        </w:rPr>
        <w:t>” and collectively, the “</w:t>
      </w:r>
      <w:r>
        <w:rPr>
          <w:rFonts w:ascii="Arial" w:cs="Arial" w:eastAsia="Arial" w:hAnsi="Arial"/>
          <w:sz w:val="17"/>
          <w:szCs w:val="17"/>
          <w:b w:val="1"/>
          <w:bCs w:val="1"/>
          <w:color w:val="auto"/>
        </w:rPr>
        <w:t>Significant Subsidiaries</w:t>
      </w:r>
      <w:r>
        <w:rPr>
          <w:rFonts w:ascii="Arial" w:cs="Arial" w:eastAsia="Arial" w:hAnsi="Arial"/>
          <w:sz w:val="17"/>
          <w:szCs w:val="17"/>
          <w:color w:val="auto"/>
        </w:rPr>
        <w:t>”), except where such breach, violation or default would not have a Material Adverse Effect on the Company’s ability to perform its obligations under this Agreement, the Indenture or the Securities, nor will such action result in any violation of (i) the provisions of the certificate of incorporation or by-laws of the Company or (ii) any judgment, order or decree of any governmental body, agency or court having jurisdiction over the Company or any Significant Subsidiary or, to the Company’s knowledge, any applicable statute, except in the case of (ii) above, where such violation would not have a Material Adverse Effect on the Company’s ability to perform its obligations under this Agreement, the Indenture or the Securities; and no consent, approval, authorization or order of, or qualification with, any governmental body or agency is required for the performance by the Company of its obligations under this Agreement, the Indenture and the Securities, except for those (1) that have been, or will have been prior to the Closing Date, obtained and (2) as may be required by the securities or Blue Sky laws of the various states in connection with the offer and sale of the Securities, except, in each case, where the failure to obtain such consents, individually or in the aggregate, would not have a Material Adverse Effect on the offering of the Securities.</w:t>
      </w:r>
    </w:p>
    <w:p>
      <w:pPr>
        <w:spacing w:after="0" w:line="184" w:lineRule="exact"/>
        <w:rPr>
          <w:rFonts w:ascii="Arial" w:cs="Arial" w:eastAsia="Arial" w:hAnsi="Arial"/>
          <w:sz w:val="17"/>
          <w:szCs w:val="17"/>
          <w:color w:val="010000"/>
        </w:rPr>
      </w:pPr>
    </w:p>
    <w:p>
      <w:pPr>
        <w:ind w:left="-460" w:right="340" w:firstLine="644"/>
        <w:spacing w:after="0" w:line="286" w:lineRule="auto"/>
        <w:tabs>
          <w:tab w:leader="none" w:pos="943" w:val="left"/>
        </w:tabs>
        <w:numPr>
          <w:ilvl w:val="0"/>
          <w:numId w:val="6"/>
        </w:numPr>
        <w:rPr>
          <w:rFonts w:ascii="Arial" w:cs="Arial" w:eastAsia="Arial" w:hAnsi="Arial"/>
          <w:sz w:val="17"/>
          <w:szCs w:val="17"/>
          <w:color w:val="010000"/>
        </w:rPr>
      </w:pPr>
      <w:r>
        <w:rPr>
          <w:rFonts w:ascii="Arial" w:cs="Arial" w:eastAsia="Arial" w:hAnsi="Arial"/>
          <w:sz w:val="17"/>
          <w:szCs w:val="17"/>
          <w:color w:val="auto"/>
        </w:rPr>
        <w:t>There has not occurred any material adverse change, or any development that could reasonably be expected to cause a prospective material adverse change, in the condition, financial or otherwise, or in the earnings, business or operations of the Company and its subsidiaries, taken as a whole, from that set forth in the Registration Statement and Time of Sale Information.</w:t>
      </w:r>
    </w:p>
    <w:p>
      <w:pPr>
        <w:spacing w:after="0" w:line="3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 w:name="page12"/>
    <w:bookmarkEnd w:id="11"/>
    <w:p>
      <w:pPr>
        <w:ind w:left="-460" w:right="120" w:firstLine="644"/>
        <w:spacing w:after="0" w:line="296" w:lineRule="auto"/>
        <w:tabs>
          <w:tab w:leader="none" w:pos="942" w:val="left"/>
        </w:tabs>
        <w:numPr>
          <w:ilvl w:val="0"/>
          <w:numId w:val="7"/>
        </w:numPr>
        <w:rPr>
          <w:rFonts w:ascii="Arial" w:cs="Arial" w:eastAsia="Arial" w:hAnsi="Arial"/>
          <w:sz w:val="16"/>
          <w:szCs w:val="16"/>
          <w:color w:val="010000"/>
        </w:rPr>
      </w:pPr>
      <w:r>
        <w:rPr>
          <w:rFonts w:ascii="Arial" w:cs="Arial" w:eastAsia="Arial" w:hAnsi="Arial"/>
          <w:sz w:val="16"/>
          <w:szCs w:val="16"/>
          <w:color w:val="auto"/>
        </w:rPr>
        <w:t>Other than as set forth in the Registration Statement, Time of Sale Information and Prospectus, (i) there are no legal or governmental proceedings (“</w:t>
      </w:r>
      <w:r>
        <w:rPr>
          <w:rFonts w:ascii="Arial" w:cs="Arial" w:eastAsia="Arial" w:hAnsi="Arial"/>
          <w:sz w:val="16"/>
          <w:szCs w:val="16"/>
          <w:b w:val="1"/>
          <w:bCs w:val="1"/>
          <w:color w:val="auto"/>
        </w:rPr>
        <w:t>Actions</w:t>
      </w:r>
      <w:r>
        <w:rPr>
          <w:rFonts w:ascii="Arial" w:cs="Arial" w:eastAsia="Arial" w:hAnsi="Arial"/>
          <w:sz w:val="16"/>
          <w:szCs w:val="16"/>
          <w:color w:val="auto"/>
        </w:rPr>
        <w:t>”) pending to which the Company or any of its subsidiaries is a party or to which any of the properties of the Company or any of its subsidiaries is subject which would individually or in the aggregate reasonably be expected to have a material adverse effect on the business, properties, financial condition or results of operation of the Company and its subsidiaries taken as a whole (“</w:t>
      </w:r>
      <w:r>
        <w:rPr>
          <w:rFonts w:ascii="Arial" w:cs="Arial" w:eastAsia="Arial" w:hAnsi="Arial"/>
          <w:sz w:val="16"/>
          <w:szCs w:val="16"/>
          <w:b w:val="1"/>
          <w:bCs w:val="1"/>
          <w:color w:val="auto"/>
        </w:rPr>
        <w:t>Material</w:t>
      </w:r>
      <w:r>
        <w:rPr>
          <w:rFonts w:ascii="Arial" w:cs="Arial" w:eastAsia="Arial" w:hAnsi="Arial"/>
          <w:sz w:val="16"/>
          <w:szCs w:val="16"/>
          <w:color w:val="auto"/>
        </w:rPr>
        <w:t xml:space="preserve"> </w:t>
      </w:r>
      <w:r>
        <w:rPr>
          <w:rFonts w:ascii="Arial" w:cs="Arial" w:eastAsia="Arial" w:hAnsi="Arial"/>
          <w:sz w:val="16"/>
          <w:szCs w:val="16"/>
          <w:b w:val="1"/>
          <w:bCs w:val="1"/>
          <w:color w:val="auto"/>
        </w:rPr>
        <w:t>Adverse Effect</w:t>
      </w:r>
      <w:r>
        <w:rPr>
          <w:rFonts w:ascii="Arial" w:cs="Arial" w:eastAsia="Arial" w:hAnsi="Arial"/>
          <w:sz w:val="16"/>
          <w:szCs w:val="16"/>
          <w:color w:val="auto"/>
        </w:rPr>
        <w:t>”); and (ii) to the Company’s knowledge, no such Actions are threatened by governmental authorities or by others.</w:t>
      </w:r>
    </w:p>
    <w:p>
      <w:pPr>
        <w:spacing w:after="0" w:line="161" w:lineRule="exact"/>
        <w:rPr>
          <w:rFonts w:ascii="Arial" w:cs="Arial" w:eastAsia="Arial" w:hAnsi="Arial"/>
          <w:sz w:val="16"/>
          <w:szCs w:val="16"/>
          <w:color w:val="010000"/>
        </w:rPr>
      </w:pPr>
    </w:p>
    <w:p>
      <w:pPr>
        <w:ind w:left="-460" w:right="100" w:firstLine="644"/>
        <w:spacing w:after="0" w:line="296" w:lineRule="auto"/>
        <w:tabs>
          <w:tab w:leader="none" w:pos="937" w:val="left"/>
        </w:tabs>
        <w:numPr>
          <w:ilvl w:val="0"/>
          <w:numId w:val="7"/>
        </w:numPr>
        <w:rPr>
          <w:rFonts w:ascii="Arial" w:cs="Arial" w:eastAsia="Arial" w:hAnsi="Arial"/>
          <w:sz w:val="16"/>
          <w:szCs w:val="16"/>
          <w:color w:val="010000"/>
        </w:rPr>
      </w:pPr>
      <w:r>
        <w:rPr>
          <w:rFonts w:ascii="Arial" w:cs="Arial" w:eastAsia="Arial" w:hAnsi="Arial"/>
          <w:sz w:val="16"/>
          <w:szCs w:val="16"/>
          <w:color w:val="auto"/>
        </w:rPr>
        <w:t>The Company and its Significant Subsidiaries have obtained any permits, consents and authorizations required to be obtained by them under laws or regulations relating to the protection of the environment or concerning the handling, storage, disposal or discharge of toxic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and any such permits, consents and authorizations remain in full force and effect. The Company and its Significant Subsidiaries are in compliance with the Environmental Laws in all material respects, and there is no pending or, to the Company’s knowledge, threatened, action or proceeding against the Company and its subsidiaries alleging violations of the Environmental Laws.</w:t>
      </w:r>
    </w:p>
    <w:p>
      <w:pPr>
        <w:spacing w:after="0" w:line="161" w:lineRule="exact"/>
        <w:rPr>
          <w:rFonts w:ascii="Arial" w:cs="Arial" w:eastAsia="Arial" w:hAnsi="Arial"/>
          <w:sz w:val="16"/>
          <w:szCs w:val="16"/>
          <w:color w:val="010000"/>
        </w:rPr>
      </w:pPr>
    </w:p>
    <w:p>
      <w:pPr>
        <w:jc w:val="both"/>
        <w:ind w:left="-460" w:firstLine="644"/>
        <w:spacing w:after="0" w:line="263" w:lineRule="auto"/>
        <w:tabs>
          <w:tab w:leader="none" w:pos="937" w:val="left"/>
        </w:tabs>
        <w:numPr>
          <w:ilvl w:val="0"/>
          <w:numId w:val="7"/>
        </w:numPr>
        <w:rPr>
          <w:rFonts w:ascii="Arial" w:cs="Arial" w:eastAsia="Arial" w:hAnsi="Arial"/>
          <w:sz w:val="18"/>
          <w:szCs w:val="18"/>
          <w:color w:val="010000"/>
        </w:rPr>
      </w:pPr>
      <w:r>
        <w:rPr>
          <w:rFonts w:ascii="Arial" w:cs="Arial" w:eastAsia="Arial" w:hAnsi="Arial"/>
          <w:sz w:val="18"/>
          <w:szCs w:val="18"/>
          <w:color w:val="auto"/>
        </w:rPr>
        <w:t>The statements set forth in each of the Time of Sale Information and the Final Prospectus under the caption “Description of the Notes,” insofar as they purport to constitute a summary of the terms of the Indenture and the Securities, fairly summarize such terms in all material respects.</w:t>
      </w:r>
    </w:p>
    <w:p>
      <w:pPr>
        <w:spacing w:after="0" w:line="183" w:lineRule="exact"/>
        <w:rPr>
          <w:rFonts w:ascii="Arial" w:cs="Arial" w:eastAsia="Arial" w:hAnsi="Arial"/>
          <w:sz w:val="18"/>
          <w:szCs w:val="18"/>
          <w:color w:val="010000"/>
        </w:rPr>
      </w:pPr>
    </w:p>
    <w:p>
      <w:pPr>
        <w:ind w:left="-460" w:right="320" w:firstLine="644"/>
        <w:spacing w:after="0" w:line="263" w:lineRule="auto"/>
        <w:tabs>
          <w:tab w:leader="none" w:pos="937" w:val="left"/>
        </w:tabs>
        <w:numPr>
          <w:ilvl w:val="0"/>
          <w:numId w:val="7"/>
        </w:numPr>
        <w:rPr>
          <w:rFonts w:ascii="Arial" w:cs="Arial" w:eastAsia="Arial" w:hAnsi="Arial"/>
          <w:sz w:val="18"/>
          <w:szCs w:val="18"/>
          <w:color w:val="010000"/>
        </w:rPr>
      </w:pPr>
      <w:r>
        <w:rPr>
          <w:rFonts w:ascii="Arial" w:cs="Arial" w:eastAsia="Arial" w:hAnsi="Arial"/>
          <w:sz w:val="18"/>
          <w:szCs w:val="18"/>
          <w:color w:val="auto"/>
        </w:rPr>
        <w:t>PricewaterhouseCoopers LLP, who have audited certain financial statements of the Company and its subsidiaries, and have audited the Company’s internal control over financial reporting, are the independent registered public accounting firm for the Company as required by the Securities Act and the rules and regulations of the Commission thereunder.</w:t>
      </w:r>
    </w:p>
    <w:p>
      <w:pPr>
        <w:spacing w:after="0" w:line="183" w:lineRule="exact"/>
        <w:rPr>
          <w:rFonts w:ascii="Arial" w:cs="Arial" w:eastAsia="Arial" w:hAnsi="Arial"/>
          <w:sz w:val="18"/>
          <w:szCs w:val="18"/>
          <w:color w:val="010000"/>
        </w:rPr>
      </w:pPr>
    </w:p>
    <w:p>
      <w:pPr>
        <w:ind w:left="-460" w:right="60" w:firstLine="644"/>
        <w:spacing w:after="0" w:line="272" w:lineRule="auto"/>
        <w:tabs>
          <w:tab w:leader="none" w:pos="937" w:val="left"/>
        </w:tabs>
        <w:numPr>
          <w:ilvl w:val="0"/>
          <w:numId w:val="7"/>
        </w:numPr>
        <w:rPr>
          <w:rFonts w:ascii="Arial" w:cs="Arial" w:eastAsia="Arial" w:hAnsi="Arial"/>
          <w:sz w:val="17"/>
          <w:szCs w:val="17"/>
          <w:color w:val="010000"/>
        </w:rPr>
      </w:pPr>
      <w:r>
        <w:rPr>
          <w:rFonts w:ascii="Arial" w:cs="Arial" w:eastAsia="Arial" w:hAnsi="Arial"/>
          <w:sz w:val="17"/>
          <w:szCs w:val="17"/>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accounting principles generally accepted in the United States of America. Except as disclosed in the Registration Statement, Time of Sale Information and Prospectus, the Company’s internal control over financial reporting and the Company’s internal control over financial reporting was effective as of August 29, 2019 and the Company is not aware of any material weaknesses in its internal control over financial reporting.</w:t>
      </w:r>
    </w:p>
    <w:p>
      <w:pPr>
        <w:spacing w:after="0" w:line="39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 w:name="page13"/>
    <w:bookmarkEnd w:id="12"/>
    <w:p>
      <w:pPr>
        <w:ind w:left="-460" w:right="160" w:firstLine="644"/>
        <w:spacing w:after="0" w:line="301" w:lineRule="auto"/>
        <w:tabs>
          <w:tab w:leader="none" w:pos="952" w:val="left"/>
        </w:tabs>
        <w:numPr>
          <w:ilvl w:val="0"/>
          <w:numId w:val="8"/>
        </w:numPr>
        <w:rPr>
          <w:rFonts w:ascii="Arial" w:cs="Arial" w:eastAsia="Arial" w:hAnsi="Arial"/>
          <w:sz w:val="16"/>
          <w:szCs w:val="16"/>
          <w:color w:val="010000"/>
        </w:rPr>
      </w:pPr>
      <w:r>
        <w:rPr>
          <w:rFonts w:ascii="Arial" w:cs="Arial" w:eastAsia="Arial" w:hAnsi="Arial"/>
          <w:sz w:val="16"/>
          <w:szCs w:val="16"/>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were effective as of the quarter ended February 27, 2020.</w:t>
      </w:r>
    </w:p>
    <w:p>
      <w:pPr>
        <w:spacing w:after="0" w:line="157" w:lineRule="exact"/>
        <w:rPr>
          <w:rFonts w:ascii="Arial" w:cs="Arial" w:eastAsia="Arial" w:hAnsi="Arial"/>
          <w:sz w:val="16"/>
          <w:szCs w:val="16"/>
          <w:color w:val="010000"/>
        </w:rPr>
      </w:pPr>
    </w:p>
    <w:p>
      <w:pPr>
        <w:ind w:left="-460" w:right="80" w:firstLine="644"/>
        <w:spacing w:after="0" w:line="311" w:lineRule="auto"/>
        <w:tabs>
          <w:tab w:leader="none" w:pos="918" w:val="left"/>
        </w:tabs>
        <w:numPr>
          <w:ilvl w:val="0"/>
          <w:numId w:val="8"/>
        </w:numPr>
        <w:rPr>
          <w:rFonts w:ascii="Arial" w:cs="Arial" w:eastAsia="Arial" w:hAnsi="Arial"/>
          <w:sz w:val="16"/>
          <w:szCs w:val="16"/>
          <w:color w:val="010000"/>
        </w:rPr>
      </w:pPr>
      <w:r>
        <w:rPr>
          <w:rFonts w:ascii="Arial" w:cs="Arial" w:eastAsia="Arial" w:hAnsi="Arial"/>
          <w:sz w:val="16"/>
          <w:szCs w:val="16"/>
          <w:color w:val="auto"/>
        </w:rPr>
        <w:t>The Company maintains a system of internal accounting controls sufficient to provide reasonable assurance that the interactive data in eXtensible Business Reporting Language included or incorporated by reference in each of the Registration Statement, Time of Sale Information and Prospectus is accurate and prepared in accordance with the Commission’s rules and guidelines applicable thereto.</w:t>
      </w:r>
    </w:p>
    <w:p>
      <w:pPr>
        <w:spacing w:after="0" w:line="148" w:lineRule="exact"/>
        <w:rPr>
          <w:rFonts w:ascii="Arial" w:cs="Arial" w:eastAsia="Arial" w:hAnsi="Arial"/>
          <w:sz w:val="16"/>
          <w:szCs w:val="16"/>
          <w:color w:val="010000"/>
        </w:rPr>
      </w:pPr>
    </w:p>
    <w:p>
      <w:pPr>
        <w:ind w:left="-460" w:firstLine="644"/>
        <w:spacing w:after="0" w:line="287" w:lineRule="auto"/>
        <w:tabs>
          <w:tab w:leader="none" w:pos="943" w:val="left"/>
        </w:tabs>
        <w:numPr>
          <w:ilvl w:val="0"/>
          <w:numId w:val="8"/>
        </w:numPr>
        <w:rPr>
          <w:rFonts w:ascii="Arial" w:cs="Arial" w:eastAsia="Arial" w:hAnsi="Arial"/>
          <w:sz w:val="16"/>
          <w:szCs w:val="16"/>
          <w:color w:val="010000"/>
        </w:rPr>
      </w:pPr>
      <w:r>
        <w:rPr>
          <w:rFonts w:ascii="Arial" w:cs="Arial" w:eastAsia="Arial" w:hAnsi="Arial"/>
          <w:sz w:val="16"/>
          <w:szCs w:val="16"/>
          <w:color w:val="auto"/>
        </w:rPr>
        <w:t>Neither the Company nor any of its subsidiaries, nor any director or officer, nor, to the Company’s knowledge, any affiliate, employee, agent or representative of the Company or of any of its subsidiaries or affiliates, (i) has taken any action in furtherance of an offer, payment, promise to pay, or authorization or approval of the payment or giving of money, property, gifts or anything else of value, directly or indirectly, to any “</w:t>
      </w:r>
      <w:r>
        <w:rPr>
          <w:rFonts w:ascii="Arial" w:cs="Arial" w:eastAsia="Arial" w:hAnsi="Arial"/>
          <w:sz w:val="16"/>
          <w:szCs w:val="16"/>
          <w:b w:val="1"/>
          <w:bCs w:val="1"/>
          <w:color w:val="auto"/>
        </w:rPr>
        <w:t>government official</w:t>
      </w:r>
      <w:r>
        <w:rPr>
          <w:rFonts w:ascii="Arial" w:cs="Arial" w:eastAsia="Arial" w:hAnsi="Arial"/>
          <w:sz w:val="16"/>
          <w:szCs w:val="16"/>
          <w:color w:val="auto"/>
        </w:rPr>
        <w:t>”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or (ii)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in any jurisdiction in which the Company or any of its subsidiaries conducts business; and the Company and its subsidiaries have conducted their businesses in compliance with applicable anti-corruption laws and have instituted and maintain policies and procedures designed to promote and achieve continued compliance with such laws.</w:t>
      </w:r>
    </w:p>
    <w:p>
      <w:pPr>
        <w:spacing w:after="0" w:line="171" w:lineRule="exact"/>
        <w:rPr>
          <w:rFonts w:ascii="Arial" w:cs="Arial" w:eastAsia="Arial" w:hAnsi="Arial"/>
          <w:sz w:val="16"/>
          <w:szCs w:val="16"/>
          <w:color w:val="010000"/>
        </w:rPr>
      </w:pPr>
    </w:p>
    <w:p>
      <w:pPr>
        <w:ind w:left="-460" w:right="40" w:firstLine="644"/>
        <w:spacing w:after="0" w:line="290" w:lineRule="auto"/>
        <w:tabs>
          <w:tab w:leader="none" w:pos="937" w:val="left"/>
        </w:tabs>
        <w:numPr>
          <w:ilvl w:val="0"/>
          <w:numId w:val="8"/>
        </w:numPr>
        <w:rPr>
          <w:rFonts w:ascii="Arial" w:cs="Arial" w:eastAsia="Arial" w:hAnsi="Arial"/>
          <w:sz w:val="16"/>
          <w:szCs w:val="16"/>
          <w:color w:val="010000"/>
        </w:rPr>
      </w:pPr>
      <w:r>
        <w:rPr>
          <w:rFonts w:ascii="Arial" w:cs="Arial" w:eastAsia="Arial" w:hAnsi="Arial"/>
          <w:sz w:val="16"/>
          <w:szCs w:val="16"/>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the Currency and Foreign Transactions Reporting Act of 1970, as amended, and the applicable anti-money laundering statutes of all jurisdictions where the Company or any of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Anti-Money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3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 w:name="page14"/>
    <w:bookmarkEnd w:id="13"/>
    <w:p>
      <w:pPr>
        <w:ind w:left="-460" w:right="360" w:firstLine="644"/>
        <w:spacing w:after="0" w:line="277" w:lineRule="auto"/>
        <w:tabs>
          <w:tab w:leader="none" w:pos="937" w:val="left"/>
        </w:tabs>
        <w:numPr>
          <w:ilvl w:val="0"/>
          <w:numId w:val="9"/>
        </w:numPr>
        <w:rPr>
          <w:rFonts w:ascii="Arial" w:cs="Arial" w:eastAsia="Arial" w:hAnsi="Arial"/>
          <w:sz w:val="18"/>
          <w:szCs w:val="18"/>
          <w:color w:val="010000"/>
        </w:rPr>
      </w:pPr>
      <w:r>
        <w:rPr>
          <w:rFonts w:ascii="Arial" w:cs="Arial" w:eastAsia="Arial" w:hAnsi="Arial"/>
          <w:sz w:val="18"/>
          <w:szCs w:val="18"/>
          <w:color w:val="auto"/>
        </w:rPr>
        <w:t>(i) Neither the Company nor any of its subsidiaries, nor any director, officer, or employee thereof,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a Person that is:</w:t>
      </w:r>
    </w:p>
    <w:p>
      <w:pPr>
        <w:spacing w:after="0" w:line="166" w:lineRule="exact"/>
        <w:rPr>
          <w:rFonts w:ascii="Arial" w:cs="Arial" w:eastAsia="Arial" w:hAnsi="Arial"/>
          <w:sz w:val="18"/>
          <w:szCs w:val="18"/>
          <w:color w:val="010000"/>
        </w:rPr>
      </w:pPr>
    </w:p>
    <w:p>
      <w:pPr>
        <w:ind w:left="180" w:right="300" w:firstLine="1300"/>
        <w:spacing w:after="0" w:line="261" w:lineRule="auto"/>
        <w:tabs>
          <w:tab w:leader="none" w:pos="2175" w:val="left"/>
        </w:tabs>
        <w:numPr>
          <w:ilvl w:val="2"/>
          <w:numId w:val="9"/>
        </w:numPr>
        <w:rPr>
          <w:rFonts w:ascii="Arial" w:cs="Arial" w:eastAsia="Arial" w:hAnsi="Arial"/>
          <w:sz w:val="18"/>
          <w:szCs w:val="18"/>
          <w:color w:val="010000"/>
        </w:rPr>
      </w:pPr>
      <w:r>
        <w:rPr>
          <w:rFonts w:ascii="Arial" w:cs="Arial" w:eastAsia="Arial" w:hAnsi="Arial"/>
          <w:sz w:val="18"/>
          <w:szCs w:val="18"/>
          <w:color w:val="auto"/>
        </w:rPr>
        <w:t>the subject of any sanctions (“</w:t>
      </w:r>
      <w:r>
        <w:rPr>
          <w:rFonts w:ascii="Arial" w:cs="Arial" w:eastAsia="Arial" w:hAnsi="Arial"/>
          <w:sz w:val="18"/>
          <w:szCs w:val="18"/>
          <w:b w:val="1"/>
          <w:bCs w:val="1"/>
          <w:color w:val="auto"/>
        </w:rPr>
        <w:t>Sanctions</w:t>
      </w:r>
      <w:r>
        <w:rPr>
          <w:rFonts w:ascii="Arial" w:cs="Arial" w:eastAsia="Arial" w:hAnsi="Arial"/>
          <w:sz w:val="18"/>
          <w:szCs w:val="18"/>
          <w:color w:val="auto"/>
        </w:rPr>
        <w:t>”) administered or enforced by the U.S. Department of Treasury’s Office of Foreign Assets Control, U.S. Department of State (including without limitation, the designation as a “specially designated national” or “blocked person”), the United Nations Security Council, the European Union or Her Majesty’s Treasury or other relevant sanctions authority, nor</w:t>
      </w:r>
    </w:p>
    <w:p>
      <w:pPr>
        <w:spacing w:after="0" w:line="183" w:lineRule="exact"/>
        <w:rPr>
          <w:rFonts w:ascii="Arial" w:cs="Arial" w:eastAsia="Arial" w:hAnsi="Arial"/>
          <w:sz w:val="18"/>
          <w:szCs w:val="18"/>
          <w:color w:val="010000"/>
        </w:rPr>
      </w:pPr>
    </w:p>
    <w:p>
      <w:pPr>
        <w:ind w:left="180" w:right="380" w:firstLine="1300"/>
        <w:spacing w:after="0" w:line="277" w:lineRule="auto"/>
        <w:tabs>
          <w:tab w:leader="none" w:pos="2210" w:val="left"/>
        </w:tabs>
        <w:numPr>
          <w:ilvl w:val="2"/>
          <w:numId w:val="9"/>
        </w:numPr>
        <w:rPr>
          <w:rFonts w:ascii="Arial" w:cs="Arial" w:eastAsia="Arial" w:hAnsi="Arial"/>
          <w:sz w:val="18"/>
          <w:szCs w:val="18"/>
          <w:color w:val="010000"/>
        </w:rPr>
      </w:pPr>
      <w:r>
        <w:rPr>
          <w:rFonts w:ascii="Arial" w:cs="Arial" w:eastAsia="Arial" w:hAnsi="Arial"/>
          <w:sz w:val="18"/>
          <w:szCs w:val="18"/>
          <w:color w:val="auto"/>
        </w:rPr>
        <w:t>located, organized or resident in a country or territory that is the subject of Sanctions (including, without limitation, Crimea, Cuba, Iran, North Korea and Syria) (each, a “</w:t>
      </w:r>
      <w:r>
        <w:rPr>
          <w:rFonts w:ascii="Arial" w:cs="Arial" w:eastAsia="Arial" w:hAnsi="Arial"/>
          <w:sz w:val="18"/>
          <w:szCs w:val="18"/>
          <w:b w:val="1"/>
          <w:bCs w:val="1"/>
          <w:color w:val="auto"/>
        </w:rPr>
        <w:t>Sanctioned Country</w:t>
      </w:r>
      <w:r>
        <w:rPr>
          <w:rFonts w:ascii="Arial" w:cs="Arial" w:eastAsia="Arial" w:hAnsi="Arial"/>
          <w:sz w:val="18"/>
          <w:szCs w:val="18"/>
          <w:color w:val="auto"/>
        </w:rPr>
        <w:t>”).</w:t>
      </w:r>
    </w:p>
    <w:p>
      <w:pPr>
        <w:spacing w:after="0" w:line="170" w:lineRule="exact"/>
        <w:rPr>
          <w:rFonts w:ascii="Arial" w:cs="Arial" w:eastAsia="Arial" w:hAnsi="Arial"/>
          <w:sz w:val="18"/>
          <w:szCs w:val="18"/>
          <w:color w:val="010000"/>
        </w:rPr>
      </w:pPr>
    </w:p>
    <w:p>
      <w:pPr>
        <w:ind w:left="180" w:right="280" w:firstLine="652"/>
        <w:spacing w:after="0" w:line="277" w:lineRule="auto"/>
        <w:tabs>
          <w:tab w:leader="none" w:pos="1498" w:val="left"/>
        </w:tabs>
        <w:numPr>
          <w:ilvl w:val="1"/>
          <w:numId w:val="9"/>
        </w:numPr>
        <w:rPr>
          <w:rFonts w:ascii="Arial" w:cs="Arial" w:eastAsia="Arial" w:hAnsi="Arial"/>
          <w:sz w:val="18"/>
          <w:szCs w:val="18"/>
          <w:color w:val="010000"/>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170" w:lineRule="exact"/>
        <w:rPr>
          <w:rFonts w:ascii="Arial" w:cs="Arial" w:eastAsia="Arial" w:hAnsi="Arial"/>
          <w:sz w:val="18"/>
          <w:szCs w:val="18"/>
          <w:color w:val="010000"/>
        </w:rPr>
      </w:pPr>
    </w:p>
    <w:p>
      <w:pPr>
        <w:ind w:left="180" w:right="200" w:firstLine="1300"/>
        <w:spacing w:after="0" w:line="277" w:lineRule="auto"/>
        <w:tabs>
          <w:tab w:leader="none" w:pos="2175" w:val="left"/>
        </w:tabs>
        <w:numPr>
          <w:ilvl w:val="2"/>
          <w:numId w:val="9"/>
        </w:numPr>
        <w:rPr>
          <w:rFonts w:ascii="Arial" w:cs="Arial" w:eastAsia="Arial" w:hAnsi="Arial"/>
          <w:sz w:val="18"/>
          <w:szCs w:val="18"/>
          <w:color w:val="010000"/>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170" w:lineRule="exact"/>
        <w:rPr>
          <w:rFonts w:ascii="Arial" w:cs="Arial" w:eastAsia="Arial" w:hAnsi="Arial"/>
          <w:sz w:val="18"/>
          <w:szCs w:val="18"/>
          <w:color w:val="010000"/>
        </w:rPr>
      </w:pPr>
    </w:p>
    <w:p>
      <w:pPr>
        <w:ind w:left="180" w:right="760" w:firstLine="1300"/>
        <w:spacing w:after="0" w:line="277" w:lineRule="auto"/>
        <w:tabs>
          <w:tab w:leader="none" w:pos="2210" w:val="left"/>
        </w:tabs>
        <w:numPr>
          <w:ilvl w:val="2"/>
          <w:numId w:val="9"/>
        </w:numPr>
        <w:rPr>
          <w:rFonts w:ascii="Arial" w:cs="Arial" w:eastAsia="Arial" w:hAnsi="Arial"/>
          <w:sz w:val="18"/>
          <w:szCs w:val="18"/>
          <w:color w:val="010000"/>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170" w:lineRule="exact"/>
        <w:rPr>
          <w:rFonts w:ascii="Arial" w:cs="Arial" w:eastAsia="Arial" w:hAnsi="Arial"/>
          <w:sz w:val="18"/>
          <w:szCs w:val="18"/>
          <w:color w:val="010000"/>
        </w:rPr>
      </w:pPr>
    </w:p>
    <w:p>
      <w:pPr>
        <w:ind w:left="180" w:firstLine="652"/>
        <w:spacing w:after="0" w:line="277" w:lineRule="auto"/>
        <w:tabs>
          <w:tab w:leader="none" w:pos="1458" w:val="left"/>
        </w:tabs>
        <w:numPr>
          <w:ilvl w:val="1"/>
          <w:numId w:val="9"/>
        </w:numPr>
        <w:rPr>
          <w:rFonts w:ascii="Arial" w:cs="Arial" w:eastAsia="Arial" w:hAnsi="Arial"/>
          <w:sz w:val="18"/>
          <w:szCs w:val="18"/>
          <w:color w:val="010000"/>
        </w:rPr>
      </w:pPr>
      <w:r>
        <w:rPr>
          <w:rFonts w:ascii="Arial" w:cs="Arial" w:eastAsia="Arial" w:hAnsi="Arial"/>
          <w:sz w:val="18"/>
          <w:szCs w:val="18"/>
          <w:color w:val="auto"/>
        </w:rPr>
        <w:t>The Company and its subsidiaries are not now knowingly engaged in any dealings or transactions with any Person, or in any country or territory that is the subject of Sanctions.</w:t>
      </w:r>
    </w:p>
    <w:p>
      <w:pPr>
        <w:spacing w:after="0" w:line="3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 w:name="page15"/>
    <w:bookmarkEnd w:id="14"/>
    <w:p>
      <w:pPr>
        <w:ind w:left="640" w:right="280" w:firstLine="644"/>
        <w:spacing w:after="0" w:line="263" w:lineRule="auto"/>
        <w:tabs>
          <w:tab w:leader="none" w:pos="2032" w:val="left"/>
        </w:tabs>
        <w:numPr>
          <w:ilvl w:val="1"/>
          <w:numId w:val="10"/>
        </w:numPr>
        <w:rPr>
          <w:rFonts w:ascii="Arial" w:cs="Arial" w:eastAsia="Arial" w:hAnsi="Arial"/>
          <w:sz w:val="18"/>
          <w:szCs w:val="18"/>
          <w:color w:val="010000"/>
        </w:rPr>
      </w:pPr>
      <w:r>
        <w:rPr>
          <w:rFonts w:ascii="Arial" w:cs="Arial" w:eastAsia="Arial" w:hAnsi="Arial"/>
          <w:sz w:val="18"/>
          <w:szCs w:val="18"/>
          <w:color w:val="auto"/>
        </w:rPr>
        <w:t>The interactive data in eXtensible Business Reporting Language included or incorporated by reference in each of the Registration Statement, Time of Sale Information and Prospectus fairly presents the information called for in all material respects and has been prepared in accordance with the Commission’s rules and guidelines applicable thereto.</w:t>
      </w:r>
    </w:p>
    <w:p>
      <w:pPr>
        <w:spacing w:after="0" w:line="183" w:lineRule="exact"/>
        <w:rPr>
          <w:rFonts w:ascii="Arial" w:cs="Arial" w:eastAsia="Arial" w:hAnsi="Arial"/>
          <w:sz w:val="18"/>
          <w:szCs w:val="18"/>
          <w:color w:val="010000"/>
        </w:rPr>
      </w:pPr>
    </w:p>
    <w:p>
      <w:pPr>
        <w:ind w:left="640" w:right="140" w:firstLine="644"/>
        <w:spacing w:after="0" w:line="308" w:lineRule="auto"/>
        <w:tabs>
          <w:tab w:leader="none" w:pos="2037" w:val="left"/>
        </w:tabs>
        <w:numPr>
          <w:ilvl w:val="1"/>
          <w:numId w:val="10"/>
        </w:numPr>
        <w:rPr>
          <w:rFonts w:ascii="Arial" w:cs="Arial" w:eastAsia="Arial" w:hAnsi="Arial"/>
          <w:sz w:val="17"/>
          <w:szCs w:val="17"/>
          <w:color w:val="010000"/>
        </w:rPr>
      </w:pPr>
      <w:r>
        <w:rPr>
          <w:rFonts w:ascii="Arial" w:cs="Arial" w:eastAsia="Arial" w:hAnsi="Arial"/>
          <w:sz w:val="17"/>
          <w:szCs w:val="17"/>
          <w:color w:val="auto"/>
        </w:rPr>
        <w:t>The Company has not taken, directly or indirectly, without giving effect to activities by any Underwriter, any action designed to or that could reasonably be expected to cause or result in any stabilization or manipulation of the price of the Securities.</w:t>
      </w:r>
    </w:p>
    <w:p>
      <w:pPr>
        <w:spacing w:after="0" w:line="146" w:lineRule="exact"/>
        <w:rPr>
          <w:rFonts w:ascii="Arial" w:cs="Arial" w:eastAsia="Arial" w:hAnsi="Arial"/>
          <w:sz w:val="17"/>
          <w:szCs w:val="17"/>
          <w:color w:val="010000"/>
        </w:rPr>
      </w:pPr>
    </w:p>
    <w:p>
      <w:pPr>
        <w:jc w:val="both"/>
        <w:ind w:left="640" w:right="60" w:firstLine="644"/>
        <w:spacing w:after="0" w:line="287" w:lineRule="auto"/>
        <w:tabs>
          <w:tab w:leader="none" w:pos="2037" w:val="left"/>
        </w:tabs>
        <w:numPr>
          <w:ilvl w:val="1"/>
          <w:numId w:val="10"/>
        </w:numPr>
        <w:rPr>
          <w:rFonts w:ascii="Arial" w:cs="Arial" w:eastAsia="Arial" w:hAnsi="Arial"/>
          <w:sz w:val="16"/>
          <w:szCs w:val="16"/>
          <w:color w:val="010000"/>
        </w:rPr>
      </w:pPr>
      <w:r>
        <w:rPr>
          <w:rFonts w:ascii="Arial" w:cs="Arial" w:eastAsia="Arial" w:hAnsi="Arial"/>
          <w:sz w:val="16"/>
          <w:szCs w:val="16"/>
          <w:color w:val="auto"/>
        </w:rPr>
        <w:t xml:space="preserve">At the time of filing the Registration Statement and any post-effective amendments thereto, at the earliest time thereafter that the Company or any offering participant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under the Securities Act) of the Securities and at the date hereof, the Company was not and is not an “ineligible issuer,” and is a well-known seasoned issuer, in each case as defined in Rule</w:t>
      </w:r>
    </w:p>
    <w:p>
      <w:pPr>
        <w:spacing w:after="0" w:line="2" w:lineRule="exact"/>
        <w:rPr>
          <w:rFonts w:ascii="Arial" w:cs="Arial" w:eastAsia="Arial" w:hAnsi="Arial"/>
          <w:sz w:val="16"/>
          <w:szCs w:val="16"/>
          <w:color w:val="010000"/>
        </w:rPr>
      </w:pPr>
    </w:p>
    <w:p>
      <w:pPr>
        <w:ind w:left="640" w:right="140" w:hanging="4"/>
        <w:spacing w:after="0" w:line="255" w:lineRule="auto"/>
        <w:tabs>
          <w:tab w:leader="none" w:pos="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 the Securities Act. The Company has paid the registration fee for this offering pursuant to Rule 456(b)(1) under the Securities Act or will pay such fees within the time period required by such rule (without giving effect to the proviso therein) and in any event prior to the Closing Date.</w:t>
      </w:r>
    </w:p>
    <w:p>
      <w:pPr>
        <w:spacing w:after="0" w:line="189" w:lineRule="exact"/>
        <w:rPr>
          <w:rFonts w:ascii="Arial" w:cs="Arial" w:eastAsia="Arial" w:hAnsi="Arial"/>
          <w:sz w:val="18"/>
          <w:szCs w:val="18"/>
          <w:color w:val="auto"/>
        </w:rPr>
      </w:pPr>
    </w:p>
    <w:p>
      <w:pPr>
        <w:ind w:left="-20" w:right="40" w:firstLine="656"/>
        <w:spacing w:after="0" w:line="301" w:lineRule="auto"/>
        <w:tabs>
          <w:tab w:leader="none" w:pos="1348"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Agreements to Sell and Purchase</w:t>
      </w:r>
      <w:r>
        <w:rPr>
          <w:rFonts w:ascii="Arial" w:cs="Arial" w:eastAsia="Arial" w:hAnsi="Arial"/>
          <w:sz w:val="16"/>
          <w:szCs w:val="16"/>
          <w:color w:val="auto"/>
        </w:rPr>
        <w:t>. The Company hereby agrees to issue and sell to the several Underwriters, and each Underwriter, upon</w:t>
      </w:r>
      <w:r>
        <w:rPr>
          <w:rFonts w:ascii="Arial" w:cs="Arial" w:eastAsia="Arial" w:hAnsi="Arial"/>
          <w:sz w:val="16"/>
          <w:szCs w:val="16"/>
          <w:i w:val="1"/>
          <w:iCs w:val="1"/>
          <w:color w:val="auto"/>
        </w:rPr>
        <w:t xml:space="preserve"> </w:t>
      </w:r>
      <w:r>
        <w:rPr>
          <w:rFonts w:ascii="Arial" w:cs="Arial" w:eastAsia="Arial" w:hAnsi="Arial"/>
          <w:sz w:val="16"/>
          <w:szCs w:val="16"/>
          <w:color w:val="auto"/>
        </w:rPr>
        <w:t>the basis of the representations and warranties herein contained, but subject to the conditions hereinafter stated, agrees, severally and not jointly, to purchase from the Company the respective principal amounts of Securities set forth in Schedule I hereto opposite its name at a purchase price of 99.800% of the principal amount thereof (the “</w:t>
      </w:r>
      <w:r>
        <w:rPr>
          <w:rFonts w:ascii="Arial" w:cs="Arial" w:eastAsia="Arial" w:hAnsi="Arial"/>
          <w:sz w:val="16"/>
          <w:szCs w:val="16"/>
          <w:b w:val="1"/>
          <w:bCs w:val="1"/>
          <w:color w:val="auto"/>
        </w:rPr>
        <w:t>Purchase Price</w:t>
      </w:r>
      <w:r>
        <w:rPr>
          <w:rFonts w:ascii="Arial" w:cs="Arial" w:eastAsia="Arial" w:hAnsi="Arial"/>
          <w:sz w:val="16"/>
          <w:szCs w:val="16"/>
          <w:color w:val="auto"/>
        </w:rPr>
        <w:t>”), plus accrued interest, if any, from April 24, 2020 to the Closing Date.</w:t>
      </w:r>
    </w:p>
    <w:p>
      <w:pPr>
        <w:spacing w:after="0" w:line="157" w:lineRule="exact"/>
        <w:rPr>
          <w:rFonts w:ascii="Arial" w:cs="Arial" w:eastAsia="Arial" w:hAnsi="Arial"/>
          <w:sz w:val="16"/>
          <w:szCs w:val="16"/>
          <w:color w:val="auto"/>
        </w:rPr>
      </w:pPr>
    </w:p>
    <w:p>
      <w:pPr>
        <w:ind w:left="-20" w:right="100" w:firstLine="656"/>
        <w:spacing w:after="0" w:line="257" w:lineRule="auto"/>
        <w:tabs>
          <w:tab w:leader="none" w:pos="1348"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Terms of Offering</w:t>
      </w:r>
      <w:r>
        <w:rPr>
          <w:rFonts w:ascii="Arial" w:cs="Arial" w:eastAsia="Arial" w:hAnsi="Arial"/>
          <w:sz w:val="18"/>
          <w:szCs w:val="18"/>
          <w:color w:val="auto"/>
        </w:rPr>
        <w:t>. You have advised the Company that the Underwriters intend to make a public offering of the Securities as soon after</w:t>
      </w:r>
      <w:r>
        <w:rPr>
          <w:rFonts w:ascii="Arial" w:cs="Arial" w:eastAsia="Arial" w:hAnsi="Arial"/>
          <w:sz w:val="18"/>
          <w:szCs w:val="18"/>
          <w:i w:val="1"/>
          <w:iCs w:val="1"/>
          <w:color w:val="auto"/>
        </w:rPr>
        <w:t xml:space="preserve"> </w:t>
      </w:r>
      <w:r>
        <w:rPr>
          <w:rFonts w:ascii="Arial" w:cs="Arial" w:eastAsia="Arial" w:hAnsi="Arial"/>
          <w:sz w:val="18"/>
          <w:szCs w:val="18"/>
          <w:color w:val="auto"/>
        </w:rPr>
        <w:t>the Registration Statement and this Agreement have become effective as in the judgment of the Representatives is advisable, and initially to offer the Securities on the terms set forth in the Time of Sale Information. The Company acknowledges and agrees that the Underwriters may offer and sell Securities to or through any affiliate of an Underwriter and that any such affiliate may offer and sell Securities purchased by it to or through any Underwriter.</w:t>
      </w:r>
    </w:p>
    <w:p>
      <w:pPr>
        <w:spacing w:after="0" w:line="187" w:lineRule="exact"/>
        <w:rPr>
          <w:rFonts w:ascii="Arial" w:cs="Arial" w:eastAsia="Arial" w:hAnsi="Arial"/>
          <w:sz w:val="18"/>
          <w:szCs w:val="18"/>
          <w:color w:val="auto"/>
        </w:rPr>
      </w:pPr>
    </w:p>
    <w:p>
      <w:pPr>
        <w:ind w:left="-20" w:firstLine="656"/>
        <w:spacing w:after="0" w:line="257" w:lineRule="auto"/>
        <w:tabs>
          <w:tab w:leader="none" w:pos="1348"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Payment and Delivery</w:t>
      </w:r>
      <w:r>
        <w:rPr>
          <w:rFonts w:ascii="Arial" w:cs="Arial" w:eastAsia="Arial" w:hAnsi="Arial"/>
          <w:sz w:val="18"/>
          <w:szCs w:val="18"/>
          <w:color w:val="auto"/>
        </w:rPr>
        <w:t>. Payment for the Securities shall be made to the Company in Federal or other funds immediately available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specified by the Company to you at the office of Wilson Sonsini Goodrich &amp; Rosati, Professional Corporation, 650 Page Mill Road, Palo Alto, California, at approximately 7:00 a.m., California time, on April 24, 2020, or at such other time on the same or such other date, not later than the fifth business day thereafter, as may be mutually agreed in writing by you and the Company.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15" w:name="page16"/>
    <w:bookmarkEnd w:id="15"/>
    <w:p>
      <w:pPr>
        <w:ind w:firstLine="648"/>
        <w:spacing w:after="0" w:line="259" w:lineRule="auto"/>
        <w:rPr>
          <w:sz w:val="20"/>
          <w:szCs w:val="20"/>
          <w:color w:val="auto"/>
        </w:rPr>
      </w:pPr>
      <w:r>
        <w:rPr>
          <w:rFonts w:ascii="Arial" w:cs="Arial" w:eastAsia="Arial" w:hAnsi="Arial"/>
          <w:sz w:val="18"/>
          <w:szCs w:val="18"/>
          <w:color w:val="auto"/>
        </w:rPr>
        <w:t>The Securities shall be in definitive form or global form, as specified by you, and registered in such names and in such denominations as you shall request in writing not later than one full business day prior to the Closing Date. The Securities shall be delivered to you on the Closing Date for the respective accounts of the several Underwriters, with any transfer taxes payable in connection with the transfer of the Securities to the Underwriters duly paid, against payment of the Purchase Price therefor.</w:t>
      </w:r>
    </w:p>
    <w:p>
      <w:pPr>
        <w:spacing w:after="0" w:line="187" w:lineRule="exact"/>
        <w:rPr>
          <w:sz w:val="20"/>
          <w:szCs w:val="20"/>
          <w:color w:val="auto"/>
        </w:rPr>
      </w:pPr>
    </w:p>
    <w:p>
      <w:pPr>
        <w:ind w:right="160" w:firstLine="656"/>
        <w:spacing w:after="0" w:line="342" w:lineRule="auto"/>
        <w:tabs>
          <w:tab w:leader="none" w:pos="1368"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Conditions to the Underwriters’ Obligations</w:t>
      </w:r>
      <w:r>
        <w:rPr>
          <w:rFonts w:ascii="Arial" w:cs="Arial" w:eastAsia="Arial" w:hAnsi="Arial"/>
          <w:sz w:val="16"/>
          <w:szCs w:val="16"/>
          <w:color w:val="auto"/>
        </w:rPr>
        <w:t>. The several obligations of the Underwriters to purchase and pay for the Securities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Date is subject to the performance by the Company of its covenants and other obligations hereunder and to the following additional conditions:</w:t>
      </w:r>
    </w:p>
    <w:p>
      <w:pPr>
        <w:spacing w:after="0" w:line="123" w:lineRule="exact"/>
        <w:rPr>
          <w:rFonts w:ascii="Arial" w:cs="Arial" w:eastAsia="Arial" w:hAnsi="Arial"/>
          <w:sz w:val="16"/>
          <w:szCs w:val="16"/>
          <w:color w:val="auto"/>
        </w:rPr>
      </w:pPr>
    </w:p>
    <w:p>
      <w:pPr>
        <w:ind w:left="660" w:right="160" w:firstLine="644"/>
        <w:spacing w:after="0" w:line="296" w:lineRule="auto"/>
        <w:tabs>
          <w:tab w:leader="none" w:pos="2047" w:val="left"/>
        </w:tabs>
        <w:numPr>
          <w:ilvl w:val="1"/>
          <w:numId w:val="13"/>
        </w:numPr>
        <w:rPr>
          <w:rFonts w:ascii="Arial" w:cs="Arial" w:eastAsia="Arial" w:hAnsi="Arial"/>
          <w:sz w:val="16"/>
          <w:szCs w:val="16"/>
          <w:color w:val="010000"/>
        </w:rPr>
      </w:pPr>
      <w:r>
        <w:rPr>
          <w:rFonts w:ascii="Arial" w:cs="Arial" w:eastAsia="Arial" w:hAnsi="Arial"/>
          <w:sz w:val="16"/>
          <w:szCs w:val="16"/>
          <w:color w:val="auto"/>
        </w:rPr>
        <w:t>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6(a) hereof; and all requests by the Commission for additional information shall have been complied with to the reasonable satisfaction of the Representatives.</w:t>
      </w:r>
    </w:p>
    <w:p>
      <w:pPr>
        <w:spacing w:after="0" w:line="161" w:lineRule="exact"/>
        <w:rPr>
          <w:rFonts w:ascii="Arial" w:cs="Arial" w:eastAsia="Arial" w:hAnsi="Arial"/>
          <w:sz w:val="16"/>
          <w:szCs w:val="16"/>
          <w:color w:val="010000"/>
        </w:rPr>
      </w:pPr>
    </w:p>
    <w:p>
      <w:pPr>
        <w:ind w:left="660" w:right="80" w:firstLine="644"/>
        <w:spacing w:after="0" w:line="257" w:lineRule="auto"/>
        <w:tabs>
          <w:tab w:leader="none" w:pos="2057"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The representations and warranties of the Company contained herein (x) if qualified as to materiality or Material Adverse Effect, shall be true and correct and (y) in all other cases are true and correct in all material respects on the date hereof and on and as of the Closing Date; and the statements of the Company and its officers made in any certificates delivered pursuant to this Agreement shall be true and correct in all material respects (other than representations and warranties qualified by materiality, in which case such representations shall be true and correct in all respects) on and as of the Closing Date.</w:t>
      </w:r>
    </w:p>
    <w:p>
      <w:pPr>
        <w:spacing w:after="0" w:line="187" w:lineRule="exact"/>
        <w:rPr>
          <w:rFonts w:ascii="Arial" w:cs="Arial" w:eastAsia="Arial" w:hAnsi="Arial"/>
          <w:sz w:val="18"/>
          <w:szCs w:val="18"/>
          <w:color w:val="010000"/>
        </w:rPr>
      </w:pPr>
    </w:p>
    <w:p>
      <w:pPr>
        <w:ind w:left="2040" w:hanging="736"/>
        <w:spacing w:after="0"/>
        <w:tabs>
          <w:tab w:leader="none" w:pos="2040"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Subsequent to the execution and delivery of this Agreement and prior to the Closing Date:</w:t>
      </w:r>
    </w:p>
    <w:p>
      <w:pPr>
        <w:spacing w:after="0" w:line="225" w:lineRule="exact"/>
        <w:rPr>
          <w:rFonts w:ascii="Arial" w:cs="Arial" w:eastAsia="Arial" w:hAnsi="Arial"/>
          <w:sz w:val="18"/>
          <w:szCs w:val="18"/>
          <w:color w:val="010000"/>
        </w:rPr>
      </w:pPr>
    </w:p>
    <w:p>
      <w:pPr>
        <w:ind w:left="1300" w:right="20" w:firstLine="652"/>
        <w:spacing w:after="0" w:line="259" w:lineRule="auto"/>
        <w:tabs>
          <w:tab w:leader="none" w:pos="2612" w:val="left"/>
        </w:tabs>
        <w:numPr>
          <w:ilvl w:val="2"/>
          <w:numId w:val="13"/>
        </w:numPr>
        <w:rPr>
          <w:rFonts w:ascii="Arial" w:cs="Arial" w:eastAsia="Arial" w:hAnsi="Arial"/>
          <w:sz w:val="18"/>
          <w:szCs w:val="18"/>
          <w:color w:val="010000"/>
        </w:rPr>
      </w:pPr>
      <w:r>
        <w:rPr>
          <w:rFonts w:ascii="Arial" w:cs="Arial" w:eastAsia="Arial" w:hAnsi="Arial"/>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debt securities of the Company by any “nationally recognized statistical rating organization,” as such term is defined in Section 3(a)(62) of the Exchange Act; and</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6" w:name="page17"/>
    <w:bookmarkEnd w:id="16"/>
    <w:p>
      <w:pPr>
        <w:ind w:left="180" w:right="80" w:firstLine="652"/>
        <w:spacing w:after="0" w:line="255" w:lineRule="auto"/>
        <w:tabs>
          <w:tab w:leader="none" w:pos="1498"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there shall not have occurred any material change, or any development involving a prospective Material Adverse Effect, in the condition, financial or otherwise, or in the earnings, business or operations of the Company and its subsidiaries, taken as a whole, from that set forth in the Time of Sale Information (excluding any amendment or supplement thereto) and the Prospectus (excluding any amendment or supplement thereto) that, in your judgment, is material and adverse and that makes it, in your judgment, impracticable to market the Securities on the terms and in the manner contemplated in this Agreement, the Time of Sale Information and the Prospectus.</w:t>
      </w:r>
    </w:p>
    <w:p>
      <w:pPr>
        <w:spacing w:after="0" w:line="192" w:lineRule="exact"/>
        <w:rPr>
          <w:rFonts w:ascii="Arial" w:cs="Arial" w:eastAsia="Arial" w:hAnsi="Arial"/>
          <w:sz w:val="18"/>
          <w:szCs w:val="18"/>
          <w:color w:val="010000"/>
        </w:rPr>
      </w:pPr>
    </w:p>
    <w:p>
      <w:pPr>
        <w:ind w:left="-460" w:firstLine="644"/>
        <w:spacing w:after="0" w:line="270" w:lineRule="auto"/>
        <w:tabs>
          <w:tab w:leader="none" w:pos="937" w:val="left"/>
        </w:tabs>
        <w:numPr>
          <w:ilvl w:val="0"/>
          <w:numId w:val="15"/>
        </w:numPr>
        <w:rPr>
          <w:rFonts w:ascii="Arial" w:cs="Arial" w:eastAsia="Arial" w:hAnsi="Arial"/>
          <w:sz w:val="17"/>
          <w:szCs w:val="17"/>
          <w:color w:val="010000"/>
        </w:rPr>
      </w:pPr>
      <w:r>
        <w:rPr>
          <w:rFonts w:ascii="Arial" w:cs="Arial" w:eastAsia="Arial" w:hAnsi="Arial"/>
          <w:sz w:val="17"/>
          <w:szCs w:val="17"/>
          <w:color w:val="auto"/>
        </w:rPr>
        <w:t>The Underwriters shall have received on the Closing Date a certificate, dated the Closing Date and signed by the chief executive officer, the chief financial officer or the corporate vice president, finance of the Company, to the effect set forth in Section 5(c)(i) and to the effect that the representations and warranties of the Company contained in this Agreement are (i) true and correct in all material respects (other than representations and warranties qualified by materiality, in which case such representations shall be true and correct in all respects) as of the Closing Date with the same effect as if made on such delivery date, (ii) that the Company has complied in all material respects with all of the agreements and satisfied all of the conditions on its part to be performed or satisfied hereunder on or before the Closing Date, and (iii) since the date of the most recent financial statements included in the Registration Statement and Time of Sale Information, there has been no material adverse change in the financial condition, earnings, business or properties of the Company and its subsidiaries, taken as a whole, except as set forth or contemplated in the Registration Statement and Time of Sale Information.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officer signing and delivering such certificate may rely upon the best of his or her knowledge as to proceedings threatened.</w:t>
      </w:r>
    </w:p>
    <w:p>
      <w:pPr>
        <w:spacing w:after="0" w:line="237" w:lineRule="exact"/>
        <w:rPr>
          <w:sz w:val="20"/>
          <w:szCs w:val="20"/>
          <w:color w:val="auto"/>
        </w:rPr>
      </w:pPr>
    </w:p>
    <w:p>
      <w:pPr>
        <w:ind w:left="-460" w:right="220" w:firstLine="644"/>
        <w:spacing w:after="0" w:line="263" w:lineRule="auto"/>
        <w:tabs>
          <w:tab w:leader="none" w:pos="927"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The Underwriters shall have received on the Closing Date an opinion of Wilson Sonsini Goodrich &amp; Rosati, Professional Corporation, outside counsel for the Company, dated the Closing Date, to the effect set forth in Exhibit A. Such opinion shall be rendered to the Underwriters at the request of the Company and shall so state therein.</w:t>
      </w:r>
    </w:p>
    <w:p>
      <w:pPr>
        <w:spacing w:after="0" w:line="183" w:lineRule="exact"/>
        <w:rPr>
          <w:rFonts w:ascii="Arial" w:cs="Arial" w:eastAsia="Arial" w:hAnsi="Arial"/>
          <w:sz w:val="18"/>
          <w:szCs w:val="18"/>
          <w:color w:val="010000"/>
        </w:rPr>
      </w:pPr>
    </w:p>
    <w:p>
      <w:pPr>
        <w:ind w:left="-460" w:right="380" w:firstLine="644"/>
        <w:spacing w:after="0" w:line="277" w:lineRule="auto"/>
        <w:tabs>
          <w:tab w:leader="none" w:pos="952"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The Underwriters shall have received on the Closing Date an opinion of Joel L. Poppen, the Company’s General Counsel, dated the Closing Date, to the effect set forth in Exhibit B.</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7" w:name="page18"/>
    <w:bookmarkEnd w:id="17"/>
    <w:p>
      <w:pPr>
        <w:ind w:left="4" w:right="340" w:firstLine="644"/>
        <w:spacing w:after="0" w:line="277" w:lineRule="auto"/>
        <w:tabs>
          <w:tab w:leader="none" w:pos="1401" w:val="left"/>
        </w:tabs>
        <w:numPr>
          <w:ilvl w:val="1"/>
          <w:numId w:val="17"/>
        </w:numPr>
        <w:rPr>
          <w:rFonts w:ascii="Arial" w:cs="Arial" w:eastAsia="Arial" w:hAnsi="Arial"/>
          <w:sz w:val="18"/>
          <w:szCs w:val="18"/>
          <w:color w:val="010000"/>
        </w:rPr>
      </w:pPr>
      <w:r>
        <w:rPr>
          <w:rFonts w:ascii="Arial" w:cs="Arial" w:eastAsia="Arial" w:hAnsi="Arial"/>
          <w:sz w:val="18"/>
          <w:szCs w:val="18"/>
          <w:color w:val="auto"/>
        </w:rPr>
        <w:t>The Underwriters shall have received on the Closing Date an opinion of Simpson Thacher &amp; Bartlett LLP, counsel for the Underwriters, dated the Closing Date, in form and substance reasonably satisfactory to the Underwriters.</w:t>
      </w:r>
    </w:p>
    <w:p>
      <w:pPr>
        <w:spacing w:after="0" w:line="170" w:lineRule="exact"/>
        <w:rPr>
          <w:rFonts w:ascii="Arial" w:cs="Arial" w:eastAsia="Arial" w:hAnsi="Arial"/>
          <w:sz w:val="18"/>
          <w:szCs w:val="18"/>
          <w:color w:val="010000"/>
        </w:rPr>
      </w:pPr>
    </w:p>
    <w:p>
      <w:pPr>
        <w:ind w:left="4" w:right="40" w:firstLine="644"/>
        <w:spacing w:after="0" w:line="296" w:lineRule="auto"/>
        <w:tabs>
          <w:tab w:leader="none" w:pos="1401" w:val="left"/>
        </w:tabs>
        <w:numPr>
          <w:ilvl w:val="1"/>
          <w:numId w:val="17"/>
        </w:numPr>
        <w:rPr>
          <w:rFonts w:ascii="Arial" w:cs="Arial" w:eastAsia="Arial" w:hAnsi="Arial"/>
          <w:sz w:val="16"/>
          <w:szCs w:val="16"/>
          <w:color w:val="010000"/>
        </w:rPr>
      </w:pPr>
      <w:r>
        <w:rPr>
          <w:rFonts w:ascii="Arial" w:cs="Arial" w:eastAsia="Arial" w:hAnsi="Arial"/>
          <w:sz w:val="16"/>
          <w:szCs w:val="16"/>
          <w:color w:val="auto"/>
        </w:rPr>
        <w:t>The Underwriters shall have received on each of the date hereof and the Closing Date a letter, dated the date hereof or the Closing Date, as the case may be, in form and substance satisfactory to the Underwriters, from PricewaterhouseCoopers LLP, independent public accountants, containing statements and information of the type ordinarily included in accountants’ “</w:t>
      </w:r>
      <w:r>
        <w:rPr>
          <w:rFonts w:ascii="Arial" w:cs="Arial" w:eastAsia="Arial" w:hAnsi="Arial"/>
          <w:sz w:val="16"/>
          <w:szCs w:val="16"/>
          <w:b w:val="1"/>
          <w:bCs w:val="1"/>
          <w:color w:val="auto"/>
        </w:rPr>
        <w:t>comfort letters</w:t>
      </w:r>
      <w:r>
        <w:rPr>
          <w:rFonts w:ascii="Arial" w:cs="Arial" w:eastAsia="Arial" w:hAnsi="Arial"/>
          <w:sz w:val="16"/>
          <w:szCs w:val="16"/>
          <w:color w:val="auto"/>
        </w:rPr>
        <w:t>” to underwriters with respect to the financial statements and certain financial information contained in or incorporated by reference into the Registration Statement, Time of Sale Information and Prospectus; provided that the letter delivered on the Closing Date shall use a “cut-off date” not earlier than April 22, 2020.</w:t>
      </w:r>
    </w:p>
    <w:p>
      <w:pPr>
        <w:spacing w:after="0" w:line="161" w:lineRule="exact"/>
        <w:rPr>
          <w:rFonts w:ascii="Arial" w:cs="Arial" w:eastAsia="Arial" w:hAnsi="Arial"/>
          <w:sz w:val="16"/>
          <w:szCs w:val="16"/>
          <w:color w:val="010000"/>
        </w:rPr>
      </w:pPr>
    </w:p>
    <w:p>
      <w:pPr>
        <w:ind w:left="4" w:firstLine="644"/>
        <w:spacing w:after="0" w:line="301" w:lineRule="auto"/>
        <w:tabs>
          <w:tab w:leader="none" w:pos="1407" w:val="left"/>
        </w:tabs>
        <w:numPr>
          <w:ilvl w:val="1"/>
          <w:numId w:val="17"/>
        </w:numPr>
        <w:rPr>
          <w:rFonts w:ascii="Arial" w:cs="Arial" w:eastAsia="Arial" w:hAnsi="Arial"/>
          <w:sz w:val="16"/>
          <w:szCs w:val="16"/>
          <w:color w:val="010000"/>
        </w:rPr>
      </w:pPr>
      <w:r>
        <w:rPr>
          <w:rFonts w:ascii="Arial" w:cs="Arial" w:eastAsia="Arial" w:hAnsi="Arial"/>
          <w:sz w:val="16"/>
          <w:szCs w:val="16"/>
          <w:color w:val="auto"/>
        </w:rPr>
        <w:t>Prior to the Closing Date, the Company shall have received all waivers or consents under any agreement or other instrument binding upon the Company or any of its subsidiaries, including any indenture, mortgage, deed of trust, loan agreement, stockholder agreement or other agreement that is material to the Company and its subsidiaries, taken as a whole, that are necessary for the issuance of the Securities and the performance by the Company of its obligations under this Agreement, the Indenture and the Securities.</w:t>
      </w:r>
    </w:p>
    <w:p>
      <w:pPr>
        <w:spacing w:after="0" w:line="157" w:lineRule="exact"/>
        <w:rPr>
          <w:rFonts w:ascii="Arial" w:cs="Arial" w:eastAsia="Arial" w:hAnsi="Arial"/>
          <w:sz w:val="16"/>
          <w:szCs w:val="16"/>
          <w:color w:val="010000"/>
        </w:rPr>
      </w:pPr>
    </w:p>
    <w:p>
      <w:pPr>
        <w:ind w:left="724" w:hanging="724"/>
        <w:spacing w:after="0"/>
        <w:tabs>
          <w:tab w:leader="none" w:pos="724"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225" w:lineRule="exact"/>
        <w:rPr>
          <w:rFonts w:ascii="Arial" w:cs="Arial" w:eastAsia="Arial" w:hAnsi="Arial"/>
          <w:sz w:val="18"/>
          <w:szCs w:val="18"/>
          <w:color w:val="auto"/>
        </w:rPr>
      </w:pPr>
    </w:p>
    <w:p>
      <w:pPr>
        <w:ind w:left="4" w:right="120" w:firstLine="644"/>
        <w:spacing w:after="0" w:line="269" w:lineRule="auto"/>
        <w:tabs>
          <w:tab w:leader="none" w:pos="1391" w:val="left"/>
        </w:tabs>
        <w:numPr>
          <w:ilvl w:val="1"/>
          <w:numId w:val="18"/>
        </w:numPr>
        <w:rPr>
          <w:rFonts w:ascii="Arial" w:cs="Arial" w:eastAsia="Arial" w:hAnsi="Arial"/>
          <w:sz w:val="17"/>
          <w:szCs w:val="17"/>
          <w:color w:val="010000"/>
        </w:rPr>
      </w:pPr>
      <w:r>
        <w:rPr>
          <w:rFonts w:ascii="Arial" w:cs="Arial" w:eastAsia="Arial" w:hAnsi="Arial"/>
          <w:sz w:val="17"/>
          <w:szCs w:val="17"/>
          <w:color w:val="auto"/>
        </w:rPr>
        <w:t>The Company will file the final Prospectus with the Commission within the time periods specified by Rule 424(b) and Rule 430A, 430B or 430C under the Securities Act, will file any Issuer Free Writing Prospectus (including the term sheet substantially in the form of Annex A hereto) to the extent required by Rule 433 under the Securities Act; and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Underwriters in New York City prior to 10:00 A.M., New York City time, on the business day next succeeding the date of this Agreement, or as soon as reasonably practicable thereafter, in such quantities as the Representatives may reasonably request. The Company will pay the registration fees for this offering within the time period required by Rule 456(b)(1) under the Securities Act (without giving effect to the proviso therein) and in any event prior to the Closing Date.</w:t>
      </w:r>
    </w:p>
    <w:p>
      <w:pPr>
        <w:spacing w:after="0" w:line="200" w:lineRule="exact"/>
        <w:rPr>
          <w:sz w:val="20"/>
          <w:szCs w:val="20"/>
          <w:color w:val="auto"/>
        </w:rPr>
      </w:pPr>
    </w:p>
    <w:p>
      <w:pPr>
        <w:spacing w:after="0" w:line="20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4"/>
          </w:cols>
          <w:pgMar w:left="976" w:top="908" w:right="419" w:bottom="1440" w:gutter="0" w:footer="0" w:header="0"/>
        </w:sectPr>
      </w:pPr>
    </w:p>
    <w:bookmarkStart w:id="18" w:name="page19"/>
    <w:bookmarkEnd w:id="18"/>
    <w:p>
      <w:pPr>
        <w:ind w:left="-460" w:right="100" w:firstLine="644"/>
        <w:spacing w:after="0" w:line="271" w:lineRule="auto"/>
        <w:tabs>
          <w:tab w:leader="none" w:pos="937" w:val="left"/>
        </w:tabs>
        <w:numPr>
          <w:ilvl w:val="0"/>
          <w:numId w:val="19"/>
        </w:numPr>
        <w:rPr>
          <w:rFonts w:ascii="Arial" w:cs="Arial" w:eastAsia="Arial" w:hAnsi="Arial"/>
          <w:sz w:val="17"/>
          <w:szCs w:val="17"/>
          <w:color w:val="010000"/>
        </w:rPr>
      </w:pPr>
      <w:r>
        <w:rPr>
          <w:rFonts w:ascii="Arial" w:cs="Arial" w:eastAsia="Arial" w:hAnsi="Arial"/>
          <w:sz w:val="17"/>
          <w:szCs w:val="17"/>
          <w:color w:val="auto"/>
        </w:rPr>
        <w:t>The Company will deliver, without charge, (i) to the Representatives, a signed copy of the Registration Statement (including exhibits thereto and documents incorporated by reference);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spacing w:after="0" w:line="178" w:lineRule="exact"/>
        <w:rPr>
          <w:rFonts w:ascii="Arial" w:cs="Arial" w:eastAsia="Arial" w:hAnsi="Arial"/>
          <w:sz w:val="17"/>
          <w:szCs w:val="17"/>
          <w:color w:val="010000"/>
        </w:rPr>
      </w:pPr>
    </w:p>
    <w:p>
      <w:pPr>
        <w:ind w:left="-460" w:right="20" w:firstLine="644"/>
        <w:spacing w:after="0" w:line="255" w:lineRule="auto"/>
        <w:tabs>
          <w:tab w:leader="none" w:pos="927"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Before making, preparing, using, authorizing, approving, referring to or filing any Issuer Free Writing Prospectus, and before filing any amendment or supplement to the Registration Statement or the Prospectus, whether before or after the time that the Registration Statement becomes effective,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objects, except as may be required by applicable law.</w:t>
      </w:r>
    </w:p>
    <w:p>
      <w:pPr>
        <w:spacing w:after="0" w:line="192" w:lineRule="exact"/>
        <w:rPr>
          <w:rFonts w:ascii="Arial" w:cs="Arial" w:eastAsia="Arial" w:hAnsi="Arial"/>
          <w:sz w:val="18"/>
          <w:szCs w:val="18"/>
          <w:color w:val="010000"/>
        </w:rPr>
      </w:pPr>
    </w:p>
    <w:p>
      <w:pPr>
        <w:jc w:val="both"/>
        <w:ind w:left="-460" w:right="460" w:firstLine="644"/>
        <w:spacing w:after="0" w:line="263" w:lineRule="auto"/>
        <w:tabs>
          <w:tab w:leader="none" w:pos="937"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The Company will not take any action that would result in an Underwriter or the Company being required to file with the Commission pursuant to Rule 433(d) under the Securities Act a free writing prospectus prepared by or on behalf of the Underwriters that the Underwriters otherwise would not have been required to file thereunder.</w:t>
      </w:r>
    </w:p>
    <w:p>
      <w:pPr>
        <w:spacing w:after="0" w:line="183" w:lineRule="exact"/>
        <w:rPr>
          <w:rFonts w:ascii="Arial" w:cs="Arial" w:eastAsia="Arial" w:hAnsi="Arial"/>
          <w:sz w:val="18"/>
          <w:szCs w:val="18"/>
          <w:color w:val="010000"/>
        </w:rPr>
      </w:pPr>
    </w:p>
    <w:p>
      <w:pPr>
        <w:ind w:left="-460" w:firstLine="644"/>
        <w:spacing w:after="0" w:line="285" w:lineRule="auto"/>
        <w:tabs>
          <w:tab w:leader="none" w:pos="927" w:val="left"/>
        </w:tabs>
        <w:numPr>
          <w:ilvl w:val="0"/>
          <w:numId w:val="19"/>
        </w:numPr>
        <w:rPr>
          <w:rFonts w:ascii="Arial" w:cs="Arial" w:eastAsia="Arial" w:hAnsi="Arial"/>
          <w:sz w:val="16"/>
          <w:szCs w:val="16"/>
          <w:color w:val="010000"/>
        </w:rPr>
      </w:pPr>
      <w:r>
        <w:rPr>
          <w:rFonts w:ascii="Arial" w:cs="Arial" w:eastAsia="Arial" w:hAnsi="Arial"/>
          <w:sz w:val="16"/>
          <w:szCs w:val="16"/>
          <w:color w:val="auto"/>
        </w:rPr>
        <w:t>Prior to the completion of the distribution of the Securities by the Underwriters contemplated hereby, the Company will advise the Representatives promptly, and confirm such advice in writing, (i) when the Registration Statement has become effective, (ii) when any amendment to the Registration Statement has been filed or becomes effective; (iii) when any supplement to the Prospectus or any Issuer Free Writing Prospectus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the issuance by the Commission of any order suspending the effectiveness of the Registration Statement or preventing or suspending the use of any Preliminary Prospectus, any of the Time of Sale Information or the Prospectus or the initiation or threatening of any proceeding for that purpose or pursuant to Section 8A of the Securities Act; (vi) of the occurrence of any event or development within the Prospectus Delivery Period as a result of which the Prospectus, the Time of Sale Information or any Issuer Free Writing Prospectus as then amended or supplemented would include any untrue statement of a material fact or omit to state a material fact necessary in order to make the statements therein, in the light of the circumstances existing when the Prospectus, the Time of Sale Information or any such Issuer Free Writing Prospectus is delivered to a purchaser, not misleading; (vii) of the receipt by the Company of any notice of objection of the Commission to the use of the Registration Statement or any post-effective amendment thereto pursuant to Rule 401(g)(2) under the Securities Act; and (viii) of the receipt by the Company of any notice with respect to any suspension of the qualification of the Securities for offer and sale in any jurisdiction or the initiation or, to the Company’s knowledge, threatening of any proceeding for such purpose; and the Company will use its reasonable best efforts to prevent the issuance of any such order suspending the effectiveness of the Registration Statement, preventing or suspending the use of any Preliminary Prospectus, any of the Time of Sale Information or the Prospectus or suspending any such qualification of the Securities and, if any such order is issued, will obtain as soon as possible the withdrawal thereof.</w:t>
      </w: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9" w:name="page20"/>
    <w:bookmarkEnd w:id="19"/>
    <w:p>
      <w:pPr>
        <w:ind w:left="4" w:firstLine="644"/>
        <w:spacing w:after="0" w:line="283" w:lineRule="auto"/>
        <w:tabs>
          <w:tab w:leader="none" w:pos="1416" w:val="left"/>
        </w:tabs>
        <w:numPr>
          <w:ilvl w:val="1"/>
          <w:numId w:val="20"/>
        </w:numPr>
        <w:rPr>
          <w:rFonts w:ascii="Arial" w:cs="Arial" w:eastAsia="Arial" w:hAnsi="Arial"/>
          <w:sz w:val="16"/>
          <w:szCs w:val="16"/>
          <w:color w:val="010000"/>
        </w:rPr>
      </w:pPr>
      <w:r>
        <w:rPr>
          <w:rFonts w:ascii="Arial" w:cs="Arial" w:eastAsia="Arial" w:hAnsi="Arial"/>
          <w:sz w:val="16"/>
          <w:szCs w:val="16"/>
          <w:color w:val="auto"/>
        </w:rPr>
        <w:t>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applicable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applicable law and (2) if at any time prior to the Closing Date</w:t>
      </w:r>
    </w:p>
    <w:p>
      <w:pPr>
        <w:spacing w:after="0" w:line="5" w:lineRule="exact"/>
        <w:rPr>
          <w:rFonts w:ascii="Arial" w:cs="Arial" w:eastAsia="Arial" w:hAnsi="Arial"/>
          <w:sz w:val="16"/>
          <w:szCs w:val="16"/>
          <w:color w:val="010000"/>
        </w:rPr>
      </w:pPr>
    </w:p>
    <w:p>
      <w:pPr>
        <w:ind w:left="4" w:right="60" w:hanging="4"/>
        <w:spacing w:after="0" w:line="251" w:lineRule="auto"/>
        <w:tabs>
          <w:tab w:leader="none" w:pos="2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event or development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existing when the Time of Sale Information is delivered to a purchaser, not misleading or (ii) it is necessary to amend or supplement the Time of Sale Information to comply with applicable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Time of Sale Information (or any document to be filed with the Commission and incorporated by reference therein) as may be necessary so that the statements in the Time of Sale Information as so amended or supplemented will not, in the light of the circumstances, be misleading or so that the Time of Sale Information will comply with applicable law.</w:t>
      </w:r>
    </w:p>
    <w:p>
      <w:pPr>
        <w:spacing w:after="0" w:line="197" w:lineRule="exact"/>
        <w:rPr>
          <w:rFonts w:ascii="Arial" w:cs="Arial" w:eastAsia="Arial" w:hAnsi="Arial"/>
          <w:sz w:val="18"/>
          <w:szCs w:val="18"/>
          <w:color w:val="auto"/>
        </w:rPr>
      </w:pPr>
    </w:p>
    <w:p>
      <w:pPr>
        <w:ind w:left="4" w:right="140" w:firstLine="644"/>
        <w:spacing w:after="0" w:line="301" w:lineRule="auto"/>
        <w:tabs>
          <w:tab w:leader="none" w:pos="1401" w:val="left"/>
        </w:tabs>
        <w:numPr>
          <w:ilvl w:val="1"/>
          <w:numId w:val="21"/>
        </w:numPr>
        <w:rPr>
          <w:rFonts w:ascii="Arial" w:cs="Arial" w:eastAsia="Arial" w:hAnsi="Arial"/>
          <w:sz w:val="16"/>
          <w:szCs w:val="16"/>
          <w:color w:val="010000"/>
        </w:rPr>
      </w:pPr>
      <w:r>
        <w:rPr>
          <w:rFonts w:ascii="Arial" w:cs="Arial" w:eastAsia="Arial" w:hAnsi="Arial"/>
          <w:sz w:val="16"/>
          <w:szCs w:val="16"/>
          <w:color w:val="auto"/>
        </w:rPr>
        <w:t>The Company will endeavor to qualify the Securities for offer and sale under the securities or Blue Sky laws of such jurisdictions within the United States and Canada as the Underwriters shall reasonably request in writing prior to the Closing Date, provided that in connection therewith the Company shall not be required to qualify as a foreign corporation or to file a general consent to service of process in any jurisdiction or subject itself to taxation in respect of doing business in any jurisdiction in which it is otherwise not so subject.</w:t>
      </w:r>
    </w:p>
    <w:p>
      <w:pPr>
        <w:spacing w:after="0" w:line="157" w:lineRule="exact"/>
        <w:rPr>
          <w:rFonts w:ascii="Arial" w:cs="Arial" w:eastAsia="Arial" w:hAnsi="Arial"/>
          <w:sz w:val="16"/>
          <w:szCs w:val="16"/>
          <w:color w:val="010000"/>
        </w:rPr>
      </w:pPr>
    </w:p>
    <w:p>
      <w:pPr>
        <w:ind w:left="4" w:right="20" w:firstLine="644"/>
        <w:spacing w:after="0" w:line="275" w:lineRule="auto"/>
        <w:tabs>
          <w:tab w:leader="none" w:pos="1401" w:val="left"/>
        </w:tabs>
        <w:numPr>
          <w:ilvl w:val="1"/>
          <w:numId w:val="21"/>
        </w:numPr>
        <w:rPr>
          <w:rFonts w:ascii="Arial" w:cs="Arial" w:eastAsia="Arial" w:hAnsi="Arial"/>
          <w:sz w:val="17"/>
          <w:szCs w:val="17"/>
          <w:color w:val="010000"/>
        </w:rPr>
      </w:pPr>
      <w:r>
        <w:rPr>
          <w:rFonts w:ascii="Arial" w:cs="Arial" w:eastAsia="Arial" w:hAnsi="Arial"/>
          <w:sz w:val="17"/>
          <w:szCs w:val="17"/>
          <w:color w:val="auto"/>
        </w:rPr>
        <w:t>The Company will make generally available to its security holders and to the Representatives as soon as practicable an earning statement covering a period of at least twelve months beginning with the first fiscal quarter of the Company occurring after the date of this Agreement which shall satisfy the provisions of Section 11(a) of the Securities Act and Rule 158 of the Commission promulgated thereunder; provided that the Company will be deemed to have furnished such statements to its security holders and the Representatives to the extent they are filed on the Commission’s Electronic Data Gathering, Analysis and Retrieval (EDGAR) System.</w:t>
      </w:r>
    </w:p>
    <w:p>
      <w:pPr>
        <w:spacing w:after="0" w:line="39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4"/>
          </w:cols>
          <w:pgMar w:left="976" w:top="908" w:right="379" w:bottom="1440" w:gutter="0" w:footer="0" w:header="0"/>
        </w:sectPr>
      </w:pPr>
    </w:p>
    <w:bookmarkStart w:id="20" w:name="page21"/>
    <w:bookmarkEnd w:id="20"/>
    <w:p>
      <w:pPr>
        <w:ind w:left="-460" w:firstLine="644"/>
        <w:spacing w:after="0" w:line="266" w:lineRule="auto"/>
        <w:tabs>
          <w:tab w:leader="none" w:pos="943" w:val="left"/>
        </w:tabs>
        <w:numPr>
          <w:ilvl w:val="0"/>
          <w:numId w:val="22"/>
        </w:numPr>
        <w:rPr>
          <w:rFonts w:ascii="Arial" w:cs="Arial" w:eastAsia="Arial" w:hAnsi="Arial"/>
          <w:sz w:val="17"/>
          <w:szCs w:val="17"/>
          <w:color w:val="010000"/>
        </w:rPr>
      </w:pPr>
      <w:r>
        <w:rPr>
          <w:rFonts w:ascii="Arial" w:cs="Arial" w:eastAsia="Arial" w:hAnsi="Arial"/>
          <w:sz w:val="17"/>
          <w:szCs w:val="17"/>
          <w:color w:val="auto"/>
        </w:rPr>
        <w:t>Whether or not the transactions contemplated in this Agreement are consummated or this Agreement is terminated, the Company will pay or cause to be paid all expenses incident to the performance of its obligations under this Agreement, including: (i) the fees, disbursements and expenses of the Company’s counsel and the Company’s accountants in connection with the registration and sale of the Securities under the Securities Act and all other fees or expenses in connection with the preparation and filing under the Securities Act of the Registration Statement, the Preliminary Prospectus, any Issuer Free Writing Prospectus, any Time of Sale Information and the Prospectus prepared by or on behalf of, used by, or referred to by the Company and any exhibits, amendments and supplements to any of the foregoing, including all filing fees payable to the Commission relating to the Securities (within the time required by Rule 456(b)(1), if applicable), all printing costs associated therewith, and the mailing and delivering of copies thereof to the Underwriters, in the quantities herein above specified, (ii) all costs and expenses related to the transfer and delivery of the Securities to the Underwriters, including any transfer or other similar taxes payable thereon, (iii) 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6(g), including filing fees and the reasonable fees and disbursements of counsel for the Underwriters in connection with such qualification and in connection with the Blue Sky or legal investment memorandum, (iv) any fees charged by rating agencies for the rating of the Securities, (v) the fees and expenses, if any, incurred in connection with the admission of the Securities for trading on any appropriate market system, (vi) the costs and charges of the Trustee and any transfer agent, registrar or depositary, (vii) the cost of the preparation, issuance and delivery of the Securities, (viii)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(ix) the document production charges and expenses associated with printing this Agreement and (x) all other cost and expenses incident to the performance of the obligations of the Company hereunder for which provision is not otherwise made in this Section. It is understood, however, that except as provided in this Section, Section 8, and the last paragraph of Section 10, the Underwriters will pay all of their costs and expenses, including fees and disbursements of their counsel, transfer taxes payable on resale of any of the Securities by them and any advertising expenses connected with any offers they may make.</w:t>
      </w:r>
    </w:p>
    <w:p>
      <w:pPr>
        <w:spacing w:after="0" w:line="199" w:lineRule="exact"/>
        <w:rPr>
          <w:rFonts w:ascii="Arial" w:cs="Arial" w:eastAsia="Arial" w:hAnsi="Arial"/>
          <w:sz w:val="17"/>
          <w:szCs w:val="17"/>
          <w:color w:val="010000"/>
        </w:rPr>
      </w:pPr>
    </w:p>
    <w:p>
      <w:pPr>
        <w:ind w:left="-460" w:right="80" w:firstLine="644"/>
        <w:spacing w:after="0" w:line="342" w:lineRule="auto"/>
        <w:tabs>
          <w:tab w:leader="none" w:pos="943" w:val="left"/>
        </w:tabs>
        <w:numPr>
          <w:ilvl w:val="0"/>
          <w:numId w:val="22"/>
        </w:numPr>
        <w:rPr>
          <w:rFonts w:ascii="Arial" w:cs="Arial" w:eastAsia="Arial" w:hAnsi="Arial"/>
          <w:sz w:val="16"/>
          <w:szCs w:val="16"/>
          <w:color w:val="010000"/>
        </w:rPr>
      </w:pPr>
      <w:r>
        <w:rPr>
          <w:rFonts w:ascii="Arial" w:cs="Arial" w:eastAsia="Arial" w:hAnsi="Arial"/>
          <w:sz w:val="16"/>
          <w:szCs w:val="16"/>
          <w:color w:val="auto"/>
        </w:rPr>
        <w:t>The Company will use the net proceeds received by it from the sale of the Securities pursuant to this Agreement in the manner specified in each of the Registration Statement, the Time of Sale Information and the Prospectus under the caption “Use of Proceeds.”</w:t>
      </w:r>
    </w:p>
    <w:p>
      <w:pPr>
        <w:spacing w:after="0" w:line="123" w:lineRule="exact"/>
        <w:rPr>
          <w:rFonts w:ascii="Arial" w:cs="Arial" w:eastAsia="Arial" w:hAnsi="Arial"/>
          <w:sz w:val="16"/>
          <w:szCs w:val="16"/>
          <w:color w:val="010000"/>
        </w:rPr>
      </w:pPr>
    </w:p>
    <w:p>
      <w:pPr>
        <w:jc w:val="both"/>
        <w:ind w:left="-460" w:right="280" w:firstLine="644"/>
        <w:spacing w:after="0" w:line="311" w:lineRule="auto"/>
        <w:tabs>
          <w:tab w:leader="none" w:pos="937" w:val="left"/>
        </w:tabs>
        <w:numPr>
          <w:ilvl w:val="0"/>
          <w:numId w:val="22"/>
        </w:numPr>
        <w:rPr>
          <w:rFonts w:ascii="Arial" w:cs="Arial" w:eastAsia="Arial" w:hAnsi="Arial"/>
          <w:sz w:val="16"/>
          <w:szCs w:val="16"/>
          <w:color w:val="010000"/>
        </w:rPr>
      </w:pPr>
      <w:r>
        <w:rPr>
          <w:rFonts w:ascii="Arial" w:cs="Arial" w:eastAsia="Arial" w:hAnsi="Arial"/>
          <w:sz w:val="16"/>
          <w:szCs w:val="16"/>
          <w:color w:val="auto"/>
        </w:rPr>
        <w:t>The Company shall not, without giving effect to the activities by the Underwriters, take any action designed to or that could reasonably be expected to cause or result in any prohibited stabilization or any manipulation of the price of the Securities and will not take any action prohibited by Regulation M under the Exchange Act in connection with the distribution of the Securities contemplated hereby.</w:t>
      </w:r>
    </w:p>
    <w:p>
      <w:pPr>
        <w:spacing w:after="0" w:line="36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1" w:name="page22"/>
    <w:bookmarkEnd w:id="21"/>
    <w:p>
      <w:pPr>
        <w:ind w:left="640" w:right="480" w:firstLine="644"/>
        <w:spacing w:after="0" w:line="277" w:lineRule="auto"/>
        <w:tabs>
          <w:tab w:leader="none" w:pos="2087" w:val="left"/>
        </w:tabs>
        <w:numPr>
          <w:ilvl w:val="1"/>
          <w:numId w:val="23"/>
        </w:numPr>
        <w:rPr>
          <w:rFonts w:ascii="Arial" w:cs="Arial" w:eastAsia="Arial" w:hAnsi="Arial"/>
          <w:sz w:val="18"/>
          <w:szCs w:val="18"/>
          <w:color w:val="010000"/>
        </w:rPr>
      </w:pPr>
      <w:r>
        <w:rPr>
          <w:rFonts w:ascii="Arial" w:cs="Arial" w:eastAsia="Arial" w:hAnsi="Arial"/>
          <w:sz w:val="18"/>
          <w:szCs w:val="18"/>
          <w:color w:val="auto"/>
        </w:rPr>
        <w:t>The Company will, pursuant to reasonable procedures developed in good faith, retain copies of each Issuer Free Writing Prospectus that is not filed with the Commission in accordance with Rule 433 under the Securities Act.</w:t>
      </w:r>
    </w:p>
    <w:p>
      <w:pPr>
        <w:spacing w:after="0" w:line="170" w:lineRule="exact"/>
        <w:rPr>
          <w:rFonts w:ascii="Arial" w:cs="Arial" w:eastAsia="Arial" w:hAnsi="Arial"/>
          <w:sz w:val="18"/>
          <w:szCs w:val="18"/>
          <w:color w:val="010000"/>
        </w:rPr>
      </w:pPr>
    </w:p>
    <w:p>
      <w:pPr>
        <w:ind w:left="640" w:right="100" w:firstLine="644"/>
        <w:spacing w:after="0" w:line="311" w:lineRule="auto"/>
        <w:tabs>
          <w:tab w:leader="none" w:pos="2087" w:val="left"/>
        </w:tabs>
        <w:numPr>
          <w:ilvl w:val="1"/>
          <w:numId w:val="23"/>
        </w:numPr>
        <w:rPr>
          <w:rFonts w:ascii="Arial" w:cs="Arial" w:eastAsia="Arial" w:hAnsi="Arial"/>
          <w:sz w:val="16"/>
          <w:szCs w:val="16"/>
          <w:color w:val="010000"/>
        </w:rPr>
      </w:pPr>
      <w:r>
        <w:rPr>
          <w:rFonts w:ascii="Arial" w:cs="Arial" w:eastAsia="Arial" w:hAnsi="Arial"/>
          <w:sz w:val="16"/>
          <w:szCs w:val="16"/>
          <w:color w:val="auto"/>
        </w:rPr>
        <w:t>The Company agrees that, without the prior written consent of the Representatives, it will not, during the period beginning on the date hereof and continuing to and including the Closing Date, offer, sell, contract to sell or otherwise dispose of any debt securities of the Company or warrants to purchase debt securities of the Company (other than the sale of the Securities under this Agreement).</w:t>
      </w:r>
    </w:p>
    <w:p>
      <w:pPr>
        <w:spacing w:after="0" w:line="148" w:lineRule="exact"/>
        <w:rPr>
          <w:rFonts w:ascii="Arial" w:cs="Arial" w:eastAsia="Arial" w:hAnsi="Arial"/>
          <w:sz w:val="16"/>
          <w:szCs w:val="16"/>
          <w:color w:val="010000"/>
        </w:rPr>
      </w:pPr>
    </w:p>
    <w:p>
      <w:pPr>
        <w:ind w:left="640" w:right="20" w:firstLine="644"/>
        <w:spacing w:after="0" w:line="277" w:lineRule="auto"/>
        <w:tabs>
          <w:tab w:leader="none" w:pos="2037" w:val="left"/>
        </w:tabs>
        <w:numPr>
          <w:ilvl w:val="1"/>
          <w:numId w:val="23"/>
        </w:numPr>
        <w:rPr>
          <w:rFonts w:ascii="Arial" w:cs="Arial" w:eastAsia="Arial" w:hAnsi="Arial"/>
          <w:sz w:val="18"/>
          <w:szCs w:val="18"/>
          <w:color w:val="010000"/>
        </w:rPr>
      </w:pPr>
      <w:r>
        <w:rPr>
          <w:rFonts w:ascii="Arial" w:cs="Arial" w:eastAsia="Arial" w:hAnsi="Arial"/>
          <w:sz w:val="18"/>
          <w:szCs w:val="18"/>
          <w:color w:val="auto"/>
        </w:rPr>
        <w:t>The Company shall use its commercially reasonable efforts to make the Securities eligible for clearance and settlement through The Depository Trust Company.</w:t>
      </w:r>
    </w:p>
    <w:p>
      <w:pPr>
        <w:spacing w:after="0" w:line="170" w:lineRule="exact"/>
        <w:rPr>
          <w:rFonts w:ascii="Arial" w:cs="Arial" w:eastAsia="Arial" w:hAnsi="Arial"/>
          <w:sz w:val="18"/>
          <w:szCs w:val="18"/>
          <w:color w:val="010000"/>
        </w:rPr>
      </w:pPr>
    </w:p>
    <w:p>
      <w:pPr>
        <w:ind w:left="1360" w:hanging="724"/>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Certain Agreements of the Underwriters</w:t>
      </w:r>
      <w:r>
        <w:rPr>
          <w:rFonts w:ascii="Arial" w:cs="Arial" w:eastAsia="Arial" w:hAnsi="Arial"/>
          <w:sz w:val="18"/>
          <w:szCs w:val="18"/>
          <w:color w:val="auto"/>
        </w:rPr>
        <w:t>. Each Underwriter hereby represents and agrees that:</w:t>
      </w:r>
    </w:p>
    <w:p>
      <w:pPr>
        <w:spacing w:after="0" w:line="225" w:lineRule="exact"/>
        <w:rPr>
          <w:sz w:val="20"/>
          <w:szCs w:val="20"/>
          <w:color w:val="auto"/>
        </w:rPr>
      </w:pPr>
    </w:p>
    <w:p>
      <w:pPr>
        <w:ind w:left="-20" w:firstLine="656"/>
        <w:spacing w:after="0" w:line="254" w:lineRule="auto"/>
        <w:tabs>
          <w:tab w:leader="none" w:pos="13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Schedule II or prepared pursuant to Section 1(c) or Section 6(c) above (including any electronic road show), or (iii) any free writing prospectus prepared by such Underwriter and approved by the Company in advance in writing (each such free writing prospectus referred to in clauses (i) or (iii), an “</w:t>
      </w:r>
      <w:r>
        <w:rPr>
          <w:rFonts w:ascii="Arial" w:cs="Arial" w:eastAsia="Arial" w:hAnsi="Arial"/>
          <w:sz w:val="18"/>
          <w:szCs w:val="18"/>
          <w:b w:val="1"/>
          <w:bCs w:val="1"/>
          <w:color w:val="auto"/>
        </w:rPr>
        <w:t>Underwriter Free Writing</w:t>
      </w:r>
      <w:r>
        <w:rPr>
          <w:rFonts w:ascii="Arial" w:cs="Arial" w:eastAsia="Arial" w:hAnsi="Arial"/>
          <w:sz w:val="18"/>
          <w:szCs w:val="18"/>
          <w:color w:val="auto"/>
        </w:rPr>
        <w:t xml:space="preserve"> </w:t>
      </w:r>
      <w:r>
        <w:rPr>
          <w:rFonts w:ascii="Arial" w:cs="Arial" w:eastAsia="Arial" w:hAnsi="Arial"/>
          <w:sz w:val="18"/>
          <w:szCs w:val="18"/>
          <w:b w:val="1"/>
          <w:bCs w:val="1"/>
          <w:color w:val="auto"/>
        </w:rPr>
        <w:t>Prospectus</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20" w:right="40" w:firstLine="656"/>
        <w:spacing w:after="0" w:line="257" w:lineRule="auto"/>
        <w:tabs>
          <w:tab w:leader="none" w:pos="1378"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It has not and will not, without the prior written consent of the Company, use any free writing prospectus that contains the final terms of the Securities unless such terms have previously been included in a free writing prospectus filed with the Commission;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Underwriters may use a term sheet substantially in the form of that referred to in Schedule II hereto without the consent of the Company;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any Underwriter using such term sheet shall notify the Company, and provide a copy of such term sheet to the Company, prior to, or substantially concurrently with, the first use of such term sheet.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2" w:name="page23"/>
    <w:bookmarkEnd w:id="22"/>
    <w:p>
      <w:pPr>
        <w:ind w:left="-20" w:right="100" w:firstLine="656"/>
        <w:spacing w:after="0" w:line="277" w:lineRule="auto"/>
        <w:tabs>
          <w:tab w:leader="none" w:pos="13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70" w:lineRule="exact"/>
        <w:rPr>
          <w:sz w:val="20"/>
          <w:szCs w:val="20"/>
          <w:color w:val="auto"/>
        </w:rPr>
      </w:pPr>
    </w:p>
    <w:p>
      <w:pPr>
        <w:ind w:left="-20" w:firstLine="656"/>
        <w:spacing w:after="0" w:line="268" w:lineRule="auto"/>
        <w:tabs>
          <w:tab w:leader="none" w:pos="1348"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Indemnity and Contribution</w:t>
      </w:r>
      <w:r>
        <w:rPr>
          <w:rFonts w:ascii="Arial" w:cs="Arial" w:eastAsia="Arial" w:hAnsi="Arial"/>
          <w:sz w:val="17"/>
          <w:szCs w:val="17"/>
          <w:color w:val="auto"/>
        </w:rPr>
        <w:t>. (a) The Company agrees to indemnify and hold harmless each Underwriter, the directors,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and agents of the Underwriters and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(i) any untrue statement or alleged untrue statement of a material fact contained in the Registration Statement or caused by any omission or alleged omission to state therein a material fact required to be stated therein or necessary to make the statements therein, not misleading, (ii) any untrue statement or alleged untrue statement of a material fact contained in the Preliminary Prospectus (or any amendment or supplement thereto), Prospectus (or any amendment or supplement thereto), any Issuer Free Writing Prospectus, any “issuer information” filed or required to be filed pursuant to Rule 433(d), any “road show” as defined in Rule 433(h) under the Securities Act (a “</w:t>
      </w:r>
      <w:r>
        <w:rPr>
          <w:rFonts w:ascii="Arial" w:cs="Arial" w:eastAsia="Arial" w:hAnsi="Arial"/>
          <w:sz w:val="17"/>
          <w:szCs w:val="17"/>
          <w:b w:val="1"/>
          <w:bCs w:val="1"/>
          <w:color w:val="auto"/>
        </w:rPr>
        <w:t>road show</w:t>
      </w:r>
      <w:r>
        <w:rPr>
          <w:rFonts w:ascii="Arial" w:cs="Arial" w:eastAsia="Arial" w:hAnsi="Arial"/>
          <w:sz w:val="17"/>
          <w:szCs w:val="17"/>
          <w:color w:val="auto"/>
        </w:rPr>
        <w:t>”) or any Time of Sale Information (including any Time of Sale Information that has subsequently been amended), or caused by any omission or alleged omission to state therein a material fact necessary to make the statements therein, in light of the circumstances under which they were made, not misleading, in each case except insofar as such losses, claims, damages or liabilities are caused by, any untrue statement or omission or alleged untrue statement or omission based upon any information relating to any Underwriter furnished to the Company in writing by such Underwriter through the Representatives expressly for use therein.</w:t>
      </w:r>
    </w:p>
    <w:p>
      <w:pPr>
        <w:spacing w:after="0" w:line="184" w:lineRule="exact"/>
        <w:rPr>
          <w:rFonts w:ascii="Arial" w:cs="Arial" w:eastAsia="Arial" w:hAnsi="Arial"/>
          <w:sz w:val="17"/>
          <w:szCs w:val="17"/>
          <w:color w:val="auto"/>
        </w:rPr>
      </w:pPr>
    </w:p>
    <w:p>
      <w:pPr>
        <w:ind w:left="-20" w:right="100" w:firstLine="1304"/>
        <w:spacing w:after="0" w:line="269" w:lineRule="auto"/>
        <w:tabs>
          <w:tab w:leader="none" w:pos="16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Each Underwriter agrees, severally and not jointly, to indemnify and hold 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are caused by any untrue statement or omission or alleged untrue statement or omission based upon any information relating to such Underwriter furnished to the Company in writing by such Underwriter through the Representatives expressly for use in the Registration Statement, the Prospectus (or any amendment or supplement thereto), any Issuer Free Writing Prospectus, any road show or any Time of Sale Information (including any Time of Sale Information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fourth paragraph under the caption “Underwriting” and the information contained in the third sentence of the seventh paragraph, the eighth paragraph and the ninth paragraph under the caption “Underwriting.”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3" w:name="page24"/>
    <w:bookmarkEnd w:id="23"/>
    <w:p>
      <w:pPr>
        <w:ind w:right="80" w:firstLine="1304"/>
        <w:spacing w:after="0" w:line="283" w:lineRule="auto"/>
        <w:tabs>
          <w:tab w:leader="none" w:pos="163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but the omission so to notify the indemnifying party shall not relieve it from any liability that it may have to any indemnified party otherwise than under such subsection,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not have employed counsel reasonably satisfactory to the indemnified party to represent the indemnified party within a reasonable time after notice of the institution of such action.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w:t>
      </w:r>
    </w:p>
    <w:p>
      <w:pPr>
        <w:spacing w:after="0" w:line="252" w:lineRule="auto"/>
        <w:rPr>
          <w:rFonts w:ascii="Arial" w:cs="Arial" w:eastAsia="Arial" w:hAnsi="Arial"/>
          <w:sz w:val="16"/>
          <w:szCs w:val="16"/>
          <w:color w:val="auto"/>
        </w:rPr>
      </w:pPr>
      <w:r>
        <w:rPr>
          <w:rFonts w:ascii="Arial" w:cs="Arial" w:eastAsia="Arial" w:hAnsi="Arial"/>
          <w:sz w:val="18"/>
          <w:szCs w:val="18"/>
          <w:color w:val="auto"/>
        </w:rPr>
        <w:t>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4" w:name="page25"/>
    <w:bookmarkEnd w:id="24"/>
    <w:p>
      <w:pPr>
        <w:ind w:left="-20" w:firstLine="1304"/>
        <w:spacing w:after="0" w:line="268" w:lineRule="auto"/>
        <w:tabs>
          <w:tab w:leader="none" w:pos="1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(before deducting expenses) received by the Company and the total underwriting discounts and commissions received by the Underwriters, in each case as set forth on the cover of the Prospectus, bear to the aggregate offering price of the Securities. The relative fault of the Company on the one hand and of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principal amount of Securities they have purchased hereunder, and not joint.</w:t>
      </w:r>
    </w:p>
    <w:p>
      <w:pPr>
        <w:spacing w:after="0" w:line="179" w:lineRule="exact"/>
        <w:rPr>
          <w:rFonts w:ascii="Arial" w:cs="Arial" w:eastAsia="Arial" w:hAnsi="Arial"/>
          <w:sz w:val="17"/>
          <w:szCs w:val="17"/>
          <w:color w:val="auto"/>
        </w:rPr>
      </w:pPr>
    </w:p>
    <w:p>
      <w:pPr>
        <w:ind w:left="-20" w:right="20" w:firstLine="1304"/>
        <w:spacing w:after="0" w:line="269" w:lineRule="auto"/>
        <w:tabs>
          <w:tab w:leader="none" w:pos="161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and the Underwriters agree that it would not be just or equitable if contribution pursuant to Section 8 were determined by pro rata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Section 8(d) or this Section 8(e), no Underwriter shall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25" w:name="page26"/>
    <w:bookmarkEnd w:id="25"/>
    <w:p>
      <w:pPr>
        <w:ind w:right="140" w:firstLine="648"/>
        <w:spacing w:after="0" w:line="255" w:lineRule="auto"/>
        <w:rPr>
          <w:sz w:val="20"/>
          <w:szCs w:val="20"/>
          <w:color w:val="auto"/>
        </w:rPr>
      </w:pPr>
      <w:r>
        <w:rPr>
          <w:rFonts w:ascii="Arial" w:cs="Arial" w:eastAsia="Arial" w:hAnsi="Arial"/>
          <w:sz w:val="18"/>
          <w:szCs w:val="18"/>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the officers or directors of the Company or any person controlling the Company and (iii) acceptance of and payment for any of the Securities. The Underwriters’ respective obligations to contribute pursuant to this Section 8 are several in proportion to the respective principal amount of Securities they have purchased hereunder, and not joint.</w:t>
      </w:r>
    </w:p>
    <w:p>
      <w:pPr>
        <w:spacing w:after="0" w:line="192" w:lineRule="exact"/>
        <w:rPr>
          <w:sz w:val="20"/>
          <w:szCs w:val="20"/>
          <w:color w:val="auto"/>
        </w:rPr>
      </w:pPr>
    </w:p>
    <w:p>
      <w:pPr>
        <w:ind w:right="20" w:firstLine="656"/>
        <w:spacing w:after="0" w:line="291" w:lineRule="auto"/>
        <w:tabs>
          <w:tab w:leader="none" w:pos="1368"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Recognition of the U.S. Special Resolutions Regimes</w:t>
      </w:r>
      <w:r>
        <w:rPr>
          <w:rFonts w:ascii="Arial" w:cs="Arial" w:eastAsia="Arial" w:hAnsi="Arial"/>
          <w:sz w:val="16"/>
          <w:szCs w:val="16"/>
          <w:color w:val="auto"/>
        </w:rPr>
        <w:t>: (a) In the event that any Underwriter that is a Covered Entity becomes subject to a</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66" w:lineRule="exact"/>
        <w:rPr>
          <w:rFonts w:ascii="Arial" w:cs="Arial" w:eastAsia="Arial" w:hAnsi="Arial"/>
          <w:sz w:val="16"/>
          <w:szCs w:val="16"/>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“BHC Act Affiliate” has the meaning assigned to the term “affiliate” in, and shall be interpreted in accordance with, 12 U.S.C. § 1841(k).</w:t>
      </w:r>
    </w:p>
    <w:p>
      <w:pPr>
        <w:spacing w:after="0" w:line="225" w:lineRule="exact"/>
        <w:rPr>
          <w:sz w:val="20"/>
          <w:szCs w:val="20"/>
          <w:color w:val="auto"/>
        </w:rPr>
      </w:pPr>
    </w:p>
    <w:p>
      <w:pPr>
        <w:ind w:left="660" w:right="100"/>
        <w:spacing w:after="0" w:line="263" w:lineRule="auto"/>
        <w:rPr>
          <w:sz w:val="20"/>
          <w:szCs w:val="20"/>
          <w:color w:val="auto"/>
        </w:rPr>
      </w:pPr>
      <w:r>
        <w:rPr>
          <w:rFonts w:ascii="Arial" w:cs="Arial" w:eastAsia="Arial" w:hAnsi="Arial"/>
          <w:sz w:val="18"/>
          <w:szCs w:val="18"/>
          <w:color w:val="auto"/>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4"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6" w:name="page27"/>
    <w:bookmarkEnd w:id="26"/>
    <w:p>
      <w:pPr>
        <w:ind w:firstLine="656"/>
        <w:spacing w:after="0" w:line="270" w:lineRule="auto"/>
        <w:tabs>
          <w:tab w:leader="none" w:pos="1368"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Underwriters may terminate this Agreement by notice given by you to the Company, if after the execution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of this Agreement and prior to the Closing Date, (i) trading generally shall have been suspended or materially limited on, or by, as the case may be, any of the New York Stock Exchange or the NASDAQ Global Market, (ii) trading of any securities of the Company shall have been suspended on the principal exchange on which such securities trade, (iii) a material disruption in securities settlement, payment or clearance services in the United States shall have occurred, (iv) any moratorium on commercial banking activities shall have been declared by Federal or New York State or Idaho State authorities or (v) there shall have occurred any outbreak or escalation of hostilities, or any change in financial markets or any calamity or crisis that, in the Representatives’ judgment, is material and adverse and that, singly or together with any other event specified in this Section 10, makes it, in the Representatives’ judgment, impracticable or inadvisable to proceed with the offer, sale or delivery of the Securities on the terms and in the manner contemplated in this Agreement, the Time of Sale Information and the Prospectus.</w:t>
      </w:r>
    </w:p>
    <w:p>
      <w:pPr>
        <w:spacing w:after="0" w:line="18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If this Agreement shall be terminated by the Underwriters, or any of them, (i) because of any failure or refusal on the part of the Company to comply with the terms or to fulfill any of the conditions of this Agreement, (ii) for any reason set forth in the first paragraph of this Section 10, or (iii) if for any reason the Company shall be unable to perform its obligations under this Agreement, the Company will reimburse the Underwriters or such Underwriters as have so terminated this Agreement with respect to themselves, severally, for all out of pocket expenses (including the fees and disbursements of their counsel) reasonably incurred by such Underwriters in connection with this Agreement or the offering contemplated hereunder.</w:t>
      </w:r>
    </w:p>
    <w:p>
      <w:pPr>
        <w:spacing w:after="0" w:line="176" w:lineRule="exact"/>
        <w:rPr>
          <w:sz w:val="20"/>
          <w:szCs w:val="20"/>
          <w:color w:val="auto"/>
        </w:rPr>
      </w:pPr>
    </w:p>
    <w:p>
      <w:pPr>
        <w:ind w:left="1360" w:hanging="704"/>
        <w:spacing w:after="0"/>
        <w:tabs>
          <w:tab w:leader="none" w:pos="136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If, on the Closing Date, any one or more of the Underwriters shall fail or refuse to purchase Securities that it or they have agreed to purchase hereunder on such date, and the aggregate principal amount of Securities which such defaulting Underwriter or Underwriters agreed but failed or refused to purchase is not more than one tenth of the aggregate principal amount of Securities to be purchased on such date, the other Underwriters shall be obligated severally in the proportions that the principal amount of Securities set forth opposite their respective names in Schedule I bears to the aggregate principal amount of Securities set forth opposite the names of all such non defaulting Underwriters, or in such other proportions as you may specify, to purchase the Securities that such defaulting Underwriter or Underwriters agreed but failed or refused to purchase on such date; provided that in no event shall the principal amount of Securities that any Underwriter has agreed to purchase pursuant to this Agreement be increased pursuant to this Section 11 by an amount in excess of one ninth of such principal amount of Securities without the written consent of such Underwriter. If, on the Closing Date any Underwriter or Underwriters shall fail or refuse to purchase Securities which it or they have agreed to purchase hereunder on such date and the aggregate principal amount of Securities with respect to which such default occurs is more than one tenth of the aggregate principal amount of Securities to be purchased on such date, and arrangements satisfactory to you and the Company for the purchase of such Securities are not made within 36 hours after such default, this Agreement shall terminate without liability on the part of any non-defaulting Underwriter or of the Company. In any such case either you or the Company shall have the right to postpone the Closing Date, but in no event for longer than seven days, in order that the required changes, if any, in the Registration Statement, in the Time of Sale Information,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firstLine="648"/>
        <w:spacing w:after="0" w:line="277" w:lineRule="auto"/>
        <w:rPr>
          <w:sz w:val="20"/>
          <w:szCs w:val="20"/>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70" w:lineRule="exact"/>
        <w:rPr>
          <w:sz w:val="20"/>
          <w:szCs w:val="20"/>
          <w:color w:val="auto"/>
        </w:rPr>
      </w:pPr>
    </w:p>
    <w:p>
      <w:pPr>
        <w:ind w:right="60" w:firstLine="656"/>
        <w:spacing w:after="0" w:line="259" w:lineRule="auto"/>
        <w:tabs>
          <w:tab w:leader="none" w:pos="136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not superseded by this Agreement) that relate to the offering of the Securities, represents the entire agreement between the Company and the Underwriters with respect to the preparation of the Registration Statement, Time of Sale Information and Prospectus, the conduct of the offering, and the purchase and sale of the Securities.</w:t>
      </w:r>
    </w:p>
    <w:p>
      <w:pPr>
        <w:spacing w:after="0" w:line="186" w:lineRule="exact"/>
        <w:rPr>
          <w:rFonts w:ascii="Arial" w:cs="Arial" w:eastAsia="Arial" w:hAnsi="Arial"/>
          <w:sz w:val="18"/>
          <w:szCs w:val="18"/>
          <w:color w:val="auto"/>
        </w:rPr>
      </w:pPr>
    </w:p>
    <w:p>
      <w:pPr>
        <w:ind w:left="660" w:right="60" w:firstLine="644"/>
        <w:spacing w:after="0" w:line="296" w:lineRule="auto"/>
        <w:tabs>
          <w:tab w:leader="none" w:pos="2057" w:val="left"/>
        </w:tabs>
        <w:numPr>
          <w:ilvl w:val="1"/>
          <w:numId w:val="34"/>
        </w:numPr>
        <w:rPr>
          <w:rFonts w:ascii="Arial" w:cs="Arial" w:eastAsia="Arial" w:hAnsi="Arial"/>
          <w:sz w:val="16"/>
          <w:szCs w:val="16"/>
          <w:color w:val="010000"/>
        </w:rPr>
      </w:pPr>
      <w:r>
        <w:rPr>
          <w:rFonts w:ascii="Arial" w:cs="Arial" w:eastAsia="Arial" w:hAnsi="Arial"/>
          <w:sz w:val="16"/>
          <w:szCs w:val="16"/>
          <w:color w:val="auto"/>
        </w:rPr>
        <w:t>The Company acknowledges that in connection with the offering of the Securities: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Securities.</w:t>
      </w:r>
    </w:p>
    <w:p>
      <w:pPr>
        <w:spacing w:after="0" w:line="161" w:lineRule="exact"/>
        <w:rPr>
          <w:rFonts w:ascii="Arial" w:cs="Arial" w:eastAsia="Arial" w:hAnsi="Arial"/>
          <w:sz w:val="16"/>
          <w:szCs w:val="16"/>
          <w:color w:val="010000"/>
        </w:rPr>
      </w:pPr>
    </w:p>
    <w:p>
      <w:pPr>
        <w:ind w:right="80" w:firstLine="656"/>
        <w:spacing w:after="0" w:line="255" w:lineRule="auto"/>
        <w:tabs>
          <w:tab w:leader="none" w:pos="136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w:t>
      </w:r>
      <w:r>
        <w:rPr>
          <w:rFonts w:ascii="Arial" w:cs="Arial" w:eastAsia="Arial" w:hAnsi="Arial"/>
          <w:sz w:val="18"/>
          <w:szCs w:val="18"/>
          <w:i w:val="1"/>
          <w:iCs w:val="1"/>
          <w:color w:val="auto"/>
        </w:rPr>
        <w:t xml:space="preserve"> </w:t>
      </w:r>
      <w:r>
        <w:rPr>
          <w:rFonts w:ascii="Arial" w:cs="Arial" w:eastAsia="Arial" w:hAnsi="Arial"/>
          <w:sz w:val="18"/>
          <w:szCs w:val="18"/>
          <w:color w:val="auto"/>
        </w:rPr>
        <w:t>the signatures thereto and hereto were upon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8" w:name="page29"/>
    <w:bookmarkEnd w:id="28"/>
    <w:p>
      <w:pPr>
        <w:ind w:left="1372" w:hanging="724"/>
        <w:spacing w:after="0"/>
        <w:tabs>
          <w:tab w:leader="none" w:pos="1372" w:val="left"/>
        </w:tabs>
        <w:numPr>
          <w:ilvl w:val="1"/>
          <w:numId w:val="35"/>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6" w:lineRule="exact"/>
        <w:rPr>
          <w:rFonts w:ascii="Arial" w:cs="Arial" w:eastAsia="Arial" w:hAnsi="Arial"/>
          <w:sz w:val="17"/>
          <w:szCs w:val="17"/>
          <w:color w:val="auto"/>
        </w:rPr>
      </w:pPr>
    </w:p>
    <w:p>
      <w:pPr>
        <w:ind w:left="-8" w:right="60" w:firstLine="656"/>
        <w:spacing w:after="0" w:line="277" w:lineRule="auto"/>
        <w:tabs>
          <w:tab w:leader="none" w:pos="136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w:t>
      </w:r>
      <w:r>
        <w:rPr>
          <w:rFonts w:ascii="Arial" w:cs="Arial" w:eastAsia="Arial" w:hAnsi="Arial"/>
          <w:sz w:val="18"/>
          <w:szCs w:val="18"/>
          <w:i w:val="1"/>
          <w:iCs w:val="1"/>
          <w:color w:val="auto"/>
        </w:rPr>
        <w:t xml:space="preserve"> </w:t>
      </w:r>
      <w:r>
        <w:rPr>
          <w:rFonts w:ascii="Arial" w:cs="Arial" w:eastAsia="Arial" w:hAnsi="Arial"/>
          <w:sz w:val="18"/>
          <w:szCs w:val="18"/>
          <w:color w:val="auto"/>
        </w:rPr>
        <w:t>a part of this Agreement.</w:t>
      </w:r>
    </w:p>
    <w:p>
      <w:pPr>
        <w:spacing w:after="0" w:line="170" w:lineRule="exact"/>
        <w:rPr>
          <w:rFonts w:ascii="Arial" w:cs="Arial" w:eastAsia="Arial" w:hAnsi="Arial"/>
          <w:sz w:val="18"/>
          <w:szCs w:val="18"/>
          <w:color w:val="auto"/>
        </w:rPr>
      </w:pPr>
    </w:p>
    <w:p>
      <w:pPr>
        <w:ind w:left="-8" w:firstLine="656"/>
        <w:spacing w:after="0" w:line="291" w:lineRule="auto"/>
        <w:tabs>
          <w:tab w:leader="none" w:pos="1360"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communications hereunder shall be in writing and effective only upon receipt (a) if to the Underwriters shall be delivered,</w:t>
      </w:r>
      <w:r>
        <w:rPr>
          <w:rFonts w:ascii="Arial" w:cs="Arial" w:eastAsia="Arial" w:hAnsi="Arial"/>
          <w:sz w:val="16"/>
          <w:szCs w:val="16"/>
          <w:i w:val="1"/>
          <w:iCs w:val="1"/>
          <w:color w:val="auto"/>
        </w:rPr>
        <w:t xml:space="preserve"> </w:t>
      </w:r>
      <w:r>
        <w:rPr>
          <w:rFonts w:ascii="Arial" w:cs="Arial" w:eastAsia="Arial" w:hAnsi="Arial"/>
          <w:sz w:val="16"/>
          <w:szCs w:val="16"/>
          <w:color w:val="auto"/>
        </w:rPr>
        <w:t>mailed or sent to you at (i) Citigroup Global Markets Inc. at 388 Greenwich Street, New York, New York 10013, Attention: General Counsel, Facsimile No.</w:t>
      </w:r>
    </w:p>
    <w:p>
      <w:pPr>
        <w:ind w:left="-8" w:right="140" w:firstLine="8"/>
        <w:spacing w:after="0" w:line="252" w:lineRule="auto"/>
        <w:tabs>
          <w:tab w:leader="none" w:pos="427" w:val="left"/>
        </w:tabs>
        <w:numPr>
          <w:ilvl w:val="0"/>
          <w:numId w:val="36"/>
        </w:numPr>
        <w:rPr>
          <w:rFonts w:ascii="Arial" w:cs="Arial" w:eastAsia="Arial" w:hAnsi="Arial"/>
          <w:sz w:val="18"/>
          <w:szCs w:val="18"/>
          <w:color w:val="auto"/>
        </w:rPr>
      </w:pPr>
      <w:r>
        <w:rPr>
          <w:rFonts w:ascii="Arial" w:cs="Arial" w:eastAsia="Arial" w:hAnsi="Arial"/>
          <w:sz w:val="18"/>
          <w:szCs w:val="18"/>
          <w:color w:val="auto"/>
        </w:rPr>
        <w:t>291-1469; (ii) c/o Credit Suisse Securities (USA) LLC, Eleven Madison Avenue, New York, NY 10010-3629, Attention: IBCM-Legal; and (iii) c/o Morgan Stanley &amp; Co. LLC, 1585 Broadway, New York, New York 10036, Attention: Investment Grade Syndicate Desk, with a copy to the Legal Department; with a copy to Simpson Thacher &amp; Bartlett LLP, 2475 Hanover Street, Palo Alto, California 94304, Attention: Daniel Webb, Fax: (650) 251-5002; and (b) if to the Company shall be delivered, mailed or sent to Micron Technology, Inc., 8000 South Federal Way, Boise, Idaho 83716, Attention: General Counsel, Fax: (208) 368-4540, with a copy to Wilson Sonsini Goodrich &amp; Rosati, Professional Corporation, 650 Page Mill Road, Palo Alto, California 94304, Attention: John A. Fore, Fax: (650) 493-6811.</w:t>
      </w:r>
    </w:p>
    <w:p>
      <w:pPr>
        <w:spacing w:after="0" w:line="193" w:lineRule="exact"/>
        <w:rPr>
          <w:rFonts w:ascii="Arial" w:cs="Arial" w:eastAsia="Arial" w:hAnsi="Arial"/>
          <w:sz w:val="18"/>
          <w:szCs w:val="18"/>
          <w:color w:val="auto"/>
        </w:rPr>
      </w:pPr>
    </w:p>
    <w:p>
      <w:pPr>
        <w:ind w:left="-8" w:right="420" w:firstLine="656"/>
        <w:spacing w:after="0" w:line="311" w:lineRule="auto"/>
        <w:tabs>
          <w:tab w:leader="none" w:pos="1360"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Certain Defined Terms</w:t>
      </w:r>
      <w:r>
        <w:rPr>
          <w:rFonts w:ascii="Arial" w:cs="Arial" w:eastAsia="Arial" w:hAnsi="Arial"/>
          <w:sz w:val="16"/>
          <w:szCs w:val="16"/>
          <w:color w:val="auto"/>
        </w:rPr>
        <w:t>. For purposes of this Agreement, (a) except where otherwise expressly provided, the term “affiliate” has the</w:t>
      </w:r>
      <w:r>
        <w:rPr>
          <w:rFonts w:ascii="Arial" w:cs="Arial" w:eastAsia="Arial" w:hAnsi="Arial"/>
          <w:sz w:val="16"/>
          <w:szCs w:val="16"/>
          <w:i w:val="1"/>
          <w:iCs w:val="1"/>
          <w:color w:val="auto"/>
        </w:rPr>
        <w:t xml:space="preserve"> </w:t>
      </w:r>
      <w:r>
        <w:rPr>
          <w:rFonts w:ascii="Arial" w:cs="Arial" w:eastAsia="Arial" w:hAnsi="Arial"/>
          <w:sz w:val="16"/>
          <w:szCs w:val="16"/>
          <w:color w:val="auto"/>
        </w:rPr>
        <w:t>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48" w:lineRule="exact"/>
        <w:rPr>
          <w:rFonts w:ascii="Arial" w:cs="Arial" w:eastAsia="Arial" w:hAnsi="Arial"/>
          <w:sz w:val="16"/>
          <w:szCs w:val="16"/>
          <w:color w:val="auto"/>
        </w:rPr>
      </w:pPr>
    </w:p>
    <w:p>
      <w:pPr>
        <w:ind w:left="-8" w:right="120" w:firstLine="656"/>
        <w:spacing w:after="0" w:line="259" w:lineRule="auto"/>
        <w:tabs>
          <w:tab w:leader="none" w:pos="1360"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Compliance with USA Patriot Act</w:t>
      </w:r>
      <w:r>
        <w:rPr>
          <w:rFonts w:ascii="Arial" w:cs="Arial" w:eastAsia="Arial" w:hAnsi="Arial"/>
          <w:sz w:val="18"/>
          <w:szCs w:val="18"/>
          <w:color w:val="auto"/>
        </w:rPr>
        <w:t>. In accordance with the requirements of the USA Patriot Act (Title III of Pub. L. 107-56 (signed into</w:t>
      </w:r>
      <w:r>
        <w:rPr>
          <w:rFonts w:ascii="Arial" w:cs="Arial" w:eastAsia="Arial" w:hAnsi="Arial"/>
          <w:sz w:val="18"/>
          <w:szCs w:val="18"/>
          <w:i w:val="1"/>
          <w:iCs w:val="1"/>
          <w:color w:val="auto"/>
        </w:rPr>
        <w:t xml:space="preserve"> </w:t>
      </w:r>
      <w:r>
        <w:rPr>
          <w:rFonts w:ascii="Arial" w:cs="Arial" w:eastAsia="Arial" w:hAnsi="Arial"/>
          <w:sz w:val="18"/>
          <w:szCs w:val="18"/>
          <w:color w:val="auto"/>
        </w:rPr>
        <w:t>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7" w:lineRule="exact"/>
        <w:rPr>
          <w:sz w:val="20"/>
          <w:szCs w:val="20"/>
          <w:color w:val="auto"/>
        </w:rPr>
      </w:pPr>
    </w:p>
    <w:p>
      <w:pPr>
        <w:ind w:left="5012"/>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9" w:name="page30"/>
    <w:bookmarkEnd w:id="29"/>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Kurt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Name:Kurt Wood</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Title: Corporate Vice President, Finance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jc w:val="right"/>
        <w:ind w:right="6759"/>
        <w:spacing w:after="0"/>
        <w:rPr>
          <w:sz w:val="20"/>
          <w:szCs w:val="20"/>
          <w:color w:val="auto"/>
        </w:rPr>
      </w:pPr>
      <w:r>
        <w:rPr>
          <w:rFonts w:ascii="Arial" w:cs="Arial" w:eastAsia="Arial" w:hAnsi="Arial"/>
          <w:sz w:val="16"/>
          <w:szCs w:val="16"/>
          <w:color w:val="auto"/>
        </w:rPr>
        <w:t>Acting on behalf of themselves and the several</w:t>
      </w:r>
    </w:p>
    <w:p>
      <w:pPr>
        <w:spacing w:after="0" w:line="46" w:lineRule="exact"/>
        <w:rPr>
          <w:sz w:val="20"/>
          <w:szCs w:val="20"/>
          <w:color w:val="auto"/>
        </w:rPr>
      </w:pPr>
    </w:p>
    <w:p>
      <w:pPr>
        <w:jc w:val="right"/>
        <w:ind w:right="6799"/>
        <w:spacing w:after="0"/>
        <w:rPr>
          <w:sz w:val="20"/>
          <w:szCs w:val="20"/>
          <w:color w:val="auto"/>
        </w:rPr>
      </w:pPr>
      <w:r>
        <w:rPr>
          <w:rFonts w:ascii="Arial" w:cs="Arial" w:eastAsia="Arial" w:hAnsi="Arial"/>
          <w:sz w:val="18"/>
          <w:szCs w:val="18"/>
          <w:color w:val="auto"/>
        </w:rPr>
        <w:t>Underwriters 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Citigroup Global Markets Inc.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D. Bednarski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Brian D. Bednarski</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25" w:lineRule="exact"/>
        <w:rPr>
          <w:sz w:val="20"/>
          <w:szCs w:val="20"/>
          <w:color w:val="auto"/>
        </w:rPr>
      </w:pPr>
    </w:p>
    <w:p>
      <w:pPr>
        <w:jc w:val="right"/>
        <w:ind w:right="6759"/>
        <w:spacing w:after="0"/>
        <w:rPr>
          <w:sz w:val="20"/>
          <w:szCs w:val="20"/>
          <w:color w:val="auto"/>
        </w:rPr>
      </w:pPr>
      <w:r>
        <w:rPr>
          <w:rFonts w:ascii="Arial" w:cs="Arial" w:eastAsia="Arial" w:hAnsi="Arial"/>
          <w:sz w:val="16"/>
          <w:szCs w:val="16"/>
          <w:color w:val="auto"/>
        </w:rPr>
        <w:t>Acting on behalf of themselves and the several</w:t>
      </w:r>
    </w:p>
    <w:p>
      <w:pPr>
        <w:spacing w:after="0" w:line="46" w:lineRule="exact"/>
        <w:rPr>
          <w:sz w:val="20"/>
          <w:szCs w:val="20"/>
          <w:color w:val="auto"/>
        </w:rPr>
      </w:pPr>
    </w:p>
    <w:p>
      <w:pPr>
        <w:jc w:val="right"/>
        <w:ind w:right="6799"/>
        <w:spacing w:after="0"/>
        <w:rPr>
          <w:sz w:val="20"/>
          <w:szCs w:val="20"/>
          <w:color w:val="auto"/>
        </w:rPr>
      </w:pPr>
      <w:r>
        <w:rPr>
          <w:rFonts w:ascii="Arial" w:cs="Arial" w:eastAsia="Arial" w:hAnsi="Arial"/>
          <w:sz w:val="18"/>
          <w:szCs w:val="18"/>
          <w:color w:val="auto"/>
        </w:rPr>
        <w:t>Underwriters 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Credit Suisse Securities (USA) LLC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Mathew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Mathew Joseph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jc w:val="right"/>
        <w:ind w:right="6759"/>
        <w:spacing w:after="0"/>
        <w:rPr>
          <w:sz w:val="20"/>
          <w:szCs w:val="20"/>
          <w:color w:val="auto"/>
        </w:rPr>
      </w:pPr>
      <w:r>
        <w:rPr>
          <w:rFonts w:ascii="Arial" w:cs="Arial" w:eastAsia="Arial" w:hAnsi="Arial"/>
          <w:sz w:val="16"/>
          <w:szCs w:val="16"/>
          <w:color w:val="auto"/>
        </w:rPr>
        <w:t>Acting on behalf of themselves and the several</w:t>
      </w:r>
    </w:p>
    <w:p>
      <w:pPr>
        <w:spacing w:after="0" w:line="46" w:lineRule="exact"/>
        <w:rPr>
          <w:sz w:val="20"/>
          <w:szCs w:val="20"/>
          <w:color w:val="auto"/>
        </w:rPr>
      </w:pPr>
    </w:p>
    <w:p>
      <w:pPr>
        <w:jc w:val="right"/>
        <w:ind w:right="6799"/>
        <w:spacing w:after="0"/>
        <w:rPr>
          <w:sz w:val="20"/>
          <w:szCs w:val="20"/>
          <w:color w:val="auto"/>
        </w:rPr>
      </w:pPr>
      <w:r>
        <w:rPr>
          <w:rFonts w:ascii="Arial" w:cs="Arial" w:eastAsia="Arial" w:hAnsi="Arial"/>
          <w:sz w:val="18"/>
          <w:szCs w:val="18"/>
          <w:color w:val="auto"/>
        </w:rPr>
        <w:t>Underwriters 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Drewe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Ian Drewe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SCHEDULE I</w:t>
            </w:r>
          </w:p>
        </w:tc>
      </w:tr>
      <w:tr>
        <w:trPr>
          <w:trHeight w:val="414"/>
        </w:trPr>
        <w:tc>
          <w:tcPr>
            <w:tcW w:w="54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Principal</w:t>
            </w:r>
          </w:p>
        </w:tc>
      </w:tr>
      <w:tr>
        <w:trPr>
          <w:trHeight w:val="216"/>
        </w:trPr>
        <w:tc>
          <w:tcPr>
            <w:tcW w:w="54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Amount of</w:t>
            </w:r>
          </w:p>
        </w:tc>
      </w:tr>
      <w:tr>
        <w:trPr>
          <w:trHeight w:val="216"/>
        </w:trPr>
        <w:tc>
          <w:tcPr>
            <w:tcW w:w="54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Securities to</w:t>
            </w:r>
          </w:p>
        </w:tc>
      </w:tr>
      <w:tr>
        <w:trPr>
          <w:trHeight w:val="234"/>
        </w:trPr>
        <w:tc>
          <w:tcPr>
            <w:tcW w:w="5440" w:type="dxa"/>
            <w:vAlign w:val="bottom"/>
          </w:tcPr>
          <w:p>
            <w:pPr>
              <w:ind w:left="4420"/>
              <w:spacing w:after="0"/>
              <w:rPr>
                <w:sz w:val="20"/>
                <w:szCs w:val="20"/>
                <w:color w:val="auto"/>
              </w:rPr>
            </w:pPr>
            <w:r>
              <w:rPr>
                <w:rFonts w:ascii="Arial" w:cs="Arial" w:eastAsia="Arial" w:hAnsi="Arial"/>
                <w:sz w:val="18"/>
                <w:szCs w:val="18"/>
                <w:b w:val="1"/>
                <w:bCs w:val="1"/>
                <w:color w:val="auto"/>
                <w:w w:val="98"/>
              </w:rPr>
              <w:t>Underwriter</w:t>
            </w: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be Purchased</w:t>
            </w:r>
          </w:p>
        </w:tc>
      </w:tr>
      <w:tr>
        <w:trPr>
          <w:trHeight w:val="209"/>
        </w:trPr>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4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166,625,000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Credit Suisse Securities (USA) LLC</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166,625,000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166,750,000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Credit Agricole Securities (USA) Inc.</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83,375,000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83,375,000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MUFG Securities Americas Inc.</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83,250,000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ANZ Securities, Inc.</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62,500,000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BNP Paribas Securities Corp.</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62,500,000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ICBC Standard Bank Plc</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62,500,000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Mizuho Securities USA LLC</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62,500,000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Academy Securities, Inc.</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50,000,000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Siebert Williams Shank &amp; Co., LLC</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50,000,000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Total:</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1,250,000,000</w:t>
            </w:r>
          </w:p>
        </w:tc>
      </w:tr>
      <w:tr>
        <w:trPr>
          <w:trHeight w:val="634"/>
        </w:trPr>
        <w:tc>
          <w:tcPr>
            <w:tcW w:w="5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right"/>
              <w:ind w:right="4190"/>
              <w:spacing w:after="0"/>
              <w:rPr>
                <w:sz w:val="20"/>
                <w:szCs w:val="20"/>
                <w:color w:val="auto"/>
              </w:rPr>
            </w:pPr>
            <w:r>
              <w:rPr>
                <w:rFonts w:ascii="Arial" w:cs="Arial" w:eastAsia="Arial" w:hAnsi="Arial"/>
                <w:sz w:val="18"/>
                <w:szCs w:val="18"/>
                <w:color w:val="auto"/>
              </w:rPr>
              <w:t>I-1</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of Sale Information</w:t>
      </w:r>
    </w:p>
    <w:p>
      <w:pPr>
        <w:spacing w:after="0" w:line="229" w:lineRule="exact"/>
        <w:rPr>
          <w:sz w:val="20"/>
          <w:szCs w:val="20"/>
          <w:color w:val="auto"/>
        </w:rPr>
      </w:pPr>
    </w:p>
    <w:p>
      <w:pPr>
        <w:ind w:left="5480" w:right="3660" w:hanging="5472"/>
        <w:spacing w:after="0" w:line="778" w:lineRule="auto"/>
        <w:tabs>
          <w:tab w:leader="none" w:pos="6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Term Sheet containing the terms of the Securities, substantially in the form set forth in Annex A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Jurisdictions of Qualification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Idaho</w:t>
      </w:r>
    </w:p>
    <w:p>
      <w:pPr>
        <w:spacing w:after="0" w:line="200" w:lineRule="exact"/>
        <w:rPr>
          <w:sz w:val="20"/>
          <w:szCs w:val="20"/>
          <w:color w:val="auto"/>
        </w:rPr>
      </w:pPr>
    </w:p>
    <w:p>
      <w:pPr>
        <w:spacing w:after="0" w:line="22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ind w:left="2164"/>
        <w:spacing w:after="0"/>
        <w:rPr>
          <w:sz w:val="20"/>
          <w:szCs w:val="20"/>
          <w:color w:val="auto"/>
        </w:rPr>
      </w:pPr>
      <w:r>
        <w:rPr>
          <w:rFonts w:ascii="Arial" w:cs="Arial" w:eastAsia="Arial" w:hAnsi="Arial"/>
          <w:sz w:val="18"/>
          <w:szCs w:val="18"/>
          <w:b w:val="1"/>
          <w:bCs w:val="1"/>
          <w:color w:val="auto"/>
        </w:rPr>
        <w:t>FORM OF OPINION OF WILSON SONSINI GOODRICH &amp; ROSATI,</w:t>
      </w:r>
    </w:p>
    <w:p>
      <w:pPr>
        <w:spacing w:after="0" w:line="27" w:lineRule="exact"/>
        <w:rPr>
          <w:sz w:val="20"/>
          <w:szCs w:val="20"/>
          <w:color w:val="auto"/>
        </w:rPr>
      </w:pPr>
    </w:p>
    <w:p>
      <w:pPr>
        <w:ind w:left="1804"/>
        <w:spacing w:after="0"/>
        <w:rPr>
          <w:sz w:val="20"/>
          <w:szCs w:val="20"/>
          <w:color w:val="auto"/>
        </w:rPr>
      </w:pPr>
      <w:r>
        <w:rPr>
          <w:rFonts w:ascii="Arial" w:cs="Arial" w:eastAsia="Arial" w:hAnsi="Arial"/>
          <w:sz w:val="18"/>
          <w:szCs w:val="18"/>
          <w:b w:val="1"/>
          <w:bCs w:val="1"/>
          <w:color w:val="auto"/>
        </w:rPr>
        <w:t>PROFESSIONAL CORPORATION, OUTSIDE COUNSEL TO THE COMPANY</w:t>
      </w:r>
    </w:p>
    <w:p>
      <w:pPr>
        <w:spacing w:after="0" w:line="211" w:lineRule="exact"/>
        <w:rPr>
          <w:sz w:val="20"/>
          <w:szCs w:val="20"/>
          <w:color w:val="auto"/>
        </w:rPr>
      </w:pPr>
    </w:p>
    <w:p>
      <w:pPr>
        <w:ind w:left="644" w:right="740" w:hanging="644"/>
        <w:spacing w:after="0" w:line="263" w:lineRule="auto"/>
        <w:tabs>
          <w:tab w:leader="none" w:pos="6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the corporate power and authority to own its properties and to conduct its business as described in the Pricing Prospectus and the Prospectus.</w:t>
      </w:r>
    </w:p>
    <w:p>
      <w:pPr>
        <w:spacing w:after="0" w:line="183" w:lineRule="exact"/>
        <w:rPr>
          <w:rFonts w:ascii="Arial" w:cs="Arial" w:eastAsia="Arial" w:hAnsi="Arial"/>
          <w:sz w:val="18"/>
          <w:szCs w:val="18"/>
          <w:color w:val="auto"/>
        </w:rPr>
      </w:pPr>
    </w:p>
    <w:p>
      <w:pPr>
        <w:ind w:left="644" w:hanging="644"/>
        <w:spacing w:after="0"/>
        <w:tabs>
          <w:tab w:leader="none" w:pos="6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w:t>
      </w:r>
    </w:p>
    <w:p>
      <w:pPr>
        <w:spacing w:after="0" w:line="225" w:lineRule="exact"/>
        <w:rPr>
          <w:rFonts w:ascii="Arial" w:cs="Arial" w:eastAsia="Arial" w:hAnsi="Arial"/>
          <w:sz w:val="18"/>
          <w:szCs w:val="18"/>
          <w:color w:val="auto"/>
        </w:rPr>
      </w:pPr>
    </w:p>
    <w:p>
      <w:pPr>
        <w:ind w:left="644" w:right="600" w:hanging="644"/>
        <w:spacing w:after="0" w:line="296" w:lineRule="auto"/>
        <w:tabs>
          <w:tab w:leader="none" w:pos="644"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Securities are in the form contemplated by the Indenture, have been duly authorized by the Company and, when executed by the Company and authenticated by the Trustee in accordance with the terms of the Indenture and delivered against the purchase price therefor specified in the Underwriting Agreement in accordance with the terms thereof (which facts we have not determined by inspection of the Securities), will constitute valid and legally binding obligations of the Company and enforceable against the Company in accordance with their terms; and the Securities are entitled to the benefits of the Indenture.</w:t>
      </w:r>
    </w:p>
    <w:p>
      <w:pPr>
        <w:spacing w:after="0" w:line="161" w:lineRule="exact"/>
        <w:rPr>
          <w:rFonts w:ascii="Arial" w:cs="Arial" w:eastAsia="Arial" w:hAnsi="Arial"/>
          <w:sz w:val="16"/>
          <w:szCs w:val="16"/>
          <w:color w:val="auto"/>
        </w:rPr>
      </w:pPr>
    </w:p>
    <w:p>
      <w:pPr>
        <w:jc w:val="both"/>
        <w:ind w:left="644" w:right="480" w:hanging="644"/>
        <w:spacing w:after="0" w:line="286" w:lineRule="auto"/>
        <w:tabs>
          <w:tab w:leader="none" w:pos="644"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Indenture has been duly authorized, executed and delivered by the Company and, assuming due authorization, execution and delivery by the Trustee, constitutes a valid and legally binding instrument, enforceable against the Company in accordance with its terms; and the Indenture has been duly qualified under the Trust Indenture Act of 1939, as amended.</w:t>
      </w:r>
    </w:p>
    <w:p>
      <w:pPr>
        <w:spacing w:after="0" w:line="165" w:lineRule="exact"/>
        <w:rPr>
          <w:rFonts w:ascii="Arial" w:cs="Arial" w:eastAsia="Arial" w:hAnsi="Arial"/>
          <w:sz w:val="17"/>
          <w:szCs w:val="17"/>
          <w:color w:val="auto"/>
        </w:rPr>
      </w:pPr>
    </w:p>
    <w:p>
      <w:pPr>
        <w:ind w:left="644" w:right="500" w:hanging="644"/>
        <w:spacing w:after="0" w:line="272" w:lineRule="auto"/>
        <w:tabs>
          <w:tab w:leader="none" w:pos="644"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None of the execution, delivery and performance of the Underwriting Agreement, the Indenture, the issuance and sale of the Securities or the consummation of any other of the transactions contemplated thereby will conflict with, result in a breach or violation of any of the terms or provisions of, or constitute a default under (A) the Certificate of Incorporation or the Bylaws or (B) any statute, decree, regulation or order known to us to be applicable to the Company of any Delaware court, governmental authority or agency having jurisdiction over the Company or any of its properties or assets, except such conflicts, breaches, violations or defaults in clause (B) above as would not have a material adverse effect on the Company’s ability to perform its obligations under the Operative Documents or to consummate the transactions contemplated thereby.</w:t>
      </w:r>
    </w:p>
    <w:p>
      <w:pPr>
        <w:spacing w:after="0" w:line="177" w:lineRule="exact"/>
        <w:rPr>
          <w:rFonts w:ascii="Arial" w:cs="Arial" w:eastAsia="Arial" w:hAnsi="Arial"/>
          <w:sz w:val="17"/>
          <w:szCs w:val="17"/>
          <w:color w:val="auto"/>
        </w:rPr>
      </w:pPr>
    </w:p>
    <w:p>
      <w:pPr>
        <w:ind w:left="644" w:right="560" w:hanging="644"/>
        <w:spacing w:after="0" w:line="296" w:lineRule="auto"/>
        <w:tabs>
          <w:tab w:leader="none" w:pos="644"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 consent, approval, authorization, order, registration or qualification of or with any such court or governmental agency or body is required for the issue and sale of the Securities or the consummation by the Company of the transactions contemplated by the Underwriting Agreement or the Indenture, except such as have been obtained under the Securities Act and the Trust Indenture Act and such consents, approvals, authorizations, registrations or qualifications as may be required under state securities or Blue Sky laws in connection with the purchase and distribution of the Securities by the Underwriters.</w:t>
      </w:r>
    </w:p>
    <w:p>
      <w:pPr>
        <w:spacing w:after="0" w:line="377"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7" w:name="page38"/>
    <w:bookmarkEnd w:id="37"/>
    <w:p>
      <w:pPr>
        <w:ind w:left="644" w:right="100" w:hanging="644"/>
        <w:spacing w:after="0" w:line="263" w:lineRule="auto"/>
        <w:tabs>
          <w:tab w:leader="none" w:pos="6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is not and, immediately after giving effect to the offering and sale of the Securities and the application of the proceeds thereof, will not be required to register as an “investment company,” as such term is defined in the Investment Company Act.</w:t>
      </w:r>
    </w:p>
    <w:p>
      <w:pPr>
        <w:spacing w:after="0" w:line="183" w:lineRule="exact"/>
        <w:rPr>
          <w:rFonts w:ascii="Arial" w:cs="Arial" w:eastAsia="Arial" w:hAnsi="Arial"/>
          <w:sz w:val="18"/>
          <w:szCs w:val="18"/>
          <w:color w:val="auto"/>
        </w:rPr>
      </w:pPr>
    </w:p>
    <w:p>
      <w:pPr>
        <w:ind w:left="644" w:hanging="644"/>
        <w:spacing w:after="0" w:line="263" w:lineRule="auto"/>
        <w:tabs>
          <w:tab w:leader="none" w:pos="6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statements set forth in the Pricing Disclosure Package and the Prospectus under the caption “Description of the Notes,” insofar as they purport to constitute a summary of the terms of the Securities, fairly summarize such terms and documents in all material respects.</w:t>
      </w:r>
    </w:p>
    <w:p>
      <w:pPr>
        <w:spacing w:after="0" w:line="183" w:lineRule="exact"/>
        <w:rPr>
          <w:rFonts w:ascii="Arial" w:cs="Arial" w:eastAsia="Arial" w:hAnsi="Arial"/>
          <w:sz w:val="18"/>
          <w:szCs w:val="18"/>
          <w:color w:val="auto"/>
        </w:rPr>
      </w:pPr>
    </w:p>
    <w:p>
      <w:pPr>
        <w:ind w:left="644" w:right="220" w:hanging="644"/>
        <w:spacing w:after="0" w:line="263" w:lineRule="auto"/>
        <w:tabs>
          <w:tab w:leader="none" w:pos="6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statements set forth in the Pricing Prospectus and the Prospectus under the caption “Material U.S. Federal Income Tax Consequences,” insofar as they purport to summarize provisions of the United States federal tax laws referred to therein or legal conclusions with respect thereto, fairly summarize such matters in all material respects.</w:t>
      </w:r>
    </w:p>
    <w:p>
      <w:pPr>
        <w:spacing w:after="0" w:line="200" w:lineRule="exact"/>
        <w:rPr>
          <w:sz w:val="20"/>
          <w:szCs w:val="20"/>
          <w:color w:val="auto"/>
        </w:rPr>
      </w:pPr>
    </w:p>
    <w:p>
      <w:pPr>
        <w:spacing w:after="0" w:line="227" w:lineRule="exact"/>
        <w:rPr>
          <w:sz w:val="20"/>
          <w:szCs w:val="20"/>
          <w:color w:val="auto"/>
        </w:rPr>
      </w:pPr>
    </w:p>
    <w:p>
      <w:pPr>
        <w:jc w:val="center"/>
        <w:ind w:right="136"/>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4"/>
          </w:cols>
          <w:pgMar w:left="976" w:top="908" w:right="8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OPINION OF JOEL L. POPPEN, GENERAL COUNSEL OF THE COMPANY</w:t>
      </w:r>
    </w:p>
    <w:p>
      <w:pPr>
        <w:spacing w:after="0" w:line="229" w:lineRule="exact"/>
        <w:rPr>
          <w:sz w:val="20"/>
          <w:szCs w:val="20"/>
          <w:color w:val="auto"/>
        </w:rPr>
      </w:pPr>
    </w:p>
    <w:p>
      <w:pPr>
        <w:ind w:right="820" w:firstLine="656"/>
        <w:spacing w:after="0" w:line="259" w:lineRule="auto"/>
        <w:tabs>
          <w:tab w:leader="none" w:pos="123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the best of my knowledge, but without inquiring into the dockets of any court, commissions, regulatory body, administrative agency or other government body, and other than as set forth in the Pricing Disclosure Package, there are no legal or governmental proceedings pending to which the Company is a party or of which any property or assets of the Company is the subject, which I believe individually or in the aggregate would be reasonably expected to have a Material Adverse Effect.</w:t>
      </w:r>
    </w:p>
    <w:p>
      <w:pPr>
        <w:spacing w:after="0" w:line="186" w:lineRule="exact"/>
        <w:rPr>
          <w:rFonts w:ascii="Arial" w:cs="Arial" w:eastAsia="Arial" w:hAnsi="Arial"/>
          <w:sz w:val="18"/>
          <w:szCs w:val="18"/>
          <w:color w:val="auto"/>
        </w:rPr>
      </w:pPr>
    </w:p>
    <w:p>
      <w:pPr>
        <w:ind w:right="560" w:firstLine="656"/>
        <w:spacing w:after="0" w:line="272" w:lineRule="auto"/>
        <w:tabs>
          <w:tab w:leader="none" w:pos="1233"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None of the execution, delivery and performance of the Underwriting Agreement or the Indenture, the issuance and sale of the Securities or the consummation of any other of the transactions contemplated thereby will conflict with, result in a breach or violation of any of the terms or provisions of, or constitute a default under (A) any material indenture or other material agreement or instrument to which the Company or its subsidiaries is a party or bound, or (B) any statute, decree, regulation or order applicable to the Company of any U.S. Federal or Idaho court, governmental authority or agency having jurisdiction over the Company or any of its respective properties or assets, except such conflicts, breaches, violations or defaults as would not have a Material Adverse Effect on the Company’s ability to perform its respective obligations under the Operative Documents or to consummate the transactions contemplated thereby.</w:t>
      </w:r>
    </w:p>
    <w:p>
      <w:pPr>
        <w:spacing w:after="0" w:line="177" w:lineRule="exact"/>
        <w:rPr>
          <w:rFonts w:ascii="Arial" w:cs="Arial" w:eastAsia="Arial" w:hAnsi="Arial"/>
          <w:sz w:val="17"/>
          <w:szCs w:val="17"/>
          <w:color w:val="auto"/>
        </w:rPr>
      </w:pPr>
    </w:p>
    <w:p>
      <w:pPr>
        <w:ind w:right="500" w:firstLine="656"/>
        <w:spacing w:after="0" w:line="279" w:lineRule="auto"/>
        <w:tabs>
          <w:tab w:leader="none" w:pos="1233" w:val="left"/>
        </w:tabs>
        <w:numPr>
          <w:ilvl w:val="0"/>
          <w:numId w:val="40"/>
        </w:numPr>
        <w:rPr>
          <w:rFonts w:ascii="Arial" w:cs="Arial" w:eastAsia="Arial" w:hAnsi="Arial"/>
          <w:sz w:val="17"/>
          <w:szCs w:val="17"/>
          <w:color w:val="auto"/>
        </w:rPr>
      </w:pPr>
      <w:r>
        <w:rPr>
          <w:rFonts w:ascii="Arial" w:cs="Arial" w:eastAsia="Arial" w:hAnsi="Arial"/>
          <w:sz w:val="17"/>
          <w:szCs w:val="17"/>
          <w:color w:val="auto"/>
        </w:rPr>
        <w:t>Except as may be required by the Securities Act, and the Rules and Regulations or “blue sky” laws of any state of the United States, in connection with the sale of the Securities, no consent, approval, authorization or order of, or filing or registration with, any U.S. Federal or Idaho court or governmental agency or body is required for the execution, delivery and performance of the Underwriting Agreement and the Indenture by the Company, the issuance of the Securities and the consummation of the transactions contemplated thereby.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Registration No. 333-220882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Issuer Free Writing Prospectus dated April 21, 2020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Relating to Preliminary Prospectus Supplement dated April 21,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APRIL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142875</wp:posOffset>
            </wp:positionV>
            <wp:extent cx="1303020" cy="3771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3030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2.497% SENIOR NOTES DUE 2023</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information in this pricing term sheet supplements Micron Technology, Inc.’s (“Micron”) preliminary prospectus supplement, dated April 21, 2020 (the “Preliminary Prospectus Supplement”), and supplements and supersedes the information in the Preliminary Prospectus Supplement to the extent supplementary to or inconsistent with the information in the Preliminary Prospectus Supplement. Terms used herein but not defined herein shall have the respective meanings as set forth in the Preliminary Prospectus Supplement.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8320" w:type="dxa"/>
            <w:vAlign w:val="bottom"/>
          </w:tcPr>
          <w:p>
            <w:pPr>
              <w:ind w:left="460"/>
              <w:spacing w:after="0"/>
              <w:rPr>
                <w:sz w:val="20"/>
                <w:szCs w:val="20"/>
                <w:color w:val="auto"/>
              </w:rPr>
            </w:pPr>
            <w:r>
              <w:rPr>
                <w:rFonts w:ascii="Arial" w:cs="Arial" w:eastAsia="Arial" w:hAnsi="Arial"/>
                <w:sz w:val="18"/>
                <w:szCs w:val="18"/>
                <w:color w:val="auto"/>
              </w:rPr>
              <w:t>Micron Technology, Inc. (Nasdaq: MU)</w:t>
            </w:r>
          </w:p>
        </w:tc>
      </w:tr>
      <w:tr>
        <w:trPr>
          <w:trHeight w:val="270"/>
        </w:trPr>
        <w:tc>
          <w:tcPr>
            <w:tcW w:w="2920" w:type="dxa"/>
            <w:vAlign w:val="bottom"/>
          </w:tcPr>
          <w:p>
            <w:pPr>
              <w:spacing w:after="0"/>
              <w:rPr>
                <w:sz w:val="20"/>
                <w:szCs w:val="20"/>
                <w:color w:val="auto"/>
              </w:rPr>
            </w:pPr>
            <w:r>
              <w:rPr>
                <w:rFonts w:ascii="Arial" w:cs="Arial" w:eastAsia="Arial" w:hAnsi="Arial"/>
                <w:sz w:val="18"/>
                <w:szCs w:val="18"/>
                <w:b w:val="1"/>
                <w:bCs w:val="1"/>
                <w:color w:val="auto"/>
              </w:rPr>
              <w:t>Securities Offered:</w:t>
            </w:r>
          </w:p>
        </w:tc>
        <w:tc>
          <w:tcPr>
            <w:tcW w:w="8320" w:type="dxa"/>
            <w:vAlign w:val="bottom"/>
          </w:tcPr>
          <w:p>
            <w:pPr>
              <w:ind w:left="460"/>
              <w:spacing w:after="0"/>
              <w:rPr>
                <w:sz w:val="20"/>
                <w:szCs w:val="20"/>
                <w:color w:val="auto"/>
              </w:rPr>
            </w:pPr>
            <w:r>
              <w:rPr>
                <w:rFonts w:ascii="Arial" w:cs="Arial" w:eastAsia="Arial" w:hAnsi="Arial"/>
                <w:sz w:val="18"/>
                <w:szCs w:val="18"/>
                <w:color w:val="auto"/>
              </w:rPr>
              <w:t>$1,250 million aggregate principal amount of 2.497% Senior Notes due 2023 (the “notes”)</w:t>
            </w:r>
          </w:p>
        </w:tc>
      </w:tr>
      <w:tr>
        <w:trPr>
          <w:trHeight w:val="270"/>
        </w:trPr>
        <w:tc>
          <w:tcPr>
            <w:tcW w:w="292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8320" w:type="dxa"/>
            <w:vAlign w:val="bottom"/>
          </w:tcPr>
          <w:p>
            <w:pPr>
              <w:ind w:left="460"/>
              <w:spacing w:after="0"/>
              <w:rPr>
                <w:sz w:val="20"/>
                <w:szCs w:val="20"/>
                <w:color w:val="auto"/>
              </w:rPr>
            </w:pPr>
            <w:r>
              <w:rPr>
                <w:rFonts w:ascii="Arial" w:cs="Arial" w:eastAsia="Arial" w:hAnsi="Arial"/>
                <w:sz w:val="18"/>
                <w:szCs w:val="18"/>
                <w:color w:val="auto"/>
              </w:rPr>
              <w:t>April 24, 2023</w:t>
            </w:r>
          </w:p>
        </w:tc>
      </w:tr>
      <w:tr>
        <w:trPr>
          <w:trHeight w:val="270"/>
        </w:trPr>
        <w:tc>
          <w:tcPr>
            <w:tcW w:w="2920" w:type="dxa"/>
            <w:vAlign w:val="bottom"/>
          </w:tcPr>
          <w:p>
            <w:pPr>
              <w:spacing w:after="0"/>
              <w:rPr>
                <w:sz w:val="20"/>
                <w:szCs w:val="20"/>
                <w:color w:val="auto"/>
              </w:rPr>
            </w:pPr>
            <w:r>
              <w:rPr>
                <w:rFonts w:ascii="Arial" w:cs="Arial" w:eastAsia="Arial" w:hAnsi="Arial"/>
                <w:sz w:val="18"/>
                <w:szCs w:val="18"/>
                <w:b w:val="1"/>
                <w:bCs w:val="1"/>
                <w:color w:val="auto"/>
              </w:rPr>
              <w:t>Interest Rate:</w:t>
            </w:r>
          </w:p>
        </w:tc>
        <w:tc>
          <w:tcPr>
            <w:tcW w:w="8320" w:type="dxa"/>
            <w:vAlign w:val="bottom"/>
          </w:tcPr>
          <w:p>
            <w:pPr>
              <w:ind w:left="460"/>
              <w:spacing w:after="0"/>
              <w:rPr>
                <w:sz w:val="20"/>
                <w:szCs w:val="20"/>
                <w:color w:val="auto"/>
              </w:rPr>
            </w:pPr>
            <w:r>
              <w:rPr>
                <w:rFonts w:ascii="Arial" w:cs="Arial" w:eastAsia="Arial" w:hAnsi="Arial"/>
                <w:sz w:val="18"/>
                <w:szCs w:val="18"/>
                <w:color w:val="auto"/>
              </w:rPr>
              <w:t>2.497% per year on the principal amount</w:t>
            </w:r>
          </w:p>
        </w:tc>
      </w:tr>
      <w:tr>
        <w:trPr>
          <w:trHeight w:val="270"/>
        </w:trPr>
        <w:tc>
          <w:tcPr>
            <w:tcW w:w="292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8320" w:type="dxa"/>
            <w:vAlign w:val="bottom"/>
          </w:tcPr>
          <w:p>
            <w:pPr>
              <w:ind w:left="460"/>
              <w:spacing w:after="0"/>
              <w:rPr>
                <w:sz w:val="20"/>
                <w:szCs w:val="20"/>
                <w:color w:val="auto"/>
              </w:rPr>
            </w:pPr>
            <w:r>
              <w:rPr>
                <w:rFonts w:ascii="Arial" w:cs="Arial" w:eastAsia="Arial" w:hAnsi="Arial"/>
                <w:sz w:val="18"/>
                <w:szCs w:val="18"/>
                <w:color w:val="auto"/>
              </w:rPr>
              <w:t>April 24 and October 24, beginning October 24, 2020, accruing from April 24, 2020</w:t>
            </w:r>
          </w:p>
        </w:tc>
      </w:tr>
      <w:tr>
        <w:trPr>
          <w:trHeight w:val="270"/>
        </w:trPr>
        <w:tc>
          <w:tcPr>
            <w:tcW w:w="2920" w:type="dxa"/>
            <w:vAlign w:val="bottom"/>
          </w:tcPr>
          <w:p>
            <w:pPr>
              <w:spacing w:after="0"/>
              <w:rPr>
                <w:sz w:val="20"/>
                <w:szCs w:val="20"/>
                <w:color w:val="auto"/>
              </w:rPr>
            </w:pPr>
            <w:r>
              <w:rPr>
                <w:rFonts w:ascii="Arial" w:cs="Arial" w:eastAsia="Arial" w:hAnsi="Arial"/>
                <w:sz w:val="18"/>
                <w:szCs w:val="18"/>
                <w:b w:val="1"/>
                <w:bCs w:val="1"/>
                <w:color w:val="auto"/>
              </w:rPr>
              <w:t>Record Dates:</w:t>
            </w:r>
          </w:p>
        </w:tc>
        <w:tc>
          <w:tcPr>
            <w:tcW w:w="8320" w:type="dxa"/>
            <w:vAlign w:val="bottom"/>
          </w:tcPr>
          <w:p>
            <w:pPr>
              <w:ind w:left="460"/>
              <w:spacing w:after="0"/>
              <w:rPr>
                <w:sz w:val="20"/>
                <w:szCs w:val="20"/>
                <w:color w:val="auto"/>
              </w:rPr>
            </w:pPr>
            <w:r>
              <w:rPr>
                <w:rFonts w:ascii="Arial" w:cs="Arial" w:eastAsia="Arial" w:hAnsi="Arial"/>
                <w:sz w:val="18"/>
                <w:szCs w:val="18"/>
                <w:color w:val="auto"/>
              </w:rPr>
              <w:t>April 9 and October 9</w:t>
            </w:r>
          </w:p>
        </w:tc>
      </w:tr>
      <w:tr>
        <w:trPr>
          <w:trHeight w:val="270"/>
        </w:trPr>
        <w:tc>
          <w:tcPr>
            <w:tcW w:w="2920" w:type="dxa"/>
            <w:vAlign w:val="bottom"/>
          </w:tcPr>
          <w:p>
            <w:pPr>
              <w:spacing w:after="0"/>
              <w:rPr>
                <w:sz w:val="20"/>
                <w:szCs w:val="20"/>
                <w:color w:val="auto"/>
              </w:rPr>
            </w:pPr>
            <w:r>
              <w:rPr>
                <w:rFonts w:ascii="Arial" w:cs="Arial" w:eastAsia="Arial" w:hAnsi="Arial"/>
                <w:sz w:val="18"/>
                <w:szCs w:val="18"/>
                <w:b w:val="1"/>
                <w:bCs w:val="1"/>
                <w:color w:val="auto"/>
              </w:rPr>
              <w:t>Price to Public:</w:t>
            </w:r>
          </w:p>
        </w:tc>
        <w:tc>
          <w:tcPr>
            <w:tcW w:w="8320" w:type="dxa"/>
            <w:vAlign w:val="bottom"/>
          </w:tcPr>
          <w:p>
            <w:pPr>
              <w:ind w:left="460"/>
              <w:spacing w:after="0"/>
              <w:rPr>
                <w:sz w:val="20"/>
                <w:szCs w:val="20"/>
                <w:color w:val="auto"/>
              </w:rPr>
            </w:pPr>
            <w:r>
              <w:rPr>
                <w:rFonts w:ascii="Arial" w:cs="Arial" w:eastAsia="Arial" w:hAnsi="Arial"/>
                <w:sz w:val="18"/>
                <w:szCs w:val="18"/>
                <w:color w:val="auto"/>
              </w:rPr>
              <w:t>100.000%</w:t>
            </w:r>
          </w:p>
        </w:tc>
      </w:tr>
      <w:tr>
        <w:trPr>
          <w:trHeight w:val="270"/>
        </w:trPr>
        <w:tc>
          <w:tcPr>
            <w:tcW w:w="2920" w:type="dxa"/>
            <w:vAlign w:val="bottom"/>
          </w:tcPr>
          <w:p>
            <w:pPr>
              <w:spacing w:after="0"/>
              <w:rPr>
                <w:sz w:val="20"/>
                <w:szCs w:val="20"/>
                <w:color w:val="auto"/>
              </w:rPr>
            </w:pPr>
            <w:r>
              <w:rPr>
                <w:rFonts w:ascii="Arial" w:cs="Arial" w:eastAsia="Arial" w:hAnsi="Arial"/>
                <w:sz w:val="18"/>
                <w:szCs w:val="18"/>
                <w:b w:val="1"/>
                <w:bCs w:val="1"/>
                <w:color w:val="auto"/>
              </w:rPr>
              <w:t>Underwriting Discount:</w:t>
            </w:r>
          </w:p>
        </w:tc>
        <w:tc>
          <w:tcPr>
            <w:tcW w:w="8320" w:type="dxa"/>
            <w:vAlign w:val="bottom"/>
          </w:tcPr>
          <w:p>
            <w:pPr>
              <w:ind w:left="460"/>
              <w:spacing w:after="0"/>
              <w:rPr>
                <w:sz w:val="20"/>
                <w:szCs w:val="20"/>
                <w:color w:val="auto"/>
              </w:rPr>
            </w:pPr>
            <w:r>
              <w:rPr>
                <w:rFonts w:ascii="Arial" w:cs="Arial" w:eastAsia="Arial" w:hAnsi="Arial"/>
                <w:sz w:val="18"/>
                <w:szCs w:val="18"/>
                <w:color w:val="auto"/>
              </w:rPr>
              <w:t>0.200% per note</w:t>
            </w:r>
          </w:p>
        </w:tc>
      </w:tr>
      <w:tr>
        <w:trPr>
          <w:trHeight w:val="270"/>
        </w:trPr>
        <w:tc>
          <w:tcPr>
            <w:tcW w:w="2920" w:type="dxa"/>
            <w:vAlign w:val="bottom"/>
          </w:tcPr>
          <w:p>
            <w:pPr>
              <w:spacing w:after="0"/>
              <w:rPr>
                <w:sz w:val="20"/>
                <w:szCs w:val="20"/>
                <w:color w:val="auto"/>
              </w:rPr>
            </w:pPr>
            <w:r>
              <w:rPr>
                <w:rFonts w:ascii="Arial" w:cs="Arial" w:eastAsia="Arial" w:hAnsi="Arial"/>
                <w:sz w:val="18"/>
                <w:szCs w:val="18"/>
                <w:b w:val="1"/>
                <w:bCs w:val="1"/>
                <w:color w:val="auto"/>
              </w:rPr>
              <w:t>Spread to Treasury:</w:t>
            </w:r>
          </w:p>
        </w:tc>
        <w:tc>
          <w:tcPr>
            <w:tcW w:w="8320" w:type="dxa"/>
            <w:vAlign w:val="bottom"/>
          </w:tcPr>
          <w:p>
            <w:pPr>
              <w:ind w:left="460"/>
              <w:spacing w:after="0"/>
              <w:rPr>
                <w:sz w:val="20"/>
                <w:szCs w:val="20"/>
                <w:color w:val="auto"/>
              </w:rPr>
            </w:pPr>
            <w:r>
              <w:rPr>
                <w:rFonts w:ascii="Arial" w:cs="Arial" w:eastAsia="Arial" w:hAnsi="Arial"/>
                <w:sz w:val="18"/>
                <w:szCs w:val="18"/>
                <w:color w:val="auto"/>
              </w:rPr>
              <w:t>+225 basis points</w:t>
            </w:r>
          </w:p>
        </w:tc>
      </w:tr>
      <w:tr>
        <w:trPr>
          <w:trHeight w:val="270"/>
        </w:trPr>
        <w:tc>
          <w:tcPr>
            <w:tcW w:w="2920" w:type="dxa"/>
            <w:vAlign w:val="bottom"/>
          </w:tcPr>
          <w:p>
            <w:pPr>
              <w:spacing w:after="0"/>
              <w:rPr>
                <w:sz w:val="20"/>
                <w:szCs w:val="20"/>
                <w:color w:val="auto"/>
              </w:rPr>
            </w:pPr>
            <w:r>
              <w:rPr>
                <w:rFonts w:ascii="Arial" w:cs="Arial" w:eastAsia="Arial" w:hAnsi="Arial"/>
                <w:sz w:val="18"/>
                <w:szCs w:val="18"/>
                <w:b w:val="1"/>
                <w:bCs w:val="1"/>
                <w:color w:val="auto"/>
              </w:rPr>
              <w:t>Benchmark:</w:t>
            </w:r>
          </w:p>
        </w:tc>
        <w:tc>
          <w:tcPr>
            <w:tcW w:w="8320" w:type="dxa"/>
            <w:vAlign w:val="bottom"/>
          </w:tcPr>
          <w:p>
            <w:pPr>
              <w:ind w:left="460"/>
              <w:spacing w:after="0"/>
              <w:rPr>
                <w:sz w:val="20"/>
                <w:szCs w:val="20"/>
                <w:color w:val="auto"/>
              </w:rPr>
            </w:pPr>
            <w:r>
              <w:rPr>
                <w:rFonts w:ascii="Arial" w:cs="Arial" w:eastAsia="Arial" w:hAnsi="Arial"/>
                <w:sz w:val="18"/>
                <w:szCs w:val="18"/>
                <w:color w:val="auto"/>
              </w:rPr>
              <w:t>UST 0.250% due April 15, 2023 (yielding: 0.247%)</w:t>
            </w:r>
          </w:p>
        </w:tc>
      </w:tr>
      <w:tr>
        <w:trPr>
          <w:trHeight w:val="270"/>
        </w:trPr>
        <w:tc>
          <w:tcPr>
            <w:tcW w:w="2920" w:type="dxa"/>
            <w:vAlign w:val="bottom"/>
          </w:tcPr>
          <w:p>
            <w:pPr>
              <w:spacing w:after="0"/>
              <w:rPr>
                <w:sz w:val="20"/>
                <w:szCs w:val="20"/>
                <w:color w:val="auto"/>
              </w:rPr>
            </w:pPr>
            <w:r>
              <w:rPr>
                <w:rFonts w:ascii="Arial" w:cs="Arial" w:eastAsia="Arial" w:hAnsi="Arial"/>
                <w:sz w:val="18"/>
                <w:szCs w:val="18"/>
                <w:b w:val="1"/>
                <w:bCs w:val="1"/>
                <w:color w:val="auto"/>
              </w:rPr>
              <w:t>Ratings:*</w:t>
            </w:r>
          </w:p>
        </w:tc>
        <w:tc>
          <w:tcPr>
            <w:tcW w:w="8320" w:type="dxa"/>
            <w:vAlign w:val="bottom"/>
          </w:tcPr>
          <w:p>
            <w:pPr>
              <w:ind w:left="460"/>
              <w:spacing w:after="0"/>
              <w:rPr>
                <w:sz w:val="20"/>
                <w:szCs w:val="20"/>
                <w:color w:val="auto"/>
              </w:rPr>
            </w:pPr>
            <w:r>
              <w:rPr>
                <w:rFonts w:ascii="Arial" w:cs="Arial" w:eastAsia="Arial" w:hAnsi="Arial"/>
                <w:sz w:val="18"/>
                <w:szCs w:val="18"/>
                <w:color w:val="auto"/>
              </w:rPr>
              <w:t>[Intentionally Omitted]</w:t>
            </w:r>
          </w:p>
        </w:tc>
      </w:tr>
      <w:tr>
        <w:trPr>
          <w:trHeight w:val="540"/>
        </w:trPr>
        <w:tc>
          <w:tcPr>
            <w:tcW w:w="2920" w:type="dxa"/>
            <w:vAlign w:val="bottom"/>
          </w:tcPr>
          <w:p>
            <w:pPr>
              <w:spacing w:after="0"/>
              <w:rPr>
                <w:sz w:val="20"/>
                <w:szCs w:val="20"/>
                <w:color w:val="auto"/>
              </w:rPr>
            </w:pPr>
            <w:r>
              <w:rPr>
                <w:rFonts w:ascii="Arial" w:cs="Arial" w:eastAsia="Arial" w:hAnsi="Arial"/>
                <w:sz w:val="18"/>
                <w:szCs w:val="18"/>
                <w:b w:val="1"/>
                <w:bCs w:val="1"/>
                <w:color w:val="auto"/>
              </w:rPr>
              <w:t>Pricing Date:</w:t>
            </w:r>
          </w:p>
        </w:tc>
        <w:tc>
          <w:tcPr>
            <w:tcW w:w="8320" w:type="dxa"/>
            <w:vAlign w:val="bottom"/>
          </w:tcPr>
          <w:p>
            <w:pPr>
              <w:ind w:left="460"/>
              <w:spacing w:after="0"/>
              <w:rPr>
                <w:sz w:val="20"/>
                <w:szCs w:val="20"/>
                <w:color w:val="auto"/>
              </w:rPr>
            </w:pPr>
            <w:r>
              <w:rPr>
                <w:rFonts w:ascii="Arial" w:cs="Arial" w:eastAsia="Arial" w:hAnsi="Arial"/>
                <w:sz w:val="18"/>
                <w:szCs w:val="18"/>
                <w:color w:val="auto"/>
              </w:rPr>
              <w:t>April 21, 2020</w:t>
            </w:r>
          </w:p>
        </w:tc>
      </w:tr>
      <w:tr>
        <w:trPr>
          <w:trHeight w:val="270"/>
        </w:trPr>
        <w:tc>
          <w:tcPr>
            <w:tcW w:w="2920" w:type="dxa"/>
            <w:vAlign w:val="bottom"/>
          </w:tcPr>
          <w:p>
            <w:pPr>
              <w:spacing w:after="0"/>
              <w:rPr>
                <w:sz w:val="20"/>
                <w:szCs w:val="20"/>
                <w:color w:val="auto"/>
              </w:rPr>
            </w:pPr>
            <w:r>
              <w:rPr>
                <w:rFonts w:ascii="Arial" w:cs="Arial" w:eastAsia="Arial" w:hAnsi="Arial"/>
                <w:sz w:val="18"/>
                <w:szCs w:val="18"/>
                <w:b w:val="1"/>
                <w:bCs w:val="1"/>
                <w:color w:val="auto"/>
              </w:rPr>
              <w:t>Closing Date:**</w:t>
            </w:r>
          </w:p>
        </w:tc>
        <w:tc>
          <w:tcPr>
            <w:tcW w:w="8320" w:type="dxa"/>
            <w:vAlign w:val="bottom"/>
          </w:tcPr>
          <w:p>
            <w:pPr>
              <w:ind w:left="460"/>
              <w:spacing w:after="0"/>
              <w:rPr>
                <w:sz w:val="20"/>
                <w:szCs w:val="20"/>
                <w:color w:val="auto"/>
              </w:rPr>
            </w:pPr>
            <w:r>
              <w:rPr>
                <w:rFonts w:ascii="Arial" w:cs="Arial" w:eastAsia="Arial" w:hAnsi="Arial"/>
                <w:sz w:val="18"/>
                <w:szCs w:val="18"/>
                <w:color w:val="auto"/>
              </w:rPr>
              <w:t>April 24, 2020</w:t>
            </w:r>
          </w:p>
        </w:tc>
      </w:tr>
      <w:tr>
        <w:trPr>
          <w:trHeight w:val="270"/>
        </w:trPr>
        <w:tc>
          <w:tcPr>
            <w:tcW w:w="2920" w:type="dxa"/>
            <w:vAlign w:val="bottom"/>
          </w:tcPr>
          <w:p>
            <w:pPr>
              <w:spacing w:after="0"/>
              <w:rPr>
                <w:sz w:val="20"/>
                <w:szCs w:val="20"/>
                <w:color w:val="auto"/>
              </w:rPr>
            </w:pPr>
            <w:r>
              <w:rPr>
                <w:rFonts w:ascii="Arial" w:cs="Arial" w:eastAsia="Arial" w:hAnsi="Arial"/>
                <w:sz w:val="18"/>
                <w:szCs w:val="18"/>
                <w:b w:val="1"/>
                <w:bCs w:val="1"/>
                <w:color w:val="auto"/>
              </w:rPr>
              <w:t>CUSIP Number:</w:t>
            </w:r>
          </w:p>
        </w:tc>
        <w:tc>
          <w:tcPr>
            <w:tcW w:w="8320" w:type="dxa"/>
            <w:vAlign w:val="bottom"/>
          </w:tcPr>
          <w:p>
            <w:pPr>
              <w:ind w:left="460"/>
              <w:spacing w:after="0"/>
              <w:rPr>
                <w:sz w:val="20"/>
                <w:szCs w:val="20"/>
                <w:color w:val="auto"/>
              </w:rPr>
            </w:pPr>
            <w:r>
              <w:rPr>
                <w:rFonts w:ascii="Arial" w:cs="Arial" w:eastAsia="Arial" w:hAnsi="Arial"/>
                <w:sz w:val="18"/>
                <w:szCs w:val="18"/>
                <w:color w:val="auto"/>
              </w:rPr>
              <w:t>595112 BR 3</w:t>
            </w:r>
          </w:p>
        </w:tc>
      </w:tr>
      <w:tr>
        <w:trPr>
          <w:trHeight w:val="270"/>
        </w:trPr>
        <w:tc>
          <w:tcPr>
            <w:tcW w:w="2920" w:type="dxa"/>
            <w:vAlign w:val="bottom"/>
          </w:tcPr>
          <w:p>
            <w:pPr>
              <w:spacing w:after="0"/>
              <w:rPr>
                <w:sz w:val="20"/>
                <w:szCs w:val="20"/>
                <w:color w:val="auto"/>
              </w:rPr>
            </w:pPr>
            <w:r>
              <w:rPr>
                <w:rFonts w:ascii="Arial" w:cs="Arial" w:eastAsia="Arial" w:hAnsi="Arial"/>
                <w:sz w:val="18"/>
                <w:szCs w:val="18"/>
                <w:b w:val="1"/>
                <w:bCs w:val="1"/>
                <w:color w:val="auto"/>
              </w:rPr>
              <w:t>ISIN Number:</w:t>
            </w:r>
          </w:p>
        </w:tc>
        <w:tc>
          <w:tcPr>
            <w:tcW w:w="8320" w:type="dxa"/>
            <w:vAlign w:val="bottom"/>
          </w:tcPr>
          <w:p>
            <w:pPr>
              <w:ind w:left="460"/>
              <w:spacing w:after="0"/>
              <w:rPr>
                <w:sz w:val="20"/>
                <w:szCs w:val="20"/>
                <w:color w:val="auto"/>
              </w:rPr>
            </w:pPr>
            <w:r>
              <w:rPr>
                <w:rFonts w:ascii="Arial" w:cs="Arial" w:eastAsia="Arial" w:hAnsi="Arial"/>
                <w:sz w:val="18"/>
                <w:szCs w:val="18"/>
                <w:color w:val="auto"/>
              </w:rPr>
              <w:t>US595112BR36</w:t>
            </w:r>
          </w:p>
        </w:tc>
      </w:tr>
      <w:tr>
        <w:trPr>
          <w:trHeight w:val="270"/>
        </w:trPr>
        <w:tc>
          <w:tcPr>
            <w:tcW w:w="2920" w:type="dxa"/>
            <w:vAlign w:val="bottom"/>
          </w:tcPr>
          <w:p>
            <w:pPr>
              <w:spacing w:after="0"/>
              <w:rPr>
                <w:sz w:val="20"/>
                <w:szCs w:val="20"/>
                <w:color w:val="auto"/>
              </w:rPr>
            </w:pPr>
            <w:r>
              <w:rPr>
                <w:rFonts w:ascii="Arial" w:cs="Arial" w:eastAsia="Arial" w:hAnsi="Arial"/>
                <w:sz w:val="18"/>
                <w:szCs w:val="18"/>
                <w:b w:val="1"/>
                <w:bCs w:val="1"/>
                <w:color w:val="auto"/>
              </w:rPr>
              <w:t>Denominations:</w:t>
            </w:r>
          </w:p>
        </w:tc>
        <w:tc>
          <w:tcPr>
            <w:tcW w:w="8320" w:type="dxa"/>
            <w:vAlign w:val="bottom"/>
          </w:tcPr>
          <w:p>
            <w:pPr>
              <w:ind w:left="460"/>
              <w:spacing w:after="0"/>
              <w:rPr>
                <w:sz w:val="20"/>
                <w:szCs w:val="20"/>
                <w:color w:val="auto"/>
              </w:rPr>
            </w:pPr>
            <w:r>
              <w:rPr>
                <w:rFonts w:ascii="Arial" w:cs="Arial" w:eastAsia="Arial" w:hAnsi="Arial"/>
                <w:sz w:val="18"/>
                <w:szCs w:val="18"/>
                <w:color w:val="auto"/>
              </w:rPr>
              <w:t>$2,000 and integral multiples of $1,000 in excess thereof</w:t>
            </w:r>
          </w:p>
        </w:tc>
      </w:tr>
      <w:tr>
        <w:trPr>
          <w:trHeight w:val="256"/>
        </w:trPr>
        <w:tc>
          <w:tcPr>
            <w:tcW w:w="2920" w:type="dxa"/>
            <w:vAlign w:val="bottom"/>
          </w:tcPr>
          <w:p>
            <w:pPr>
              <w:spacing w:after="0"/>
              <w:rPr>
                <w:sz w:val="20"/>
                <w:szCs w:val="20"/>
                <w:color w:val="auto"/>
              </w:rPr>
            </w:pPr>
            <w:r>
              <w:rPr>
                <w:rFonts w:ascii="Arial" w:cs="Arial" w:eastAsia="Arial" w:hAnsi="Arial"/>
                <w:sz w:val="18"/>
                <w:szCs w:val="18"/>
                <w:b w:val="1"/>
                <w:bCs w:val="1"/>
                <w:color w:val="auto"/>
              </w:rPr>
              <w:t>Joint Book-Running Managers:</w:t>
            </w:r>
          </w:p>
        </w:tc>
        <w:tc>
          <w:tcPr>
            <w:tcW w:w="8320" w:type="dxa"/>
            <w:vAlign w:val="bottom"/>
          </w:tcPr>
          <w:p>
            <w:pPr>
              <w:ind w:left="46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Arial" w:cs="Arial" w:eastAsia="Arial" w:hAnsi="Arial"/>
                <w:sz w:val="18"/>
                <w:szCs w:val="18"/>
                <w:color w:val="auto"/>
              </w:rPr>
              <w:t>Credit Suisse Securities (USA) LLC</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Arial" w:cs="Arial" w:eastAsia="Arial" w:hAnsi="Arial"/>
                <w:sz w:val="18"/>
                <w:szCs w:val="18"/>
                <w:color w:val="auto"/>
              </w:rPr>
              <w:t>Morgan Stanley &amp; Co. LLC</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Arial" w:cs="Arial" w:eastAsia="Arial" w:hAnsi="Arial"/>
                <w:sz w:val="18"/>
                <w:szCs w:val="18"/>
                <w:color w:val="auto"/>
              </w:rPr>
              <w:t>Credit Agricole Securities (USA) Inc.</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Arial" w:cs="Arial" w:eastAsia="Arial" w:hAnsi="Arial"/>
                <w:sz w:val="18"/>
                <w:szCs w:val="18"/>
                <w:color w:val="auto"/>
              </w:rPr>
              <w:t>HSBC Securities (USA) Inc.</w:t>
            </w:r>
          </w:p>
        </w:tc>
      </w:tr>
      <w:tr>
        <w:trPr>
          <w:trHeight w:val="230"/>
        </w:trPr>
        <w:tc>
          <w:tcPr>
            <w:tcW w:w="2920" w:type="dxa"/>
            <w:vAlign w:val="bottom"/>
          </w:tcPr>
          <w:p>
            <w:pPr>
              <w:spacing w:after="0"/>
              <w:rPr>
                <w:sz w:val="20"/>
                <w:szCs w:val="20"/>
                <w:color w:val="auto"/>
              </w:rPr>
            </w:pPr>
          </w:p>
        </w:tc>
        <w:tc>
          <w:tcPr>
            <w:tcW w:w="8320" w:type="dxa"/>
            <w:vAlign w:val="bottom"/>
          </w:tcPr>
          <w:p>
            <w:pPr>
              <w:ind w:left="460"/>
              <w:spacing w:after="0"/>
              <w:rPr>
                <w:sz w:val="20"/>
                <w:szCs w:val="20"/>
                <w:color w:val="auto"/>
              </w:rPr>
            </w:pPr>
            <w:r>
              <w:rPr>
                <w:rFonts w:ascii="Arial" w:cs="Arial" w:eastAsia="Arial" w:hAnsi="Arial"/>
                <w:sz w:val="18"/>
                <w:szCs w:val="18"/>
                <w:color w:val="auto"/>
              </w:rPr>
              <w:t>MUFG Securities Americas Inc.</w:t>
            </w:r>
          </w:p>
        </w:tc>
      </w:tr>
      <w:tr>
        <w:trPr>
          <w:trHeight w:val="648"/>
        </w:trPr>
        <w:tc>
          <w:tcPr>
            <w:tcW w:w="292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ind w:left="2560"/>
              <w:spacing w:after="0"/>
              <w:rPr>
                <w:sz w:val="20"/>
                <w:szCs w:val="20"/>
                <w:color w:val="auto"/>
              </w:rPr>
            </w:pPr>
            <w:r>
              <w:rPr>
                <w:rFonts w:ascii="Arial" w:cs="Arial" w:eastAsia="Arial" w:hAnsi="Arial"/>
                <w:sz w:val="18"/>
                <w:szCs w:val="18"/>
                <w:color w:val="auto"/>
              </w:rPr>
              <w:t>A-1</w:t>
            </w:r>
          </w:p>
        </w:tc>
      </w:tr>
    </w:tbl>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ANZ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ICBC Standard Bank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Siebert Williams Shank &amp; Co.,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00" w:lineRule="exact"/>
        <w:rPr>
          <w:sz w:val="20"/>
          <w:szCs w:val="20"/>
          <w:color w:val="auto"/>
        </w:rPr>
      </w:pPr>
    </w:p>
    <w:p>
      <w:pPr>
        <w:sectPr>
          <w:pgSz w:w="11900" w:h="16838" w:orient="portrait"/>
          <w:cols w:equalWidth="0" w:num="2">
            <w:col w:w="2660" w:space="720"/>
            <w:col w:w="7840"/>
          </w:cols>
          <w:pgMar w:left="320" w:top="904" w:right="35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w:t>
      </w:r>
    </w:p>
    <w:p>
      <w:pPr>
        <w:spacing w:after="0" w:line="20" w:lineRule="exact"/>
        <w:rPr>
          <w:sz w:val="20"/>
          <w:szCs w:val="20"/>
          <w:color w:val="auto"/>
        </w:rPr>
      </w:pPr>
      <w:r>
        <w:rPr>
          <w:sz w:val="20"/>
          <w:szCs w:val="20"/>
          <w:color w:val="auto"/>
        </w:rPr>
        <w:br w:type="column"/>
      </w:r>
    </w:p>
    <w:p>
      <w:pPr>
        <w:ind w:right="600"/>
        <w:spacing w:after="0" w:line="277" w:lineRule="auto"/>
        <w:rPr>
          <w:sz w:val="20"/>
          <w:szCs w:val="20"/>
          <w:color w:val="auto"/>
        </w:rPr>
      </w:pPr>
      <w:r>
        <w:rPr>
          <w:rFonts w:ascii="Arial" w:cs="Arial" w:eastAsia="Arial" w:hAnsi="Arial"/>
          <w:sz w:val="18"/>
          <w:szCs w:val="18"/>
          <w:color w:val="auto"/>
        </w:rPr>
        <w:t>Micron estimates that the net proceeds from the offering, after deducting underwriting discounts and estimated offering fees and expenses, will be approximately $1,245 million.</w:t>
      </w:r>
    </w:p>
    <w:p>
      <w:pPr>
        <w:spacing w:after="0" w:line="200" w:lineRule="exact"/>
        <w:rPr>
          <w:sz w:val="20"/>
          <w:szCs w:val="20"/>
          <w:color w:val="auto"/>
        </w:rPr>
      </w:pPr>
    </w:p>
    <w:p>
      <w:pPr>
        <w:sectPr>
          <w:pgSz w:w="11900" w:h="16838" w:orient="portrait"/>
          <w:cols w:equalWidth="0" w:num="2">
            <w:col w:w="2660" w:space="720"/>
            <w:col w:w="7840"/>
          </w:cols>
          <w:pgMar w:left="320" w:top="904" w:right="35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Redemption at Micron’s Option:</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Micron may redeem the notes in whole at any time or in part from time to time, at a redemption price equal to the greater of (i) 100% of the principal amount of the notes to be redeemed and (ii) the sum of the present values of the remaining scheduled payments of principal and interest thereon (exclusive of interest accrued to the date of redemption), discounted to the date of redemption on a semi-annual basis (assuming a 360-day year consisting of twelve 30-day months) at the then current Treasury Rate plus 35 basis points, plus, in each case, accrued and unpaid interest, if any, on the amount being redeemed to, but excluding, the date of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201295</wp:posOffset>
            </wp:positionV>
            <wp:extent cx="14230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720"/>
            <w:col w:w="7840"/>
          </w:cols>
          <w:pgMar w:left="320" w:top="904" w:right="359" w:bottom="1440" w:gutter="0" w:footer="0" w:header="0"/>
          <w:type w:val="continuous"/>
        </w:sectPr>
      </w:pPr>
    </w:p>
    <w:p>
      <w:pPr>
        <w:spacing w:after="0" w:line="3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Note: A securities rating is not a recommendation to buy, sell or hold securities and may be subject to revision or withdrawal at 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w:t>
      </w:r>
    </w:p>
    <w:p>
      <w:pPr>
        <w:spacing w:after="0" w:line="207" w:lineRule="exact"/>
        <w:rPr>
          <w:sz w:val="20"/>
          <w:szCs w:val="20"/>
          <w:color w:val="auto"/>
        </w:rPr>
      </w:pPr>
    </w:p>
    <w:p>
      <w:pPr>
        <w:ind w:right="100" w:firstLine="656"/>
        <w:spacing w:after="0" w:line="256" w:lineRule="auto"/>
        <w:tabs>
          <w:tab w:leader="none" w:pos="918"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It is expected that delivery of the notes will be made against payment therefor on or about April 24, 2020, which will be the third business day following the date of pricing of the notes. Under Rule 15c6-1 of the Securities Exchange Act of 1934, as amended, trades in the secondary market generally are required to settle in two business days, unless the parties to any such trade expressly agree otherwise. Accordingly, purchasers who wish to trade notes on any date prior to the date that is two business days before delivery will be required, by virtue of the fact that the notes initially will settle in three business days (T+3), to specify alternative settlement arrangements to prevent a failed settlement.</w:t>
      </w:r>
    </w:p>
    <w:p>
      <w:pPr>
        <w:spacing w:after="0" w:line="187"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b w:val="1"/>
          <w:bCs w:val="1"/>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18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b w:val="1"/>
          <w:bCs w:val="1"/>
          <w:color w:val="auto"/>
        </w:rPr>
        <w:t>The issuer has filed a registration statement (including a prospectus) and a prospectus supplement with the Securities and Exchange Commission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Citigroup Global Markets Inc. at 1-800-831-9146, Credit Suisse Securities (USA) LLC toll free at 1-800-221-1037 or Morgan Stanley &amp; Co. LLC toll free at 1-866-718-1649.</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type w:val="continuous"/>
        </w:sectPr>
      </w:pPr>
    </w:p>
    <w:bookmarkStart w:id="41" w:name="page42"/>
    <w:bookmarkEnd w:id="41"/>
    <w:p>
      <w:pPr>
        <w:ind w:firstLine="648"/>
        <w:spacing w:after="0" w:line="266" w:lineRule="auto"/>
        <w:rPr>
          <w:sz w:val="20"/>
          <w:szCs w:val="20"/>
          <w:color w:val="auto"/>
        </w:rPr>
      </w:pPr>
      <w:r>
        <w:rPr>
          <w:rFonts w:ascii="Arial" w:cs="Arial" w:eastAsia="Arial" w:hAnsi="Arial"/>
          <w:sz w:val="18"/>
          <w:szCs w:val="18"/>
          <w:b w:val="1"/>
          <w:bCs w:val="1"/>
          <w:color w:val="auto"/>
        </w:rPr>
        <w:t>Any legends, disclaimers or other notices that may appear below are not applicable to this communication and should be disregarded. Such legends, disclaimers or other notices have been automatically generated as a result of this communication having been sent via Bloomberg or another system.</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t>Exhibit 4.2</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$1,250,000,000 2.497% SENIOR NOTES DUE 2023</w:t>
      </w: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THIRD SUPPLEMENTAL INDENTURE</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Dated as of April 24, 2020</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INDENTURE</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Dated as of February 6, 2019</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U.S. BANK NATIONAL ASSOCIATION</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6640" w:type="dxa"/>
            <w:vAlign w:val="bottom"/>
          </w:tcPr>
          <w:p>
            <w:pPr>
              <w:ind w:left="3040"/>
              <w:spacing w:after="0"/>
              <w:rPr>
                <w:sz w:val="20"/>
                <w:szCs w:val="20"/>
                <w:color w:val="auto"/>
              </w:rPr>
            </w:pPr>
            <w:r>
              <w:rPr>
                <w:rFonts w:ascii="Arial" w:cs="Arial" w:eastAsia="Arial" w:hAnsi="Arial"/>
                <w:sz w:val="18"/>
                <w:szCs w:val="18"/>
                <w:b w:val="1"/>
                <w:bCs w:val="1"/>
                <w:color w:val="auto"/>
              </w:rPr>
              <w:t>TABLE OF CONTENTS</w:t>
            </w:r>
          </w:p>
        </w:tc>
        <w:tc>
          <w:tcPr>
            <w:tcW w:w="2980" w:type="dxa"/>
            <w:vAlign w:val="bottom"/>
          </w:tcPr>
          <w:p>
            <w:pPr>
              <w:spacing w:after="0"/>
              <w:rPr>
                <w:sz w:val="20"/>
                <w:szCs w:val="20"/>
                <w:color w:val="auto"/>
              </w:rPr>
            </w:pPr>
          </w:p>
        </w:tc>
      </w:tr>
      <w:tr>
        <w:trPr>
          <w:trHeight w:val="418"/>
        </w:trPr>
        <w:tc>
          <w:tcPr>
            <w:tcW w:w="8260" w:type="dxa"/>
            <w:vAlign w:val="bottom"/>
            <w:gridSpan w:val="2"/>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2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260" w:type="dxa"/>
            <w:vAlign w:val="bottom"/>
            <w:gridSpan w:val="2"/>
          </w:tcPr>
          <w:p>
            <w:pPr>
              <w:ind w:left="6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Relationship with Base Indenture</w:t>
            </w:r>
          </w:p>
        </w:tc>
        <w:tc>
          <w:tcPr>
            <w:tcW w:w="2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8"/>
              </w:rPr>
              <w:t>Section 1.2.</w:t>
            </w:r>
          </w:p>
        </w:tc>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Definitions</w:t>
            </w:r>
          </w:p>
        </w:tc>
        <w:tc>
          <w:tcPr>
            <w:tcW w:w="2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ARTICLE 2. THE NOTES</w:t>
            </w:r>
          </w:p>
        </w:tc>
        <w:tc>
          <w:tcPr>
            <w:tcW w:w="2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260" w:type="dxa"/>
            <w:vAlign w:val="bottom"/>
            <w:gridSpan w:val="2"/>
          </w:tcPr>
          <w:p>
            <w:pPr>
              <w:ind w:left="6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Form and Dating</w:t>
            </w:r>
          </w:p>
        </w:tc>
        <w:tc>
          <w:tcPr>
            <w:tcW w:w="2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260" w:type="dxa"/>
            <w:vAlign w:val="bottom"/>
            <w:gridSpan w:val="2"/>
          </w:tcPr>
          <w:p>
            <w:pPr>
              <w:ind w:left="6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Transfer and Exchange</w:t>
            </w:r>
          </w:p>
        </w:tc>
        <w:tc>
          <w:tcPr>
            <w:tcW w:w="2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260" w:type="dxa"/>
            <w:vAlign w:val="bottom"/>
            <w:gridSpan w:val="2"/>
          </w:tcPr>
          <w:p>
            <w:pPr>
              <w:ind w:left="6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Issuance of Additional Notes</w:t>
            </w:r>
          </w:p>
        </w:tc>
        <w:tc>
          <w:tcPr>
            <w:tcW w:w="2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260" w:type="dxa"/>
            <w:vAlign w:val="bottom"/>
            <w:gridSpan w:val="2"/>
          </w:tcPr>
          <w:p>
            <w:pPr>
              <w:ind w:left="6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i w:val="1"/>
                <w:iCs w:val="1"/>
                <w:color w:val="auto"/>
              </w:rPr>
              <w:t>Execution and Authentication</w:t>
            </w:r>
          </w:p>
        </w:tc>
        <w:tc>
          <w:tcPr>
            <w:tcW w:w="2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ARTICLE 3. REDEMPTION AND PREPAYMENT</w:t>
            </w:r>
          </w:p>
        </w:tc>
        <w:tc>
          <w:tcPr>
            <w:tcW w:w="2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8"/>
              </w:rPr>
              <w:t>Section 3.1.</w:t>
            </w:r>
          </w:p>
        </w:tc>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Optional Redemption</w:t>
            </w:r>
          </w:p>
        </w:tc>
        <w:tc>
          <w:tcPr>
            <w:tcW w:w="2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ARTICLE 4. PARTICULAR COVENANTS</w:t>
            </w:r>
          </w:p>
        </w:tc>
        <w:tc>
          <w:tcPr>
            <w:tcW w:w="2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60" w:type="dxa"/>
            <w:vAlign w:val="bottom"/>
            <w:gridSpan w:val="2"/>
          </w:tcPr>
          <w:p>
            <w:pPr>
              <w:ind w:left="6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Offer to Purchase Upon Change of Control Triggering Event</w:t>
            </w:r>
          </w:p>
        </w:tc>
        <w:tc>
          <w:tcPr>
            <w:tcW w:w="2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8"/>
              </w:rPr>
              <w:t>Section 4.2.</w:t>
            </w:r>
          </w:p>
        </w:tc>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Liens</w:t>
            </w:r>
          </w:p>
        </w:tc>
        <w:tc>
          <w:tcPr>
            <w:tcW w:w="2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60" w:type="dxa"/>
            <w:vAlign w:val="bottom"/>
            <w:gridSpan w:val="2"/>
          </w:tcPr>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Sale and Lease Back Transactions</w:t>
            </w:r>
          </w:p>
        </w:tc>
        <w:tc>
          <w:tcPr>
            <w:tcW w:w="2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8"/>
              </w:rPr>
              <w:t>Section 4.4.</w:t>
            </w:r>
          </w:p>
        </w:tc>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Covenants</w:t>
            </w:r>
          </w:p>
        </w:tc>
        <w:tc>
          <w:tcPr>
            <w:tcW w:w="2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ARTICLE 5. SATISFACTION AND DISCHARGE; DEFEASANCE</w:t>
            </w:r>
          </w:p>
        </w:tc>
        <w:tc>
          <w:tcPr>
            <w:tcW w:w="2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260" w:type="dxa"/>
            <w:vAlign w:val="bottom"/>
            <w:gridSpan w:val="2"/>
          </w:tcPr>
          <w:p>
            <w:pPr>
              <w:ind w:left="6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Satisfaction and Discharge of Indenture</w:t>
            </w:r>
          </w:p>
        </w:tc>
        <w:tc>
          <w:tcPr>
            <w:tcW w:w="2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260" w:type="dxa"/>
            <w:vAlign w:val="bottom"/>
            <w:gridSpan w:val="2"/>
          </w:tcPr>
          <w:p>
            <w:pPr>
              <w:ind w:left="6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Legal Defeasance of Securities</w:t>
            </w:r>
          </w:p>
        </w:tc>
        <w:tc>
          <w:tcPr>
            <w:tcW w:w="2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8"/>
              </w:rPr>
              <w:t>Section 5.3.</w:t>
            </w:r>
          </w:p>
        </w:tc>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Covenant Defeasance</w:t>
            </w:r>
          </w:p>
        </w:tc>
        <w:tc>
          <w:tcPr>
            <w:tcW w:w="2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ARTICLE 6. MISCELLANEOUS</w:t>
            </w:r>
          </w:p>
        </w:tc>
        <w:tc>
          <w:tcPr>
            <w:tcW w:w="2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60" w:type="dxa"/>
            <w:vAlign w:val="bottom"/>
            <w:gridSpan w:val="2"/>
          </w:tcPr>
          <w:p>
            <w:pPr>
              <w:ind w:left="66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Trust Indenture Act Controls</w:t>
            </w:r>
          </w:p>
        </w:tc>
        <w:tc>
          <w:tcPr>
            <w:tcW w:w="2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8"/>
              </w:rPr>
              <w:t>Section 6.2.</w:t>
            </w:r>
          </w:p>
        </w:tc>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Governing Law</w:t>
            </w:r>
          </w:p>
        </w:tc>
        <w:tc>
          <w:tcPr>
            <w:tcW w:w="2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8"/>
              </w:rPr>
              <w:t>Section 6.3.</w:t>
            </w:r>
          </w:p>
        </w:tc>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Successors</w:t>
            </w:r>
          </w:p>
        </w:tc>
        <w:tc>
          <w:tcPr>
            <w:tcW w:w="2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8"/>
              </w:rPr>
              <w:t>Section 6.4.</w:t>
            </w:r>
          </w:p>
        </w:tc>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Severability</w:t>
            </w:r>
          </w:p>
        </w:tc>
        <w:tc>
          <w:tcPr>
            <w:tcW w:w="2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8"/>
              </w:rPr>
              <w:t>Section 6.5.</w:t>
            </w:r>
          </w:p>
        </w:tc>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Counterpart Originals</w:t>
            </w:r>
          </w:p>
        </w:tc>
        <w:tc>
          <w:tcPr>
            <w:tcW w:w="2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60" w:type="dxa"/>
            <w:vAlign w:val="bottom"/>
            <w:gridSpan w:val="2"/>
          </w:tcPr>
          <w:p>
            <w:pPr>
              <w:ind w:left="66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Table of Contents, Headings, Etc</w:t>
            </w:r>
            <w:r>
              <w:rPr>
                <w:rFonts w:ascii="Arial" w:cs="Arial" w:eastAsia="Arial" w:hAnsi="Arial"/>
                <w:sz w:val="18"/>
                <w:szCs w:val="18"/>
                <w:color w:val="auto"/>
              </w:rPr>
              <w:t>.</w:t>
            </w:r>
          </w:p>
        </w:tc>
        <w:tc>
          <w:tcPr>
            <w:tcW w:w="2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60" w:type="dxa"/>
            <w:vAlign w:val="bottom"/>
            <w:gridSpan w:val="2"/>
          </w:tcPr>
          <w:p>
            <w:pPr>
              <w:ind w:left="66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i w:val="1"/>
                <w:iCs w:val="1"/>
                <w:color w:val="auto"/>
              </w:rPr>
              <w:t>Waiver of Jury Trial</w:t>
            </w:r>
          </w:p>
        </w:tc>
        <w:tc>
          <w:tcPr>
            <w:tcW w:w="2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8"/>
              </w:rPr>
              <w:t>Section 6.8.</w:t>
            </w:r>
          </w:p>
        </w:tc>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Interpretation</w:t>
            </w:r>
          </w:p>
        </w:tc>
        <w:tc>
          <w:tcPr>
            <w:tcW w:w="2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60" w:type="dxa"/>
            <w:vAlign w:val="bottom"/>
            <w:gridSpan w:val="2"/>
          </w:tcPr>
          <w:p>
            <w:pPr>
              <w:ind w:left="660"/>
              <w:spacing w:after="0"/>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i w:val="1"/>
                <w:iCs w:val="1"/>
                <w:color w:val="auto"/>
              </w:rPr>
              <w:t>Instruction by Electronic Transmissions</w:t>
            </w:r>
          </w:p>
        </w:tc>
        <w:tc>
          <w:tcPr>
            <w:tcW w:w="2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89"/>
              </w:rPr>
              <w:t>Section 6.10.</w:t>
            </w:r>
          </w:p>
        </w:tc>
        <w:tc>
          <w:tcPr>
            <w:tcW w:w="6640" w:type="dxa"/>
            <w:vAlign w:val="bottom"/>
          </w:tcPr>
          <w:p>
            <w:pPr>
              <w:ind w:left="120"/>
              <w:spacing w:after="0"/>
              <w:rPr>
                <w:sz w:val="20"/>
                <w:szCs w:val="20"/>
                <w:color w:val="auto"/>
              </w:rPr>
            </w:pPr>
            <w:r>
              <w:rPr>
                <w:rFonts w:ascii="Arial" w:cs="Arial" w:eastAsia="Arial" w:hAnsi="Arial"/>
                <w:sz w:val="18"/>
                <w:szCs w:val="18"/>
                <w:i w:val="1"/>
                <w:iCs w:val="1"/>
                <w:color w:val="auto"/>
              </w:rPr>
              <w:t>Miscellaneous</w:t>
            </w:r>
          </w:p>
        </w:tc>
        <w:tc>
          <w:tcPr>
            <w:tcW w:w="2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Exhibit A</w:t>
            </w:r>
          </w:p>
        </w:tc>
        <w:tc>
          <w:tcPr>
            <w:tcW w:w="6640" w:type="dxa"/>
            <w:vAlign w:val="bottom"/>
          </w:tcPr>
          <w:p>
            <w:pPr>
              <w:spacing w:after="0"/>
              <w:rPr>
                <w:sz w:val="20"/>
                <w:szCs w:val="20"/>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FORM OF NOTE</w:t>
            </w:r>
          </w:p>
        </w:tc>
      </w:tr>
      <w:tr>
        <w:trPr>
          <w:trHeight w:val="432"/>
        </w:trPr>
        <w:tc>
          <w:tcPr>
            <w:tcW w:w="162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4" w:name="page45"/>
    <w:bookmarkEnd w:id="44"/>
    <w:p>
      <w:pPr>
        <w:ind w:right="500" w:firstLine="648"/>
        <w:spacing w:after="0" w:line="277" w:lineRule="auto"/>
        <w:rPr>
          <w:sz w:val="20"/>
          <w:szCs w:val="20"/>
          <w:color w:val="auto"/>
        </w:rPr>
      </w:pPr>
      <w:r>
        <w:rPr>
          <w:rFonts w:ascii="Arial" w:cs="Arial" w:eastAsia="Arial" w:hAnsi="Arial"/>
          <w:sz w:val="18"/>
          <w:szCs w:val="18"/>
          <w:color w:val="auto"/>
        </w:rPr>
        <w:t>THIRD SUPPLEMENTAL INDENTURE dated as of April 24, 2020 by and between Micron Technology,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U.S. Bank National Association, as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has heretofore executed and delivered to the Trustee an indenture, dated as of February 6, 2019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providing for the issuance from time to time of one or more Series of the Company’s securities.</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Section 9.1 of the Base Indenture provides that the Company and the Trustee, without the consent of any holders of the Company’s Securities, from time to time may amend or supplement certain terms and conditions in the Base Indenture, including to provide for the issuance of and establishment of terms of a Series of Securities as permitted by Sections 2.1 and 2.2 thereof.</w:t>
      </w:r>
    </w:p>
    <w:p>
      <w:pPr>
        <w:spacing w:after="0" w:line="184"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Company desires and has requested the Trustee pursuant to Section 9.1 of the Base Indenture to join with it in the execution and delivery of this Supplemental Indenture (together with the Base Indenture,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in order to supplement the Base Indenture as, and to the extent, set forth herein to provide for the issuance of and establish the forms and terms and conditions of the Notes (as defined below).</w:t>
      </w:r>
    </w:p>
    <w:p>
      <w:pPr>
        <w:spacing w:after="0" w:line="16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execution and delivery of this Supplemental Indenture has been duly authorized by votes of the Board of Directors or a duly authorized committee thereof.</w:t>
      </w:r>
    </w:p>
    <w:p>
      <w:pPr>
        <w:spacing w:after="0" w:line="17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All conditions and requirements necessary to make this Supplemental Indenture a valid, binding and legal instrument in accordance with its terms have been performed and fulfilled by the parties hereto and the execution and delivery thereof have been in all respects duly authorized by the parties 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and the Trustee agree as follows for the benefit of each other and for the equal and ratable benefit of the Holders (as defined herein)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the 2.497% Senior Notes due 2023:</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DEFINITIONS AND INCORPORATION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BY REFERENCE</w:t>
      </w:r>
    </w:p>
    <w:p>
      <w:pPr>
        <w:spacing w:after="0" w:line="21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i w:val="1"/>
          <w:iCs w:val="1"/>
          <w:color w:val="auto"/>
        </w:rPr>
        <w:t>Relationship with Base Indenture</w:t>
      </w:r>
      <w:r>
        <w:rPr>
          <w:rFonts w:ascii="Arial" w:cs="Arial" w:eastAsia="Arial" w:hAnsi="Arial"/>
          <w:sz w:val="16"/>
          <w:szCs w:val="16"/>
          <w:color w:val="auto"/>
        </w:rPr>
        <w:t>.</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terms and provisions contained in the Base Indenture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the Base Indenture conflicts with the express provisions of this Supplemental Indenture or the Notes, the provisions of this Supplemental Indenture or the Notes, as applicable, will govern and be controlling.</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Trustee accepts the amendment of the Base Indenture effected by this Supplemental Indenture and agrees to execute the trust created by the Base Indenture as hereby amended, but only upon the terms and conditions set forth in this Supplemental Indenture, including the rights, privileges and immunities of the Trustee set forth in the Base Indenture and the terms and provisions defining and limiting the liabilities and responsibilities of the Trustee in the performance of the trust created by the Base Indenture, and without limiting the generality of the foregoing, the Trustee will not be responsible in any manner whatsoever for, or with respect to, any of the recitals or statements contained herein, all of which recitals or statements are made solely by the Company, or for, or with respect to, (1) the proper authorization of this Supplemental Indenture by the Company, (2) the due execution hereof by the Company or (3) the consequences (direct or indirect and whether deliberate or inadvertent) of any amendment herein provided for, and the Trustee makes no representation with respect to any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5" w:name="page46"/>
    <w:bookmarkEnd w:id="45"/>
    <w:p>
      <w:pPr>
        <w:ind w:right="40" w:firstLine="648"/>
        <w:spacing w:after="0" w:line="257" w:lineRule="auto"/>
        <w:rPr>
          <w:sz w:val="20"/>
          <w:szCs w:val="20"/>
          <w:color w:val="auto"/>
        </w:rPr>
      </w:pPr>
      <w:r>
        <w:rPr>
          <w:rFonts w:ascii="Arial" w:cs="Arial" w:eastAsia="Arial" w:hAnsi="Arial"/>
          <w:sz w:val="18"/>
          <w:szCs w:val="18"/>
          <w:color w:val="auto"/>
        </w:rPr>
        <w:t>Further, the Trustee shall not be responsible or liable for any failure or delay in the performance of its obligations under this Indenture arising out of or caused, directly or indirectly, by circumstances beyond its reasonable control, including acts of God; earthquakes; fires; floods; wars; civil or military disturbances; sabotage; epidemics; riots; interruptions, loss or malfunctions of utilities, computer (hardware or software) or communications service; accidents; labor disputes; acts of civil or military authority or governmental actions; it being understood that the Trustee shall use its best efforts to resume performance as soon as practicable under the circumstances.</w:t>
      </w:r>
    </w:p>
    <w:p>
      <w:pPr>
        <w:spacing w:after="0" w:line="18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Capitalized terms used herein without definition shall have the respective meanings set forth in the Base Indenture. The following terms have the meanings given to them in this Section 1.2:</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Notes</w:t>
      </w:r>
      <w:r>
        <w:rPr>
          <w:rFonts w:ascii="Arial" w:cs="Arial" w:eastAsia="Arial" w:hAnsi="Arial"/>
          <w:sz w:val="18"/>
          <w:szCs w:val="18"/>
          <w:color w:val="auto"/>
        </w:rPr>
        <w:t>” means any Notes (other than the Initial Notes) issued under this Supplemental Indenture in accordance with Section 2.3 hereof, as part of the same Series as the Initial Notes.</w:t>
      </w:r>
    </w:p>
    <w:p>
      <w:pPr>
        <w:spacing w:after="0" w:line="17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Aggregate Debt</w:t>
      </w:r>
      <w:r>
        <w:rPr>
          <w:rFonts w:ascii="Arial" w:cs="Arial" w:eastAsia="Arial" w:hAnsi="Arial"/>
          <w:sz w:val="17"/>
          <w:szCs w:val="17"/>
          <w:color w:val="auto"/>
        </w:rPr>
        <w:t>” means the sum of the following as of the date of determination: (1) the then aggregate outstanding amount of the Indebtedness of the Company and its Restricted Subsidiaries, without duplication, incurred after the Issue Date and secured by Liens not otherwise permitted by Section 4.2(a) hereof; and (2) the then existing Attributable Debt of the Company and its Restricted Subsidiaries in respect of Sale and Lease Back Transactions, without duplication, entered into after the Issue Date pursuant to the last paragraph of Section 4.3 hereof; provided that any such Attributable Debt will be excluded from this clause (2) to the extent that Indebtedness relating thereto is included in clause (1) of this definition, provided 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Section 4.2 hereof),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6" w:name="page47"/>
    <w:bookmarkEnd w:id="46"/>
    <w:p>
      <w:pPr>
        <w:ind w:right="7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established by and customary for the Depositary that apply to such transfer or exchange.</w:t>
      </w:r>
    </w:p>
    <w:p>
      <w:pPr>
        <w:spacing w:after="0" w:line="170"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Attributable Debt</w:t>
      </w:r>
      <w:r>
        <w:rPr>
          <w:rFonts w:ascii="Arial" w:cs="Arial" w:eastAsia="Arial" w:hAnsi="Arial"/>
          <w:sz w:val="16"/>
          <w:szCs w:val="16"/>
          <w:color w:val="auto"/>
        </w:rPr>
        <w:t>” means in connection with a Sale and Lease 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5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has the meaning set forth in the preamble to this Supplemental Indenture, as it may be amended, supplemented or otherwise modified from time to time in accordance with the terms thereof.</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Below Investment Grade Rating Event</w:t>
      </w:r>
      <w:r>
        <w:rPr>
          <w:rFonts w:ascii="Arial" w:cs="Arial" w:eastAsia="Arial" w:hAnsi="Arial"/>
          <w:sz w:val="17"/>
          <w:szCs w:val="17"/>
          <w:color w:val="auto"/>
        </w:rPr>
        <w:t>” means the rating on the Notes is lowered by two or more of the Rating Agencies within 60 days from the earlier of (1) the date of the first public notice of an arrangement that could result in a Change of Control or (2) the occurrence of a Change of Control (which period shall be extended so long as the rating of the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Notes are rated Investment Grade by two or more of the Rating Agencies.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w:t>
      </w:r>
    </w:p>
    <w:p>
      <w:pPr>
        <w:spacing w:after="0" w:line="225" w:lineRule="exact"/>
        <w:rPr>
          <w:sz w:val="20"/>
          <w:szCs w:val="20"/>
          <w:color w:val="auto"/>
        </w:rPr>
      </w:pPr>
    </w:p>
    <w:p>
      <w:pPr>
        <w:ind w:left="660" w:right="80" w:firstLine="644"/>
        <w:spacing w:after="0" w:line="286" w:lineRule="auto"/>
        <w:tabs>
          <w:tab w:leader="none" w:pos="1793"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w:t>
      </w:r>
    </w:p>
    <w:p>
      <w:pPr>
        <w:spacing w:after="0" w:line="1" w:lineRule="exact"/>
        <w:rPr>
          <w:rFonts w:ascii="Arial" w:cs="Arial" w:eastAsia="Arial" w:hAnsi="Arial"/>
          <w:sz w:val="16"/>
          <w:szCs w:val="16"/>
          <w:color w:val="auto"/>
        </w:rPr>
      </w:pPr>
    </w:p>
    <w:p>
      <w:pPr>
        <w:ind w:left="660" w:right="40" w:hanging="4"/>
        <w:spacing w:after="0" w:line="268" w:lineRule="auto"/>
        <w:tabs>
          <w:tab w:leader="none" w:pos="905" w:val="left"/>
        </w:tabs>
        <w:numPr>
          <w:ilvl w:val="0"/>
          <w:numId w:val="43"/>
        </w:numPr>
        <w:rPr>
          <w:rFonts w:ascii="Arial" w:cs="Arial" w:eastAsia="Arial" w:hAnsi="Arial"/>
          <w:sz w:val="17"/>
          <w:szCs w:val="17"/>
          <w:color w:val="auto"/>
        </w:rPr>
      </w:pPr>
      <w:r>
        <w:rPr>
          <w:rFonts w:ascii="Arial" w:cs="Arial" w:eastAsia="Arial" w:hAnsi="Arial"/>
          <w:sz w:val="17"/>
          <w:szCs w:val="17"/>
          <w:color w:val="auto"/>
        </w:rPr>
        <w:t>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181" w:lineRule="exact"/>
        <w:rPr>
          <w:rFonts w:ascii="Arial" w:cs="Arial" w:eastAsia="Arial" w:hAnsi="Arial"/>
          <w:sz w:val="17"/>
          <w:szCs w:val="17"/>
          <w:color w:val="auto"/>
        </w:rPr>
      </w:pPr>
    </w:p>
    <w:p>
      <w:pPr>
        <w:ind w:left="660" w:right="20" w:firstLine="644"/>
        <w:spacing w:after="0" w:line="257" w:lineRule="auto"/>
        <w:tabs>
          <w:tab w:leader="none" w:pos="1843"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88" w:lineRule="exact"/>
        <w:rPr>
          <w:sz w:val="20"/>
          <w:szCs w:val="20"/>
          <w:color w:val="auto"/>
        </w:rPr>
      </w:pPr>
    </w:p>
    <w:p>
      <w:pPr>
        <w:ind w:left="5580" w:right="3940" w:hanging="4276"/>
        <w:spacing w:after="0" w:line="778" w:lineRule="auto"/>
        <w:tabs>
          <w:tab w:leader="none" w:pos="189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7" w:name="page48"/>
    <w:bookmarkEnd w:id="47"/>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of Control Triggering Event</w:t>
      </w:r>
      <w:r>
        <w:rPr>
          <w:rFonts w:ascii="Arial" w:cs="Arial" w:eastAsia="Arial" w:hAnsi="Arial"/>
          <w:sz w:val="17"/>
          <w:szCs w:val="17"/>
          <w:color w:val="auto"/>
        </w:rPr>
        <w:t>” means the occurrence of both a Change of Control and a Below Investment Grade Rating Event.</w:t>
      </w:r>
    </w:p>
    <w:p>
      <w:pPr>
        <w:spacing w:after="0" w:line="23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Comparable Treasury Issue</w:t>
      </w:r>
      <w:r>
        <w:rPr>
          <w:rFonts w:ascii="Arial" w:cs="Arial" w:eastAsia="Arial" w:hAnsi="Arial"/>
          <w:sz w:val="18"/>
          <w:szCs w:val="18"/>
          <w:color w:val="auto"/>
        </w:rPr>
        <w:t>” means, with respect to any Notes to be redeemed, the United States Treasury security selected by a Reference Treasury Dealer as having an actual or interpolated maturity comparable to the period from the redemption date to April 24, 2023 that would be utilized, at the time of selection and in accordance with customary financial practice, in pricing new issues of corporate debt securities of comparable maturity to the period from the redemption date to April 24, 2023.</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Comparable Treasury Price</w:t>
      </w:r>
      <w:r>
        <w:rPr>
          <w:rFonts w:ascii="Arial" w:cs="Arial" w:eastAsia="Arial" w:hAnsi="Arial"/>
          <w:sz w:val="18"/>
          <w:szCs w:val="18"/>
          <w:color w:val="auto"/>
        </w:rPr>
        <w:t>” means, with respect to any redemption date, (1) the arithmetic average, as determined by the Company, of the Reference Treasury Dealer Quotations for such redemption date after excluding the highest and lowest Reference Treasury Dealer Quotations; or (2) if the Company obtains fewer than four Reference Treasury Dealer Quotations, the arithmetic average of all Reference Treasury Dealer Quotations for such redemption date.</w:t>
      </w:r>
    </w:p>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Consolidated Net Tangible Assets</w:t>
      </w:r>
      <w:r>
        <w:rPr>
          <w:rFonts w:ascii="Arial" w:cs="Arial" w:eastAsia="Arial" w:hAnsi="Arial"/>
          <w:sz w:val="16"/>
          <w:szCs w:val="16"/>
          <w:color w:val="auto"/>
        </w:rPr>
        <w:t>”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6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Subsidiaries</w:t>
      </w:r>
      <w:r>
        <w:rPr>
          <w:rFonts w:ascii="Arial" w:cs="Arial" w:eastAsia="Arial" w:hAnsi="Arial"/>
          <w:sz w:val="18"/>
          <w:szCs w:val="18"/>
          <w:color w:val="auto"/>
        </w:rPr>
        <w:t>” means, as of any date of determination and with respect to any person, those subsidiaries of that person whose financial data is, in accordance with GAAP, reflected in that person’s consolidated financial statements.</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Definitive Note</w:t>
      </w:r>
      <w:r>
        <w:rPr>
          <w:rFonts w:ascii="Arial" w:cs="Arial" w:eastAsia="Arial" w:hAnsi="Arial"/>
          <w:sz w:val="18"/>
          <w:szCs w:val="18"/>
          <w:color w:val="auto"/>
        </w:rPr>
        <w:t xml:space="preserve">” means a certificated Note registered in the name of the Holder thereof and issued in accordance with Section 2.2 hereof,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hereto, except that such Note will not bear the Global Note Legend.</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Depositary</w:t>
      </w:r>
      <w:r>
        <w:rPr>
          <w:rFonts w:ascii="Arial" w:cs="Arial" w:eastAsia="Arial" w:hAnsi="Arial"/>
          <w:sz w:val="18"/>
          <w:szCs w:val="18"/>
          <w:color w:val="auto"/>
        </w:rPr>
        <w:t>” means, with respect to the Notes issuable or issued in whole or in part in global form, the person specified in Section 2.1 hereof as the Depositary with respect to such Notes, and any and all successors thereto appointed as depositary hereunder.</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Interests</w:t>
      </w:r>
      <w:r>
        <w:rPr>
          <w:rFonts w:ascii="Arial" w:cs="Arial" w:eastAsia="Arial" w:hAnsi="Arial"/>
          <w:sz w:val="18"/>
          <w:szCs w:val="18"/>
          <w:color w:val="auto"/>
        </w:rPr>
        <w:t>” means all Capital Stock and all warrants or options with respect to, or other rights to purchase, Capital Stock, but excluding Indebtedness convertible into or exchangeable for equity.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ind w:right="1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Credit Facility</w:t>
      </w:r>
      <w:r>
        <w:rPr>
          <w:rFonts w:ascii="Arial" w:cs="Arial" w:eastAsia="Arial" w:hAnsi="Arial"/>
          <w:sz w:val="18"/>
          <w:szCs w:val="18"/>
          <w:color w:val="auto"/>
        </w:rPr>
        <w:t>” means that certain Credit Agreement, dated as of July 3, 2018 (as the same has been and may be amended, restated, modified or supplemented from time to time), by and among the Company, JPMorgan Chase Bank, N.A., as administrative agent and collateral agent, and the other agents party thereto and each financial institution party from time to time thereto.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Fitch</w:t>
      </w:r>
      <w:r>
        <w:rPr>
          <w:rFonts w:ascii="Arial" w:cs="Arial" w:eastAsia="Arial" w:hAnsi="Arial"/>
          <w:sz w:val="18"/>
          <w:szCs w:val="18"/>
          <w:color w:val="auto"/>
        </w:rPr>
        <w:t>” means Fitch Ratings Inc. and any successor to its rating agency business.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Subsidiary</w:t>
      </w:r>
      <w:r>
        <w:rPr>
          <w:rFonts w:ascii="Arial" w:cs="Arial" w:eastAsia="Arial" w:hAnsi="Arial"/>
          <w:sz w:val="18"/>
          <w:szCs w:val="18"/>
          <w:color w:val="auto"/>
        </w:rPr>
        <w:t>” means, with respect to any person, any Subsidiary of such person other than one that is organized or existing under the laws of the United States, any state thereof or the District of Columbia.</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Note Legend</w:t>
      </w:r>
      <w:r>
        <w:rPr>
          <w:rFonts w:ascii="Arial" w:cs="Arial" w:eastAsia="Arial" w:hAnsi="Arial"/>
          <w:sz w:val="18"/>
          <w:szCs w:val="18"/>
          <w:color w:val="auto"/>
        </w:rPr>
        <w:t>” means the legend set forth in Section 2.2(e) hereof, which is required to be placed on all Global Notes issued under this Supplemental Indenture.</w:t>
      </w:r>
    </w:p>
    <w:p>
      <w:pPr>
        <w:spacing w:after="0" w:line="17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Notes</w:t>
      </w:r>
      <w:r>
        <w:rPr>
          <w:rFonts w:ascii="Arial" w:cs="Arial" w:eastAsia="Arial" w:hAnsi="Arial"/>
          <w:sz w:val="18"/>
          <w:szCs w:val="18"/>
          <w:color w:val="auto"/>
        </w:rPr>
        <w:t xml:space="preserve">” means, individually and collectively, each of the Global Notes,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issued in accordance with Section 2.1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 person in whose name a Note is registered.</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Indebtedness</w:t>
      </w:r>
      <w:r>
        <w:rPr>
          <w:rFonts w:ascii="Arial" w:cs="Arial" w:eastAsia="Arial" w:hAnsi="Arial"/>
          <w:sz w:val="18"/>
          <w:szCs w:val="18"/>
          <w:color w:val="auto"/>
        </w:rPr>
        <w:t>”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25" w:lineRule="exact"/>
        <w:rPr>
          <w:sz w:val="20"/>
          <w:szCs w:val="20"/>
          <w:color w:val="auto"/>
        </w:rPr>
      </w:pPr>
    </w:p>
    <w:p>
      <w:pPr>
        <w:ind w:left="1820" w:hanging="516"/>
        <w:spacing w:after="0"/>
        <w:tabs>
          <w:tab w:leader="none" w:pos="18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accreted value of the Indebtedness, in the case of any Indebtedness that does not require the current payment of interest;</w:t>
      </w:r>
    </w:p>
    <w:p>
      <w:pPr>
        <w:spacing w:after="0" w:line="248" w:lineRule="exact"/>
        <w:rPr>
          <w:rFonts w:ascii="Arial" w:cs="Arial" w:eastAsia="Arial" w:hAnsi="Arial"/>
          <w:sz w:val="16"/>
          <w:szCs w:val="16"/>
          <w:color w:val="auto"/>
        </w:rPr>
      </w:pPr>
    </w:p>
    <w:p>
      <w:pPr>
        <w:ind w:left="1820" w:hanging="516"/>
        <w:spacing w:after="0"/>
        <w:tabs>
          <w:tab w:leader="none" w:pos="1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225" w:lineRule="exact"/>
        <w:rPr>
          <w:rFonts w:ascii="Arial" w:cs="Arial" w:eastAsia="Arial" w:hAnsi="Arial"/>
          <w:sz w:val="18"/>
          <w:szCs w:val="18"/>
          <w:color w:val="auto"/>
        </w:rPr>
      </w:pPr>
    </w:p>
    <w:p>
      <w:pPr>
        <w:ind w:left="660" w:right="40" w:firstLine="644"/>
        <w:spacing w:after="0" w:line="263" w:lineRule="auto"/>
        <w:tabs>
          <w:tab w:leader="none" w:pos="1833"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this Indenture.</w:t>
      </w:r>
    </w:p>
    <w:p>
      <w:pPr>
        <w:spacing w:after="0" w:line="17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the Base Indenture, as supplemented by this Supplemental Indenture, governing the Notes, in each case, as amended, supplemented or restated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Initial Notes</w:t>
      </w:r>
      <w:r>
        <w:rPr>
          <w:rFonts w:ascii="Arial" w:cs="Arial" w:eastAsia="Arial" w:hAnsi="Arial"/>
          <w:sz w:val="16"/>
          <w:szCs w:val="16"/>
          <w:color w:val="auto"/>
        </w:rPr>
        <w:t>” means the $1,250,000,000 aggregate principal amount of Notes issued under this Supplemental Indenture on the date hereof.</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right="2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Investment Grade</w:t>
      </w:r>
      <w:r>
        <w:rPr>
          <w:rFonts w:ascii="Arial" w:cs="Arial" w:eastAsia="Arial" w:hAnsi="Arial"/>
          <w:sz w:val="16"/>
          <w:szCs w:val="16"/>
          <w:color w:val="auto"/>
        </w:rPr>
        <w:t>” means a rating of BBB- or better by Fitch (or its equivalent under any successor rating categories of Fitch), Baa3 or better by Moody’s (or its equivalent under any successor rating categories of Moody’s) and a rating of BBB- or better by S&amp;P (or its equivalent under any successor rating categories of S&amp;P) or the equivalent investment grade credit rating from any additional Rating Agency or Rating Agencies selected by the Company.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Issue Date</w:t>
      </w:r>
      <w:r>
        <w:rPr>
          <w:rFonts w:ascii="Arial" w:cs="Arial" w:eastAsia="Arial" w:hAnsi="Arial"/>
          <w:sz w:val="18"/>
          <w:szCs w:val="18"/>
          <w:color w:val="auto"/>
        </w:rPr>
        <w:t>” means the date hereof.</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Joint Venture</w:t>
      </w:r>
      <w:r>
        <w:rPr>
          <w:rFonts w:ascii="Arial" w:cs="Arial" w:eastAsia="Arial" w:hAnsi="Arial"/>
          <w:sz w:val="18"/>
          <w:szCs w:val="18"/>
          <w:color w:val="auto"/>
        </w:rPr>
        <w:t>” means, with respect to any person, any partnership, corporation or other entity in which up to and including 50% of the Equity Interests is owned, directly or indirectly, by such person and/or one or more of its Subsidiaries.</w:t>
      </w:r>
    </w:p>
    <w:p>
      <w:pPr>
        <w:spacing w:after="0" w:line="170" w:lineRule="exact"/>
        <w:rPr>
          <w:sz w:val="20"/>
          <w:szCs w:val="20"/>
          <w:color w:val="auto"/>
        </w:rPr>
      </w:pPr>
    </w:p>
    <w:p>
      <w:pPr>
        <w:jc w:val="both"/>
        <w:ind w:right="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Lien</w:t>
      </w:r>
      <w:r>
        <w:rPr>
          <w:rFonts w:ascii="Arial" w:cs="Arial" w:eastAsia="Arial" w:hAnsi="Arial"/>
          <w:sz w:val="16"/>
          <w:szCs w:val="16"/>
          <w:color w:val="auto"/>
        </w:rPr>
        <w:t>”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Nonrecourse Obligation</w:t>
      </w:r>
      <w:r>
        <w:rPr>
          <w:rFonts w:ascii="Arial" w:cs="Arial" w:eastAsia="Arial" w:hAnsi="Arial"/>
          <w:sz w:val="18"/>
          <w:szCs w:val="18"/>
          <w:color w:val="auto"/>
        </w:rPr>
        <w:t>”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8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xml:space="preserve">” means the Company’s 2.497% Senior Notes due 2023;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Initial Notes and the Additional Notes, if any, will be treated as a single Series for all purposes under this Supplemental Indenture, and unless the context otherwise requires, all references to the Notes will include the Initial Notes and any Additional Notes.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with respect to the Depositary, a person who has an account with the Depositary.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left="980" w:right="34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 including the Existing Credit Facility;</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granted after the Issue Date created in favor of the Holders of the Notes;</w:t>
      </w:r>
    </w:p>
    <w:p>
      <w:pPr>
        <w:spacing w:after="0" w:line="252" w:lineRule="exact"/>
        <w:rPr>
          <w:rFonts w:ascii="Arial" w:cs="Arial" w:eastAsia="Arial" w:hAnsi="Arial"/>
          <w:sz w:val="18"/>
          <w:szCs w:val="18"/>
          <w:color w:val="auto"/>
        </w:rPr>
      </w:pPr>
    </w:p>
    <w:p>
      <w:pPr>
        <w:ind w:left="980" w:hanging="324"/>
        <w:spacing w:after="0" w:line="273" w:lineRule="auto"/>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324" w:right="140" w:hanging="324"/>
        <w:spacing w:after="0" w:line="272" w:lineRule="auto"/>
        <w:tabs>
          <w:tab w:leader="none" w:pos="324" w:val="left"/>
        </w:tabs>
        <w:numPr>
          <w:ilvl w:val="0"/>
          <w:numId w:val="47"/>
        </w:numPr>
        <w:rPr>
          <w:rFonts w:ascii="Arial" w:cs="Arial" w:eastAsia="Arial" w:hAnsi="Arial"/>
          <w:sz w:val="17"/>
          <w:szCs w:val="17"/>
          <w:color w:val="auto"/>
        </w:rPr>
      </w:pPr>
      <w:r>
        <w:rPr>
          <w:rFonts w:ascii="Arial" w:cs="Arial" w:eastAsia="Arial" w:hAnsi="Arial"/>
          <w:sz w:val="17"/>
          <w:szCs w:val="17"/>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204" w:lineRule="exact"/>
        <w:rPr>
          <w:rFonts w:ascii="Arial" w:cs="Arial" w:eastAsia="Arial" w:hAnsi="Arial"/>
          <w:sz w:val="17"/>
          <w:szCs w:val="17"/>
          <w:color w:val="auto"/>
        </w:rPr>
      </w:pPr>
    </w:p>
    <w:p>
      <w:pPr>
        <w:ind w:left="324" w:right="140" w:hanging="324"/>
        <w:spacing w:after="0" w:line="271" w:lineRule="auto"/>
        <w:tabs>
          <w:tab w:leader="none" w:pos="324"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 (a) and (b), such Liens do not extend to other Principal Property owned by the Company or any Restricted Subsidiary or shares of Capital Stock of a Restricted Subsidiary that, in each case, were not previously encumbered by such Liens;</w:t>
      </w:r>
    </w:p>
    <w:p>
      <w:pPr>
        <w:spacing w:after="0" w:line="205" w:lineRule="exact"/>
        <w:rPr>
          <w:rFonts w:ascii="Arial" w:cs="Arial" w:eastAsia="Arial" w:hAnsi="Arial"/>
          <w:sz w:val="17"/>
          <w:szCs w:val="17"/>
          <w:color w:val="auto"/>
        </w:rPr>
      </w:pPr>
    </w:p>
    <w:p>
      <w:pPr>
        <w:ind w:left="324" w:right="60" w:hanging="324"/>
        <w:spacing w:after="0" w:line="263" w:lineRule="auto"/>
        <w:tabs>
          <w:tab w:leader="none" w:pos="3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of the Company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210" w:lineRule="exact"/>
        <w:rPr>
          <w:rFonts w:ascii="Arial" w:cs="Arial" w:eastAsia="Arial" w:hAnsi="Arial"/>
          <w:sz w:val="18"/>
          <w:szCs w:val="18"/>
          <w:color w:val="auto"/>
        </w:rPr>
      </w:pPr>
    </w:p>
    <w:p>
      <w:pPr>
        <w:ind w:left="324" w:hanging="324"/>
        <w:spacing w:after="0"/>
        <w:tabs>
          <w:tab w:leader="none" w:pos="3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in favor of the Company or a Restricted Subsidiary of the Company;</w:t>
      </w:r>
    </w:p>
    <w:p>
      <w:pPr>
        <w:spacing w:after="0" w:line="252" w:lineRule="exact"/>
        <w:rPr>
          <w:rFonts w:ascii="Arial" w:cs="Arial" w:eastAsia="Arial" w:hAnsi="Arial"/>
          <w:sz w:val="18"/>
          <w:szCs w:val="18"/>
          <w:color w:val="auto"/>
        </w:rPr>
      </w:pPr>
    </w:p>
    <w:p>
      <w:pPr>
        <w:ind w:left="324" w:right="160" w:hanging="324"/>
        <w:spacing w:after="0" w:line="263" w:lineRule="auto"/>
        <w:tabs>
          <w:tab w:leader="none" w:pos="3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210" w:lineRule="exact"/>
        <w:rPr>
          <w:rFonts w:ascii="Arial" w:cs="Arial" w:eastAsia="Arial" w:hAnsi="Arial"/>
          <w:sz w:val="18"/>
          <w:szCs w:val="18"/>
          <w:color w:val="auto"/>
        </w:rPr>
      </w:pPr>
    </w:p>
    <w:p>
      <w:pPr>
        <w:ind w:left="324" w:right="100" w:hanging="324"/>
        <w:spacing w:after="0" w:line="277" w:lineRule="auto"/>
        <w:tabs>
          <w:tab w:leader="none" w:pos="3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197" w:lineRule="exact"/>
        <w:rPr>
          <w:rFonts w:ascii="Arial" w:cs="Arial" w:eastAsia="Arial" w:hAnsi="Arial"/>
          <w:sz w:val="18"/>
          <w:szCs w:val="18"/>
          <w:color w:val="auto"/>
        </w:rPr>
      </w:pPr>
    </w:p>
    <w:p>
      <w:pPr>
        <w:ind w:left="384" w:hanging="384"/>
        <w:spacing w:after="0" w:line="255" w:lineRule="auto"/>
        <w:tabs>
          <w:tab w:leader="none" w:pos="384"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219" w:lineRule="exact"/>
        <w:rPr>
          <w:rFonts w:ascii="Arial" w:cs="Arial" w:eastAsia="Arial" w:hAnsi="Arial"/>
          <w:sz w:val="18"/>
          <w:szCs w:val="18"/>
          <w:color w:val="auto"/>
        </w:rPr>
      </w:pPr>
    </w:p>
    <w:p>
      <w:pPr>
        <w:ind w:left="384" w:right="20" w:hanging="384"/>
        <w:spacing w:after="0" w:line="279" w:lineRule="auto"/>
        <w:tabs>
          <w:tab w:leader="none" w:pos="384" w:val="left"/>
        </w:tabs>
        <w:numPr>
          <w:ilvl w:val="0"/>
          <w:numId w:val="47"/>
        </w:numPr>
        <w:rPr>
          <w:rFonts w:ascii="Arial" w:cs="Arial" w:eastAsia="Arial" w:hAnsi="Arial"/>
          <w:sz w:val="17"/>
          <w:szCs w:val="17"/>
          <w:color w:val="auto"/>
        </w:rPr>
      </w:pPr>
      <w:r>
        <w:rPr>
          <w:rFonts w:ascii="Arial" w:cs="Arial" w:eastAsia="Arial" w:hAnsi="Arial"/>
          <w:sz w:val="17"/>
          <w:szCs w:val="17"/>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38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4"/>
          </w:cols>
          <w:pgMar w:left="976" w:top="908" w:right="379" w:bottom="1440" w:gutter="0" w:footer="0" w:header="0"/>
        </w:sectPr>
      </w:pPr>
    </w:p>
    <w:bookmarkStart w:id="51" w:name="page52"/>
    <w:bookmarkEnd w:id="51"/>
    <w:p>
      <w:pPr>
        <w:ind w:left="1040" w:hanging="384"/>
        <w:spacing w:after="0" w:line="342" w:lineRule="auto"/>
        <w:tabs>
          <w:tab w:leader="none" w:pos="10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p>
    <w:p>
      <w:pPr>
        <w:spacing w:after="0" w:line="150" w:lineRule="exact"/>
        <w:rPr>
          <w:rFonts w:ascii="Arial" w:cs="Arial" w:eastAsia="Arial" w:hAnsi="Arial"/>
          <w:sz w:val="16"/>
          <w:szCs w:val="16"/>
          <w:color w:val="auto"/>
        </w:rPr>
      </w:pPr>
    </w:p>
    <w:p>
      <w:pPr>
        <w:ind w:left="1040" w:hanging="384"/>
        <w:spacing w:after="0"/>
        <w:tabs>
          <w:tab w:leader="none" w:pos="10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Liens created in connection with the acquisition of assets or a project financed with, and created to secure a Nonrecourse Obligation; and</w:t>
      </w:r>
    </w:p>
    <w:p>
      <w:pPr>
        <w:spacing w:after="0" w:line="275" w:lineRule="exact"/>
        <w:rPr>
          <w:rFonts w:ascii="Arial" w:cs="Arial" w:eastAsia="Arial" w:hAnsi="Arial"/>
          <w:sz w:val="16"/>
          <w:szCs w:val="16"/>
          <w:color w:val="auto"/>
        </w:rPr>
      </w:pPr>
    </w:p>
    <w:p>
      <w:pPr>
        <w:ind w:left="1040" w:right="40" w:hanging="384"/>
        <w:spacing w:after="0" w:line="272" w:lineRule="auto"/>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extension, renewal, substitution, reinstatement or replacement (or successive extensions, renewals, substitutions, reinstatements or replacements), in whole or in part, of any Lien referred to in this or the preceding clauses (1) through (13),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clauses (1) through (13).</w:t>
      </w:r>
    </w:p>
    <w:p>
      <w:pPr>
        <w:spacing w:after="0" w:line="17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70"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Principal Property</w:t>
      </w:r>
      <w:r>
        <w:rPr>
          <w:rFonts w:ascii="Arial" w:cs="Arial" w:eastAsia="Arial" w:hAnsi="Arial"/>
          <w:sz w:val="17"/>
          <w:szCs w:val="17"/>
          <w:color w:val="auto"/>
        </w:rPr>
        <w:t>”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 (2) having a net book value, as of the date of determination, in excess of 1% of Consolidated Net Tangible Assets of the Company.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17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Rating Agency</w:t>
      </w:r>
      <w:r>
        <w:rPr>
          <w:rFonts w:ascii="Arial" w:cs="Arial" w:eastAsia="Arial" w:hAnsi="Arial"/>
          <w:sz w:val="18"/>
          <w:szCs w:val="18"/>
          <w:color w:val="auto"/>
        </w:rPr>
        <w:t>”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3(a)(62) of the Exchange Act, selected by the Company as a replacement agency for Fitch, Moody’s or S&amp;P, or all of them, as the case may be.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Reference Treasury Dealer</w:t>
      </w:r>
      <w:r>
        <w:rPr>
          <w:rFonts w:ascii="Arial" w:cs="Arial" w:eastAsia="Arial" w:hAnsi="Arial"/>
          <w:sz w:val="18"/>
          <w:szCs w:val="18"/>
          <w:color w:val="auto"/>
        </w:rPr>
        <w:t>” means at least two primary U.S. Government securities dealers selected by the Company, which may include any of Citigroup Global Markets Inc., Credit Suisse Securities (USA) LLC or Morgan Stanley &amp; Co. LLC, and each of their respective successors and affiliates. If any of the foregoing shall cease to be a primary U.S. Government securities dealer, the Company will substitute another nationally recognized investment banking firm that is a primary U.S. Government securities dealer.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2" w:name="page53"/>
    <w:bookmarkEnd w:id="52"/>
    <w:p>
      <w:pPr>
        <w:ind w:right="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Reference Treasury Dealer Quotation</w:t>
      </w:r>
      <w:r>
        <w:rPr>
          <w:rFonts w:ascii="Arial" w:cs="Arial" w:eastAsia="Arial" w:hAnsi="Arial"/>
          <w:sz w:val="17"/>
          <w:szCs w:val="17"/>
          <w:color w:val="auto"/>
        </w:rPr>
        <w:t>” means, on any redemption date, the arithmetic average, as determined by the Company, of the bid and asked prices for the Comparable Treasury Issue (expressed in each case as a percentage of its principal amount) quoted in writing to the Company by each Reference Treasury Dealer at 3:30 p.m., New York City time, on the third Business Day preceding that redemption date.</w:t>
      </w:r>
    </w:p>
    <w:p>
      <w:pPr>
        <w:spacing w:after="0" w:line="165"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Remaining Scheduled Payments</w:t>
      </w:r>
      <w:r>
        <w:rPr>
          <w:rFonts w:ascii="Arial" w:cs="Arial" w:eastAsia="Arial" w:hAnsi="Arial"/>
          <w:sz w:val="16"/>
          <w:szCs w:val="16"/>
          <w:color w:val="auto"/>
        </w:rPr>
        <w:t>” means, with respect to any Notes being redeemed, the sum of the present values of the remaining scheduled payments of the principal and interest thereon (exclusive of interest accrued to the date of redemption), discounted to the date of redemption on a semi-annual basis (assuming a 360-day year consisting of twelve 30-day months) at the then current Treasury Rate plus 35 basis points.</w:t>
      </w:r>
    </w:p>
    <w:p>
      <w:pPr>
        <w:spacing w:after="0" w:line="14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Subsidiary</w:t>
      </w:r>
      <w:r>
        <w:rPr>
          <w:rFonts w:ascii="Arial" w:cs="Arial" w:eastAsia="Arial" w:hAnsi="Arial"/>
          <w:sz w:val="17"/>
          <w:szCs w:val="17"/>
          <w:color w:val="auto"/>
        </w:rPr>
        <w:t>” shall mean each Subsidiary of the Company (1) that is organized or existing under the laws of the United States, any state thereof or the District of Columbia other than any such Subsidiary that is a direct or indirect Subsidiary of one or more Foreign Subsidiaries of the Company, (2) 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S&amp;P</w:t>
      </w:r>
      <w:r>
        <w:rPr>
          <w:rFonts w:ascii="Arial" w:cs="Arial" w:eastAsia="Arial" w:hAnsi="Arial"/>
          <w:sz w:val="18"/>
          <w:szCs w:val="18"/>
          <w:color w:val="auto"/>
        </w:rPr>
        <w:t>” means S&amp;P Global Ratings, and any successor to its rating agency business.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Sale and Lease Back Transaction</w:t>
      </w:r>
      <w:r>
        <w:rPr>
          <w:rFonts w:ascii="Arial" w:cs="Arial" w:eastAsia="Arial" w:hAnsi="Arial"/>
          <w:sz w:val="18"/>
          <w:szCs w:val="18"/>
          <w:color w:val="auto"/>
        </w:rPr>
        <w:t>” means an arrangement with any lender or investor or to which such lender or investor is a party providing for the leasing by the Company or any Subsidiary of the Company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the Company or any Subsidiary of the Company to such lender or investor or to any person to whom funds have been or are to be advanced by such lender on the security of such Principal Property.</w:t>
      </w:r>
    </w:p>
    <w:p>
      <w:pPr>
        <w:spacing w:after="0" w:line="19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Officer</w:t>
      </w:r>
      <w:r>
        <w:rPr>
          <w:rFonts w:ascii="Arial" w:cs="Arial" w:eastAsia="Arial" w:hAnsi="Arial"/>
          <w:sz w:val="18"/>
          <w:szCs w:val="18"/>
          <w:color w:val="auto"/>
        </w:rPr>
        <w:t>” of any specified person means the chief executive officer, any president, any vice president, the chief financial officer, the treasurer, any assistant treasurer, the secretary or any assistant secretary.</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18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Supplemental Indenture</w:t>
      </w:r>
      <w:r>
        <w:rPr>
          <w:rFonts w:ascii="Arial" w:cs="Arial" w:eastAsia="Arial" w:hAnsi="Arial"/>
          <w:sz w:val="18"/>
          <w:szCs w:val="18"/>
          <w:color w:val="auto"/>
        </w:rPr>
        <w:t>” means this Third Supplemental Indenture, dated as of the date hereof, by and between the Company and the Trustee, governing the Notes, as it may be amended, supplemented or otherwise modified from time to time in accordance with the Base Indenture and the terms hereof.</w:t>
      </w:r>
    </w:p>
    <w:p>
      <w:pPr>
        <w:spacing w:after="0" w:line="184"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Treasury Rate</w:t>
      </w:r>
      <w:r>
        <w:rPr>
          <w:rFonts w:ascii="Arial" w:cs="Arial" w:eastAsia="Arial" w:hAnsi="Arial"/>
          <w:sz w:val="17"/>
          <w:szCs w:val="17"/>
          <w:color w:val="auto"/>
        </w:rPr>
        <w:t>” means, with respect to any redemption date, the rate per annum equal to the semi-annual equivalent yield to maturity (computed as of the third business day immediately preceding that redemption date) of the Comparable Treasury Issue, assuming a price for the Comparable Treasury Issue (expressed as a percentage of its principal amount) equal to the Comparable Treasury Price for that redemption date.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3" w:name="page54"/>
    <w:bookmarkEnd w:id="53"/>
    <w:p>
      <w:pPr>
        <w:ind w:right="2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Voting Stock</w:t>
      </w:r>
      <w:r>
        <w:rPr>
          <w:rFonts w:ascii="Arial" w:cs="Arial" w:eastAsia="Arial" w:hAnsi="Arial"/>
          <w:sz w:val="16"/>
          <w:szCs w:val="16"/>
          <w:color w:val="auto"/>
        </w:rPr>
        <w:t>”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ind w:left="660"/>
              <w:spacing w:after="0"/>
              <w:rPr>
                <w:sz w:val="20"/>
                <w:szCs w:val="20"/>
                <w:color w:val="auto"/>
              </w:rPr>
            </w:pPr>
            <w:r>
              <w:rPr>
                <w:rFonts w:ascii="Arial" w:cs="Arial" w:eastAsia="Arial" w:hAnsi="Arial"/>
                <w:sz w:val="18"/>
                <w:szCs w:val="18"/>
                <w:i w:val="1"/>
                <w:iCs w:val="1"/>
                <w:color w:val="auto"/>
              </w:rPr>
              <w:t>Other Definitions</w:t>
            </w: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9480" w:type="dxa"/>
            <w:vAlign w:val="bottom"/>
            <w:tcBorders>
              <w:bottom w:val="single" w:sz="8" w:color="auto"/>
            </w:tcBorders>
          </w:tcPr>
          <w:p>
            <w:pPr>
              <w:ind w:left="4540"/>
              <w:spacing w:after="0"/>
              <w:rPr>
                <w:sz w:val="20"/>
                <w:szCs w:val="20"/>
                <w:color w:val="auto"/>
              </w:rPr>
            </w:pPr>
            <w:r>
              <w:rPr>
                <w:rFonts w:ascii="Arial" w:cs="Arial" w:eastAsia="Arial" w:hAnsi="Arial"/>
                <w:sz w:val="18"/>
                <w:szCs w:val="18"/>
                <w:b w:val="1"/>
                <w:bCs w:val="1"/>
                <w:color w:val="auto"/>
              </w:rPr>
              <w:t>Term</w:t>
            </w:r>
          </w:p>
        </w:tc>
        <w:tc>
          <w:tcPr>
            <w:tcW w:w="8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Defined in Section</w:t>
            </w:r>
          </w:p>
        </w:tc>
      </w:tr>
      <w:tr>
        <w:trPr>
          <w:trHeight w:val="195"/>
        </w:trPr>
        <w:tc>
          <w:tcPr>
            <w:tcW w:w="9480" w:type="dxa"/>
            <w:vAlign w:val="bottom"/>
          </w:tcPr>
          <w:p>
            <w:pPr>
              <w:spacing w:after="0" w:line="195" w:lineRule="exact"/>
              <w:rPr>
                <w:sz w:val="20"/>
                <w:szCs w:val="20"/>
                <w:color w:val="auto"/>
              </w:rPr>
            </w:pPr>
            <w:r>
              <w:rPr>
                <w:rFonts w:ascii="Arial" w:cs="Arial" w:eastAsia="Arial" w:hAnsi="Arial"/>
                <w:sz w:val="18"/>
                <w:szCs w:val="18"/>
                <w:i w:val="1"/>
                <w:iCs w:val="1"/>
                <w:color w:val="auto"/>
              </w:rPr>
              <w:t>“Change of Control Purchase Date”</w:t>
            </w:r>
          </w:p>
        </w:tc>
        <w:tc>
          <w:tcPr>
            <w:tcW w:w="80" w:type="dxa"/>
            <w:vAlign w:val="bottom"/>
          </w:tcPr>
          <w:p>
            <w:pPr>
              <w:spacing w:after="0"/>
              <w:rPr>
                <w:sz w:val="16"/>
                <w:szCs w:val="16"/>
                <w:color w:val="auto"/>
              </w:rPr>
            </w:pPr>
          </w:p>
        </w:tc>
        <w:tc>
          <w:tcPr>
            <w:tcW w:w="1580" w:type="dxa"/>
            <w:vAlign w:val="bottom"/>
          </w:tcPr>
          <w:p>
            <w:pPr>
              <w:jc w:val="center"/>
              <w:spacing w:after="0" w:line="195" w:lineRule="exact"/>
              <w:rPr>
                <w:sz w:val="20"/>
                <w:szCs w:val="20"/>
                <w:color w:val="auto"/>
              </w:rPr>
            </w:pPr>
            <w:r>
              <w:rPr>
                <w:rFonts w:ascii="Arial" w:cs="Arial" w:eastAsia="Arial" w:hAnsi="Arial"/>
                <w:sz w:val="18"/>
                <w:szCs w:val="18"/>
                <w:color w:val="auto"/>
                <w:w w:val="87"/>
              </w:rPr>
              <w:t>4.1</w:t>
            </w:r>
          </w:p>
        </w:tc>
      </w:tr>
      <w:tr>
        <w:trPr>
          <w:trHeight w:val="216"/>
        </w:trPr>
        <w:tc>
          <w:tcPr>
            <w:tcW w:w="9480" w:type="dxa"/>
            <w:vAlign w:val="bottom"/>
          </w:tcPr>
          <w:p>
            <w:pPr>
              <w:spacing w:after="0"/>
              <w:rPr>
                <w:sz w:val="20"/>
                <w:szCs w:val="20"/>
                <w:color w:val="auto"/>
              </w:rPr>
            </w:pPr>
            <w:r>
              <w:rPr>
                <w:rFonts w:ascii="Arial" w:cs="Arial" w:eastAsia="Arial" w:hAnsi="Arial"/>
                <w:sz w:val="18"/>
                <w:szCs w:val="18"/>
                <w:i w:val="1"/>
                <w:iCs w:val="1"/>
                <w:color w:val="auto"/>
              </w:rPr>
              <w:t>“Change of Control Purchase Price”</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r>
      <w:tr>
        <w:trPr>
          <w:trHeight w:val="216"/>
        </w:trPr>
        <w:tc>
          <w:tcPr>
            <w:tcW w:w="9480" w:type="dxa"/>
            <w:vAlign w:val="bottom"/>
          </w:tcPr>
          <w:p>
            <w:pPr>
              <w:spacing w:after="0"/>
              <w:rPr>
                <w:sz w:val="20"/>
                <w:szCs w:val="20"/>
                <w:color w:val="auto"/>
              </w:rPr>
            </w:pPr>
            <w:r>
              <w:rPr>
                <w:rFonts w:ascii="Arial" w:cs="Arial" w:eastAsia="Arial" w:hAnsi="Arial"/>
                <w:sz w:val="18"/>
                <w:szCs w:val="18"/>
                <w:i w:val="1"/>
                <w:iCs w:val="1"/>
                <w:color w:val="auto"/>
              </w:rPr>
              <w:t>“DTC”</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87"/>
              </w:rPr>
              <w:t>2.1</w:t>
            </w:r>
          </w:p>
        </w:tc>
      </w:tr>
      <w:tr>
        <w:trPr>
          <w:trHeight w:val="216"/>
        </w:trPr>
        <w:tc>
          <w:tcPr>
            <w:tcW w:w="9480" w:type="dxa"/>
            <w:vAlign w:val="bottom"/>
          </w:tcPr>
          <w:p>
            <w:pPr>
              <w:spacing w:after="0"/>
              <w:rPr>
                <w:sz w:val="20"/>
                <w:szCs w:val="20"/>
                <w:color w:val="auto"/>
              </w:rPr>
            </w:pPr>
            <w:r>
              <w:rPr>
                <w:rFonts w:ascii="Arial" w:cs="Arial" w:eastAsia="Arial" w:hAnsi="Arial"/>
                <w:sz w:val="18"/>
                <w:szCs w:val="18"/>
                <w:i w:val="1"/>
                <w:iCs w:val="1"/>
                <w:color w:val="auto"/>
              </w:rPr>
              <w:t>“Expiration Date”</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r>
      <w:tr>
        <w:trPr>
          <w:trHeight w:val="216"/>
        </w:trPr>
        <w:tc>
          <w:tcPr>
            <w:tcW w:w="9480" w:type="dxa"/>
            <w:vAlign w:val="bottom"/>
          </w:tcPr>
          <w:p>
            <w:pPr>
              <w:spacing w:after="0"/>
              <w:rPr>
                <w:sz w:val="20"/>
                <w:szCs w:val="20"/>
                <w:color w:val="auto"/>
              </w:rPr>
            </w:pPr>
            <w:r>
              <w:rPr>
                <w:rFonts w:ascii="Arial" w:cs="Arial" w:eastAsia="Arial" w:hAnsi="Arial"/>
                <w:sz w:val="18"/>
                <w:szCs w:val="18"/>
                <w:i w:val="1"/>
                <w:iCs w:val="1"/>
                <w:color w:val="auto"/>
              </w:rPr>
              <w:t>“Interest Payment Date”</w:t>
            </w:r>
          </w:p>
        </w:tc>
        <w:tc>
          <w:tcPr>
            <w:tcW w:w="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Paragraph 1of</w:t>
            </w:r>
          </w:p>
        </w:tc>
      </w:tr>
      <w:tr>
        <w:trPr>
          <w:trHeight w:val="216"/>
        </w:trPr>
        <w:tc>
          <w:tcPr>
            <w:tcW w:w="9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Exhibit A,</w:t>
            </w:r>
          </w:p>
        </w:tc>
      </w:tr>
      <w:tr>
        <w:trPr>
          <w:trHeight w:val="216"/>
        </w:trPr>
        <w:tc>
          <w:tcPr>
            <w:tcW w:w="9480" w:type="dxa"/>
            <w:vAlign w:val="bottom"/>
          </w:tcPr>
          <w:p>
            <w:pPr>
              <w:spacing w:after="0"/>
              <w:rPr>
                <w:sz w:val="20"/>
                <w:szCs w:val="20"/>
                <w:color w:val="auto"/>
              </w:rPr>
            </w:pPr>
            <w:r>
              <w:rPr>
                <w:rFonts w:ascii="Arial" w:cs="Arial" w:eastAsia="Arial" w:hAnsi="Arial"/>
                <w:sz w:val="18"/>
                <w:szCs w:val="18"/>
                <w:i w:val="1"/>
                <w:iCs w:val="1"/>
                <w:color w:val="auto"/>
              </w:rPr>
              <w:t>“Offer to Purchase”</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r>
      <w:tr>
        <w:trPr>
          <w:trHeight w:val="230"/>
        </w:trPr>
        <w:tc>
          <w:tcPr>
            <w:tcW w:w="9480" w:type="dxa"/>
            <w:vAlign w:val="bottom"/>
          </w:tcPr>
          <w:p>
            <w:pPr>
              <w:spacing w:after="0"/>
              <w:rPr>
                <w:sz w:val="20"/>
                <w:szCs w:val="20"/>
                <w:color w:val="auto"/>
              </w:rPr>
            </w:pPr>
            <w:r>
              <w:rPr>
                <w:rFonts w:ascii="Arial" w:cs="Arial" w:eastAsia="Arial" w:hAnsi="Arial"/>
                <w:sz w:val="18"/>
                <w:szCs w:val="18"/>
                <w:i w:val="1"/>
                <w:iCs w:val="1"/>
                <w:color w:val="auto"/>
              </w:rPr>
              <w:t>“Second Change of Control Purchase Date”</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r>
    </w:tbl>
    <w:p>
      <w:pPr>
        <w:spacing w:after="0" w:line="19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THE NOTES</w:t>
      </w:r>
    </w:p>
    <w:p>
      <w:pPr>
        <w:sectPr>
          <w:pgSz w:w="11900" w:h="16838" w:orient="portrait"/>
          <w:cols w:equalWidth="0" w:num="1">
            <w:col w:w="11220"/>
          </w:cols>
          <w:pgMar w:left="320" w:top="908" w:right="359" w:bottom="1440" w:gutter="0" w:footer="0" w:header="0"/>
        </w:sectPr>
      </w:pP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Section 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Form and Dating</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1520" w:space="580"/>
            <w:col w:w="9120"/>
          </w:cols>
          <w:pgMar w:left="320" w:top="908" w:right="359" w:bottom="1440" w:gutter="0" w:footer="0" w:header="0"/>
          <w:type w:val="continuous"/>
        </w:sectPr>
      </w:pPr>
    </w:p>
    <w:p>
      <w:pPr>
        <w:spacing w:after="0" w:line="34" w:lineRule="exact"/>
        <w:rPr>
          <w:sz w:val="20"/>
          <w:szCs w:val="20"/>
          <w:color w:val="auto"/>
        </w:rPr>
      </w:pPr>
    </w:p>
    <w:p>
      <w:pPr>
        <w:ind w:right="120" w:firstLine="1304"/>
        <w:spacing w:after="0" w:line="286" w:lineRule="auto"/>
        <w:tabs>
          <w:tab w:leader="none" w:pos="2215"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The Notes and the Trustee’s certificate of authentication with respect thereto will be substantially in the form of</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Notes may have notations, legends or endorsements required by law, stock exchange rule or usage. Each Note will be dated the date of its authentication. The Notes will be in minimum denominations of $2,000 with integral multiples of $1,000 in excess thereof.</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terms and provisions contained in the Notes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any Note conflicts with the express provisions of the Indenture, the provisions of the Indenture will govern and be controlling.</w:t>
      </w:r>
    </w:p>
    <w:p>
      <w:pPr>
        <w:spacing w:after="0" w:line="187" w:lineRule="exact"/>
        <w:rPr>
          <w:sz w:val="20"/>
          <w:szCs w:val="20"/>
          <w:color w:val="auto"/>
        </w:rPr>
      </w:pPr>
    </w:p>
    <w:p>
      <w:pPr>
        <w:ind w:left="2240" w:hanging="936"/>
        <w:spacing w:after="0"/>
        <w:tabs>
          <w:tab w:leader="none" w:pos="22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Global Notes.</w:t>
      </w:r>
    </w:p>
    <w:p>
      <w:pPr>
        <w:spacing w:after="0" w:line="225" w:lineRule="exact"/>
        <w:rPr>
          <w:rFonts w:ascii="Arial" w:cs="Arial" w:eastAsia="Arial" w:hAnsi="Arial"/>
          <w:sz w:val="18"/>
          <w:szCs w:val="18"/>
          <w:color w:val="auto"/>
        </w:rPr>
      </w:pPr>
    </w:p>
    <w:p>
      <w:pPr>
        <w:ind w:right="200" w:firstLine="1952"/>
        <w:spacing w:after="0" w:line="263" w:lineRule="auto"/>
        <w:tabs>
          <w:tab w:leader="none" w:pos="2873"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Notes issued in global form will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(including the Global Note Legend thereon). Notes issued in definitive form will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(but without the Global Note Legend thereon).</w:t>
      </w:r>
    </w:p>
    <w:p>
      <w:pPr>
        <w:spacing w:after="0" w:line="183" w:lineRule="exact"/>
        <w:rPr>
          <w:rFonts w:ascii="Arial" w:cs="Arial" w:eastAsia="Arial" w:hAnsi="Arial"/>
          <w:sz w:val="18"/>
          <w:szCs w:val="18"/>
          <w:color w:val="auto"/>
        </w:rPr>
      </w:pPr>
    </w:p>
    <w:p>
      <w:pPr>
        <w:ind w:left="2880" w:hanging="928"/>
        <w:spacing w:after="0"/>
        <w:tabs>
          <w:tab w:leader="none" w:pos="28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40" w:firstLine="1952"/>
        <w:spacing w:after="0" w:line="293" w:lineRule="auto"/>
        <w:tabs>
          <w:tab w:leader="none" w:pos="2873" w:val="left"/>
        </w:tabs>
        <w:numPr>
          <w:ilvl w:val="1"/>
          <w:numId w:val="50"/>
        </w:numPr>
        <w:rPr>
          <w:rFonts w:ascii="Arial" w:cs="Arial" w:eastAsia="Arial" w:hAnsi="Arial"/>
          <w:sz w:val="16"/>
          <w:szCs w:val="16"/>
          <w:color w:val="auto"/>
        </w:rPr>
      </w:pPr>
      <w:r>
        <w:rPr>
          <w:rFonts w:ascii="Arial" w:cs="Arial" w:eastAsia="Arial" w:hAnsi="Arial"/>
          <w:sz w:val="16"/>
          <w:szCs w:val="16"/>
          <w:color w:val="auto"/>
        </w:rPr>
        <w:t>Each Global Note will represent such of the outstanding Notes as will be specified therein and each will provide that it will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2.2 hereof. The Company initially appoints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to act as Depositary with respect to the Global Notes.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54" w:name="page55"/>
    <w:bookmarkEnd w:id="54"/>
    <w:p>
      <w:pPr>
        <w:ind w:left="660"/>
        <w:spacing w:after="0"/>
        <w:tabs>
          <w:tab w:leader="none" w:pos="208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i w:val="1"/>
          <w:iCs w:val="1"/>
          <w:color w:val="auto"/>
        </w:rPr>
        <w:t>Transfer and Exchange</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311" w:lineRule="auto"/>
        <w:tabs>
          <w:tab w:leader="none" w:pos="2215"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Transfer and Exchange of Global Notes</w:t>
      </w:r>
      <w:r>
        <w:rPr>
          <w:rFonts w:ascii="Arial" w:cs="Arial" w:eastAsia="Arial" w:hAnsi="Arial"/>
          <w:sz w:val="16"/>
          <w:szCs w:val="16"/>
          <w:color w:val="auto"/>
        </w:rPr>
        <w:t>. A Global Note may not be transferred as a whole except by the Depositary to a</w:t>
      </w:r>
      <w:r>
        <w:rPr>
          <w:rFonts w:ascii="Arial" w:cs="Arial" w:eastAsia="Arial" w:hAnsi="Arial"/>
          <w:sz w:val="16"/>
          <w:szCs w:val="16"/>
          <w:i w:val="1"/>
          <w:iCs w:val="1"/>
          <w:color w:val="auto"/>
        </w:rPr>
        <w:t xml:space="preserve"> </w:t>
      </w:r>
      <w:r>
        <w:rPr>
          <w:rFonts w:ascii="Arial" w:cs="Arial" w:eastAsia="Arial" w:hAnsi="Arial"/>
          <w:sz w:val="16"/>
          <w:szCs w:val="16"/>
          <w:color w:val="auto"/>
        </w:rPr>
        <w:t>nominee of the 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if:</w:t>
      </w:r>
    </w:p>
    <w:p>
      <w:pPr>
        <w:spacing w:after="0" w:line="149" w:lineRule="exact"/>
        <w:rPr>
          <w:sz w:val="20"/>
          <w:szCs w:val="20"/>
          <w:color w:val="auto"/>
        </w:rPr>
      </w:pPr>
    </w:p>
    <w:p>
      <w:pPr>
        <w:ind w:right="40" w:firstLine="1304"/>
        <w:spacing w:after="0" w:line="263" w:lineRule="auto"/>
        <w:tabs>
          <w:tab w:leader="none" w:pos="182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90 days after the date of such notice from the Depositary;</w:t>
      </w:r>
    </w:p>
    <w:p>
      <w:pPr>
        <w:spacing w:after="0" w:line="183" w:lineRule="exact"/>
        <w:rPr>
          <w:rFonts w:ascii="Arial" w:cs="Arial" w:eastAsia="Arial" w:hAnsi="Arial"/>
          <w:sz w:val="18"/>
          <w:szCs w:val="18"/>
          <w:color w:val="auto"/>
        </w:rPr>
      </w:pPr>
    </w:p>
    <w:p>
      <w:pPr>
        <w:ind w:right="20" w:firstLine="1304"/>
        <w:spacing w:after="0" w:line="277" w:lineRule="auto"/>
        <w:tabs>
          <w:tab w:leader="none" w:pos="182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Event of Default has occurred and the Trustee has received a written request from DTC that the Global Notes (in whole but not in part) should be exchanged for Definitive Notes; or</w:t>
      </w:r>
    </w:p>
    <w:p>
      <w:pPr>
        <w:spacing w:after="0" w:line="170" w:lineRule="exact"/>
        <w:rPr>
          <w:rFonts w:ascii="Arial" w:cs="Arial" w:eastAsia="Arial" w:hAnsi="Arial"/>
          <w:sz w:val="18"/>
          <w:szCs w:val="18"/>
          <w:color w:val="auto"/>
        </w:rPr>
      </w:pPr>
    </w:p>
    <w:p>
      <w:pPr>
        <w:ind w:right="80" w:firstLine="1304"/>
        <w:spacing w:after="0" w:line="277" w:lineRule="auto"/>
        <w:tabs>
          <w:tab w:leader="none" w:pos="182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in its sole discretion and subject to the procedures of the Depositary determines that the Global Notes (in whole but not in part) should be exchanged for Definitive Notes and delivers a written notice to such effect to the Trustee.</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Upon the occurrence of either of the preceding events in (1), (2) or (3) above, Definitive Notes will be issued in such names and in any approved denominations as the Depositary will instruct the Trustee. Global Notes also may be exchanged or replaced, in whole or in part, as provided in Sections 2.8 and 2.11 of the Base Indenture. Every Note authenticated and delivered in exchange for, or in lieu of, a Global Note or any portion thereof, pursuant to this Section 2.2 (subject to any contrary provision in this Section 2.2(a)) or Sections 2.8 or 2.11 of the Base Indenture, will be authenticated and delivered in the form of, and will be, a Global Note. A Global Note may not be exchanged for another Note other than as provided in this Section 2.2(a); however, beneficial interests in a Global Note may be transferred and exchanged as provided in Sections 2.2(b) or (f) hereof.</w:t>
      </w:r>
    </w:p>
    <w:p>
      <w:pPr>
        <w:spacing w:after="0" w:line="164" w:lineRule="exact"/>
        <w:rPr>
          <w:sz w:val="20"/>
          <w:szCs w:val="20"/>
          <w:color w:val="auto"/>
        </w:rPr>
      </w:pPr>
    </w:p>
    <w:p>
      <w:pPr>
        <w:ind w:right="80" w:firstLine="1304"/>
        <w:spacing w:after="0" w:line="259" w:lineRule="auto"/>
        <w:tabs>
          <w:tab w:leader="none" w:pos="2225"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Global Notes will be effected through the Depositary, in accordance with the provisions of this Supplemental Indenture and the Applicable Procedures. Transfers of beneficial interests in the Global Notes also will require compliance with either subparagraph (1) or (2) below, as applicable, as well as one or more of the other following subparagraphs, as applicable:</w:t>
      </w:r>
    </w:p>
    <w:p>
      <w:pPr>
        <w:spacing w:after="0" w:line="186" w:lineRule="exact"/>
        <w:rPr>
          <w:rFonts w:ascii="Arial" w:cs="Arial" w:eastAsia="Arial" w:hAnsi="Arial"/>
          <w:sz w:val="18"/>
          <w:szCs w:val="18"/>
          <w:color w:val="auto"/>
        </w:rPr>
      </w:pPr>
    </w:p>
    <w:p>
      <w:pPr>
        <w:ind w:right="20" w:firstLine="1952"/>
        <w:spacing w:after="0" w:line="263" w:lineRule="auto"/>
        <w:tabs>
          <w:tab w:leader="none" w:pos="2873"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Transfer of Beneficial Interests in the Same Global Note</w:t>
      </w:r>
      <w:r>
        <w:rPr>
          <w:rFonts w:ascii="Arial" w:cs="Arial" w:eastAsia="Arial" w:hAnsi="Arial"/>
          <w:sz w:val="18"/>
          <w:szCs w:val="18"/>
          <w:color w:val="auto"/>
        </w:rPr>
        <w:t>. Beneficial interests in any Global Note may be transferred</w:t>
      </w:r>
      <w:r>
        <w:rPr>
          <w:rFonts w:ascii="Arial" w:cs="Arial" w:eastAsia="Arial" w:hAnsi="Arial"/>
          <w:sz w:val="18"/>
          <w:szCs w:val="18"/>
          <w:i w:val="1"/>
          <w:iCs w:val="1"/>
          <w:color w:val="auto"/>
        </w:rPr>
        <w:t xml:space="preserve"> </w:t>
      </w:r>
      <w:r>
        <w:rPr>
          <w:rFonts w:ascii="Arial" w:cs="Arial" w:eastAsia="Arial" w:hAnsi="Arial"/>
          <w:sz w:val="18"/>
          <w:szCs w:val="18"/>
          <w:color w:val="auto"/>
        </w:rPr>
        <w:t>to persons who take delivery thereof in the form of a beneficial interest in a Global Note. No written orders or instructions will be required to be delivered to the Registrar to effect the transfers described in this Section 2.2(b)(1).</w:t>
      </w:r>
    </w:p>
    <w:p>
      <w:pPr>
        <w:spacing w:after="0" w:line="183" w:lineRule="exact"/>
        <w:rPr>
          <w:rFonts w:ascii="Arial" w:cs="Arial" w:eastAsia="Arial" w:hAnsi="Arial"/>
          <w:sz w:val="18"/>
          <w:szCs w:val="18"/>
          <w:color w:val="auto"/>
        </w:rPr>
      </w:pPr>
    </w:p>
    <w:p>
      <w:pPr>
        <w:jc w:val="both"/>
        <w:ind w:right="340" w:firstLine="1952"/>
        <w:spacing w:after="0" w:line="263" w:lineRule="auto"/>
        <w:tabs>
          <w:tab w:leader="none" w:pos="2873"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All Other Transfers and Exchanges of Beneficial Interests in Global Notes</w:t>
      </w:r>
      <w:r>
        <w:rPr>
          <w:rFonts w:ascii="Arial" w:cs="Arial" w:eastAsia="Arial" w:hAnsi="Arial"/>
          <w:sz w:val="18"/>
          <w:szCs w:val="18"/>
          <w:color w:val="auto"/>
        </w:rPr>
        <w:t>. In connection with all transfers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exchanges of beneficial interests with respect to the Notes that are not subject to Section 2.2(b)(1) above, the transferor of such beneficial interest must deliver to the Registrar:</w:t>
      </w:r>
    </w:p>
    <w:p>
      <w:pPr>
        <w:spacing w:after="0" w:line="183" w:lineRule="exact"/>
        <w:rPr>
          <w:rFonts w:ascii="Arial" w:cs="Arial" w:eastAsia="Arial" w:hAnsi="Arial"/>
          <w:sz w:val="18"/>
          <w:szCs w:val="18"/>
          <w:color w:val="auto"/>
        </w:rPr>
      </w:pPr>
    </w:p>
    <w:p>
      <w:pPr>
        <w:jc w:val="both"/>
        <w:ind w:right="100" w:firstLine="3005"/>
        <w:spacing w:after="0" w:line="263" w:lineRule="auto"/>
        <w:tabs>
          <w:tab w:leader="none" w:pos="4066" w:val="left"/>
        </w:tabs>
        <w:numPr>
          <w:ilvl w:val="2"/>
          <w:numId w:val="53"/>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83" w:lineRule="exact"/>
        <w:rPr>
          <w:rFonts w:ascii="Arial" w:cs="Arial" w:eastAsia="Arial" w:hAnsi="Arial"/>
          <w:sz w:val="18"/>
          <w:szCs w:val="18"/>
          <w:color w:val="auto"/>
        </w:rPr>
      </w:pPr>
    </w:p>
    <w:p>
      <w:pPr>
        <w:ind w:right="120" w:firstLine="2960"/>
        <w:spacing w:after="0" w:line="277" w:lineRule="auto"/>
        <w:tabs>
          <w:tab w:leader="none" w:pos="4026" w:val="left"/>
        </w:tabs>
        <w:numPr>
          <w:ilvl w:val="2"/>
          <w:numId w:val="53"/>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5" w:name="page56"/>
    <w:bookmarkEnd w:id="55"/>
    <w:p>
      <w:pPr>
        <w:ind w:right="520" w:firstLine="648"/>
        <w:spacing w:after="0" w:line="263" w:lineRule="auto"/>
        <w:rPr>
          <w:sz w:val="20"/>
          <w:szCs w:val="20"/>
          <w:color w:val="auto"/>
        </w:rPr>
      </w:pPr>
      <w:r>
        <w:rPr>
          <w:rFonts w:ascii="Arial" w:cs="Arial" w:eastAsia="Arial" w:hAnsi="Arial"/>
          <w:sz w:val="18"/>
          <w:szCs w:val="18"/>
          <w:color w:val="auto"/>
        </w:rPr>
        <w:t>Upon satisfaction of all of the requirements for transfer or exchange of beneficial interests in Global Notes contained in this Supplemental Indenture and the Notes, as evidenced by an Officer’s Certificate delivered to the Trustee, the Trustee will adjust the principal amount of the relevant Global Note(s) pursuant to Section 2.2(f) hereof.</w:t>
      </w:r>
    </w:p>
    <w:p>
      <w:pPr>
        <w:spacing w:after="0" w:line="184" w:lineRule="exact"/>
        <w:rPr>
          <w:sz w:val="20"/>
          <w:szCs w:val="20"/>
          <w:color w:val="auto"/>
        </w:rPr>
      </w:pPr>
    </w:p>
    <w:p>
      <w:pPr>
        <w:ind w:left="2220" w:hanging="916"/>
        <w:spacing w:after="0"/>
        <w:tabs>
          <w:tab w:leader="none" w:pos="222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 Holder of a Definitive Note may exchange such Note for a beneficial interest in a Global Note or transfer such Definitive Notes to a person who takes delivery thereof in the form of a beneficial interest in a Global Note at any time. Upon receipt of a request for such an exchange or transfer, the Trustee will cancel the applicable Definitive Note and increase, or cause to be increased, the aggregate principal amount of one of the applicable Global Notes.</w:t>
      </w:r>
    </w:p>
    <w:p>
      <w:pPr>
        <w:spacing w:after="0" w:line="18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any such exchange or transfer from a Definitive Note to a beneficial interest is effected pursuant to the previous paragraph at a time when a Global Note has not yet been issued, the Company will issue and, upon receipt of a Company Order, the Trustee will authenticate one or more Global Notes in an aggregate principal amount equal to the principal amount of Definitive Notes so transferred.</w:t>
      </w:r>
    </w:p>
    <w:p>
      <w:pPr>
        <w:spacing w:after="0" w:line="184" w:lineRule="exact"/>
        <w:rPr>
          <w:sz w:val="20"/>
          <w:szCs w:val="20"/>
          <w:color w:val="auto"/>
        </w:rPr>
      </w:pPr>
    </w:p>
    <w:p>
      <w:pPr>
        <w:ind w:right="160" w:firstLine="1304"/>
        <w:spacing w:after="0" w:line="273" w:lineRule="auto"/>
        <w:tabs>
          <w:tab w:leader="none" w:pos="2225"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Transfer and Exchange of Definitive Notes for Definitive Notes</w:t>
      </w:r>
      <w:r>
        <w:rPr>
          <w:rFonts w:ascii="Arial" w:cs="Arial" w:eastAsia="Arial" w:hAnsi="Arial"/>
          <w:sz w:val="17"/>
          <w:szCs w:val="17"/>
          <w:color w:val="auto"/>
        </w:rPr>
        <w:t>. A Holder of Definitive Notes may transfer such Notes to a</w:t>
      </w:r>
      <w:r>
        <w:rPr>
          <w:rFonts w:ascii="Arial" w:cs="Arial" w:eastAsia="Arial" w:hAnsi="Arial"/>
          <w:sz w:val="17"/>
          <w:szCs w:val="17"/>
          <w:i w:val="1"/>
          <w:iCs w:val="1"/>
          <w:color w:val="auto"/>
        </w:rPr>
        <w:t xml:space="preserve"> </w:t>
      </w:r>
      <w:r>
        <w:rPr>
          <w:rFonts w:ascii="Arial" w:cs="Arial" w:eastAsia="Arial" w:hAnsi="Arial"/>
          <w:sz w:val="17"/>
          <w:szCs w:val="17"/>
          <w:color w:val="auto"/>
        </w:rPr>
        <w:t>person who takes delivery thereof in the form of a Definitive Note. Upon request by a Holder of Definitive Notes and such Holder’s compliance with the provisions of this Section 2.2(d), the Registrar will register the transfer or exchange of Definitive Notes. Prior to such registration of transfer or exchange, the requesting Holder will present or surrender to the Registrar the Definitive Notes duly endorsed or accompanied by a written instruction of transfer in form satisfactory to the Registrar duly executed by such Holder or by his attorney, duly authorized in writing. In addition, the requesting Holder will provide any additional required certifications, documents and information, as applicable.</w:t>
      </w:r>
    </w:p>
    <w:p>
      <w:pPr>
        <w:spacing w:after="0" w:line="177" w:lineRule="exact"/>
        <w:rPr>
          <w:rFonts w:ascii="Arial" w:cs="Arial" w:eastAsia="Arial" w:hAnsi="Arial"/>
          <w:sz w:val="17"/>
          <w:szCs w:val="17"/>
          <w:color w:val="auto"/>
        </w:rPr>
      </w:pPr>
    </w:p>
    <w:p>
      <w:pPr>
        <w:ind w:right="80" w:firstLine="1304"/>
        <w:spacing w:after="0" w:line="277" w:lineRule="auto"/>
        <w:tabs>
          <w:tab w:leader="none" w:pos="221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Legends</w:t>
      </w:r>
      <w:r>
        <w:rPr>
          <w:rFonts w:ascii="Arial" w:cs="Arial" w:eastAsia="Arial" w:hAnsi="Arial"/>
          <w:sz w:val="18"/>
          <w:szCs w:val="18"/>
          <w:color w:val="auto"/>
        </w:rPr>
        <w:t>. The following legends will appear on the face of all Global Notes issued under this Supplemental Indenture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stated otherwise in the applicable provisions of this Supplemental Indenture.</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“THIS GLOBAL NOTE IS HELD BY THE DEPOSITARY (AS DEFINED IN THE SUPPLEMENTAL INDENTURE HEREINAFTER REFERRED TO)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firstLine="648"/>
        <w:spacing w:after="0" w:line="268" w:lineRule="auto"/>
        <w:rPr>
          <w:sz w:val="20"/>
          <w:szCs w:val="20"/>
          <w:color w:val="auto"/>
        </w:rPr>
      </w:pPr>
      <w:r>
        <w:rPr>
          <w:rFonts w:ascii="Arial" w:cs="Arial" w:eastAsia="Arial" w:hAnsi="Arial"/>
          <w:sz w:val="17"/>
          <w:szCs w:val="17"/>
          <w:color w:val="auto"/>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(55 WATER STREET, NEW YORK, NEW YORK) (“</w:t>
      </w:r>
      <w:r>
        <w:rPr>
          <w:rFonts w:ascii="Arial" w:cs="Arial" w:eastAsia="Arial" w:hAnsi="Arial"/>
          <w:sz w:val="17"/>
          <w:szCs w:val="17"/>
          <w:b w:val="1"/>
          <w:bCs w:val="1"/>
          <w:i w:val="1"/>
          <w:iCs w:val="1"/>
          <w:color w:val="auto"/>
        </w:rPr>
        <w:t>DTC</w:t>
      </w:r>
      <w:r>
        <w:rPr>
          <w:rFonts w:ascii="Arial" w:cs="Arial" w:eastAsia="Arial" w:hAnsi="Arial"/>
          <w:sz w:val="17"/>
          <w:szCs w:val="17"/>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6" w:lineRule="exact"/>
        <w:rPr>
          <w:sz w:val="20"/>
          <w:szCs w:val="20"/>
          <w:color w:val="auto"/>
        </w:rPr>
      </w:pPr>
    </w:p>
    <w:p>
      <w:pPr>
        <w:ind w:right="20" w:firstLine="1304"/>
        <w:spacing w:after="0" w:line="253" w:lineRule="auto"/>
        <w:tabs>
          <w:tab w:leader="none" w:pos="224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Cancellation and/or Adjustment of Global Notes</w:t>
      </w:r>
      <w:r>
        <w:rPr>
          <w:rFonts w:ascii="Arial" w:cs="Arial" w:eastAsia="Arial" w:hAnsi="Arial"/>
          <w:sz w:val="18"/>
          <w:szCs w:val="18"/>
          <w:color w:val="auto"/>
        </w:rPr>
        <w:t>. At such time as all beneficial interests in a particular Global Note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exchanged for Definitive 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 in another Global Note,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96" w:lineRule="exact"/>
        <w:rPr>
          <w:rFonts w:ascii="Arial" w:cs="Arial" w:eastAsia="Arial" w:hAnsi="Arial"/>
          <w:sz w:val="18"/>
          <w:szCs w:val="18"/>
          <w:color w:val="auto"/>
        </w:rPr>
      </w:pPr>
    </w:p>
    <w:p>
      <w:pPr>
        <w:ind w:left="2240" w:hanging="936"/>
        <w:spacing w:after="0"/>
        <w:tabs>
          <w:tab w:leader="none" w:pos="224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p>
    <w:p>
      <w:pPr>
        <w:spacing w:after="0" w:line="225" w:lineRule="exact"/>
        <w:rPr>
          <w:rFonts w:ascii="Arial" w:cs="Arial" w:eastAsia="Arial" w:hAnsi="Arial"/>
          <w:sz w:val="18"/>
          <w:szCs w:val="18"/>
          <w:color w:val="auto"/>
        </w:rPr>
      </w:pPr>
    </w:p>
    <w:p>
      <w:pPr>
        <w:ind w:right="360" w:firstLine="1952"/>
        <w:spacing w:after="0" w:line="277" w:lineRule="auto"/>
        <w:tabs>
          <w:tab w:leader="none" w:pos="2873" w:val="left"/>
        </w:tabs>
        <w:numPr>
          <w:ilvl w:val="1"/>
          <w:numId w:val="56"/>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will execute and the Trustee will authenticate Global Notes and Definitive Notes upon the receipt of a Company Order.</w:t>
      </w:r>
    </w:p>
    <w:p>
      <w:pPr>
        <w:spacing w:after="0" w:line="170" w:lineRule="exact"/>
        <w:rPr>
          <w:rFonts w:ascii="Arial" w:cs="Arial" w:eastAsia="Arial" w:hAnsi="Arial"/>
          <w:sz w:val="18"/>
          <w:szCs w:val="18"/>
          <w:color w:val="auto"/>
        </w:rPr>
      </w:pPr>
    </w:p>
    <w:p>
      <w:pPr>
        <w:ind w:firstLine="1952"/>
        <w:spacing w:after="0" w:line="259" w:lineRule="auto"/>
        <w:tabs>
          <w:tab w:leader="none" w:pos="2873"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 2.11, Section 3.6 and Section 9.6 of the Base Indenture).</w:t>
      </w:r>
    </w:p>
    <w:p>
      <w:pPr>
        <w:spacing w:after="0" w:line="186" w:lineRule="exact"/>
        <w:rPr>
          <w:rFonts w:ascii="Arial" w:cs="Arial" w:eastAsia="Arial" w:hAnsi="Arial"/>
          <w:sz w:val="18"/>
          <w:szCs w:val="18"/>
          <w:color w:val="auto"/>
        </w:rPr>
      </w:pPr>
    </w:p>
    <w:p>
      <w:pPr>
        <w:ind w:right="20" w:firstLine="1952"/>
        <w:spacing w:after="0" w:line="277" w:lineRule="auto"/>
        <w:tabs>
          <w:tab w:leader="none" w:pos="2873"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any Note selected for redemption in whole or in part, except the unredeemed portion of any Note being redeemed in part.</w:t>
      </w:r>
    </w:p>
    <w:p>
      <w:pPr>
        <w:spacing w:after="0" w:line="170" w:lineRule="exact"/>
        <w:rPr>
          <w:rFonts w:ascii="Arial" w:cs="Arial" w:eastAsia="Arial" w:hAnsi="Arial"/>
          <w:sz w:val="18"/>
          <w:szCs w:val="18"/>
          <w:color w:val="auto"/>
        </w:rPr>
      </w:pPr>
    </w:p>
    <w:p>
      <w:pPr>
        <w:ind w:right="380" w:firstLine="1952"/>
        <w:spacing w:after="0" w:line="263" w:lineRule="auto"/>
        <w:tabs>
          <w:tab w:leader="none" w:pos="2873"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will be the valid obligations of the Company, evidencing the same debt and entitled to the same benefits under this Supplemental Indenture, as the Global Notes or Definitive Notes surrendered upon such registration of transfer or exchange.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7" w:name="page58"/>
    <w:bookmarkEnd w:id="57"/>
    <w:p>
      <w:pPr>
        <w:ind w:left="2880" w:hanging="928"/>
        <w:spacing w:after="0"/>
        <w:tabs>
          <w:tab w:leader="none" w:pos="28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the Company elects to redeem or make an Offer to Purchase, neither the Company nor the Trustee will be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required to:</w:t>
      </w:r>
    </w:p>
    <w:p>
      <w:pPr>
        <w:spacing w:after="0" w:line="211" w:lineRule="exact"/>
        <w:rPr>
          <w:sz w:val="20"/>
          <w:szCs w:val="20"/>
          <w:color w:val="auto"/>
        </w:rPr>
      </w:pPr>
    </w:p>
    <w:p>
      <w:pPr>
        <w:ind w:left="4020" w:hanging="1240"/>
        <w:spacing w:after="0"/>
        <w:tabs>
          <w:tab w:leader="none" w:pos="40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issue, register the transfer of or exchange any Notes during a period beginning at the opening of</w:t>
      </w:r>
    </w:p>
    <w:p>
      <w:pPr>
        <w:spacing w:after="0" w:line="46" w:lineRule="exact"/>
        <w:rPr>
          <w:rFonts w:ascii="Arial" w:cs="Arial" w:eastAsia="Arial" w:hAnsi="Arial"/>
          <w:sz w:val="16"/>
          <w:szCs w:val="16"/>
          <w:color w:val="auto"/>
        </w:rPr>
      </w:pPr>
    </w:p>
    <w:p>
      <w:pPr>
        <w:ind w:right="120"/>
        <w:spacing w:after="0" w:line="260" w:lineRule="auto"/>
        <w:rPr>
          <w:rFonts w:ascii="Arial" w:cs="Arial" w:eastAsia="Arial" w:hAnsi="Arial"/>
          <w:sz w:val="16"/>
          <w:szCs w:val="16"/>
          <w:color w:val="auto"/>
        </w:rPr>
      </w:pPr>
      <w:r>
        <w:rPr>
          <w:rFonts w:ascii="Arial" w:cs="Arial" w:eastAsia="Arial" w:hAnsi="Arial"/>
          <w:sz w:val="18"/>
          <w:szCs w:val="18"/>
          <w:color w:val="auto"/>
        </w:rPr>
        <w:t>business 15 days before the Company sends the notice of redemption under Section 3.3 of the Base Indenture or makes an Offer to Purchase and ending at the close of business on the day the notice is sent or the Offer to Purchase is made;</w:t>
      </w:r>
    </w:p>
    <w:p>
      <w:pPr>
        <w:spacing w:after="0" w:line="185" w:lineRule="exact"/>
        <w:rPr>
          <w:rFonts w:ascii="Arial" w:cs="Arial" w:eastAsia="Arial" w:hAnsi="Arial"/>
          <w:sz w:val="16"/>
          <w:szCs w:val="16"/>
          <w:color w:val="auto"/>
        </w:rPr>
      </w:pPr>
    </w:p>
    <w:p>
      <w:pPr>
        <w:ind w:left="4040" w:hanging="1260"/>
        <w:spacing w:after="0"/>
        <w:tabs>
          <w:tab w:leader="none" w:pos="40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register the transfer of or to exchange any Note so selected for redemption or subject to purchase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Offer to Purchase in whole or in part, except the unredeemed portion of any Note being redeemed or purchased in part; or</w:t>
      </w:r>
    </w:p>
    <w:p>
      <w:pPr>
        <w:spacing w:after="0" w:line="210" w:lineRule="exact"/>
        <w:rPr>
          <w:rFonts w:ascii="Arial" w:cs="Arial" w:eastAsia="Arial" w:hAnsi="Arial"/>
          <w:sz w:val="16"/>
          <w:szCs w:val="16"/>
          <w:color w:val="auto"/>
        </w:rPr>
      </w:pPr>
    </w:p>
    <w:p>
      <w:pPr>
        <w:ind w:left="4040" w:hanging="1215"/>
        <w:spacing w:after="0"/>
        <w:tabs>
          <w:tab w:leader="none" w:pos="4040" w:val="left"/>
        </w:tabs>
        <w:numPr>
          <w:ilvl w:val="2"/>
          <w:numId w:val="58"/>
        </w:numPr>
        <w:rPr>
          <w:rFonts w:ascii="Arial" w:cs="Arial" w:eastAsia="Arial" w:hAnsi="Arial"/>
          <w:sz w:val="16"/>
          <w:szCs w:val="16"/>
          <w:color w:val="auto"/>
        </w:rPr>
      </w:pPr>
      <w:r>
        <w:rPr>
          <w:rFonts w:ascii="Arial" w:cs="Arial" w:eastAsia="Arial" w:hAnsi="Arial"/>
          <w:sz w:val="16"/>
          <w:szCs w:val="16"/>
          <w:color w:val="auto"/>
        </w:rPr>
        <w:t>in the case of a redemption or a purchase date pursuant to an Offer to Purchase occurring after a</w:t>
      </w:r>
    </w:p>
    <w:p>
      <w:pPr>
        <w:spacing w:after="0" w:line="46" w:lineRule="exact"/>
        <w:rPr>
          <w:rFonts w:ascii="Arial" w:cs="Arial" w:eastAsia="Arial" w:hAnsi="Arial"/>
          <w:sz w:val="16"/>
          <w:szCs w:val="16"/>
          <w:color w:val="auto"/>
        </w:rPr>
      </w:pPr>
    </w:p>
    <w:p>
      <w:pPr>
        <w:ind w:right="100"/>
        <w:spacing w:after="0" w:line="260" w:lineRule="auto"/>
        <w:rPr>
          <w:rFonts w:ascii="Arial" w:cs="Arial" w:eastAsia="Arial" w:hAnsi="Arial"/>
          <w:sz w:val="16"/>
          <w:szCs w:val="16"/>
          <w:color w:val="auto"/>
        </w:rPr>
      </w:pPr>
      <w:r>
        <w:rPr>
          <w:rFonts w:ascii="Arial" w:cs="Arial" w:eastAsia="Arial" w:hAnsi="Arial"/>
          <w:sz w:val="18"/>
          <w:szCs w:val="18"/>
          <w:color w:val="auto"/>
        </w:rPr>
        <w:t>regular record date but on or before the corresponding Interest Payment Date, register the transfer of or exchange a Note on or after the regular record date and before the date of redemption or purchase.</w:t>
      </w:r>
    </w:p>
    <w:p>
      <w:pPr>
        <w:spacing w:after="0" w:line="185" w:lineRule="exact"/>
        <w:rPr>
          <w:rFonts w:ascii="Arial" w:cs="Arial" w:eastAsia="Arial" w:hAnsi="Arial"/>
          <w:sz w:val="16"/>
          <w:szCs w:val="16"/>
          <w:color w:val="auto"/>
        </w:rPr>
      </w:pPr>
    </w:p>
    <w:p>
      <w:pPr>
        <w:ind w:firstLine="1952"/>
        <w:spacing w:after="0" w:line="259" w:lineRule="auto"/>
        <w:tabs>
          <w:tab w:leader="none" w:pos="2873"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(subject to the record date provisions hereof) interest on such Notes and for all other purposes, and none of the Trustee, any Agent or the Company will be affected by notice to the contrary.</w:t>
      </w:r>
    </w:p>
    <w:p>
      <w:pPr>
        <w:spacing w:after="0" w:line="186" w:lineRule="exact"/>
        <w:rPr>
          <w:rFonts w:ascii="Arial" w:cs="Arial" w:eastAsia="Arial" w:hAnsi="Arial"/>
          <w:sz w:val="18"/>
          <w:szCs w:val="18"/>
          <w:color w:val="auto"/>
        </w:rPr>
      </w:pPr>
    </w:p>
    <w:p>
      <w:pPr>
        <w:ind w:left="2880" w:hanging="928"/>
        <w:spacing w:after="0"/>
        <w:tabs>
          <w:tab w:leader="none" w:pos="2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Trustee will authenticate Global Notes and Definitive Notes in accordance with the provisions of Section 2.3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Base Indenture.</w:t>
      </w:r>
    </w:p>
    <w:p>
      <w:pPr>
        <w:spacing w:after="0" w:line="9" w:lineRule="exact"/>
        <w:rPr>
          <w:rFonts w:ascii="Arial" w:cs="Arial" w:eastAsia="Arial" w:hAnsi="Arial"/>
          <w:sz w:val="16"/>
          <w:szCs w:val="16"/>
          <w:color w:val="auto"/>
        </w:rPr>
      </w:pPr>
    </w:p>
    <w:p>
      <w:pPr>
        <w:ind w:left="2880" w:hanging="928"/>
        <w:spacing w:after="0"/>
        <w:tabs>
          <w:tab w:leader="none" w:pos="2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[Reserved].</w:t>
      </w:r>
    </w:p>
    <w:p>
      <w:pPr>
        <w:spacing w:after="0" w:line="210" w:lineRule="exact"/>
        <w:rPr>
          <w:rFonts w:ascii="Arial" w:cs="Arial" w:eastAsia="Arial" w:hAnsi="Arial"/>
          <w:sz w:val="18"/>
          <w:szCs w:val="18"/>
          <w:color w:val="auto"/>
        </w:rPr>
      </w:pPr>
    </w:p>
    <w:p>
      <w:pPr>
        <w:ind w:left="2880" w:hanging="928"/>
        <w:spacing w:after="0"/>
        <w:tabs>
          <w:tab w:leader="none" w:pos="2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Officer’s Certificate or Opinion of Counsel required to be submitted to the Registrar pursuant to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2.2 to effect a registration of transfer or exchange may be submitted by facsimile.</w:t>
      </w:r>
    </w:p>
    <w:p>
      <w:pPr>
        <w:spacing w:after="0" w:line="211" w:lineRule="exact"/>
        <w:rPr>
          <w:sz w:val="20"/>
          <w:szCs w:val="20"/>
          <w:color w:val="auto"/>
        </w:rPr>
      </w:pPr>
    </w:p>
    <w:p>
      <w:pPr>
        <w:ind w:right="60" w:firstLine="1952"/>
        <w:spacing w:after="0" w:line="301" w:lineRule="auto"/>
        <w:tabs>
          <w:tab w:leader="none" w:pos="2784"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Trustee shall have no obligation or duty to monitor, determine or inquire as to compliance with any restrictions on transfer imposed under this Supplemental Indenture or under applicable law with respect to any transfer of any interest in any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spacing w:after="0" w:line="157" w:lineRule="exact"/>
        <w:rPr>
          <w:rFonts w:ascii="Arial" w:cs="Arial" w:eastAsia="Arial" w:hAnsi="Arial"/>
          <w:sz w:val="16"/>
          <w:szCs w:val="16"/>
          <w:color w:val="auto"/>
        </w:rPr>
      </w:pPr>
    </w:p>
    <w:p>
      <w:pPr>
        <w:ind w:left="2780" w:hanging="828"/>
        <w:spacing w:after="0"/>
        <w:tabs>
          <w:tab w:leader="none" w:pos="27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Neither the Trustee nor any Agent shall have any responsibility for any actions taken or not taken by the Depositary.</w:t>
      </w:r>
    </w:p>
    <w:p>
      <w:pPr>
        <w:spacing w:after="0" w:line="24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Section 2.3.</w:t>
      </w:r>
      <w:r>
        <w:rPr>
          <w:rFonts w:ascii="Arial" w:cs="Arial" w:eastAsia="Arial" w:hAnsi="Arial"/>
          <w:sz w:val="16"/>
          <w:szCs w:val="16"/>
          <w:i w:val="1"/>
          <w:iCs w:val="1"/>
          <w:color w:val="auto"/>
        </w:rPr>
        <w:t>Issuance of Additional Notes</w:t>
      </w:r>
    </w:p>
    <w:p>
      <w:pPr>
        <w:spacing w:after="0" w:line="225" w:lineRule="exact"/>
        <w:rPr>
          <w:rFonts w:ascii="Arial" w:cs="Arial" w:eastAsia="Arial" w:hAnsi="Arial"/>
          <w:sz w:val="16"/>
          <w:szCs w:val="16"/>
          <w:color w:val="auto"/>
        </w:rPr>
      </w:pPr>
    </w:p>
    <w:p>
      <w:pPr>
        <w:ind w:right="20" w:firstLine="1304"/>
        <w:spacing w:after="0" w:line="301" w:lineRule="auto"/>
        <w:tabs>
          <w:tab w:leader="none" w:pos="221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 will be entitled, upon delivery of a Company Order, Officer’s Certificate and an Opinion of Counsel, to issue Additional Notes under this Supplemental Indenture which will have identical terms as the Initial Notes issued on the date hereof, other than with respect to the date of issuance and issue price and, if applicable, the first Interest Payment Date and the initial interest accrual date. The Initial Notes issued on the date hereof and any Additional Notes issued will be treated as a single Series for all purposes under this Supplemental Indenture.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8" w:name="page59"/>
    <w:bookmarkEnd w:id="58"/>
    <w:p>
      <w:pPr>
        <w:ind w:left="2240" w:hanging="936"/>
        <w:spacing w:after="0"/>
        <w:tabs>
          <w:tab w:leader="none" w:pos="22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100" w:firstLine="1304"/>
        <w:spacing w:after="0" w:line="263" w:lineRule="auto"/>
        <w:tabs>
          <w:tab w:leader="none" w:pos="22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 respect to any Additional Notes, the Company will set forth in a (i) supplemental indenture or (ii) in resolution of its Board of Directors (or a duly authorized committee thereof) or of a designee thereof and an Officer’s Certificate, a copy of each which will be delivered to the Trustee, the following information:</w:t>
      </w:r>
    </w:p>
    <w:p>
      <w:pPr>
        <w:spacing w:after="0" w:line="183" w:lineRule="exact"/>
        <w:rPr>
          <w:rFonts w:ascii="Arial" w:cs="Arial" w:eastAsia="Arial" w:hAnsi="Arial"/>
          <w:sz w:val="18"/>
          <w:szCs w:val="18"/>
          <w:color w:val="auto"/>
        </w:rPr>
      </w:pPr>
    </w:p>
    <w:p>
      <w:pPr>
        <w:ind w:left="4020" w:hanging="1195"/>
        <w:spacing w:after="0"/>
        <w:tabs>
          <w:tab w:leader="none" w:pos="40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aggregate principal amount of such Additional Notes to be authenticated and delivered pursuant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this Supplemental Indenture; and</w:t>
      </w:r>
    </w:p>
    <w:p>
      <w:pPr>
        <w:spacing w:after="0" w:line="210" w:lineRule="exact"/>
        <w:rPr>
          <w:rFonts w:ascii="Arial" w:cs="Arial" w:eastAsia="Arial" w:hAnsi="Arial"/>
          <w:sz w:val="16"/>
          <w:szCs w:val="16"/>
          <w:color w:val="auto"/>
        </w:rPr>
      </w:pPr>
    </w:p>
    <w:p>
      <w:pPr>
        <w:ind w:left="4040" w:hanging="1215"/>
        <w:spacing w:after="0"/>
        <w:tabs>
          <w:tab w:leader="none" w:pos="40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issue price, the issue date, the CUSIP number(s), the first Interest Payment Date and the initial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interest accrual date of such Additional Notes.</w:t>
      </w:r>
    </w:p>
    <w:p>
      <w:pPr>
        <w:spacing w:after="0" w:line="210" w:lineRule="exact"/>
        <w:rPr>
          <w:rFonts w:ascii="Arial" w:cs="Arial" w:eastAsia="Arial" w:hAnsi="Arial"/>
          <w:sz w:val="16"/>
          <w:szCs w:val="16"/>
          <w:color w:val="auto"/>
        </w:rPr>
      </w:pPr>
    </w:p>
    <w:p>
      <w:pPr>
        <w:ind w:left="2240" w:hanging="936"/>
        <w:spacing w:after="0"/>
        <w:tabs>
          <w:tab w:leader="none" w:pos="22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For the avoidance of doubt, the issuance of Additional Notes pursuant to this Section 2.3 is subject to Section 2.3 of the Base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210" w:lineRule="exact"/>
        <w:rPr>
          <w:rFonts w:ascii="Arial" w:cs="Arial" w:eastAsia="Arial" w:hAnsi="Arial"/>
          <w:sz w:val="16"/>
          <w:szCs w:val="16"/>
          <w:color w:val="auto"/>
        </w:rPr>
      </w:pPr>
    </w:p>
    <w:p>
      <w:pPr>
        <w:ind w:right="220" w:firstLine="1304"/>
        <w:spacing w:after="0" w:line="277" w:lineRule="auto"/>
        <w:tabs>
          <w:tab w:leader="none" w:pos="2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Additional Notes issued pursuant to this Section 2.3 shall only bear the same CUSIP number as any existing Notes if they would be fungible for United States tax purposes with such existing Notes.</w:t>
      </w:r>
    </w:p>
    <w:p>
      <w:pPr>
        <w:spacing w:after="0" w:line="170"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i w:val="1"/>
          <w:iCs w:val="1"/>
          <w:color w:val="auto"/>
        </w:rPr>
        <w:t>Execution and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least one Officer shall execute the Notes on behalf of the Company by manual, electronic or facsimile signature.</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REDEMPTION AND PREPAYMENT</w:t>
      </w:r>
    </w:p>
    <w:p>
      <w:pPr>
        <w:spacing w:after="0" w:line="9"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i w:val="1"/>
          <w:iCs w:val="1"/>
          <w:color w:val="auto"/>
        </w:rPr>
        <w:t>Optional Redemption</w:t>
      </w:r>
    </w:p>
    <w:p>
      <w:pPr>
        <w:spacing w:after="0" w:line="211" w:lineRule="exact"/>
        <w:rPr>
          <w:sz w:val="20"/>
          <w:szCs w:val="20"/>
          <w:color w:val="auto"/>
        </w:rPr>
      </w:pPr>
    </w:p>
    <w:p>
      <w:pPr>
        <w:jc w:val="both"/>
        <w:ind w:right="40" w:firstLine="1304"/>
        <w:spacing w:after="0" w:line="263" w:lineRule="auto"/>
        <w:tabs>
          <w:tab w:leader="none" w:pos="2215"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Notes</w:t>
      </w:r>
      <w:r>
        <w:rPr>
          <w:rFonts w:ascii="Arial" w:cs="Arial" w:eastAsia="Arial" w:hAnsi="Arial"/>
          <w:sz w:val="18"/>
          <w:szCs w:val="18"/>
          <w:color w:val="auto"/>
        </w:rPr>
        <w:t>. The Company will have the right, at its option, to redeem the Notes, in whole at any time or in part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at a redemption price as calculated by the Company equal to the greater of the following amounts, plus, in each case, accrued and unpaid interest, if any, on the amount being redeemed to, but excluding, the date of redemption:</w:t>
      </w:r>
    </w:p>
    <w:p>
      <w:pPr>
        <w:spacing w:after="0" w:line="183" w:lineRule="exact"/>
        <w:rPr>
          <w:rFonts w:ascii="Arial" w:cs="Arial" w:eastAsia="Arial" w:hAnsi="Arial"/>
          <w:sz w:val="18"/>
          <w:szCs w:val="18"/>
          <w:color w:val="auto"/>
        </w:rPr>
      </w:pPr>
    </w:p>
    <w:p>
      <w:pPr>
        <w:ind w:left="4020" w:hanging="1240"/>
        <w:spacing w:after="0"/>
        <w:tabs>
          <w:tab w:leader="none" w:pos="40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225" w:lineRule="exact"/>
        <w:rPr>
          <w:rFonts w:ascii="Arial" w:cs="Arial" w:eastAsia="Arial" w:hAnsi="Arial"/>
          <w:sz w:val="18"/>
          <w:szCs w:val="18"/>
          <w:color w:val="auto"/>
        </w:rPr>
      </w:pPr>
    </w:p>
    <w:p>
      <w:pPr>
        <w:ind w:left="4120" w:hanging="1295"/>
        <w:spacing w:after="0"/>
        <w:tabs>
          <w:tab w:leader="none" w:pos="412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Remaining Scheduled Payments of such Notes to be redeemed.</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In connection with any redemption of the Notes, calculation of the redemption price therefor shall be made by the Company or on the Company’s behalf by such person as the Company shall designate;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calculation shall not be a duty or obligation of the Trustee or any Agent. Notwithstanding Section 3.3 of the Base Indenture, the notice of any redemption of the Notes pursuant to that Section in respect of a redemption date occurring prior to the maturity date of the Notes need not set forth the redemption price but only the manner of calculation thereof and the Company will prepare and send, or cause to be sent, such notice of redemption to each Holder of Notes to be redeemed (with a copy to the Trustee) at least 30 and not more than 60 calendar days prior to the date fixed for redemption. Any redemption or notice of redemption may, at the Company’s discretion, be subject to one or more conditions precedent.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ind w:right="180" w:firstLine="648"/>
        <w:spacing w:after="0" w:line="277"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will cease to accrue on the Notes or portions thereof called for redemption.</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Notes subject to a partial redemption shall be selected for redemption </w:t>
      </w:r>
      <w:r>
        <w:rPr>
          <w:rFonts w:ascii="Arial" w:cs="Arial" w:eastAsia="Arial" w:hAnsi="Arial"/>
          <w:sz w:val="18"/>
          <w:szCs w:val="18"/>
          <w:i w:val="1"/>
          <w:iCs w:val="1"/>
          <w:color w:val="auto"/>
        </w:rPr>
        <w:t>pro rata</w:t>
      </w:r>
      <w:r>
        <w:rPr>
          <w:rFonts w:ascii="Arial" w:cs="Arial" w:eastAsia="Arial" w:hAnsi="Arial"/>
          <w:sz w:val="18"/>
          <w:szCs w:val="18"/>
          <w:color w:val="auto"/>
        </w:rPr>
        <w:t>, by lot or by such other method as the Trustee shall deem fair and appropriate (provided that if the Notes are represented by one or more Global Notes, the Notes shall be selected for redemption by the Depositary in accordance with its standard procedures therefor) and may provide for the selection for redemption of a portion of the principal amount of the Notes equal to an authorized denomination.</w:t>
      </w:r>
    </w:p>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No Notes of $2,000 or less can be redeemed in part. Notes in denominations larger than $2,000 may be redeemed in part but only in whole multiples of $1,000, unless all of the Notes held by a Holder are to be redeemed.</w:t>
      </w:r>
    </w:p>
    <w:p>
      <w:pPr>
        <w:spacing w:after="0" w:line="170" w:lineRule="exact"/>
        <w:rPr>
          <w:sz w:val="20"/>
          <w:szCs w:val="20"/>
          <w:color w:val="auto"/>
        </w:rPr>
      </w:pPr>
    </w:p>
    <w:p>
      <w:pPr>
        <w:ind w:left="2240" w:hanging="936"/>
        <w:spacing w:after="0"/>
        <w:tabs>
          <w:tab w:leader="none" w:pos="22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i w:val="1"/>
          <w:iCs w:val="1"/>
          <w:color w:val="auto"/>
        </w:rPr>
        <w:t>Mandatory Redemption.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not required to make any mandatory redemption or sinking fund payments with respect to the Notes.</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PARTICULAR COVENANTS</w:t>
      </w:r>
    </w:p>
    <w:p>
      <w:pPr>
        <w:spacing w:after="0" w:line="211"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i w:val="1"/>
          <w:iCs w:val="1"/>
          <w:color w:val="auto"/>
        </w:rPr>
        <w:t>Offer to Purchase Upon Change of Control Triggering Event</w:t>
      </w:r>
    </w:p>
    <w:p>
      <w:pPr>
        <w:spacing w:after="0" w:line="225" w:lineRule="exact"/>
        <w:rPr>
          <w:sz w:val="20"/>
          <w:szCs w:val="20"/>
          <w:color w:val="auto"/>
        </w:rPr>
      </w:pPr>
    </w:p>
    <w:p>
      <w:pPr>
        <w:ind w:firstLine="1304"/>
        <w:spacing w:after="0" w:line="286" w:lineRule="auto"/>
        <w:tabs>
          <w:tab w:leader="none" w:pos="2215"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a Change of Control Triggering Event occurs, unless the Company has exercised its option to redeem all Notes in full pursuant to Section 3.1 or has defeased the Notes or satisfied and discharged the Notes, the Company shall be required to make an offer (an “</w:t>
      </w:r>
      <w:r>
        <w:rPr>
          <w:rFonts w:ascii="Arial" w:cs="Arial" w:eastAsia="Arial" w:hAnsi="Arial"/>
          <w:sz w:val="16"/>
          <w:szCs w:val="16"/>
          <w:b w:val="1"/>
          <w:bCs w:val="1"/>
          <w:i w:val="1"/>
          <w:iCs w:val="1"/>
          <w:color w:val="auto"/>
        </w:rPr>
        <w:t>Offer to</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Purchase</w:t>
      </w:r>
      <w:r>
        <w:rPr>
          <w:rFonts w:ascii="Arial" w:cs="Arial" w:eastAsia="Arial" w:hAnsi="Arial"/>
          <w:sz w:val="16"/>
          <w:szCs w:val="16"/>
          <w:color w:val="auto"/>
        </w:rPr>
        <w:t>”) to each Holder of the Notes to purchase all or any part (equal to $2,000 and in integral multiples of $1,000 in excess thereof) of that 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Notes pursuant to the offer set forth below. In an Offer to Purchase, the Company shall be required to offer payment in cash equal to 101% of the aggregate principal amount of the Notes, plus accrued and unpaid interest, if any, to, but excluding, the date of purchase of such Notes (a “</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Not later than 60 days following any Change of Control Triggering Event, the Company shall deliver or cause to be delivered (or 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Notes are represented by one or more Global Notes, transmitted in accordance with the Depositary’s standard procedures therefor) a notice to Holders of the Notes describing the transaction that constitutes or may constitute the Change of Control Triggering Event and offering to purchase such Notes on the date specified in the notice, which date shall be no earlier than 30 days and no later than 60 days after the date such notice is delivered or transmitted (a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and a settlement date for purchase (a “</w:t>
      </w:r>
      <w:r>
        <w:rPr>
          <w:rFonts w:ascii="Arial" w:cs="Arial" w:eastAsia="Arial" w:hAnsi="Arial"/>
          <w:sz w:val="16"/>
          <w:szCs w:val="16"/>
          <w:b w:val="1"/>
          <w:bCs w:val="1"/>
          <w:i w:val="1"/>
          <w:iCs w:val="1"/>
          <w:color w:val="auto"/>
        </w:rPr>
        <w:t>Change of Control Purchase Date</w:t>
      </w:r>
      <w:r>
        <w:rPr>
          <w:rFonts w:ascii="Arial" w:cs="Arial" w:eastAsia="Arial" w:hAnsi="Arial"/>
          <w:sz w:val="16"/>
          <w:szCs w:val="16"/>
          <w:color w:val="auto"/>
        </w:rPr>
        <w:t>”) for such Offer to Purchase of not more than five Business Days after the Expiration Date. The notice shall also contain instructions and materials necessary to enable Holders to tender Notes pursuant to the offer. The notice shall, if delivered or transmitted prior to the date of consummation of the Change of Control, state that the offer to purchase is conditioned on the Change of Control Triggering Event occurring on or prior to the Change of Control Purchase Date.</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60" w:name="page61"/>
    <w:bookmarkEnd w:id="60"/>
    <w:p>
      <w:pPr>
        <w:ind w:left="2840" w:hanging="928"/>
        <w:spacing w:after="0"/>
        <w:tabs>
          <w:tab w:leader="none" w:pos="2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notice shall also state:</w:t>
      </w:r>
    </w:p>
    <w:p>
      <w:pPr>
        <w:spacing w:after="0" w:line="225" w:lineRule="exact"/>
        <w:rPr>
          <w:sz w:val="20"/>
          <w:szCs w:val="20"/>
          <w:color w:val="auto"/>
        </w:rPr>
      </w:pPr>
    </w:p>
    <w:p>
      <w:pPr>
        <w:ind w:left="-40" w:right="320" w:firstLine="1952"/>
        <w:spacing w:after="0" w:line="277" w:lineRule="auto"/>
        <w:tabs>
          <w:tab w:leader="none" w:pos="2833"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that the Offer to Purchase is being made pursuant to this Section 4.1 and that all Notes or portion of such Notes validly tendered and not withdrawn will be accepted for payment;</w:t>
      </w:r>
    </w:p>
    <w:p>
      <w:pPr>
        <w:spacing w:after="0" w:line="170" w:lineRule="exact"/>
        <w:rPr>
          <w:rFonts w:ascii="Arial" w:cs="Arial" w:eastAsia="Arial" w:hAnsi="Arial"/>
          <w:sz w:val="18"/>
          <w:szCs w:val="18"/>
          <w:color w:val="auto"/>
        </w:rPr>
      </w:pPr>
    </w:p>
    <w:p>
      <w:pPr>
        <w:ind w:left="2840" w:hanging="928"/>
        <w:spacing w:after="0"/>
        <w:tabs>
          <w:tab w:leader="none" w:pos="28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Change of Control Purchase Price and the Change of Control Purchase Date;</w:t>
      </w:r>
    </w:p>
    <w:p>
      <w:pPr>
        <w:spacing w:after="0" w:line="225" w:lineRule="exact"/>
        <w:rPr>
          <w:rFonts w:ascii="Arial" w:cs="Arial" w:eastAsia="Arial" w:hAnsi="Arial"/>
          <w:sz w:val="18"/>
          <w:szCs w:val="18"/>
          <w:color w:val="auto"/>
        </w:rPr>
      </w:pPr>
    </w:p>
    <w:p>
      <w:pPr>
        <w:ind w:left="2840" w:hanging="928"/>
        <w:spacing w:after="0"/>
        <w:tabs>
          <w:tab w:leader="none" w:pos="28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225" w:lineRule="exact"/>
        <w:rPr>
          <w:rFonts w:ascii="Arial" w:cs="Arial" w:eastAsia="Arial" w:hAnsi="Arial"/>
          <w:sz w:val="18"/>
          <w:szCs w:val="18"/>
          <w:color w:val="auto"/>
        </w:rPr>
      </w:pPr>
    </w:p>
    <w:p>
      <w:pPr>
        <w:ind w:left="-40" w:firstLine="1952"/>
        <w:spacing w:after="0" w:line="286" w:lineRule="auto"/>
        <w:tabs>
          <w:tab w:leader="none" w:pos="2833"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that any Note accepted for payment pursuant to the Offer to Purchase shall cease to accrue interest after the Change of Control Purchase Date unless the Company shall default in the payment of the Change of Control Purchase Price of the Notes and the only remaining right of the Holder is to receive payment of the Change of Control Purchase Price upon surrender of the Notes to the Paying Agent;</w:t>
      </w:r>
    </w:p>
    <w:p>
      <w:pPr>
        <w:spacing w:after="0" w:line="165" w:lineRule="exact"/>
        <w:rPr>
          <w:rFonts w:ascii="Arial" w:cs="Arial" w:eastAsia="Arial" w:hAnsi="Arial"/>
          <w:sz w:val="17"/>
          <w:szCs w:val="17"/>
          <w:color w:val="auto"/>
        </w:rPr>
      </w:pPr>
    </w:p>
    <w:p>
      <w:pPr>
        <w:jc w:val="both"/>
        <w:ind w:left="-40" w:right="20" w:firstLine="1952"/>
        <w:spacing w:after="0" w:line="263" w:lineRule="auto"/>
        <w:tabs>
          <w:tab w:leader="none" w:pos="2833"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that Holders electing to have a portion of a Note purchased pursuant to an Offer to Purchase may only elect to have such Note purchased in a minimum principal amount of $2,000 and integral multiples of $1,000 in excess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unrepurchased portion of a Note must be in a minimum principal amount of $2,000;</w:t>
      </w:r>
    </w:p>
    <w:p>
      <w:pPr>
        <w:spacing w:after="0" w:line="183" w:lineRule="exact"/>
        <w:rPr>
          <w:rFonts w:ascii="Arial" w:cs="Arial" w:eastAsia="Arial" w:hAnsi="Arial"/>
          <w:sz w:val="18"/>
          <w:szCs w:val="18"/>
          <w:color w:val="auto"/>
        </w:rPr>
      </w:pPr>
    </w:p>
    <w:p>
      <w:pPr>
        <w:ind w:left="-40" w:right="20" w:firstLine="1952"/>
        <w:spacing w:after="0" w:line="259" w:lineRule="auto"/>
        <w:tabs>
          <w:tab w:leader="none" w:pos="2833"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that if a Holder elects to have a Note purchased pursuant to the Offer to Purchase such Holder will be required to surrender such Note, with the form entitled “Option of Holder to Elect Purchase” on the reverse of such Note completed, or transfer by book-entry transfer, to the Paying Agent at the address specified in the notice prior to the close of business on the third Business Day prior to the Change of Control Purchase Date, or, in the case of Global Notes, in accordance with the Applicable Procedures;</w:t>
      </w:r>
    </w:p>
    <w:p>
      <w:pPr>
        <w:spacing w:after="0" w:line="186" w:lineRule="exact"/>
        <w:rPr>
          <w:rFonts w:ascii="Arial" w:cs="Arial" w:eastAsia="Arial" w:hAnsi="Arial"/>
          <w:sz w:val="18"/>
          <w:szCs w:val="18"/>
          <w:color w:val="auto"/>
        </w:rPr>
      </w:pPr>
    </w:p>
    <w:p>
      <w:pPr>
        <w:ind w:left="-40" w:right="140" w:firstLine="1952"/>
        <w:spacing w:after="0" w:line="263" w:lineRule="auto"/>
        <w:tabs>
          <w:tab w:leader="none" w:pos="2833"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that a Holder will be entitled to withdraw its election if the Company receives, not later than the close of business on the Expiration Date, a facsimile transmission or letter setting forth the name of such Holder, the principal amount of Notes such Holder delivered for purchase, and a statement that such Holder is withdrawing its election to have such Note purchased; and</w:t>
      </w:r>
    </w:p>
    <w:p>
      <w:pPr>
        <w:spacing w:after="0" w:line="183" w:lineRule="exact"/>
        <w:rPr>
          <w:rFonts w:ascii="Arial" w:cs="Arial" w:eastAsia="Arial" w:hAnsi="Arial"/>
          <w:sz w:val="18"/>
          <w:szCs w:val="18"/>
          <w:color w:val="auto"/>
        </w:rPr>
      </w:pPr>
    </w:p>
    <w:p>
      <w:pPr>
        <w:ind w:left="-40" w:right="260" w:firstLine="1952"/>
        <w:spacing w:after="0" w:line="277" w:lineRule="auto"/>
        <w:tabs>
          <w:tab w:leader="none" w:pos="2833"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that if Notes are purchased only in part by the Company, a new Note of the same type will be issued in principal amount equal to the unpurchased portion of the Notes surrendered.</w:t>
      </w:r>
    </w:p>
    <w:p>
      <w:pPr>
        <w:spacing w:after="0" w:line="170" w:lineRule="exact"/>
        <w:rPr>
          <w:rFonts w:ascii="Arial" w:cs="Arial" w:eastAsia="Arial" w:hAnsi="Arial"/>
          <w:sz w:val="18"/>
          <w:szCs w:val="18"/>
          <w:color w:val="auto"/>
        </w:rPr>
      </w:pPr>
    </w:p>
    <w:p>
      <w:pPr>
        <w:ind w:left="2180" w:hanging="916"/>
        <w:spacing w:after="0"/>
        <w:tabs>
          <w:tab w:leader="none" w:pos="2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 the Change of Control Purchase Date, the Company shall, to the extent lawful:</w:t>
      </w:r>
    </w:p>
    <w:p>
      <w:pPr>
        <w:spacing w:after="0" w:line="225" w:lineRule="exact"/>
        <w:rPr>
          <w:rFonts w:ascii="Arial" w:cs="Arial" w:eastAsia="Arial" w:hAnsi="Arial"/>
          <w:sz w:val="18"/>
          <w:szCs w:val="18"/>
          <w:color w:val="auto"/>
        </w:rPr>
      </w:pPr>
    </w:p>
    <w:p>
      <w:pPr>
        <w:ind w:left="2840" w:hanging="928"/>
        <w:spacing w:after="0"/>
        <w:tabs>
          <w:tab w:leader="none" w:pos="2840" w:val="left"/>
        </w:tabs>
        <w:numPr>
          <w:ilvl w:val="1"/>
          <w:numId w:val="68"/>
        </w:numPr>
        <w:rPr>
          <w:rFonts w:ascii="Arial" w:cs="Arial" w:eastAsia="Arial" w:hAnsi="Arial"/>
          <w:sz w:val="17"/>
          <w:szCs w:val="17"/>
          <w:color w:val="auto"/>
        </w:rPr>
      </w:pPr>
      <w:r>
        <w:rPr>
          <w:rFonts w:ascii="Arial" w:cs="Arial" w:eastAsia="Arial" w:hAnsi="Arial"/>
          <w:sz w:val="17"/>
          <w:szCs w:val="17"/>
          <w:color w:val="auto"/>
        </w:rPr>
        <w:t>accept for payment all Notes or portions of such Notes properly tendered pursuant to the Offer to Purchase;</w:t>
      </w:r>
    </w:p>
    <w:p>
      <w:pPr>
        <w:spacing w:after="0" w:line="236" w:lineRule="exact"/>
        <w:rPr>
          <w:rFonts w:ascii="Arial" w:cs="Arial" w:eastAsia="Arial" w:hAnsi="Arial"/>
          <w:sz w:val="17"/>
          <w:szCs w:val="17"/>
          <w:color w:val="auto"/>
        </w:rPr>
      </w:pPr>
    </w:p>
    <w:p>
      <w:pPr>
        <w:ind w:left="-40" w:right="140" w:firstLine="1952"/>
        <w:spacing w:after="0" w:line="277" w:lineRule="auto"/>
        <w:tabs>
          <w:tab w:leader="none" w:pos="2833"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Purchase Price in respect of all Notes or portions of such Notes properly tendered; and</w:t>
      </w:r>
    </w:p>
    <w:p>
      <w:pPr>
        <w:spacing w:after="0" w:line="170" w:lineRule="exact"/>
        <w:rPr>
          <w:rFonts w:ascii="Arial" w:cs="Arial" w:eastAsia="Arial" w:hAnsi="Arial"/>
          <w:sz w:val="18"/>
          <w:szCs w:val="18"/>
          <w:color w:val="auto"/>
        </w:rPr>
      </w:pPr>
    </w:p>
    <w:p>
      <w:pPr>
        <w:ind w:left="-40" w:right="280" w:firstLine="1952"/>
        <w:spacing w:after="0" w:line="277" w:lineRule="auto"/>
        <w:tabs>
          <w:tab w:leader="none" w:pos="2833"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such Notes or portions of such Notes being repurchased.</w:t>
      </w:r>
    </w:p>
    <w:p>
      <w:pPr>
        <w:spacing w:after="0" w:line="170" w:lineRule="exact"/>
        <w:rPr>
          <w:rFonts w:ascii="Arial" w:cs="Arial" w:eastAsia="Arial" w:hAnsi="Arial"/>
          <w:sz w:val="18"/>
          <w:szCs w:val="18"/>
          <w:color w:val="auto"/>
        </w:rPr>
      </w:pPr>
    </w:p>
    <w:p>
      <w:pPr>
        <w:ind w:left="-40" w:firstLine="1304"/>
        <w:spacing w:after="0" w:line="263" w:lineRule="auto"/>
        <w:tabs>
          <w:tab w:leader="none" w:pos="2185"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 the Change of Control Purchase Date the Change of Control Purchase Price will become due and payable on each Note accepted for purchase pursuant to the Offer to Purchase, and, unless the Company defaults in the payment of the Change of Control Purchase Price, interest on Notes purchased will cease to accrue on and after the Change of Control Purchase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61" w:name="page62"/>
    <w:bookmarkEnd w:id="61"/>
    <w:p>
      <w:pPr>
        <w:jc w:val="both"/>
        <w:ind w:right="120" w:firstLine="1304"/>
        <w:spacing w:after="0" w:line="259" w:lineRule="auto"/>
        <w:tabs>
          <w:tab w:leader="none" w:pos="22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shall not be required to make an Offer to Purchase upon the occurrence of a Change of Control Triggering Event with respect to Notes if (i) a third party makes such an offer in the manner, at the times and otherwise in compliance with the requirements for an offer made by the Company and the third party purchases all Notes validly tendered and not withdrawn under its offer or (ii) the Company as sent a notice of redemption pursuant to Section 3.1 of this Supplemental Indenture.</w:t>
      </w:r>
    </w:p>
    <w:p>
      <w:pPr>
        <w:spacing w:after="0" w:line="186" w:lineRule="exact"/>
        <w:rPr>
          <w:rFonts w:ascii="Arial" w:cs="Arial" w:eastAsia="Arial" w:hAnsi="Arial"/>
          <w:sz w:val="18"/>
          <w:szCs w:val="18"/>
          <w:color w:val="auto"/>
        </w:rPr>
      </w:pPr>
    </w:p>
    <w:p>
      <w:pPr>
        <w:ind w:right="140" w:firstLine="1304"/>
        <w:spacing w:after="0" w:line="257" w:lineRule="auto"/>
        <w:tabs>
          <w:tab w:leader="none" w:pos="2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shall comply with the requirements of Rule 14e-1 under the Exchange Act and all other applicable laws and regulations thereunder to the extent such securities laws and regulations are applicable in connection with the repurchase of the Notes as a result of a Change of Control Triggering Event. To the extent that the provisions of any such securities laws or regulations conflict with the provisions under this Section 4.1, the Company shall comply with such securities laws and regulations and shall not be deemed to have breached its obligations under this Section 4.1 or the Notes by virtue of any such conflict.</w:t>
      </w:r>
    </w:p>
    <w:p>
      <w:pPr>
        <w:spacing w:after="0" w:line="187" w:lineRule="exact"/>
        <w:rPr>
          <w:rFonts w:ascii="Arial" w:cs="Arial" w:eastAsia="Arial" w:hAnsi="Arial"/>
          <w:sz w:val="18"/>
          <w:szCs w:val="18"/>
          <w:color w:val="auto"/>
        </w:rPr>
      </w:pPr>
    </w:p>
    <w:p>
      <w:pPr>
        <w:ind w:right="60" w:firstLine="1304"/>
        <w:spacing w:after="0" w:line="263" w:lineRule="auto"/>
        <w:tabs>
          <w:tab w:leader="none" w:pos="2225"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this Section 4.1,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83" w:lineRule="exact"/>
        <w:rPr>
          <w:rFonts w:ascii="Arial" w:cs="Arial" w:eastAsia="Arial" w:hAnsi="Arial"/>
          <w:sz w:val="18"/>
          <w:szCs w:val="18"/>
          <w:color w:val="auto"/>
        </w:rPr>
      </w:pPr>
    </w:p>
    <w:p>
      <w:pPr>
        <w:ind w:left="2240" w:hanging="936"/>
        <w:spacing w:after="0"/>
        <w:tabs>
          <w:tab w:leader="none" w:pos="22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No Notes of $2,000 or less can be repurchased in part pursuant to this Section 4.1. Notes in denominations larger than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$2,000 may be repurchased in part but only in whole multiples of $1,000, unless all of the Notes held by a Holder are to be repurchased.</w:t>
      </w:r>
    </w:p>
    <w:p>
      <w:pPr>
        <w:spacing w:after="0" w:line="211" w:lineRule="exact"/>
        <w:rPr>
          <w:sz w:val="20"/>
          <w:szCs w:val="20"/>
          <w:color w:val="auto"/>
        </w:rPr>
      </w:pPr>
    </w:p>
    <w:p>
      <w:pPr>
        <w:ind w:right="160" w:firstLine="1304"/>
        <w:spacing w:after="0" w:line="272" w:lineRule="auto"/>
        <w:tabs>
          <w:tab w:leader="none" w:pos="2231"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Holders of not less than 90% in aggregate principal amount of the outstanding Notes validly tender and do not withdraw such Notes in an Offer to Purchase and the Company, or any third party approved in writing by the Company making an Offer to Purchase in lieu of the Company pursuant to Section 4.1(e) above, purchases all of the Notes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that remain outstanding following such purchase on a date (the “</w:t>
      </w:r>
      <w:r>
        <w:rPr>
          <w:rFonts w:ascii="Arial" w:cs="Arial" w:eastAsia="Arial" w:hAnsi="Arial"/>
          <w:sz w:val="17"/>
          <w:szCs w:val="17"/>
          <w:b w:val="1"/>
          <w:bCs w:val="1"/>
          <w:i w:val="1"/>
          <w:iCs w:val="1"/>
          <w:color w:val="auto"/>
        </w:rPr>
        <w:t>Second Change of Control Purchase Date</w:t>
      </w:r>
      <w:r>
        <w:rPr>
          <w:rFonts w:ascii="Arial" w:cs="Arial" w:eastAsia="Arial" w:hAnsi="Arial"/>
          <w:sz w:val="17"/>
          <w:szCs w:val="17"/>
          <w:color w:val="auto"/>
        </w:rPr>
        <w:t>”) at a purchase price equal to 101% of the principal amount thereof plus accrued and unpaid interest, if any, to, but excluding, the Second Change of Control Purchase Date.</w:t>
      </w:r>
    </w:p>
    <w:p>
      <w:pPr>
        <w:spacing w:after="0" w:line="177"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5"/>
          <w:szCs w:val="15"/>
          <w:i w:val="1"/>
          <w:iCs w:val="1"/>
          <w:color w:val="auto"/>
        </w:rPr>
        <w:t>Liens</w:t>
      </w:r>
    </w:p>
    <w:p>
      <w:pPr>
        <w:spacing w:after="0" w:line="225" w:lineRule="exact"/>
        <w:rPr>
          <w:sz w:val="20"/>
          <w:szCs w:val="20"/>
          <w:color w:val="auto"/>
        </w:rPr>
      </w:pPr>
    </w:p>
    <w:p>
      <w:pPr>
        <w:ind w:firstLine="1304"/>
        <w:spacing w:after="0" w:line="255" w:lineRule="auto"/>
        <w:tabs>
          <w:tab w:leader="none" w:pos="221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then outstanding (together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192" w:lineRule="exact"/>
        <w:rPr>
          <w:rFonts w:ascii="Arial" w:cs="Arial" w:eastAsia="Arial" w:hAnsi="Arial"/>
          <w:sz w:val="18"/>
          <w:szCs w:val="18"/>
          <w:color w:val="auto"/>
        </w:rPr>
      </w:pPr>
    </w:p>
    <w:p>
      <w:pPr>
        <w:ind w:right="40" w:firstLine="1304"/>
        <w:spacing w:after="0" w:line="269" w:lineRule="auto"/>
        <w:tabs>
          <w:tab w:leader="none" w:pos="2226"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Notwithstanding Section 4.2(a) above, the Company or any Restricted Subsidiary of the Company may, without equally and ratably securing the Notes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Section 4.2(a) above or this Section 4.2(b).</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2" w:name="page63"/>
    <w:bookmarkEnd w:id="62"/>
    <w:p>
      <w:pPr>
        <w:ind w:firstLine="1304"/>
        <w:spacing w:after="0" w:line="288" w:lineRule="auto"/>
        <w:tabs>
          <w:tab w:leader="none" w:pos="2215" w:val="left"/>
        </w:tabs>
        <w:numPr>
          <w:ilvl w:val="0"/>
          <w:numId w:val="72"/>
        </w:numPr>
        <w:rPr>
          <w:rFonts w:ascii="Arial" w:cs="Arial" w:eastAsia="Arial" w:hAnsi="Arial"/>
          <w:sz w:val="16"/>
          <w:szCs w:val="16"/>
          <w:color w:val="auto"/>
        </w:rPr>
      </w:pPr>
      <w:r>
        <w:rPr>
          <w:rFonts w:ascii="Arial" w:cs="Arial" w:eastAsia="Arial" w:hAnsi="Arial"/>
          <w:sz w:val="16"/>
          <w:szCs w:val="16"/>
          <w:color w:val="auto"/>
        </w:rPr>
        <w:t>For purposes of this Section 4.2,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Section 4.2(b) above,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168" w:lineRule="exact"/>
        <w:rPr>
          <w:rFonts w:ascii="Arial" w:cs="Arial" w:eastAsia="Arial" w:hAnsi="Arial"/>
          <w:sz w:val="16"/>
          <w:szCs w:val="16"/>
          <w:color w:val="auto"/>
        </w:rPr>
      </w:pPr>
    </w:p>
    <w:p>
      <w:pPr>
        <w:jc w:val="both"/>
        <w:ind w:right="160" w:firstLine="1304"/>
        <w:spacing w:after="0" w:line="263" w:lineRule="auto"/>
        <w:tabs>
          <w:tab w:leader="none" w:pos="221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Lien created for the benefit of the Holders of the Notes pursuant to Section 4.2(a) above may provide by its terms that such Lien shall be automatically and unconditionally released and discharged upon the release and discharge of the Lien that gave rise to the obligation to secure the Notes.</w:t>
      </w:r>
    </w:p>
    <w:p>
      <w:pPr>
        <w:spacing w:after="0" w:line="184"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5"/>
          <w:szCs w:val="15"/>
          <w:i w:val="1"/>
          <w:iCs w:val="1"/>
          <w:color w:val="auto"/>
        </w:rPr>
        <w:t>Sale and Lease Back Transactions</w:t>
      </w:r>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 Company will not, and will not permit any of its Restricted Subsidiaries, to enter into any Sale and Lease Back Transaction with respect to any Principal Property owned by the Company or any Restricted Subsidiary, whether now owned or hereafter acquired, unless:</w:t>
      </w:r>
    </w:p>
    <w:p>
      <w:pPr>
        <w:spacing w:after="0" w:line="146" w:lineRule="exact"/>
        <w:rPr>
          <w:sz w:val="20"/>
          <w:szCs w:val="20"/>
          <w:color w:val="auto"/>
        </w:rPr>
      </w:pPr>
    </w:p>
    <w:p>
      <w:pPr>
        <w:ind w:left="2220" w:hanging="916"/>
        <w:spacing w:after="0"/>
        <w:tabs>
          <w:tab w:leader="none" w:pos="22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225" w:lineRule="exact"/>
        <w:rPr>
          <w:rFonts w:ascii="Arial" w:cs="Arial" w:eastAsia="Arial" w:hAnsi="Arial"/>
          <w:sz w:val="18"/>
          <w:szCs w:val="18"/>
          <w:color w:val="auto"/>
        </w:rPr>
      </w:pPr>
    </w:p>
    <w:p>
      <w:pPr>
        <w:ind w:right="600" w:firstLine="1304"/>
        <w:spacing w:after="0" w:line="277" w:lineRule="auto"/>
        <w:tabs>
          <w:tab w:leader="none" w:pos="2225" w:val="left"/>
        </w:tabs>
        <w:numPr>
          <w:ilvl w:val="1"/>
          <w:numId w:val="73"/>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 Restricted Subsidiary by the Company or any Subsidiary of any Principal Property;</w:t>
      </w:r>
    </w:p>
    <w:p>
      <w:pPr>
        <w:spacing w:after="0" w:line="170" w:lineRule="exact"/>
        <w:rPr>
          <w:rFonts w:ascii="Arial" w:cs="Arial" w:eastAsia="Arial" w:hAnsi="Arial"/>
          <w:sz w:val="18"/>
          <w:szCs w:val="18"/>
          <w:color w:val="auto"/>
        </w:rPr>
      </w:pPr>
    </w:p>
    <w:p>
      <w:pPr>
        <w:jc w:val="both"/>
        <w:ind w:right="80" w:firstLine="1304"/>
        <w:spacing w:after="0" w:line="291" w:lineRule="auto"/>
        <w:tabs>
          <w:tab w:leader="none" w:pos="2215" w:val="left"/>
        </w:tabs>
        <w:numPr>
          <w:ilvl w:val="1"/>
          <w:numId w:val="73"/>
        </w:numPr>
        <w:rPr>
          <w:rFonts w:ascii="Arial" w:cs="Arial" w:eastAsia="Arial" w:hAnsi="Arial"/>
          <w:sz w:val="16"/>
          <w:szCs w:val="16"/>
          <w:color w:val="auto"/>
        </w:rPr>
      </w:pPr>
      <w:r>
        <w:rPr>
          <w:rFonts w:ascii="Arial" w:cs="Arial" w:eastAsia="Arial" w:hAnsi="Arial"/>
          <w:sz w:val="16"/>
          <w:szCs w:val="16"/>
          <w:color w:val="auto"/>
        </w:rPr>
        <w:t>such transaction involves a lease of a Principal Property executed by the time of or within 24 months after the later of (i) the acquisition or the completion of any such development, operation, construction, alteration, repair or improvement of such property, assets or equipment or</w:t>
      </w:r>
    </w:p>
    <w:p>
      <w:pPr>
        <w:ind w:right="140" w:firstLine="8"/>
        <w:spacing w:after="0" w:line="260" w:lineRule="auto"/>
        <w:tabs>
          <w:tab w:leader="none" w:pos="26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placing into commercial operation of such Principal Property after the acquisition or completion of any such development, operation, construction, alteration, repair or improvement;</w:t>
      </w:r>
    </w:p>
    <w:p>
      <w:pPr>
        <w:spacing w:after="0" w:line="185" w:lineRule="exact"/>
        <w:rPr>
          <w:rFonts w:ascii="Arial" w:cs="Arial" w:eastAsia="Arial" w:hAnsi="Arial"/>
          <w:sz w:val="18"/>
          <w:szCs w:val="18"/>
          <w:color w:val="auto"/>
        </w:rPr>
      </w:pPr>
    </w:p>
    <w:p>
      <w:pPr>
        <w:ind w:right="720" w:firstLine="1304"/>
        <w:spacing w:after="0" w:line="277" w:lineRule="auto"/>
        <w:tabs>
          <w:tab w:leader="none" w:pos="2225" w:val="left"/>
        </w:tabs>
        <w:numPr>
          <w:ilvl w:val="1"/>
          <w:numId w:val="74"/>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the applicable Restricted Subsidiary within a period of not more than three years);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right="220" w:firstLine="1304"/>
        <w:spacing w:after="0" w:line="263" w:lineRule="auto"/>
        <w:tabs>
          <w:tab w:leader="none" w:pos="22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would be entitled to incur Indebtedness secured by a Lien on the property to be leased in an amount equal to Attributable Debt with respect to such Sale and Lease Back Transaction without equally and ratably securing the Notes pursuant to Section 4.2(a) above; or</w:t>
      </w:r>
    </w:p>
    <w:p>
      <w:pPr>
        <w:spacing w:after="0" w:line="183" w:lineRule="exact"/>
        <w:rPr>
          <w:rFonts w:ascii="Arial" w:cs="Arial" w:eastAsia="Arial" w:hAnsi="Arial"/>
          <w:sz w:val="18"/>
          <w:szCs w:val="18"/>
          <w:color w:val="auto"/>
        </w:rPr>
      </w:pPr>
    </w:p>
    <w:p>
      <w:pPr>
        <w:ind w:firstLine="1304"/>
        <w:spacing w:after="0" w:line="257" w:lineRule="auto"/>
        <w:tabs>
          <w:tab w:leader="none" w:pos="2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 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Notwithstanding the foregoing, the Company and its Restricted Subsidiaries may enter into any Sale and Lease 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 Back Transaction.</w:t>
      </w:r>
    </w:p>
    <w:p>
      <w:pPr>
        <w:spacing w:after="0" w:line="187"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5"/>
          <w:szCs w:val="15"/>
          <w:i w:val="1"/>
          <w:iCs w:val="1"/>
          <w:color w:val="auto"/>
        </w:rPr>
        <w:t>Covenants</w:t>
      </w:r>
      <w:r>
        <w:rPr>
          <w:rFonts w:ascii="Arial" w:cs="Arial" w:eastAsia="Arial" w:hAnsi="Arial"/>
          <w:sz w:val="15"/>
          <w:szCs w:val="15"/>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covenants set forth in Sections 4.2 and 4.3 above are and are intended solely for the benefit of the Notes.</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11"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i w:val="1"/>
          <w:iCs w:val="1"/>
          <w:color w:val="auto"/>
        </w:rPr>
        <w:t>Satisfaction and Discharge of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may satisfy and discharge the Notes in accordance with and subject to the terms of Section 8.1 of the Base Indenture.</w:t>
      </w:r>
    </w:p>
    <w:p>
      <w:pPr>
        <w:spacing w:after="0" w:line="237"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i w:val="1"/>
          <w:iCs w:val="1"/>
          <w:color w:val="auto"/>
        </w:rPr>
        <w:t>Legal Defeasance of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8.3 of the Base Indenture shall be applicable to the Notes.</w:t>
      </w:r>
    </w:p>
    <w:p>
      <w:pPr>
        <w:spacing w:after="0" w:line="225"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5"/>
          <w:szCs w:val="15"/>
          <w:i w:val="1"/>
          <w:iCs w:val="1"/>
          <w:color w:val="auto"/>
        </w:rPr>
        <w:t>Covenant Defeasance</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addition to the covenants specified in Section 8.4 of the Base Indenture, the Company may omit to comply with respect to the Notes with any term, provision or condition set forth in Section 4.1, Section 4.2 and Section 4.3 of this Supplemental Indenture by complying with the requirements of Section 8.4 of the Base Indenture in respect of the Notes.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4" w:name="page65"/>
    <w:bookmarkEnd w:id="64"/>
    <w:p>
      <w:pPr>
        <w:jc w:val="center"/>
        <w:ind w:right="-13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i w:val="1"/>
          <w:iCs w:val="1"/>
          <w:color w:val="auto"/>
        </w:rPr>
        <w:t>Trust Indenture Act Controls.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any provision of this Supplemental Indenture limits, qualifies or conflicts with another provision which is required or deemed to be included in this Supplemental Indenture by the TIA, such required or deemed provision shall control.</w:t>
      </w:r>
    </w:p>
    <w:p>
      <w:pPr>
        <w:spacing w:after="0" w:line="170"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i w:val="1"/>
          <w:iCs w:val="1"/>
          <w:color w:val="auto"/>
        </w:rPr>
        <w:t>Governing Law</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SUPPLEMENTAL INDENTURE AND THE NOTES SHALL BE GOVERNED BY THE LAW OF THE STATE OF NEW YORK.</w:t>
      </w:r>
    </w:p>
    <w:p>
      <w:pPr>
        <w:spacing w:after="0" w:line="225"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5"/>
          <w:szCs w:val="15"/>
          <w:i w:val="1"/>
          <w:iCs w:val="1"/>
          <w:color w:val="auto"/>
        </w:rPr>
        <w:t>Successors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All agreements of the Company in this Supplemental Indenture and the Notes shall bind its successors. All agreements of the Trustee in this Supplemental Indenture shall bind its successors.</w:t>
      </w:r>
    </w:p>
    <w:p>
      <w:pPr>
        <w:spacing w:after="0" w:line="170"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i w:val="1"/>
          <w:iCs w:val="1"/>
          <w:color w:val="auto"/>
        </w:rPr>
        <w:t>Severability</w:t>
      </w:r>
      <w:r>
        <w:rPr>
          <w:rFonts w:ascii="Arial" w:cs="Arial" w:eastAsia="Arial" w:hAnsi="Arial"/>
          <w:sz w:val="16"/>
          <w:szCs w:val="16"/>
          <w:color w:val="auto"/>
        </w:rPr>
        <w:t>.</w:t>
      </w:r>
    </w:p>
    <w:p>
      <w:pPr>
        <w:spacing w:after="0" w:line="225"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In case any provision in this Supplemental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7"/>
          <w:szCs w:val="17"/>
          <w:i w:val="1"/>
          <w:iCs w:val="1"/>
          <w:color w:val="auto"/>
        </w:rPr>
        <w:t>Counterpart Originals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This Supplemental Indenture may be executed in any number of counterparts and by the parties hereto in separate counterparts, each of which when so executed shall be deemed to be an original and all of which taken together shall constitute one and the same agreement. The words “execution,” “signed,” “signature,” “delivery,” and words of like import in or relating to this Supplemental Indenture or any document to be signed in connection with this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64"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All notices, approvals, consents, requests and any communications hereunder must be in writing (provided that any such communication sent to the Trustee hereunder must be in the form of a document that is signed manually or by way of a digital signature provided by Adobe Sign (or such other digital signature provider as specified in writing to Trustee by the authorized representative) or by way of an electronic signature provided in another manner acceptable to Trustee, in English. The Company agrees to assume all risks arising out of the use of using digital signatures, electronic signatures and electronic methods to submit communications to the Trustee, including without limitation the risk of the Trustee acting on unauthorized instructions, and the risk of interception and misuse by third parties.</w:t>
      </w:r>
    </w:p>
    <w:p>
      <w:pPr>
        <w:spacing w:after="0" w:line="178"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i w:val="1"/>
          <w:iCs w:val="1"/>
          <w:color w:val="auto"/>
        </w:rPr>
        <w:t>Table of Contents, Headings, Etc</w:t>
      </w:r>
      <w:r>
        <w:rPr>
          <w:rFonts w:ascii="Arial" w:cs="Arial" w:eastAsia="Arial" w:hAnsi="Arial"/>
          <w:sz w:val="16"/>
          <w:szCs w:val="16"/>
          <w:color w:val="auto"/>
        </w:rPr>
        <w:t>.</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Table of Contents and headings of the Articles and Sections of this Supplemental Indenture have been inserted for convenience of reference only, are not to be considered a part of this Supplemental Indenture and will in no way modify or restrict any of the terms or provisions hereof.</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5" w:name="page66"/>
    <w:bookmarkEnd w:id="65"/>
    <w:p>
      <w:pPr>
        <w:ind w:left="660"/>
        <w:spacing w:after="0"/>
        <w:tabs>
          <w:tab w:leader="none" w:pos="226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6"/>
          <w:szCs w:val="16"/>
          <w:i w:val="1"/>
          <w:iCs w:val="1"/>
          <w:color w:val="auto"/>
        </w:rPr>
        <w:t>Waiver of Jury Trial</w:t>
      </w:r>
    </w:p>
    <w:p>
      <w:pPr>
        <w:spacing w:after="0" w:line="225"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The Company, the Trustee and the Holders (by their acceptance of the Notes) each hereby irrevocably waive, to the fullest extent permitted by applicable law, any and all right to trial by jury in any legal proceeding arising out of or relating to this Indenture, the Notes or the transactions contemplated hereby or thereby</w:t>
      </w:r>
      <w:r>
        <w:rPr>
          <w:rFonts w:ascii="Arial" w:cs="Arial" w:eastAsia="Arial" w:hAnsi="Arial"/>
          <w:sz w:val="18"/>
          <w:szCs w:val="18"/>
          <w:i w:val="1"/>
          <w:iCs w:val="1"/>
          <w:color w:val="auto"/>
        </w:rPr>
        <w:t>.</w:t>
      </w:r>
    </w:p>
    <w:p>
      <w:pPr>
        <w:spacing w:after="0" w:line="184"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6"/>
          <w:szCs w:val="16"/>
          <w:i w:val="1"/>
          <w:iCs w:val="1"/>
          <w:color w:val="auto"/>
        </w:rPr>
        <w:t>Interpretation</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Supplemental Indenture in its entirety and not to any particular provision hereof, (d) all references herein to Articles, Sections and Exhibits shall be construed to refer to Articles and Sections of, and Exhibits to, this Supplemental Indenture and (e) the words “asset” and “property” shall be construed to have the same meaning and effect and to refer to any and all tangible and intangible assets and properties, including cash, securities, accounts and contract rights.</w:t>
      </w:r>
    </w:p>
    <w:p>
      <w:pPr>
        <w:spacing w:after="0" w:line="168"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6"/>
          <w:szCs w:val="16"/>
          <w:i w:val="1"/>
          <w:iCs w:val="1"/>
          <w:color w:val="auto"/>
        </w:rPr>
        <w:t>Instruction by Electronic Transmissions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to the foregoing, the Trustee agrees to accept and act upon notice, instructions or directions pursuant to this Indenture sent by unsecured e-mail, facsimile transmission or other similar unsecured electronic methods.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92"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i w:val="1"/>
          <w:iCs w:val="1"/>
          <w:color w:val="auto"/>
        </w:rPr>
        <w:t>Miscellaneous</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84" w:lineRule="exact"/>
        <w:rPr>
          <w:sz w:val="20"/>
          <w:szCs w:val="20"/>
          <w:color w:val="auto"/>
        </w:rPr>
      </w:pPr>
    </w:p>
    <w:p>
      <w:pPr>
        <w:ind w:right="440" w:firstLine="648"/>
        <w:spacing w:after="0" w:line="311" w:lineRule="auto"/>
        <w:rPr>
          <w:sz w:val="20"/>
          <w:szCs w:val="20"/>
          <w:color w:val="auto"/>
        </w:rPr>
      </w:pPr>
      <w:r>
        <w:rPr>
          <w:rFonts w:ascii="Arial" w:cs="Arial" w:eastAsia="Arial" w:hAnsi="Arial"/>
          <w:sz w:val="16"/>
          <w:szCs w:val="16"/>
          <w:color w:val="auto"/>
        </w:rPr>
        <w:t>None of the Company’s past, present or future directors, officers, employees or stockholders, as such, will have any liability for any of the Company’s obligations under the Notes or the Indenture or for any claim based on, or in respect or by reason of, such obligations or their creation. By accepting a Note, each Holder waives and releases all such liability. This waiver and release is part of the consideration for the issue of the Notes.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[Signatures on following page]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ind w:left="50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Dated as of April 24, 2020</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MICRON TECHNOLOGY, INC.</w:t>
      </w:r>
    </w:p>
    <w:p>
      <w:pPr>
        <w:spacing w:after="0" w:line="27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Kurt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Kurt Wood</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Corporate Vice President, Finance</w:t>
      </w:r>
    </w:p>
    <w:p>
      <w:pPr>
        <w:spacing w:after="0" w:line="279"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U.S. BANK NATIONAL ASSOCIATION, as Trustee</w:t>
      </w:r>
    </w:p>
    <w:p>
      <w:pPr>
        <w:spacing w:after="0" w:line="27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Paula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Paula Oswald</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i w:val="1"/>
          <w:iCs w:val="1"/>
          <w:color w:val="auto"/>
        </w:rPr>
        <w:t>[Signature Page to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ind w:right="300" w:firstLine="648"/>
        <w:spacing w:after="0" w:line="268" w:lineRule="auto"/>
        <w:rPr>
          <w:sz w:val="20"/>
          <w:szCs w:val="20"/>
          <w:color w:val="auto"/>
        </w:rPr>
      </w:pPr>
      <w:r>
        <w:rPr>
          <w:rFonts w:ascii="Arial" w:cs="Arial" w:eastAsia="Arial" w:hAnsi="Arial"/>
          <w:sz w:val="17"/>
          <w:szCs w:val="17"/>
          <w:color w:val="auto"/>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w:t>
      </w:r>
    </w:p>
    <w:p>
      <w:pPr>
        <w:spacing w:after="0" w:line="3"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190" w:lineRule="exact"/>
        <w:rPr>
          <w:sz w:val="20"/>
          <w:szCs w:val="20"/>
          <w:color w:val="auto"/>
        </w:rPr>
      </w:pPr>
    </w:p>
    <w:p>
      <w:pPr>
        <w:ind w:right="40" w:firstLine="648"/>
        <w:spacing w:after="0" w:line="266" w:lineRule="auto"/>
        <w:rPr>
          <w:sz w:val="20"/>
          <w:szCs w:val="20"/>
          <w:color w:val="auto"/>
        </w:rPr>
      </w:pPr>
      <w:r>
        <w:rPr>
          <w:rFonts w:ascii="Arial" w:cs="Arial" w:eastAsia="Arial" w:hAnsi="Arial"/>
          <w:sz w:val="17"/>
          <w:szCs w:val="17"/>
          <w:color w:val="auto"/>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(55 WATER STREET, NEW YORK, NEW YORK) (“</w:t>
      </w:r>
      <w:r>
        <w:rPr>
          <w:rFonts w:ascii="Arial" w:cs="Arial" w:eastAsia="Arial" w:hAnsi="Arial"/>
          <w:sz w:val="17"/>
          <w:szCs w:val="17"/>
          <w:b w:val="1"/>
          <w:bCs w:val="1"/>
          <w:i w:val="1"/>
          <w:iCs w:val="1"/>
          <w:color w:val="auto"/>
        </w:rPr>
        <w:t>DTC</w:t>
      </w:r>
      <w:r>
        <w:rPr>
          <w:rFonts w:ascii="Arial" w:cs="Arial" w:eastAsia="Arial" w:hAnsi="Arial"/>
          <w:sz w:val="17"/>
          <w:szCs w:val="17"/>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CUSIP:[_______]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ISIN:[_______]</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2.497% Senior Note due 2023</w:t>
      </w:r>
    </w:p>
    <w:p>
      <w:pPr>
        <w:sectPr>
          <w:pgSz w:w="11900" w:h="16838" w:orient="portrait"/>
          <w:cols w:equalWidth="0" w:num="1">
            <w:col w:w="11240"/>
          </w:cols>
          <w:pgMar w:left="320" w:top="904"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 [_____]</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$__________</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(as revised by the Schedule of Increases and</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Decreases in Global Note attached hereto)</w:t>
      </w:r>
    </w:p>
    <w:p>
      <w:pPr>
        <w:spacing w:after="0" w:line="200" w:lineRule="exact"/>
        <w:rPr>
          <w:sz w:val="20"/>
          <w:szCs w:val="20"/>
          <w:color w:val="auto"/>
        </w:rPr>
      </w:pPr>
    </w:p>
    <w:p>
      <w:pPr>
        <w:sectPr>
          <w:pgSz w:w="11900" w:h="16838" w:orient="portrait"/>
          <w:cols w:equalWidth="0" w:num="2">
            <w:col w:w="7340" w:space="720"/>
            <w:col w:w="3180"/>
          </w:cols>
          <w:pgMar w:left="320" w:top="904" w:right="339" w:bottom="1440" w:gutter="0" w:footer="0" w:header="0"/>
          <w:type w:val="continuous"/>
        </w:sectPr>
      </w:pPr>
    </w:p>
    <w:p>
      <w:pPr>
        <w:spacing w:after="0" w:line="3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Micron Technology, Inc., a Delaware corporation, promises to pay to CEDE &amp; CO. or registered assigns, the principal sum of $[ ] (as revised by the Schedule of Increases and Decreases in Global Note attached hereto) on April 24,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140" w:type="dxa"/>
            <w:vAlign w:val="bottom"/>
          </w:tcPr>
          <w:p>
            <w:pPr>
              <w:ind w:left="1400"/>
              <w:spacing w:after="0"/>
              <w:rPr>
                <w:sz w:val="20"/>
                <w:szCs w:val="20"/>
                <w:color w:val="auto"/>
              </w:rPr>
            </w:pPr>
            <w:r>
              <w:rPr>
                <w:rFonts w:ascii="Arial" w:cs="Arial" w:eastAsia="Arial" w:hAnsi="Arial"/>
                <w:sz w:val="18"/>
                <w:szCs w:val="18"/>
                <w:color w:val="auto"/>
              </w:rPr>
              <w:t>April 24 and October 24</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Record Dates:</w:t>
            </w:r>
          </w:p>
        </w:tc>
        <w:tc>
          <w:tcPr>
            <w:tcW w:w="8140" w:type="dxa"/>
            <w:vAlign w:val="bottom"/>
          </w:tcPr>
          <w:p>
            <w:pPr>
              <w:ind w:left="1400"/>
              <w:spacing w:after="0"/>
              <w:rPr>
                <w:sz w:val="20"/>
                <w:szCs w:val="20"/>
                <w:color w:val="auto"/>
              </w:rPr>
            </w:pPr>
            <w:r>
              <w:rPr>
                <w:rFonts w:ascii="Arial" w:cs="Arial" w:eastAsia="Arial" w:hAnsi="Arial"/>
                <w:sz w:val="18"/>
                <w:szCs w:val="18"/>
                <w:color w:val="auto"/>
              </w:rPr>
              <w:t>April 9 and October 9</w:t>
            </w:r>
          </w:p>
        </w:tc>
      </w:tr>
      <w:tr>
        <w:trPr>
          <w:trHeight w:val="648"/>
        </w:trPr>
        <w:tc>
          <w:tcPr>
            <w:tcW w:w="310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A-1</w:t>
            </w:r>
          </w:p>
        </w:tc>
      </w:tr>
    </w:tbl>
    <w:p>
      <w:pPr>
        <w:sectPr>
          <w:pgSz w:w="11900" w:h="16838" w:orient="portrait"/>
          <w:cols w:equalWidth="0" w:num="1">
            <w:col w:w="11240"/>
          </w:cols>
          <w:pgMar w:left="320" w:top="904"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color w:val="auto"/>
        </w:rPr>
        <w:t>Date:</w:t>
      </w:r>
    </w:p>
    <w:p>
      <w:pPr>
        <w:spacing w:after="0" w:line="36" w:lineRule="exact"/>
        <w:rPr>
          <w:sz w:val="20"/>
          <w:szCs w:val="20"/>
          <w:color w:val="auto"/>
        </w:rPr>
      </w:pPr>
    </w:p>
    <w:p>
      <w:pPr>
        <w:jc w:val="right"/>
        <w:ind w:right="2079"/>
        <w:spacing w:after="0"/>
        <w:rPr>
          <w:sz w:val="20"/>
          <w:szCs w:val="20"/>
          <w:color w:val="auto"/>
        </w:rPr>
      </w:pPr>
      <w:r>
        <w:rPr>
          <w:rFonts w:ascii="Arial" w:cs="Arial" w:eastAsia="Arial" w:hAnsi="Arial"/>
          <w:sz w:val="18"/>
          <w:szCs w:val="18"/>
          <w:color w:val="auto"/>
        </w:rPr>
        <w:t>MICRON TECHNOLOGY, INC.</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69" w:name="page70"/>
    <w:bookmarkEnd w:id="69"/>
    <w:p>
      <w:pPr>
        <w:ind w:left="3620"/>
        <w:spacing w:after="0"/>
        <w:rPr>
          <w:sz w:val="20"/>
          <w:szCs w:val="20"/>
          <w:color w:val="auto"/>
        </w:rPr>
      </w:pPr>
      <w:r>
        <w:rPr>
          <w:rFonts w:ascii="Arial" w:cs="Arial" w:eastAsia="Arial" w:hAnsi="Arial"/>
          <w:sz w:val="17"/>
          <w:szCs w:val="17"/>
          <w:color w:val="auto"/>
        </w:rPr>
        <w:t>TRUSTEE’S CERTIFICATE OF AUTHENTICATION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Supplemental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as Trustee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70" w:name="page71"/>
    <w:bookmarkEnd w:id="70"/>
    <w:p>
      <w:pPr>
        <w:jc w:val="center"/>
        <w:ind w:right="160"/>
        <w:spacing w:after="0"/>
        <w:rPr>
          <w:sz w:val="20"/>
          <w:szCs w:val="20"/>
          <w:color w:val="auto"/>
        </w:rPr>
      </w:pPr>
      <w:r>
        <w:rPr>
          <w:rFonts w:ascii="Arial" w:cs="Arial" w:eastAsia="Arial" w:hAnsi="Arial"/>
          <w:sz w:val="18"/>
          <w:szCs w:val="18"/>
          <w:color w:val="auto"/>
        </w:rPr>
        <w:t>(Back of Note)</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2.497% Senior Note due 2023</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25" w:lineRule="exact"/>
        <w:rPr>
          <w:sz w:val="20"/>
          <w:szCs w:val="20"/>
          <w:color w:val="auto"/>
        </w:rPr>
      </w:pPr>
    </w:p>
    <w:p>
      <w:pPr>
        <w:ind w:right="40" w:firstLine="638"/>
        <w:spacing w:after="0" w:line="269" w:lineRule="auto"/>
        <w:tabs>
          <w:tab w:leader="none" w:pos="1638"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INTEREST</w:t>
      </w:r>
      <w:r>
        <w:rPr>
          <w:rFonts w:ascii="Arial" w:cs="Arial" w:eastAsia="Arial" w:hAnsi="Arial"/>
          <w:sz w:val="17"/>
          <w:szCs w:val="17"/>
          <w:color w:val="auto"/>
        </w:rPr>
        <w:t>. Micron Technology,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promises to pay interest on the principal amount</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Note at 2.497% per annum. The Company will pay interest semi-annually on April 24 and October 24 of each year, commencing October 24, 2020, or if any such day is not a Business Day, on the next succeeding Business Day as if made on the date such payment was due, and no additional interest will accrue on the amount so payable for that period (each an “</w:t>
      </w:r>
      <w:r>
        <w:rPr>
          <w:rFonts w:ascii="Arial" w:cs="Arial" w:eastAsia="Arial" w:hAnsi="Arial"/>
          <w:sz w:val="17"/>
          <w:szCs w:val="17"/>
          <w:b w:val="1"/>
          <w:bCs w:val="1"/>
          <w:i w:val="1"/>
          <w:iCs w:val="1"/>
          <w:color w:val="auto"/>
        </w:rPr>
        <w:t>Interest Payment Date</w:t>
      </w:r>
      <w:r>
        <w:rPr>
          <w:rFonts w:ascii="Arial" w:cs="Arial" w:eastAsia="Arial" w:hAnsi="Arial"/>
          <w:sz w:val="17"/>
          <w:szCs w:val="17"/>
          <w:color w:val="auto"/>
        </w:rPr>
        <w:t xml:space="preserve">”). Interest on the Notes will accrue from the most recent date to which interest has been paid or provided for or, if no interest has been paid or provided for, from April 24, 2020;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there is no existing Default in the payment of interest, and if this Note is authenticated between a record date referred to on the face 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Notes to the extent lawful; it will pay interest (including post-petition interest in any proceeding under any Bankruptcy Law to the extent allowable) on overdue installments of interest at the same rate to the extent lawful. Interest will be computed on the basis of a 360-day year of twelve 30-day months.</w:t>
      </w:r>
    </w:p>
    <w:p>
      <w:pPr>
        <w:spacing w:after="0" w:line="181" w:lineRule="exact"/>
        <w:rPr>
          <w:rFonts w:ascii="Arial" w:cs="Arial" w:eastAsia="Arial" w:hAnsi="Arial"/>
          <w:sz w:val="17"/>
          <w:szCs w:val="17"/>
          <w:color w:val="auto"/>
        </w:rPr>
      </w:pPr>
    </w:p>
    <w:p>
      <w:pPr>
        <w:ind w:firstLine="638"/>
        <w:spacing w:after="0" w:line="288" w:lineRule="auto"/>
        <w:tabs>
          <w:tab w:leader="none" w:pos="1638"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Company will pay interest on the Notes (except defaulted interest) to the persons who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registered Holders of Notes at the close of business on the April 9 or October 9 (whether or not a Business Day) next preceding the Interest Payment Date, even if such Notes are canceled after such record date and on or before such Interest Payment Date, except as provided in Section 2.13 of the Base Indenture with respect to defaulted interest. Principal and interest on the Notes will be made by (a) check mailed to the Holders of the Notes at their respective addresses set forth in the register of Holders of Notes or (b) with respect to a Holder with an aggregate principal amount in excess of $5,000,000, by wire transfer in immediately available funds to the place and account designated in writing at least 15 days prior to the Interest Payment Date by the person entitled to the payment as specified in the security register;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by wire transfer of immediately available funds will be required with respect to principal of and interest on all Global Securities and all other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w:t>
      </w:r>
    </w:p>
    <w:p>
      <w:pPr>
        <w:spacing w:after="0" w:line="168" w:lineRule="exact"/>
        <w:rPr>
          <w:rFonts w:ascii="Arial" w:cs="Arial" w:eastAsia="Arial" w:hAnsi="Arial"/>
          <w:sz w:val="16"/>
          <w:szCs w:val="16"/>
          <w:color w:val="auto"/>
        </w:rPr>
      </w:pPr>
    </w:p>
    <w:p>
      <w:pPr>
        <w:ind w:right="100" w:firstLine="638"/>
        <w:spacing w:after="0" w:line="263" w:lineRule="auto"/>
        <w:tabs>
          <w:tab w:leader="none" w:pos="1638"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U.S. Bank National Association, the Trustee under the Indenture, will act as Paying</w:t>
      </w:r>
      <w:r>
        <w:rPr>
          <w:rFonts w:ascii="Arial" w:cs="Arial" w:eastAsia="Arial" w:hAnsi="Arial"/>
          <w:sz w:val="18"/>
          <w:szCs w:val="18"/>
          <w:i w:val="1"/>
          <w:iCs w:val="1"/>
          <w:color w:val="auto"/>
        </w:rPr>
        <w:t xml:space="preserve"> </w:t>
      </w:r>
      <w:r>
        <w:rPr>
          <w:rFonts w:ascii="Arial" w:cs="Arial" w:eastAsia="Arial" w:hAnsi="Arial"/>
          <w:sz w:val="18"/>
          <w:szCs w:val="18"/>
          <w:color w:val="auto"/>
        </w:rPr>
        <w:t>Agent and Registrar. The Company may change any Paying Agent or Registrar without notice to any Holder. The Company or any of its Subsidiaries may act in any such capacity.</w:t>
      </w:r>
    </w:p>
    <w:p>
      <w:pPr>
        <w:spacing w:after="0" w:line="183" w:lineRule="exact"/>
        <w:rPr>
          <w:rFonts w:ascii="Arial" w:cs="Arial" w:eastAsia="Arial" w:hAnsi="Arial"/>
          <w:sz w:val="18"/>
          <w:szCs w:val="18"/>
          <w:color w:val="auto"/>
        </w:rPr>
      </w:pPr>
    </w:p>
    <w:p>
      <w:pPr>
        <w:ind w:right="80" w:firstLine="638"/>
        <w:spacing w:after="0" w:line="290" w:lineRule="auto"/>
        <w:tabs>
          <w:tab w:leader="none" w:pos="1638"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INDENTURE</w:t>
      </w:r>
      <w:r>
        <w:rPr>
          <w:rFonts w:ascii="Arial" w:cs="Arial" w:eastAsia="Arial" w:hAnsi="Arial"/>
          <w:sz w:val="16"/>
          <w:szCs w:val="16"/>
          <w:color w:val="auto"/>
        </w:rPr>
        <w:t>. This Note is one of a duly authenticated Series of securities of the Company issued and to be issued in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Series under an indenture (the “</w:t>
      </w:r>
      <w:r>
        <w:rPr>
          <w:rFonts w:ascii="Arial" w:cs="Arial" w:eastAsia="Arial" w:hAnsi="Arial"/>
          <w:sz w:val="16"/>
          <w:szCs w:val="16"/>
          <w:b w:val="1"/>
          <w:bCs w:val="1"/>
          <w:i w:val="1"/>
          <w:iCs w:val="1"/>
          <w:color w:val="auto"/>
        </w:rPr>
        <w:t>Base Indenture</w:t>
      </w:r>
      <w:r>
        <w:rPr>
          <w:rFonts w:ascii="Arial" w:cs="Arial" w:eastAsia="Arial" w:hAnsi="Arial"/>
          <w:sz w:val="16"/>
          <w:szCs w:val="16"/>
          <w:color w:val="auto"/>
        </w:rPr>
        <w:t>”), dated as of February 6, 2019 between the Company and the Trustee, as amended by the Third Supplemental Indenture, dated as of April 24, 2020, between the Company and the Trustee (the “</w:t>
      </w:r>
      <w:r>
        <w:rPr>
          <w:rFonts w:ascii="Arial" w:cs="Arial" w:eastAsia="Arial" w:hAnsi="Arial"/>
          <w:sz w:val="16"/>
          <w:szCs w:val="16"/>
          <w:b w:val="1"/>
          <w:bCs w:val="1"/>
          <w:i w:val="1"/>
          <w:iCs w:val="1"/>
          <w:color w:val="auto"/>
        </w:rPr>
        <w:t>Supplemental Indenture</w:t>
      </w:r>
      <w:r>
        <w:rPr>
          <w:rFonts w:ascii="Arial" w:cs="Arial" w:eastAsia="Arial" w:hAnsi="Arial"/>
          <w:sz w:val="16"/>
          <w:szCs w:val="16"/>
          <w:color w:val="auto"/>
        </w:rPr>
        <w:t>” and, together with the Base Indenture,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The terms of the Notes include those stated in the Indenture and those made part of the Indenture by reference to the TIA. The Notes are subject to all such terms, and Holders are referred to the Indenture and such Act for a statement of such terms. To the extent any provision of this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Notes pursuant to Section 2.3 of the Supplemental Indenture.</w:t>
      </w:r>
    </w:p>
    <w:p>
      <w:pPr>
        <w:spacing w:after="0" w:line="38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500" w:top="908" w:right="339" w:bottom="1440" w:gutter="0" w:footer="0" w:header="0"/>
        </w:sectPr>
      </w:pPr>
    </w:p>
    <w:bookmarkStart w:id="71" w:name="page72"/>
    <w:bookmarkEnd w:id="71"/>
    <w:p>
      <w:pPr>
        <w:ind w:right="20" w:firstLine="638"/>
        <w:spacing w:after="0" w:line="263" w:lineRule="auto"/>
        <w:tabs>
          <w:tab w:leader="none" w:pos="1638"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 The Notes are redeemable prior to the maturity date as provided in the Indenture. In the event of</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of this Note in part only, a new Note or Notes in an authorized denomination for the unredeemed portion hereof will be issued in the name of the Holder hereof upon the cancellation hereof.</w:t>
      </w:r>
    </w:p>
    <w:p>
      <w:pPr>
        <w:spacing w:after="0" w:line="183" w:lineRule="exact"/>
        <w:rPr>
          <w:rFonts w:ascii="Arial" w:cs="Arial" w:eastAsia="Arial" w:hAnsi="Arial"/>
          <w:sz w:val="18"/>
          <w:szCs w:val="18"/>
          <w:color w:val="auto"/>
        </w:rPr>
      </w:pPr>
    </w:p>
    <w:p>
      <w:pPr>
        <w:ind w:left="1620" w:hanging="982"/>
        <w:spacing w:after="0"/>
        <w:tabs>
          <w:tab w:leader="none" w:pos="162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MANDATORY REDEMPTION. </w:t>
      </w:r>
      <w:r>
        <w:rPr>
          <w:rFonts w:ascii="Arial" w:cs="Arial" w:eastAsia="Arial" w:hAnsi="Arial"/>
          <w:sz w:val="16"/>
          <w:szCs w:val="16"/>
          <w:color w:val="auto"/>
        </w:rPr>
        <w:t>The Company is not required to make any mandatory redemption or sinking fund payments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 to the Notes.</w:t>
      </w:r>
    </w:p>
    <w:p>
      <w:pPr>
        <w:spacing w:after="0" w:line="210" w:lineRule="exact"/>
        <w:rPr>
          <w:rFonts w:ascii="Arial" w:cs="Arial" w:eastAsia="Arial" w:hAnsi="Arial"/>
          <w:sz w:val="16"/>
          <w:szCs w:val="16"/>
          <w:color w:val="auto"/>
        </w:rPr>
      </w:pPr>
    </w:p>
    <w:p>
      <w:pPr>
        <w:ind w:right="460" w:firstLine="638"/>
        <w:spacing w:after="0" w:line="342" w:lineRule="auto"/>
        <w:tabs>
          <w:tab w:leader="none" w:pos="1638"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OFFER TO PURCHASE UPON CHANGE OF CONTROL TRIGGERING EVENT</w:t>
      </w:r>
      <w:r>
        <w:rPr>
          <w:rFonts w:ascii="Arial" w:cs="Arial" w:eastAsia="Arial" w:hAnsi="Arial"/>
          <w:sz w:val="16"/>
          <w:szCs w:val="16"/>
          <w:color w:val="auto"/>
        </w:rPr>
        <w:t>. If a Change of Control Triggering Event</w:t>
      </w:r>
      <w:r>
        <w:rPr>
          <w:rFonts w:ascii="Arial" w:cs="Arial" w:eastAsia="Arial" w:hAnsi="Arial"/>
          <w:sz w:val="16"/>
          <w:szCs w:val="16"/>
          <w:i w:val="1"/>
          <w:iCs w:val="1"/>
          <w:color w:val="auto"/>
        </w:rPr>
        <w:t xml:space="preserve"> </w:t>
      </w:r>
      <w:r>
        <w:rPr>
          <w:rFonts w:ascii="Arial" w:cs="Arial" w:eastAsia="Arial" w:hAnsi="Arial"/>
          <w:sz w:val="16"/>
          <w:szCs w:val="16"/>
          <w:color w:val="auto"/>
        </w:rPr>
        <w:t>occurs, the Company may be required to make an offer to purchase the Notes in the manner and with the effect provided in the Indenture.</w:t>
      </w:r>
    </w:p>
    <w:p>
      <w:pPr>
        <w:spacing w:after="0" w:line="123" w:lineRule="exact"/>
        <w:rPr>
          <w:rFonts w:ascii="Arial" w:cs="Arial" w:eastAsia="Arial" w:hAnsi="Arial"/>
          <w:sz w:val="16"/>
          <w:szCs w:val="16"/>
          <w:color w:val="auto"/>
        </w:rPr>
      </w:pPr>
    </w:p>
    <w:p>
      <w:pPr>
        <w:ind w:right="80" w:firstLine="638"/>
        <w:spacing w:after="0" w:line="272" w:lineRule="auto"/>
        <w:tabs>
          <w:tab w:leader="none" w:pos="1638"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DENOMINATIONS, TRANSFER, EXCHANGE</w:t>
      </w:r>
      <w:r>
        <w:rPr>
          <w:rFonts w:ascii="Arial" w:cs="Arial" w:eastAsia="Arial" w:hAnsi="Arial"/>
          <w:sz w:val="17"/>
          <w:szCs w:val="17"/>
          <w:color w:val="auto"/>
        </w:rPr>
        <w:t>. The Notes are in registered form without coupons in minimum denominations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$2,000 and integral multiples of $1,000 in excess thereof.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Note or portion of a Note selected for redemption, except for the unredeemed portion of any Note being redeemed in part. Also, neither the Trustee nor the Company need exchange or register the transfer of any Notes for a period of 15 days before the day of any selection of Notes to be redeemed or during the period between a record date and the corresponding Interest Payment Date.</w:t>
      </w:r>
    </w:p>
    <w:p>
      <w:pPr>
        <w:spacing w:after="0" w:line="177" w:lineRule="exact"/>
        <w:rPr>
          <w:rFonts w:ascii="Arial" w:cs="Arial" w:eastAsia="Arial" w:hAnsi="Arial"/>
          <w:sz w:val="17"/>
          <w:szCs w:val="17"/>
          <w:color w:val="auto"/>
        </w:rPr>
      </w:pPr>
    </w:p>
    <w:p>
      <w:pPr>
        <w:ind w:firstLine="638"/>
        <w:spacing w:after="0" w:line="277" w:lineRule="auto"/>
        <w:tabs>
          <w:tab w:leader="none" w:pos="1638"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Subject to the record date provisions hereof, the registered Holder of a Note shall be treated as its</w:t>
      </w:r>
      <w:r>
        <w:rPr>
          <w:rFonts w:ascii="Arial" w:cs="Arial" w:eastAsia="Arial" w:hAnsi="Arial"/>
          <w:sz w:val="18"/>
          <w:szCs w:val="18"/>
          <w:i w:val="1"/>
          <w:iCs w:val="1"/>
          <w:color w:val="auto"/>
        </w:rPr>
        <w:t xml:space="preserve"> </w:t>
      </w:r>
      <w:r>
        <w:rPr>
          <w:rFonts w:ascii="Arial" w:cs="Arial" w:eastAsia="Arial" w:hAnsi="Arial"/>
          <w:sz w:val="18"/>
          <w:szCs w:val="18"/>
          <w:color w:val="auto"/>
        </w:rPr>
        <w:t>owner for all purposes.</w:t>
      </w:r>
    </w:p>
    <w:p>
      <w:pPr>
        <w:spacing w:after="0" w:line="170" w:lineRule="exact"/>
        <w:rPr>
          <w:rFonts w:ascii="Arial" w:cs="Arial" w:eastAsia="Arial" w:hAnsi="Arial"/>
          <w:sz w:val="18"/>
          <w:szCs w:val="18"/>
          <w:color w:val="auto"/>
        </w:rPr>
      </w:pPr>
    </w:p>
    <w:p>
      <w:pPr>
        <w:ind w:right="180" w:firstLine="638"/>
        <w:spacing w:after="0" w:line="273" w:lineRule="auto"/>
        <w:tabs>
          <w:tab w:leader="none" w:pos="1638"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AMENDMENT, SUPPLEMENT AND WAIVER</w:t>
      </w:r>
      <w:r>
        <w:rPr>
          <w:rFonts w:ascii="Arial" w:cs="Arial" w:eastAsia="Arial" w:hAnsi="Arial"/>
          <w:sz w:val="17"/>
          <w:szCs w:val="17"/>
          <w:color w:val="auto"/>
        </w:rPr>
        <w:t>. Subject to certain exceptions, the Indenture or the Notes may be amended or</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supplemented with the consent of the Holders of at least a majority in principal amount of the Notes then outstanding, including, without limitation, consents obtained in connection with a tender offer or exchange offer for the Notes, and any existing default or compliance with any provision of the Indenture or the Notes, may be waived with the consent of the Holders of a majority in principal amount of the then outstanding Notes, including, without limitation, consents obtained in connection with a tender offer or exchange offer for the Notes. The Indenture or the Notes may be amended or supplemented without the consent of any Holder of a Note as described in the Indenture.</w:t>
      </w:r>
    </w:p>
    <w:p>
      <w:pPr>
        <w:spacing w:after="0" w:line="177" w:lineRule="exact"/>
        <w:rPr>
          <w:rFonts w:ascii="Arial" w:cs="Arial" w:eastAsia="Arial" w:hAnsi="Arial"/>
          <w:sz w:val="17"/>
          <w:szCs w:val="17"/>
          <w:color w:val="auto"/>
        </w:rPr>
      </w:pPr>
    </w:p>
    <w:p>
      <w:pPr>
        <w:ind w:right="100" w:firstLine="638"/>
        <w:spacing w:after="0" w:line="308" w:lineRule="auto"/>
        <w:tabs>
          <w:tab w:leader="none" w:pos="1631"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DEFAULTS AND REMEDIES</w:t>
      </w:r>
      <w:r>
        <w:rPr>
          <w:rFonts w:ascii="Arial" w:cs="Arial" w:eastAsia="Arial" w:hAnsi="Arial"/>
          <w:sz w:val="17"/>
          <w:szCs w:val="17"/>
          <w:color w:val="auto"/>
        </w:rPr>
        <w:t>. If an Event of Default shall occur and be continuing, the principal of, and any accrued and unpaid</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on, the outstanding Notes may be declared due and payable in the manner and with the effect provided in the Indenture.</w:t>
      </w:r>
    </w:p>
    <w:p>
      <w:pPr>
        <w:spacing w:after="0" w:line="36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500" w:top="908" w:right="379" w:bottom="1440" w:gutter="0" w:footer="0" w:header="0"/>
        </w:sectPr>
      </w:pPr>
    </w:p>
    <w:bookmarkStart w:id="72" w:name="page73"/>
    <w:bookmarkEnd w:id="72"/>
    <w:p>
      <w:pPr>
        <w:ind w:left="180" w:right="160" w:firstLine="638"/>
        <w:spacing w:after="0" w:line="342" w:lineRule="auto"/>
        <w:tabs>
          <w:tab w:leader="none" w:pos="1818"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TRUSTEE DEALINGS WITH COMPANY</w:t>
      </w:r>
      <w:r>
        <w:rPr>
          <w:rFonts w:ascii="Arial" w:cs="Arial" w:eastAsia="Arial" w:hAnsi="Arial"/>
          <w:sz w:val="16"/>
          <w:szCs w:val="16"/>
          <w:color w:val="auto"/>
        </w:rPr>
        <w:t>. The Trustee, in its individual or any other capacity, may become the owner or pledgee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Notes and may otherwise deal with the Company or an Affiliate of the Company with the same rights it would have if it were not Trustee.</w:t>
      </w:r>
    </w:p>
    <w:p>
      <w:pPr>
        <w:spacing w:after="0" w:line="123" w:lineRule="exact"/>
        <w:rPr>
          <w:rFonts w:ascii="Arial" w:cs="Arial" w:eastAsia="Arial" w:hAnsi="Arial"/>
          <w:sz w:val="16"/>
          <w:szCs w:val="16"/>
          <w:color w:val="auto"/>
        </w:rPr>
      </w:pPr>
    </w:p>
    <w:p>
      <w:pPr>
        <w:ind w:left="180" w:firstLine="638"/>
        <w:spacing w:after="0" w:line="259" w:lineRule="auto"/>
        <w:tabs>
          <w:tab w:leader="none" w:pos="1818"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None of the Company’s past, present or future directors, officers, employees or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as such, will have any liability for any of the Company’s obligations under the Notes or the Indenture or for any claim based on, or in respect or by reason of, such obligations or their creation. By accepting a Note, each Holder waives and releases all such liability. This waiver and release is part of the consideration for the issue of the Notes.</w:t>
      </w:r>
    </w:p>
    <w:p>
      <w:pPr>
        <w:spacing w:after="0" w:line="186" w:lineRule="exact"/>
        <w:rPr>
          <w:rFonts w:ascii="Arial" w:cs="Arial" w:eastAsia="Arial" w:hAnsi="Arial"/>
          <w:sz w:val="18"/>
          <w:szCs w:val="18"/>
          <w:color w:val="auto"/>
        </w:rPr>
      </w:pPr>
    </w:p>
    <w:p>
      <w:pPr>
        <w:ind w:left="1800" w:hanging="982"/>
        <w:spacing w:after="0"/>
        <w:tabs>
          <w:tab w:leader="none" w:pos="180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AUTHENTICATION</w:t>
      </w:r>
      <w:r>
        <w:rPr>
          <w:rFonts w:ascii="Arial" w:cs="Arial" w:eastAsia="Arial" w:hAnsi="Arial"/>
          <w:sz w:val="17"/>
          <w:szCs w:val="17"/>
          <w:color w:val="auto"/>
        </w:rPr>
        <w:t>. This Note will not be valid until authenticated by the manual signature of the Trustee or an authenticating</w:t>
      </w:r>
    </w:p>
    <w:p>
      <w:pPr>
        <w:spacing w:after="0" w:line="34"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agent.</w:t>
      </w:r>
    </w:p>
    <w:p>
      <w:pPr>
        <w:spacing w:after="0" w:line="210" w:lineRule="exact"/>
        <w:rPr>
          <w:rFonts w:ascii="Arial" w:cs="Arial" w:eastAsia="Arial" w:hAnsi="Arial"/>
          <w:sz w:val="17"/>
          <w:szCs w:val="17"/>
          <w:color w:val="auto"/>
        </w:rPr>
      </w:pPr>
    </w:p>
    <w:p>
      <w:pPr>
        <w:ind w:left="180" w:right="180" w:firstLine="638"/>
        <w:spacing w:after="0" w:line="263" w:lineRule="auto"/>
        <w:tabs>
          <w:tab w:leader="none" w:pos="1818"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w:t>
      </w:r>
      <w:r>
        <w:rPr>
          <w:rFonts w:ascii="Arial" w:cs="Arial" w:eastAsia="Arial" w:hAnsi="Arial"/>
          <w:sz w:val="18"/>
          <w:szCs w:val="18"/>
          <w:i w:val="1"/>
          <w:iCs w:val="1"/>
          <w:color w:val="auto"/>
        </w:rPr>
        <w:t xml:space="preserve"> </w:t>
      </w:r>
      <w:r>
        <w:rPr>
          <w:rFonts w:ascii="Arial" w:cs="Arial" w:eastAsia="Arial" w:hAnsi="Arial"/>
          <w:sz w:val="18"/>
          <w:szCs w:val="18"/>
          <w:color w:val="auto"/>
        </w:rPr>
        <w:t>in common), TEN ENT (= tenants by the entireties), JT TEN (= joint tenants with right of survivorship and not as tenants in common), CUST (= Custodian), and U/G/M/A (= Uniform Gifts to Minors Act).</w:t>
      </w:r>
    </w:p>
    <w:p>
      <w:pPr>
        <w:spacing w:after="0" w:line="183" w:lineRule="exact"/>
        <w:rPr>
          <w:rFonts w:ascii="Arial" w:cs="Arial" w:eastAsia="Arial" w:hAnsi="Arial"/>
          <w:sz w:val="18"/>
          <w:szCs w:val="18"/>
          <w:color w:val="auto"/>
        </w:rPr>
      </w:pPr>
    </w:p>
    <w:p>
      <w:pPr>
        <w:ind w:left="180" w:right="160" w:firstLine="638"/>
        <w:spacing w:after="0" w:line="275" w:lineRule="auto"/>
        <w:tabs>
          <w:tab w:leader="none" w:pos="1818"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CUSIP NUMBERS</w:t>
      </w:r>
      <w:r>
        <w:rPr>
          <w:rFonts w:ascii="Arial" w:cs="Arial" w:eastAsia="Arial" w:hAnsi="Arial"/>
          <w:sz w:val="17"/>
          <w:szCs w:val="17"/>
          <w:color w:val="auto"/>
        </w:rPr>
        <w:t>. The Company has caused CUSIP numbers to be printed on the Notes and the Trustee shall use CUSIP</w:t>
      </w:r>
      <w:r>
        <w:rPr>
          <w:rFonts w:ascii="Arial" w:cs="Arial" w:eastAsia="Arial" w:hAnsi="Arial"/>
          <w:sz w:val="17"/>
          <w:szCs w:val="17"/>
          <w:i w:val="1"/>
          <w:iCs w:val="1"/>
          <w:color w:val="auto"/>
        </w:rPr>
        <w:t xml:space="preserve"> </w:t>
      </w:r>
      <w:r>
        <w:rPr>
          <w:rFonts w:ascii="Arial" w:cs="Arial" w:eastAsia="Arial" w:hAnsi="Arial"/>
          <w:sz w:val="17"/>
          <w:szCs w:val="17"/>
          <w:color w:val="auto"/>
        </w:rPr>
        <w:t>numbers in notices of redemption as a convenience to Holders. No representation is made as to the correctness of such numbers either as printed on the Notes or as contained in any notice of redemption and reliance may be placed only on the other elements of identification printed on the Notes, and any such redemption shall not be affected by any defect in or omission of such numbers. The Company will furnish to any Holder upon written request and without charge a copy of the Base Indenture and the Supplemental Indenture.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Requests may be made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20" w:type="dxa"/>
            <w:vAlign w:val="bottom"/>
            <w:gridSpan w:val="6"/>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CHEDULE OF INCREASES AND DECREASES IN GLOBAL NOTE</w:t>
            </w:r>
          </w:p>
        </w:tc>
        <w:tc>
          <w:tcPr>
            <w:tcW w:w="2020" w:type="dxa"/>
            <w:vAlign w:val="bottom"/>
          </w:tcPr>
          <w:p>
            <w:pPr>
              <w:spacing w:after="0"/>
              <w:rPr>
                <w:sz w:val="20"/>
                <w:szCs w:val="20"/>
                <w:color w:val="auto"/>
              </w:rPr>
            </w:pPr>
          </w:p>
        </w:tc>
      </w:tr>
      <w:tr>
        <w:trPr>
          <w:trHeight w:val="432"/>
        </w:trPr>
        <w:tc>
          <w:tcPr>
            <w:tcW w:w="7000" w:type="dxa"/>
            <w:vAlign w:val="bottom"/>
            <w:gridSpan w:val="6"/>
          </w:tcPr>
          <w:p>
            <w:pPr>
              <w:ind w:left="240"/>
              <w:spacing w:after="0"/>
              <w:rPr>
                <w:sz w:val="20"/>
                <w:szCs w:val="20"/>
                <w:color w:val="auto"/>
              </w:rPr>
            </w:pPr>
            <w:r>
              <w:rPr>
                <w:rFonts w:ascii="Arial" w:cs="Arial" w:eastAsia="Arial" w:hAnsi="Arial"/>
                <w:sz w:val="18"/>
                <w:szCs w:val="18"/>
                <w:color w:val="auto"/>
              </w:rPr>
              <w:t>The following increases or decreases in this Note have been made:</w:t>
            </w: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4"/>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Amount of decrease in</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Amount of increase in</w:t>
            </w: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Principal amount of this</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Signature of authorized</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Date of decrease or</w:t>
            </w:r>
          </w:p>
        </w:tc>
        <w:tc>
          <w:tcPr>
            <w:tcW w:w="2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principal amount of</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principal amount of this</w:t>
            </w: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Note following such</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8"/>
              </w:rPr>
              <w:t>signatory of Trustee or</w:t>
            </w:r>
          </w:p>
        </w:tc>
      </w:tr>
      <w:tr>
        <w:trPr>
          <w:trHeight w:val="234"/>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increase</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this Note</w:t>
            </w:r>
          </w:p>
        </w:tc>
        <w:tc>
          <w:tcPr>
            <w:tcW w:w="22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Note</w:t>
            </w:r>
          </w:p>
        </w:tc>
        <w:tc>
          <w:tcPr>
            <w:tcW w:w="2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decrease or increase</w:t>
            </w:r>
          </w:p>
        </w:tc>
        <w:tc>
          <w:tcPr>
            <w:tcW w:w="2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 Custodian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ASSIGNMENT FORM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11" w:lineRule="exact"/>
        <w:rPr>
          <w:sz w:val="20"/>
          <w:szCs w:val="20"/>
          <w:color w:val="auto"/>
        </w:rPr>
      </w:pPr>
    </w:p>
    <w:p>
      <w:pPr>
        <w:ind w:right="9080" w:firstLine="8"/>
        <w:spacing w:after="0" w:line="508" w:lineRule="auto"/>
        <w:tabs>
          <w:tab w:leader="none" w:pos="225" w:val="left"/>
        </w:tabs>
        <w:numPr>
          <w:ilvl w:val="0"/>
          <w:numId w:val="79"/>
        </w:numPr>
        <w:rPr>
          <w:rFonts w:ascii="Arial" w:cs="Arial" w:eastAsia="Arial" w:hAnsi="Arial"/>
          <w:sz w:val="18"/>
          <w:szCs w:val="18"/>
          <w:color w:val="auto"/>
        </w:rPr>
      </w:pPr>
      <w:r>
        <w:rPr>
          <w:rFonts w:ascii="Arial" w:cs="Arial" w:eastAsia="Arial" w:hAnsi="Arial"/>
          <w:sz w:val="18"/>
          <w:szCs w:val="18"/>
          <w:color w:val="auto"/>
        </w:rPr>
        <w:t>or (we) assign and transfer this Note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and irrevocably appoint _____________________________________________ to transfer this Note on the books of the Company. The agent may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-19050</wp:posOffset>
            </wp:positionV>
            <wp:extent cx="22282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228215"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Tax Identification No: ____________________________</w:t>
      </w:r>
    </w:p>
    <w:p>
      <w:pPr>
        <w:spacing w:after="0" w:line="225" w:lineRule="exact"/>
        <w:rPr>
          <w:sz w:val="20"/>
          <w:szCs w:val="20"/>
          <w:color w:val="auto"/>
        </w:rPr>
      </w:pPr>
    </w:p>
    <w:p>
      <w:pPr>
        <w:ind w:left="7160"/>
        <w:spacing w:after="0"/>
        <w:rPr>
          <w:sz w:val="20"/>
          <w:szCs w:val="20"/>
          <w:color w:val="auto"/>
        </w:rPr>
      </w:pPr>
      <w:r>
        <w:rPr>
          <w:rFonts w:ascii="Arial" w:cs="Arial" w:eastAsia="Arial" w:hAnsi="Arial"/>
          <w:sz w:val="16"/>
          <w:szCs w:val="16"/>
          <w:color w:val="auto"/>
        </w:rPr>
        <w:t>Signature Guarantee: ____________________________</w:t>
      </w:r>
    </w:p>
    <w:p>
      <w:pPr>
        <w:spacing w:after="0" w:line="248" w:lineRule="exact"/>
        <w:rPr>
          <w:sz w:val="20"/>
          <w:szCs w:val="20"/>
          <w:color w:val="auto"/>
        </w:rPr>
      </w:pPr>
    </w:p>
    <w:p>
      <w:pPr>
        <w:jc w:val="both"/>
        <w:ind w:right="560" w:firstLine="648"/>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OPTION OF HOLDER TO ELECT PURCHASE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you want to elect to have this Note purchased by the Company pursuant to Section 4.1 of the Supplemental Indenture, check the box below:</w:t>
      </w:r>
    </w:p>
    <w:p>
      <w:pPr>
        <w:spacing w:after="0" w:line="248" w:lineRule="exact"/>
        <w:rPr>
          <w:sz w:val="20"/>
          <w:szCs w:val="20"/>
          <w:color w:val="auto"/>
        </w:rPr>
      </w:pPr>
    </w:p>
    <w:p>
      <w:pPr>
        <w:ind w:left="1800" w:hanging="1144"/>
        <w:spacing w:after="0"/>
        <w:tabs>
          <w:tab w:leader="none" w:pos="1800" w:val="left"/>
        </w:tabs>
        <w:numPr>
          <w:ilvl w:val="0"/>
          <w:numId w:val="80"/>
        </w:numPr>
        <w:rPr>
          <w:rFonts w:ascii="MS PGothic" w:cs="MS PGothic" w:eastAsia="MS PGothic" w:hAnsi="MS PGothic"/>
          <w:sz w:val="18"/>
          <w:szCs w:val="18"/>
          <w:color w:val="auto"/>
        </w:rPr>
      </w:pPr>
      <w:r>
        <w:rPr>
          <w:rFonts w:ascii="Arial" w:cs="Arial" w:eastAsia="Arial" w:hAnsi="Arial"/>
          <w:sz w:val="18"/>
          <w:szCs w:val="18"/>
          <w:color w:val="auto"/>
        </w:rPr>
        <w:t>Section 4.1</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If you want to elect to have only part of the Note purchased by the Company pursuant to Section 4.1 of the Supplemental Indenture, state the amount you elect to have purchased ($2,000 or integral multiples of $1,000 in excess thereof; provided that the unrepurchased portion of a Note must be in a minimum principal amount of $2,000): $________________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6"/>
          <w:szCs w:val="16"/>
          <w:color w:val="auto"/>
        </w:rPr>
        <w:t>Your Signature: _________________________________</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Tax Identification No: ____________________________</w:t>
      </w:r>
    </w:p>
    <w:p>
      <w:pPr>
        <w:spacing w:after="0" w:line="225" w:lineRule="exact"/>
        <w:rPr>
          <w:sz w:val="20"/>
          <w:szCs w:val="20"/>
          <w:color w:val="auto"/>
        </w:rPr>
      </w:pPr>
    </w:p>
    <w:p>
      <w:pPr>
        <w:ind w:left="7160"/>
        <w:spacing w:after="0"/>
        <w:rPr>
          <w:sz w:val="20"/>
          <w:szCs w:val="20"/>
          <w:color w:val="auto"/>
        </w:rPr>
      </w:pPr>
      <w:r>
        <w:rPr>
          <w:rFonts w:ascii="Arial" w:cs="Arial" w:eastAsia="Arial" w:hAnsi="Arial"/>
          <w:sz w:val="16"/>
          <w:szCs w:val="16"/>
          <w:color w:val="auto"/>
        </w:rPr>
        <w:t>Signature Guarantee: ____________________________</w:t>
      </w:r>
    </w:p>
    <w:p>
      <w:pPr>
        <w:spacing w:after="0" w:line="244"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8"/>
          <w:szCs w:val="18"/>
          <w:b w:val="1"/>
          <w:bCs w:val="1"/>
          <w:i w:val="1"/>
          <w:iCs w:val="1"/>
          <w:color w:val="auto"/>
        </w:rPr>
        <w:t>STAMP</w:t>
      </w:r>
      <w:r>
        <w:rPr>
          <w:rFonts w:ascii="Arial" w:cs="Arial" w:eastAsia="Arial" w:hAnsi="Arial"/>
          <w:sz w:val="18"/>
          <w:szCs w:val="18"/>
          <w:b w:val="1"/>
          <w:bCs w:val="1"/>
          <w:color w:val="auto"/>
        </w:rPr>
        <w:t>”) or such other “signature guarantee program” as may be determined by the Registrar in addition to, or in substitution for, STAMP, all in accordance with the Securities Exchange Act of 1934, as amended.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t>Exhibit 5.1</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83716-9632</w:t>
      </w:r>
    </w:p>
    <w:p>
      <w:pPr>
        <w:spacing w:after="0" w:line="20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Registration Statement on Form S-3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acted as counsel to Micron Technology, Inc., a Delaware corporation (the “Company”), in connection with the filing by the Company with the Securities and Exchange Commission (the “Commission”) on October 10, 2017 of a registration statement on Form S-3 (the “Registration Statement”), under the Securities Act of 1933, as amended (the “Act”), that is automatically effective under the Act pursuant to Rule 462(e) promulgated thereunder. The Registration Statement relates to, among other things, the proposed issuance and sale, from time to time, by the Company of debt securities (the “Debt Securities”), with an indeterminate amount as may at various times be issued at indeterminate prices, in reliance on Rule 456(b) and Rule 457(r) under the Act.</w:t>
      </w:r>
    </w:p>
    <w:p>
      <w:pPr>
        <w:spacing w:after="0" w:line="192"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Pursuant to the Registration Statement, the Company has issued $1,250,000,000 aggregate principal amount of 2.497% Senior Notes due 2023 (the “Notes”), all of which have been sold pursuant to that certain Underwriting Agreement (the “Underwriting Agreement”), dated as of April 21, 2020, among the Company, Citigroup Global Markets Inc., Credit Suisse Securities (USA) LLC and Morgan Stanley &amp; Co. LLC, as representatives of the other several underwriters named in Schedule I thereto.</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Notes have been issued in the form set forth in the Indenture, dated as of February 6, 2019 (the “Base Indenture”), between the Company and U.S. Bank National Association, as trustee (the “Trustee”) as supplemented by that certain Third Supplemental Indenture dated as of April 24, 2020 (the “Third Supplemental Indenture” and together with the Base Indenture, the “Indenture”), between the Company and the Trustee.</w:t>
      </w:r>
    </w:p>
    <w:p>
      <w:pPr>
        <w:spacing w:after="0" w:line="16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have examined the Registration Statement, together with the exhibits thereto and the documents incorporated by reference therein; the prospectus, dated October 10, 2017, together with the documents incorporated by reference therein, filed with the Registration Statement (the “Prospectus”); the preliminary prospectus supplement, dated April 21, 2020, in the form filed with the Commission pursuant to Rule 424(b) of the Securities Act relating to the offering of the Notes; the free writing prospectus, dated April 21, 2020, in the form filed with the Commission pursuant to Rule 433 of the Securities Act; the final prospectus supplement, dated April 21, 2020 in the form filed with the Commission pursuant to Rule 424(b) of the Securities Act relating to the offering of the Notes (collectively with the Prospectus, the “Prospectus Supplement”); the Indenture and the Notes. In addition, we have examined originals or copies, certified or otherwise identified to our satisfaction, of such documents, corporate records, certificates of public officials and other instruments as we have deemed necessary or advisable for the purpose of rendering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24,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3</w:t>
      </w:r>
    </w:p>
    <w:p>
      <w:pPr>
        <w:spacing w:after="0" w:line="21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our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the Underwriting Agreement has been duly authorized and validly executed and delivered by the parties thereto (other than by the Company); (v) the legal capacity of all natural persons and (vi) that the Trustee has the power, corporate or other, to enter into and perform its obligations under the Indenture and that the Indenture will be a valid and binding obligation on the Trustee. As to any facts material to the opinions expressed herein that were not independently established or verified, we have relied upon oral or written statements and representations of officers and other representatives of the Company.</w:t>
      </w:r>
    </w:p>
    <w:p>
      <w:pPr>
        <w:spacing w:after="0" w:line="17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express no opinion herein as to the laws of any jurisdiction, other than the Federal laws of the United States of America, the laws of the State of New York, and the General Corporation Law of the State of Delaware, as such are in effect on the date hereof, and we have made no inquiry into, and we express no opinion as to, the statutes, regulations, treaties, common laws or other laws of any other nation, state or jurisdiction.</w:t>
      </w:r>
    </w:p>
    <w:p>
      <w:pPr>
        <w:spacing w:after="0" w:line="16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the limitations on rights of acceleration, whether considered in a proceeding in equity or at law.</w:t>
      </w:r>
    </w:p>
    <w:p>
      <w:pPr>
        <w:spacing w:after="0" w:line="17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Based on such examination and in reliance thereon and having regard for legal considerations which we deem relevant, and subject to the limitations and qualifications set forth herein, we are of the opinion that the Notes have been validly issued and constitute valid and binding obligations of the Company, enforceable against the Company in accordance with their terms, and entitled to the benefits of the Indenture.</w:t>
      </w:r>
    </w:p>
    <w:p>
      <w:pPr>
        <w:spacing w:after="0" w:line="16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hereby consent to the filing of this opinion as an exhibit to the above-referenced Registration Statement and to the use of our name wherever it appears in the Registration Statement, the Prospectus, the Prospectus Supplement,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24,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 of 3</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Wilson Sonsini Goodrich &amp; Rosati</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WILSON SONSINI GOODRICH &amp; ROSATI</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79" w:name="page80"/>
    <w:bookmarkEnd w:id="79"/>
    <w:p>
      <w:pPr>
        <w:ind w:left="10320"/>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connection with the offering of the Notes, Micron disclosed in the Prospectus Supplement the following information relating to the COVID-19 outbreak: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Regarding COVID-19</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Events surrounding the ongoing COVID-19 outbreak have resulted in a reduction in economic activity across the globe. The severity and duration of these economic repercussions remain largely unknown and ultimately will depend on many factors, including the speed and effectiveness of the containment efforts throughout the world. While we have observed demand increases in some areas of our business that support the stay-at-home economy, such as products used in datacenter infrastructure, gaming, notebook computers and similar applications, we have also observed demand decreases in other categories such as smartphones, consumer electronics, and automobiles. The extent to which COVID-19 will impact demand for our products depends on future developments, which are highly uncertain and very difficult to predict, including new information that may emerge concerning the severity of the coronavirus and actions to contain and treat its impacts. While all our global sites are currently operational, our manufacturing site in Malaysia is currently operating at reduced utilization levels due to local conditions and restrictions related to COVID-19. Other facilities could also be required to temporarily curtail production levels or temporarily cease operations based on governmental mandates.</w:t>
      </w:r>
    </w:p>
    <w:p>
      <w:pPr>
        <w:spacing w:after="0" w:line="18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From the start of the COVID-19 outbreak, we proactively implemented preventative protocols intended to safeguard our team members, contractors, suppliers and customers, and ensure business continuity in the event government restrictions or severe outbreaks impact our operations at certain sites. We remain committed to the health and safety of our team members, contractors, suppliers, customers, and communities, and are following governmental policies and recommendations designed to slow the spread of COVID-19.</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efforts to respond to the COVID-19 outbreak include the following:</w:t>
      </w:r>
    </w:p>
    <w:p>
      <w:pPr>
        <w:spacing w:after="0" w:line="225" w:lineRule="exact"/>
        <w:rPr>
          <w:sz w:val="20"/>
          <w:szCs w:val="20"/>
          <w:color w:val="auto"/>
        </w:rPr>
      </w:pPr>
    </w:p>
    <w:p>
      <w:pPr>
        <w:ind w:left="980" w:hanging="324"/>
        <w:spacing w:after="0" w:line="259"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have put health screenings in place, required social distancing, and have established team separation protocols at our facilities. We are also prohibiting visitors, have suspended business travel, and require team members to work from home to the extent possible. Where work from home is not possible, all on-site team members must pass through thermal scanning equipment to ensure they do not have an elevated body temperature and must wear a mask at all times.</w:t>
      </w:r>
    </w:p>
    <w:p>
      <w:pPr>
        <w:spacing w:after="0" w:line="186"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respond to changing market conditions, we have shifted some supply from markets which have experienced declines in demand, such as smartphones, to markets that have experienced demand increases, such as datacenter markets.</w:t>
      </w:r>
    </w:p>
    <w:p>
      <w:pPr>
        <w:spacing w:after="0" w:line="170" w:lineRule="exact"/>
        <w:rPr>
          <w:rFonts w:ascii="Arial" w:cs="Arial" w:eastAsia="Arial" w:hAnsi="Arial"/>
          <w:sz w:val="18"/>
          <w:szCs w:val="18"/>
          <w:color w:val="auto"/>
        </w:rPr>
      </w:pPr>
    </w:p>
    <w:p>
      <w:pPr>
        <w:ind w:left="980" w:right="380" w:hanging="324"/>
        <w:spacing w:after="0" w:line="342" w:lineRule="auto"/>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We have evaluated our supply chain and communicated with our suppliers to identify supply gaps and taken steps to ensure continuity. In some cases, we have added alternative suppliers and increased our on-hand inventory of raw materials needed in our operations.</w:t>
      </w:r>
    </w:p>
    <w:p>
      <w:pPr>
        <w:spacing w:after="0" w:line="123" w:lineRule="exact"/>
        <w:rPr>
          <w:rFonts w:ascii="Arial" w:cs="Arial" w:eastAsia="Arial" w:hAnsi="Arial"/>
          <w:sz w:val="16"/>
          <w:szCs w:val="16"/>
          <w:color w:val="auto"/>
        </w:rPr>
      </w:pPr>
    </w:p>
    <w:p>
      <w:pPr>
        <w:ind w:left="980" w:right="600" w:hanging="324"/>
        <w:spacing w:after="0" w:line="277"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have added assembly and test capacity to provide redundant manufacturing capability through our network of captive and external partners.</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are evaluating all our construction projects across our global manufacturing operations and enacting protocols to enhance the safety of our team members, suppliers, and contractors.</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have developed strategies and are implementing measures to respond to a variety of potential economic scenarios, such as limitations on new hiring, suspension of business travel, and reductions in discretionary spending.</w:t>
      </w:r>
    </w:p>
    <w:p>
      <w:pPr>
        <w:spacing w:after="0" w:line="170" w:lineRule="exact"/>
        <w:rPr>
          <w:rFonts w:ascii="Arial" w:cs="Arial" w:eastAsia="Arial" w:hAnsi="Arial"/>
          <w:sz w:val="18"/>
          <w:szCs w:val="18"/>
          <w:color w:val="auto"/>
        </w:rPr>
      </w:pPr>
    </w:p>
    <w:p>
      <w:pPr>
        <w:ind w:left="980" w:right="280" w:hanging="324"/>
        <w:spacing w:after="0" w:line="286" w:lineRule="auto"/>
        <w:tabs>
          <w:tab w:leader="none" w:pos="9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are working with government authorities in the jurisdictions where we operate, and continuing to monitor our operations in an effort to ensure we follow government requirements, relevant regulations, industry standards, and best practices to help safeguard our 37,000 team members in 18 countries, while safely continuing operations to the extent possible at our sites across the globe.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jc w:val="both"/>
        <w:ind w:right="60" w:firstLine="648"/>
        <w:spacing w:after="0" w:line="301" w:lineRule="auto"/>
        <w:rPr>
          <w:sz w:val="20"/>
          <w:szCs w:val="20"/>
          <w:color w:val="auto"/>
        </w:rPr>
      </w:pPr>
      <w:r>
        <w:rPr>
          <w:rFonts w:ascii="Arial" w:cs="Arial" w:eastAsia="Arial" w:hAnsi="Arial"/>
          <w:sz w:val="16"/>
          <w:szCs w:val="16"/>
          <w:color w:val="auto"/>
        </w:rPr>
        <w:t>We believe these actions are appropriate and prudent to safeguard our team members, contractors, suppliers, customers, and communities, while allowing us to safely continue operations, but we cannot predict how the steps we, our team members, government entities, suppliers, or customers take in response to the COVID-19 outbreak will impact our business, outlook, or results of operations. Please also see the discussion related to COVID-19 in our Quarterly Report on Form 10-Q for the fiscal quarter ended February 27, 2020 (the “Q2 Form 10-Q”) generally and the risk factor set forth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COVID-19</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risk factor disclosed in the Prospectus Supplement supplements, and should be read in conjunction with, the risk factors described in the Q2 Form 10-Q.</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effects of the COVID-19 outbreak could adversely affect our business, results of operations, and financial condition.</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effects of the public health crisis caused by the COVID-19 outbreak and the measures being taken to limit COVID-19’s spread are uncertain and difficult to predict, but may include:</w:t>
      </w:r>
    </w:p>
    <w:p>
      <w:pPr>
        <w:spacing w:after="0" w:line="170" w:lineRule="exact"/>
        <w:rPr>
          <w:sz w:val="20"/>
          <w:szCs w:val="20"/>
          <w:color w:val="auto"/>
        </w:rPr>
      </w:pPr>
    </w:p>
    <w:p>
      <w:pPr>
        <w:jc w:val="both"/>
        <w:ind w:left="980" w:right="80" w:hanging="324"/>
        <w:spacing w:after="0" w:line="311" w:lineRule="auto"/>
        <w:tabs>
          <w:tab w:leader="none" w:pos="9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decrease in short-term and/or long-term demand and/or pricing for our products, and a global economic recession or depression that could further reduce demand and/or pricing for our products, resulting from actions taken by governments, businesses, and/or the general public in an effort to limit exposure to and spreading of COVID-19, such as travel restrictions, quarantines, and business shutdowns or slowdowns;</w:t>
      </w:r>
    </w:p>
    <w:p>
      <w:pPr>
        <w:spacing w:after="0" w:line="148" w:lineRule="exact"/>
        <w:rPr>
          <w:rFonts w:ascii="Arial" w:cs="Arial" w:eastAsia="Arial" w:hAnsi="Arial"/>
          <w:sz w:val="16"/>
          <w:szCs w:val="16"/>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Negative impacts to our operations, including:</w:t>
      </w:r>
    </w:p>
    <w:p>
      <w:pPr>
        <w:spacing w:after="0" w:line="225" w:lineRule="exact"/>
        <w:rPr>
          <w:rFonts w:ascii="Arial" w:cs="Arial" w:eastAsia="Arial" w:hAnsi="Arial"/>
          <w:sz w:val="18"/>
          <w:szCs w:val="18"/>
          <w:color w:val="auto"/>
        </w:rPr>
      </w:pPr>
    </w:p>
    <w:p>
      <w:pPr>
        <w:ind w:left="1620" w:right="100" w:hanging="316"/>
        <w:spacing w:after="0" w:line="273" w:lineRule="auto"/>
        <w:tabs>
          <w:tab w:leader="none" w:pos="1620" w:val="left"/>
        </w:tabs>
        <w:numPr>
          <w:ilvl w:val="1"/>
          <w:numId w:val="82"/>
        </w:numPr>
        <w:rPr>
          <w:rFonts w:ascii="Arial" w:cs="Arial" w:eastAsia="Arial" w:hAnsi="Arial"/>
          <w:sz w:val="17"/>
          <w:szCs w:val="17"/>
          <w:color w:val="auto"/>
        </w:rPr>
      </w:pPr>
      <w:r>
        <w:rPr>
          <w:rFonts w:ascii="Arial" w:cs="Arial" w:eastAsia="Arial" w:hAnsi="Arial"/>
          <w:sz w:val="17"/>
          <w:szCs w:val="17"/>
          <w:color w:val="auto"/>
        </w:rPr>
        <w:t>reductions in production levels, R&amp;D activities, product development, technology transitions, yield enhancement activities, and qualification activities with our customers resulting from our efforts to mitigate the impact of COVID-19 through social-distancing measures we have enacted at our locations around the world in an effort to protect our employees’ and contractors’ health and well-being, including working from home, limiting the number of meeting attendees, reducing the number of people in our sites at any one time, quarantines of team members, contractors or vendors who are at risk of contracting, or have contracted, COVID-19, and suspending team member and vendor travel (‘‘Social Distancing Measures’’);</w:t>
      </w:r>
    </w:p>
    <w:p>
      <w:pPr>
        <w:spacing w:after="0" w:line="177" w:lineRule="exact"/>
        <w:rPr>
          <w:rFonts w:ascii="Arial" w:cs="Arial" w:eastAsia="Arial" w:hAnsi="Arial"/>
          <w:sz w:val="17"/>
          <w:szCs w:val="17"/>
          <w:color w:val="auto"/>
        </w:rPr>
      </w:pPr>
    </w:p>
    <w:p>
      <w:pPr>
        <w:ind w:left="1620" w:right="500" w:hanging="316"/>
        <w:spacing w:after="0" w:line="277" w:lineRule="auto"/>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increased costs resulting from our efforts to mitigate the impact of COVID-19 through Social Distancing Measures, enhanced cleaning measures and the increased use of personal protective equipment at our sites;</w:t>
      </w:r>
    </w:p>
    <w:p>
      <w:pPr>
        <w:spacing w:after="0" w:line="170" w:lineRule="exact"/>
        <w:rPr>
          <w:rFonts w:ascii="Arial" w:cs="Arial" w:eastAsia="Arial" w:hAnsi="Arial"/>
          <w:sz w:val="18"/>
          <w:szCs w:val="18"/>
          <w:color w:val="auto"/>
        </w:rPr>
      </w:pPr>
    </w:p>
    <w:p>
      <w:pPr>
        <w:ind w:left="1620" w:hanging="316"/>
        <w:spacing w:after="0"/>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increased costs of transportation, raw materials or other inputs necessary for the operation of our business;</w:t>
      </w:r>
    </w:p>
    <w:p>
      <w:pPr>
        <w:spacing w:after="0" w:line="225" w:lineRule="exact"/>
        <w:rPr>
          <w:rFonts w:ascii="Arial" w:cs="Arial" w:eastAsia="Arial" w:hAnsi="Arial"/>
          <w:sz w:val="18"/>
          <w:szCs w:val="18"/>
          <w:color w:val="auto"/>
        </w:rPr>
      </w:pPr>
    </w:p>
    <w:p>
      <w:pPr>
        <w:ind w:left="1620" w:right="60" w:hanging="316"/>
        <w:spacing w:after="0" w:line="342" w:lineRule="auto"/>
        <w:tabs>
          <w:tab w:leader="none" w:pos="16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reductions in or cessation of operations at any site or in any jurisdiction resulting from government restrictions on movement and/or business operations or our failure to prevent and/or adequately mitigate spread of COVID-19 at one or more of our sites; and</w:t>
      </w:r>
    </w:p>
    <w:p>
      <w:pPr>
        <w:spacing w:after="0" w:line="123" w:lineRule="exact"/>
        <w:rPr>
          <w:rFonts w:ascii="Arial" w:cs="Arial" w:eastAsia="Arial" w:hAnsi="Arial"/>
          <w:sz w:val="16"/>
          <w:szCs w:val="16"/>
          <w:color w:val="auto"/>
        </w:rPr>
      </w:pPr>
    </w:p>
    <w:p>
      <w:pPr>
        <w:ind w:left="1620" w:hanging="316"/>
        <w:spacing w:after="0" w:line="263" w:lineRule="auto"/>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our inability to continue or resume construction projects due to delays in obtaining materials, equipment, labor, engineering services, government permits or any other essential aspect of projects, which could impact our ability to introduce new technologies, reduce costs or meet customer demand;</w:t>
      </w:r>
    </w:p>
    <w:p>
      <w:pPr>
        <w:spacing w:after="0" w:line="183" w:lineRule="exact"/>
        <w:rPr>
          <w:rFonts w:ascii="Arial" w:cs="Arial" w:eastAsia="Arial" w:hAnsi="Arial"/>
          <w:sz w:val="18"/>
          <w:szCs w:val="18"/>
          <w:color w:val="auto"/>
        </w:rPr>
      </w:pPr>
    </w:p>
    <w:p>
      <w:pPr>
        <w:jc w:val="both"/>
        <w:ind w:left="980" w:right="280" w:hanging="324"/>
        <w:spacing w:after="0" w:line="263"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Deterioration of worldwide credit and financial markets that could limit our ability to obtain external financing to fund our operations and capital expenditures, result in losses on our holdings of cash and investments due to failures of financial institutions and other parties, and result in a higher rate of losses on our accounts receivables due to credit defaults; and</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81" w:name="page82"/>
    <w:bookmarkEnd w:id="81"/>
    <w:p>
      <w:pPr>
        <w:ind w:left="980" w:right="320" w:hanging="324"/>
        <w:spacing w:after="0" w:line="342" w:lineRule="auto"/>
        <w:tabs>
          <w:tab w:leader="none" w:pos="9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Disruptions to our supply chain in connection with the sourcing and transportation of materials, equipment and engineering support, and services from or in geographic areas that have been impacted by COVID-19 and by efforts to contain the spread of COVID-19.</w:t>
      </w:r>
    </w:p>
    <w:p>
      <w:pPr>
        <w:spacing w:after="0" w:line="1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resumption of normal business operations after such interruptions may be delayed or constrained by lingering effects of COVID-19 on our team members, contractors, suppliers, third-party service providers, and/or customers.</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These effects, alone or taken together, could have a material adverse effect on our business, results of operations, legal exposure, or financial condition. A sustained, prolonged or recurring outbreak could exacerbate the adverse impact of such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Defined terms used but not defined in this Exhibit 99.1 are used as defined in the Current Report on Form 8-K of which this Exhibit forms a part.</w:t>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90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1."/>
      <w:numFmt w:val="decimal"/>
      <w:start w:val="1"/>
    </w:lvl>
    <w:lvl w:ilvl="1">
      <w:lvlJc w:val="left"/>
      <w:lvlText w:val="(%2)"/>
      <w:numFmt w:val="lowerLetter"/>
      <w:start w:val="1"/>
    </w:lvl>
  </w:abstractNum>
  <w:abstractNum w:abstractNumId="2">
    <w:nsid w:val="2A487CB0"/>
    <w:multiLevelType w:val="hybridMultilevel"/>
    <w:lvl w:ilvl="0">
      <w:lvlJc w:val="left"/>
      <w:lvlText w:val="(%1)"/>
      <w:numFmt w:val="lowerLetter"/>
      <w:start w:val="2"/>
    </w:lvl>
  </w:abstractNum>
  <w:abstractNum w:abstractNumId="3">
    <w:nsid w:val="1D4ED43B"/>
    <w:multiLevelType w:val="hybridMultilevel"/>
    <w:lvl w:ilvl="0">
      <w:lvlJc w:val="left"/>
      <w:lvlText w:val="(%1)"/>
      <w:numFmt w:val="lowerLetter"/>
      <w:start w:val="4"/>
    </w:lvl>
  </w:abstractNum>
  <w:abstractNum w:abstractNumId="4">
    <w:nsid w:val="725A06FB"/>
    <w:multiLevelType w:val="hybridMultilevel"/>
    <w:lvl w:ilvl="0">
      <w:lvlJc w:val="left"/>
      <w:lvlText w:val="(%1)"/>
      <w:numFmt w:val="lowerLetter"/>
      <w:start w:val="6"/>
    </w:lvl>
  </w:abstractNum>
  <w:abstractNum w:abstractNumId="5">
    <w:nsid w:val="2CD89A32"/>
    <w:multiLevelType w:val="hybridMultilevel"/>
    <w:lvl w:ilvl="0">
      <w:lvlJc w:val="left"/>
      <w:lvlText w:val="(%1)"/>
      <w:numFmt w:val="lowerLetter"/>
      <w:start w:val="10"/>
    </w:lvl>
  </w:abstractNum>
  <w:abstractNum w:abstractNumId="6">
    <w:nsid w:val="57E4CCAF"/>
    <w:multiLevelType w:val="hybridMultilevel"/>
    <w:lvl w:ilvl="0">
      <w:lvlJc w:val="left"/>
      <w:lvlText w:val="(%1)"/>
      <w:numFmt w:val="lowerLetter"/>
      <w:start w:val="13"/>
    </w:lvl>
  </w:abstractNum>
  <w:abstractNum w:abstractNumId="7">
    <w:nsid w:val="7A6D8D3C"/>
    <w:multiLevelType w:val="hybridMultilevel"/>
    <w:lvl w:ilvl="0">
      <w:lvlJc w:val="left"/>
      <w:lvlText w:val="(%1)"/>
      <w:numFmt w:val="lowerLetter"/>
      <w:start w:val="18"/>
    </w:lvl>
  </w:abstractNum>
  <w:abstractNum w:abstractNumId="8">
    <w:nsid w:val="4B588F54"/>
    <w:multiLevelType w:val="hybridMultilevel"/>
    <w:lvl w:ilvl="0">
      <w:lvlJc w:val="left"/>
      <w:lvlText w:val="(%1)"/>
      <w:numFmt w:val="lowerRoman"/>
      <w:start w:val="5"/>
    </w:lvl>
    <w:lvl w:ilvl="1">
      <w:lvlJc w:val="left"/>
      <w:lvlText w:val="(%2)"/>
      <w:numFmt w:val="lowerRoman"/>
      <w:start w:val="1"/>
    </w:lvl>
    <w:lvl w:ilvl="2">
      <w:lvlJc w:val="left"/>
      <w:lvlText w:val="(%3)"/>
      <w:numFmt w:val="upperLetter"/>
      <w:start w:val="1"/>
    </w:lvl>
  </w:abstractNum>
  <w:abstractNum w:abstractNumId="9">
    <w:nsid w:val="542289EC"/>
    <w:multiLevelType w:val="hybridMultilevel"/>
    <w:lvl w:ilvl="0">
      <w:lvlJc w:val="left"/>
      <w:lvlText w:val="%1"/>
      <w:numFmt w:val="decimal"/>
      <w:start w:val="1"/>
    </w:lvl>
    <w:lvl w:ilvl="1">
      <w:lvlJc w:val="left"/>
      <w:lvlText w:val="(%2)"/>
      <w:numFmt w:val="lowerLetter"/>
      <w:start w:val="23"/>
    </w:lvl>
  </w:abstractNum>
  <w:abstractNum w:abstractNumId="10">
    <w:nsid w:val="6DE91B18"/>
    <w:multiLevelType w:val="hybridMultilevel"/>
    <w:lvl w:ilvl="0">
      <w:lvlJc w:val="left"/>
      <w:lvlText w:val="%1"/>
      <w:numFmt w:val="decimal"/>
      <w:start w:val="405"/>
    </w:lvl>
    <w:lvl w:ilvl="1">
      <w:lvlJc w:val="left"/>
      <w:lvlText w:val="%2"/>
      <w:numFmt w:val="lowerLetter"/>
      <w:start w:val="1"/>
    </w:lvl>
  </w:abstractNum>
  <w:abstractNum w:abstractNumId="11">
    <w:nsid w:val="38437FDB"/>
    <w:multiLevelType w:val="hybridMultilevel"/>
    <w:lvl w:ilvl="0">
      <w:lvlJc w:val="left"/>
      <w:lvlText w:val="%1."/>
      <w:numFmt w:val="decimal"/>
      <w:start w:val="2"/>
    </w:lvl>
    <w:lvl w:ilvl="1">
      <w:lvlJc w:val="left"/>
      <w:lvlText w:val="%2"/>
      <w:numFmt w:val="lowerLetter"/>
      <w:start w:val="1"/>
    </w:lvl>
  </w:abstractNum>
  <w:abstractNum w:abstractNumId="12">
    <w:nsid w:val="7644A45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3">
    <w:nsid w:val="32FFF902"/>
    <w:multiLevelType w:val="hybridMultilevel"/>
    <w:lvl w:ilvl="0">
      <w:lvlJc w:val="left"/>
      <w:lvlText w:val="%1"/>
      <w:numFmt w:val="lowerLetter"/>
      <w:start w:val="1"/>
    </w:lvl>
    <w:lvl w:ilvl="1">
      <w:lvlJc w:val="left"/>
      <w:lvlText w:val="(%2)"/>
      <w:numFmt w:val="lowerLetter"/>
      <w:start w:val="35"/>
    </w:lvl>
  </w:abstractNum>
  <w:abstractNum w:abstractNumId="14">
    <w:nsid w:val="684A481A"/>
    <w:multiLevelType w:val="hybridMultilevel"/>
    <w:lvl w:ilvl="0">
      <w:lvlJc w:val="left"/>
      <w:lvlText w:val="(%1)"/>
      <w:numFmt w:val="lowerLetter"/>
      <w:start w:val="4"/>
    </w:lvl>
    <w:lvl w:ilvl="1">
      <w:lvlJc w:val="left"/>
      <w:lvlText w:val="%2"/>
      <w:numFmt w:val="lowerLetter"/>
      <w:start w:val="1"/>
    </w:lvl>
  </w:abstractNum>
  <w:abstractNum w:abstractNumId="15">
    <w:nsid w:val="579478FE"/>
    <w:multiLevelType w:val="hybridMultilevel"/>
    <w:lvl w:ilvl="0">
      <w:lvlJc w:val="left"/>
      <w:lvlText w:val="(%1)"/>
      <w:numFmt w:val="lowerLetter"/>
      <w:start w:val="5"/>
    </w:lvl>
  </w:abstractNum>
  <w:abstractNum w:abstractNumId="16">
    <w:nsid w:val="749ABB43"/>
    <w:multiLevelType w:val="hybridMultilevel"/>
    <w:lvl w:ilvl="0">
      <w:lvlJc w:val="left"/>
      <w:lvlText w:val="%1"/>
      <w:numFmt w:val="decimal"/>
      <w:start w:val="1"/>
    </w:lvl>
    <w:lvl w:ilvl="1">
      <w:lvlJc w:val="left"/>
      <w:lvlText w:val="(%2)"/>
      <w:numFmt w:val="lowerLetter"/>
      <w:start w:val="7"/>
    </w:lvl>
  </w:abstractNum>
  <w:abstractNum w:abstractNumId="17">
    <w:nsid w:val="3DC240FB"/>
    <w:multiLevelType w:val="hybridMultilevel"/>
    <w:lvl w:ilvl="0">
      <w:lvlJc w:val="left"/>
      <w:lvlText w:val="%1."/>
      <w:numFmt w:val="decimal"/>
      <w:start w:val="6"/>
    </w:lvl>
    <w:lvl w:ilvl="1">
      <w:lvlJc w:val="left"/>
      <w:lvlText w:val="(%2)"/>
      <w:numFmt w:val="lowerLetter"/>
      <w:start w:val="1"/>
    </w:lvl>
  </w:abstractNum>
  <w:abstractNum w:abstractNumId="18">
    <w:nsid w:val="1BA026FA"/>
    <w:multiLevelType w:val="hybridMultilevel"/>
    <w:lvl w:ilvl="0">
      <w:lvlJc w:val="left"/>
      <w:lvlText w:val="(%1)"/>
      <w:numFmt w:val="lowerLetter"/>
      <w:start w:val="2"/>
    </w:lvl>
  </w:abstractNum>
  <w:abstractNum w:abstractNumId="19">
    <w:nsid w:val="79A1DEAA"/>
    <w:multiLevelType w:val="hybridMultilevel"/>
    <w:lvl w:ilvl="0">
      <w:lvlJc w:val="left"/>
      <w:lvlText w:val="%1"/>
      <w:numFmt w:val="lowerLetter"/>
      <w:start w:val="1"/>
    </w:lvl>
    <w:lvl w:ilvl="1">
      <w:lvlJc w:val="left"/>
      <w:lvlText w:val="(%2)"/>
      <w:numFmt w:val="lowerLetter"/>
      <w:start w:val="6"/>
    </w:lvl>
  </w:abstractNum>
  <w:abstractNum w:abstractNumId="20">
    <w:nsid w:val="75C6C33A"/>
    <w:multiLevelType w:val="hybridMultilevel"/>
    <w:lvl w:ilvl="0">
      <w:lvlJc w:val="left"/>
      <w:lvlText w:val="(%1)"/>
      <w:numFmt w:val="lowerLetter"/>
      <w:start w:val="9"/>
    </w:lvl>
    <w:lvl w:ilvl="1">
      <w:lvlJc w:val="left"/>
      <w:lvlText w:val="(%2)"/>
      <w:numFmt w:val="lowerLetter"/>
      <w:start w:val="7"/>
    </w:lvl>
  </w:abstractNum>
  <w:abstractNum w:abstractNumId="21">
    <w:nsid w:val="12E685FB"/>
    <w:multiLevelType w:val="hybridMultilevel"/>
    <w:lvl w:ilvl="0">
      <w:lvlJc w:val="left"/>
      <w:lvlText w:val="(%1)"/>
      <w:numFmt w:val="lowerLetter"/>
      <w:start w:val="9"/>
    </w:lvl>
  </w:abstractNum>
  <w:abstractNum w:abstractNumId="22">
    <w:nsid w:val="70C6A529"/>
    <w:multiLevelType w:val="hybridMultilevel"/>
    <w:lvl w:ilvl="0">
      <w:lvlJc w:val="left"/>
      <w:lvlText w:val="%1"/>
      <w:numFmt w:val="decimal"/>
      <w:start w:val="1"/>
    </w:lvl>
    <w:lvl w:ilvl="1">
      <w:lvlJc w:val="left"/>
      <w:lvlText w:val="(%2)"/>
      <w:numFmt w:val="lowerLetter"/>
      <w:start w:val="12"/>
    </w:lvl>
  </w:abstractNum>
  <w:abstractNum w:abstractNumId="23">
    <w:nsid w:val="520EEDD1"/>
    <w:multiLevelType w:val="hybridMultilevel"/>
    <w:lvl w:ilvl="0">
      <w:lvlJc w:val="left"/>
      <w:lvlText w:val="%1."/>
      <w:numFmt w:val="decimal"/>
      <w:start w:val="7"/>
    </w:lvl>
    <w:lvl w:ilvl="1">
      <w:lvlJc w:val="left"/>
      <w:lvlText w:val="%2"/>
      <w:numFmt w:val="lowerLetter"/>
      <w:start w:val="1"/>
    </w:lvl>
  </w:abstractNum>
  <w:abstractNum w:abstractNumId="24">
    <w:nsid w:val="374A3FE6"/>
    <w:multiLevelType w:val="hybridMultilevel"/>
    <w:lvl w:ilvl="0">
      <w:lvlJc w:val="left"/>
      <w:lvlText w:val="(%1)"/>
      <w:numFmt w:val="lowerLetter"/>
      <w:start w:val="1"/>
    </w:lvl>
  </w:abstractNum>
  <w:abstractNum w:abstractNumId="25">
    <w:nsid w:val="4F4EF005"/>
    <w:multiLevelType w:val="hybridMultilevel"/>
    <w:lvl w:ilvl="0">
      <w:lvlJc w:val="left"/>
      <w:lvlText w:val="(%1)"/>
      <w:numFmt w:val="lowerLetter"/>
      <w:start w:val="3"/>
    </w:lvl>
  </w:abstractNum>
  <w:abstractNum w:abstractNumId="26">
    <w:nsid w:val="23F9C13C"/>
    <w:multiLevelType w:val="hybridMultilevel"/>
    <w:lvl w:ilvl="0">
      <w:lvlJc w:val="left"/>
      <w:lvlText w:val="%1."/>
      <w:numFmt w:val="decimal"/>
      <w:start w:val="8"/>
    </w:lvl>
    <w:lvl w:ilvl="1">
      <w:lvlJc w:val="left"/>
      <w:lvlText w:val="(%2)"/>
      <w:numFmt w:val="lowerLetter"/>
      <w:start w:val="2"/>
    </w:lvl>
  </w:abstractNum>
  <w:abstractNum w:abstractNumId="27">
    <w:nsid w:val="649BB77C"/>
    <w:multiLevelType w:val="hybridMultilevel"/>
    <w:lvl w:ilvl="0">
      <w:lvlJc w:val="left"/>
      <w:lvlText w:val="(%1)"/>
      <w:numFmt w:val="lowerLetter"/>
      <w:start w:val="3"/>
    </w:lvl>
  </w:abstractNum>
  <w:abstractNum w:abstractNumId="28">
    <w:nsid w:val="275AC794"/>
    <w:multiLevelType w:val="hybridMultilevel"/>
    <w:lvl w:ilvl="0">
      <w:lvlJc w:val="left"/>
      <w:lvlText w:val="(%1)"/>
      <w:numFmt w:val="lowerLetter"/>
      <w:start w:val="4"/>
    </w:lvl>
  </w:abstractNum>
  <w:abstractNum w:abstractNumId="29">
    <w:nsid w:val="39386575"/>
    <w:multiLevelType w:val="hybridMultilevel"/>
    <w:lvl w:ilvl="0">
      <w:lvlJc w:val="left"/>
      <w:lvlText w:val="%1"/>
      <w:numFmt w:val="lowerLetter"/>
      <w:start w:val="1"/>
    </w:lvl>
    <w:lvl w:ilvl="1">
      <w:lvlJc w:val="left"/>
      <w:lvlText w:val="%2."/>
      <w:numFmt w:val="decimal"/>
      <w:start w:val="9"/>
    </w:lvl>
  </w:abstractNum>
  <w:abstractNum w:abstractNumId="30">
    <w:nsid w:val="1CF10FD8"/>
    <w:multiLevelType w:val="hybridMultilevel"/>
    <w:lvl w:ilvl="0">
      <w:lvlJc w:val="left"/>
      <w:lvlText w:val="(%1)"/>
      <w:numFmt w:val="lowerLetter"/>
      <w:start w:val="3"/>
    </w:lvl>
    <w:lvl w:ilvl="1">
      <w:lvlJc w:val="left"/>
      <w:lvlText w:val="%2"/>
      <w:numFmt w:val="decimal"/>
      <w:start w:val="1"/>
    </w:lvl>
  </w:abstractNum>
  <w:abstractNum w:abstractNumId="31">
    <w:nsid w:val="180115BE"/>
    <w:multiLevelType w:val="hybridMultilevel"/>
    <w:lvl w:ilvl="0">
      <w:lvlJc w:val="left"/>
      <w:lvlText w:val="%1."/>
      <w:numFmt w:val="decimal"/>
      <w:start w:val="10"/>
    </w:lvl>
  </w:abstractNum>
  <w:abstractNum w:abstractNumId="32">
    <w:nsid w:val="235BA861"/>
    <w:multiLevelType w:val="hybridMultilevel"/>
    <w:lvl w:ilvl="0">
      <w:lvlJc w:val="left"/>
      <w:lvlText w:val="%1."/>
      <w:numFmt w:val="decimal"/>
      <w:start w:val="11"/>
    </w:lvl>
  </w:abstractNum>
  <w:abstractNum w:abstractNumId="33">
    <w:nsid w:val="47398C89"/>
    <w:multiLevelType w:val="hybridMultilevel"/>
    <w:lvl w:ilvl="0">
      <w:lvlJc w:val="left"/>
      <w:lvlText w:val="%1."/>
      <w:numFmt w:val="decimal"/>
      <w:start w:val="12"/>
    </w:lvl>
    <w:lvl w:ilvl="1">
      <w:lvlJc w:val="left"/>
      <w:lvlText w:val="(%2)"/>
      <w:numFmt w:val="lowerLetter"/>
      <w:start w:val="2"/>
    </w:lvl>
  </w:abstractNum>
  <w:abstractNum w:abstractNumId="34">
    <w:nsid w:val="354FE9F9"/>
    <w:multiLevelType w:val="hybridMultilevel"/>
    <w:lvl w:ilvl="0">
      <w:lvlJc w:val="left"/>
      <w:lvlText w:val="%1"/>
      <w:numFmt w:val="decimal"/>
      <w:start w:val="1"/>
    </w:lvl>
    <w:lvl w:ilvl="1">
      <w:lvlJc w:val="left"/>
      <w:lvlText w:val="%2."/>
      <w:numFmt w:val="decimal"/>
      <w:start w:val="14"/>
    </w:lvl>
  </w:abstractNum>
  <w:abstractNum w:abstractNumId="35">
    <w:nsid w:val="15B5AF5C"/>
    <w:multiLevelType w:val="hybridMultilevel"/>
    <w:lvl w:ilvl="0">
      <w:lvlJc w:val="left"/>
      <w:lvlText w:val="(%1)"/>
      <w:numFmt w:val="decimal"/>
      <w:start w:val="646"/>
    </w:lvl>
    <w:lvl w:ilvl="1">
      <w:lvlJc w:val="left"/>
      <w:lvlText w:val="%2."/>
      <w:numFmt w:val="decimal"/>
      <w:start w:val="17"/>
    </w:lvl>
  </w:abstractNum>
  <w:abstractNum w:abstractNumId="36">
    <w:nsid w:val="741226BB"/>
    <w:multiLevelType w:val="hybridMultilevel"/>
    <w:lvl w:ilvl="0">
      <w:lvlJc w:val="left"/>
      <w:lvlText w:val="%1."/>
      <w:numFmt w:val="decimal"/>
      <w:start w:val="1"/>
    </w:lvl>
  </w:abstractNum>
  <w:abstractNum w:abstractNumId="37">
    <w:nsid w:val="D34B6A8"/>
    <w:multiLevelType w:val="hybridMultilevel"/>
    <w:lvl w:ilvl="0">
      <w:lvlJc w:val="left"/>
      <w:lvlText w:val="%1."/>
      <w:numFmt w:val="decimal"/>
      <w:start w:val="1"/>
    </w:lvl>
  </w:abstractNum>
  <w:abstractNum w:abstractNumId="38">
    <w:nsid w:val="10233C99"/>
    <w:multiLevelType w:val="hybridMultilevel"/>
    <w:lvl w:ilvl="0">
      <w:lvlJc w:val="left"/>
      <w:lvlText w:val="%1."/>
      <w:numFmt w:val="decimal"/>
      <w:start w:val="7"/>
    </w:lvl>
  </w:abstractNum>
  <w:abstractNum w:abstractNumId="39">
    <w:nsid w:val="3F6AB60F"/>
    <w:multiLevelType w:val="hybridMultilevel"/>
    <w:lvl w:ilvl="0">
      <w:lvlJc w:val="left"/>
      <w:lvlText w:val="%1."/>
      <w:numFmt w:val="decimal"/>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1"/>
      <w:numFmt w:val="lowerLetter"/>
      <w:start w:val="1"/>
    </w:lvl>
    <w:lvl w:ilvl="1">
      <w:lvlJc w:val="left"/>
      <w:lvlText w:val="(%2)"/>
      <w:numFmt w:val="lowerLetter"/>
      <w:start w:val="9"/>
    </w:lvl>
  </w:abstractNum>
  <w:abstractNum w:abstractNumId="42">
    <w:nsid w:val="77AE35EB"/>
    <w:multiLevelType w:val="hybridMultilevel"/>
    <w:lvl w:ilvl="0">
      <w:lvlJc w:val="left"/>
      <w:lvlText w:val="(%1)"/>
      <w:numFmt w:val="lowerLetter"/>
      <w:start w:val="1"/>
    </w:lvl>
    <w:lvl w:ilvl="1">
      <w:lvlJc w:val="left"/>
      <w:lvlText w:val="(%2)"/>
      <w:numFmt w:val="lowerLetter"/>
      <w:start w:val="35"/>
    </w:lvl>
  </w:abstractNum>
  <w:abstractNum w:abstractNumId="43">
    <w:nsid w:val="579BE4F1"/>
    <w:multiLevelType w:val="hybridMultilevel"/>
    <w:lvl w:ilvl="0">
      <w:lvlJc w:val="left"/>
      <w:lvlText w:val="(%1)"/>
      <w:numFmt w:val="lowerRoman"/>
      <w:start w:val="3"/>
    </w:lvl>
  </w:abstractNum>
  <w:abstractNum w:abstractNumId="44">
    <w:nsid w:val="310C50B3"/>
    <w:multiLevelType w:val="hybridMultilevel"/>
    <w:lvl w:ilvl="0">
      <w:lvlJc w:val="left"/>
      <w:lvlText w:val="(%1)"/>
      <w:numFmt w:val="decimal"/>
      <w:start w:val="1"/>
    </w:lvl>
  </w:abstractNum>
  <w:abstractNum w:abstractNumId="45">
    <w:nsid w:val="5FF87E05"/>
    <w:multiLevelType w:val="hybridMultilevel"/>
    <w:lvl w:ilvl="0">
      <w:lvlJc w:val="left"/>
      <w:lvlText w:val="(%1)"/>
      <w:numFmt w:val="decimal"/>
      <w:start w:val="1"/>
    </w:lvl>
  </w:abstractNum>
  <w:abstractNum w:abstractNumId="46">
    <w:nsid w:val="2F305DEF"/>
    <w:multiLevelType w:val="hybridMultilevel"/>
    <w:lvl w:ilvl="0">
      <w:lvlJc w:val="left"/>
      <w:lvlText w:val="(%1)"/>
      <w:numFmt w:val="decimal"/>
      <w:start w:val="4"/>
    </w:lvl>
  </w:abstractNum>
  <w:abstractNum w:abstractNumId="47">
    <w:nsid w:val="25A70BF7"/>
    <w:multiLevelType w:val="hybridMultilevel"/>
    <w:lvl w:ilvl="0">
      <w:lvlJc w:val="left"/>
      <w:lvlText w:val="(%1)"/>
      <w:numFmt w:val="decimal"/>
      <w:start w:val="12"/>
    </w:lvl>
  </w:abstractNum>
  <w:abstractNum w:abstractNumId="48">
    <w:nsid w:val="1DBABF00"/>
    <w:multiLevelType w:val="hybridMultilevel"/>
    <w:lvl w:ilvl="0">
      <w:lvlJc w:val="left"/>
      <w:lvlText w:val="(%1)"/>
      <w:numFmt w:val="lowerLetter"/>
      <w:start w:val="1"/>
    </w:lvl>
  </w:abstractNum>
  <w:abstractNum w:abstractNumId="49">
    <w:nsid w:val="4AD084E9"/>
    <w:multiLevelType w:val="hybridMultilevel"/>
    <w:lvl w:ilvl="0">
      <w:lvlJc w:val="left"/>
      <w:lvlText w:val="(%1)"/>
      <w:numFmt w:val="lowerLetter"/>
      <w:start w:val="2"/>
    </w:lvl>
    <w:lvl w:ilvl="1">
      <w:lvlJc w:val="left"/>
      <w:lvlText w:val="(%2)"/>
      <w:numFmt w:val="decimal"/>
      <w:start w:val="1"/>
    </w:lvl>
  </w:abstractNum>
  <w:abstractNum w:abstractNumId="50">
    <w:nsid w:val="1F48EAA1"/>
    <w:multiLevelType w:val="hybridMultilevel"/>
    <w:lvl w:ilvl="0">
      <w:lvlJc w:val="left"/>
      <w:lvlText w:val="(%1)"/>
      <w:numFmt w:val="lowerLetter"/>
      <w:start w:val="1"/>
    </w:lvl>
  </w:abstractNum>
  <w:abstractNum w:abstractNumId="51">
    <w:nsid w:val="1381823A"/>
    <w:multiLevelType w:val="hybridMultilevel"/>
    <w:lvl w:ilvl="0">
      <w:lvlJc w:val="left"/>
      <w:lvlText w:val="(%1)"/>
      <w:numFmt w:val="decimal"/>
      <w:start w:val="1"/>
    </w:lvl>
  </w:abstractNum>
  <w:abstractNum w:abstractNumId="52">
    <w:nsid w:val="5DB70AE5"/>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53">
    <w:nsid w:val="100F8FCA"/>
    <w:multiLevelType w:val="hybridMultilevel"/>
    <w:lvl w:ilvl="0">
      <w:lvlJc w:val="left"/>
      <w:lvlText w:val="(%1)"/>
      <w:numFmt w:val="lowerLetter"/>
      <w:start w:val="3"/>
    </w:lvl>
  </w:abstractNum>
  <w:abstractNum w:abstractNumId="54">
    <w:nsid w:val="6590700B"/>
    <w:multiLevelType w:val="hybridMultilevel"/>
    <w:lvl w:ilvl="0">
      <w:lvlJc w:val="left"/>
      <w:lvlText w:val="(%1)"/>
      <w:numFmt w:val="lowerLetter"/>
      <w:start w:val="4"/>
    </w:lvl>
  </w:abstractNum>
  <w:abstractNum w:abstractNumId="55">
    <w:nsid w:val="15014ACB"/>
    <w:multiLevelType w:val="hybridMultilevel"/>
    <w:lvl w:ilvl="0">
      <w:lvlJc w:val="left"/>
      <w:lvlText w:val="(%1)"/>
      <w:numFmt w:val="lowerLetter"/>
      <w:start w:val="6"/>
    </w:lvl>
    <w:lvl w:ilvl="1">
      <w:lvlJc w:val="left"/>
      <w:lvlText w:val="(%2)"/>
      <w:numFmt w:val="decimal"/>
      <w:start w:val="1"/>
    </w:lvl>
  </w:abstractNum>
  <w:abstractNum w:abstractNumId="56">
    <w:nsid w:val="5F5E7FD0"/>
    <w:multiLevelType w:val="hybridMultilevel"/>
    <w:lvl w:ilvl="0">
      <w:lvlJc w:val="left"/>
      <w:lvlText w:val="(%1)"/>
      <w:numFmt w:val="decimal"/>
      <w:start w:val="5"/>
    </w:lvl>
  </w:abstractNum>
  <w:abstractNum w:abstractNumId="57">
    <w:nsid w:val="98A3148"/>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3"/>
    </w:lvl>
  </w:abstractNum>
  <w:abstractNum w:abstractNumId="58">
    <w:nsid w:val="799D0247"/>
    <w:multiLevelType w:val="hybridMultilevel"/>
    <w:lvl w:ilvl="0">
      <w:lvlJc w:val="left"/>
      <w:lvlText w:val="(%1)"/>
      <w:numFmt w:val="decimal"/>
      <w:start w:val="6"/>
    </w:lvl>
    <w:lvl w:ilvl="1">
      <w:lvlJc w:val="left"/>
      <w:lvlText w:val="%2"/>
      <w:numFmt w:val="lowerRoman"/>
      <w:start w:val="1"/>
    </w:lvl>
    <w:lvl w:ilvl="2">
      <w:lvlJc w:val="left"/>
      <w:lvlText w:val="%3"/>
      <w:numFmt w:val="lowerRoman"/>
      <w:start w:val="1"/>
    </w:lvl>
  </w:abstractNum>
  <w:abstractNum w:abstractNumId="59">
    <w:nsid w:val="6B94764"/>
    <w:multiLevelType w:val="hybridMultilevel"/>
    <w:lvl w:ilvl="0">
      <w:lvlJc w:val="left"/>
      <w:lvlText w:val="%1"/>
      <w:numFmt w:val="lowerLetter"/>
      <w:start w:val="1"/>
    </w:lvl>
    <w:lvl w:ilvl="1">
      <w:lvlJc w:val="left"/>
      <w:lvlText w:val="(%2)"/>
      <w:numFmt w:val="decimal"/>
      <w:start w:val="10"/>
    </w:lvl>
  </w:abstractNum>
  <w:abstractNum w:abstractNumId="60">
    <w:nsid w:val="42C296BD"/>
    <w:multiLevelType w:val="hybridMultilevel"/>
    <w:lvl w:ilvl="0">
      <w:lvlJc w:val="left"/>
      <w:lvlText w:val="(%1)"/>
      <w:numFmt w:val="lowerLetter"/>
      <w:start w:val="1"/>
    </w:lvl>
    <w:lvl w:ilvl="1">
      <w:lvlJc w:val="left"/>
      <w:lvlText w:val="%2"/>
      <w:numFmt w:val="decimal"/>
      <w:start w:val="1"/>
    </w:lvl>
  </w:abstractNum>
  <w:abstractNum w:abstractNumId="61">
    <w:nsid w:val="168E121F"/>
    <w:multiLevelType w:val="hybridMultilevel"/>
    <w:lvl w:ilvl="0">
      <w:lvlJc w:val="left"/>
      <w:lvlText w:val="(%1)"/>
      <w:numFmt w:val="lowerLetter"/>
      <w:start w:val="2"/>
    </w:lvl>
    <w:lvl w:ilvl="1">
      <w:lvlJc w:val="left"/>
      <w:lvlText w:val="(%2)"/>
      <w:numFmt w:val="lowerRoman"/>
      <w:start w:val="1"/>
    </w:lvl>
  </w:abstractNum>
  <w:abstractNum w:abstractNumId="62">
    <w:nsid w:val="1EBA5D2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63">
    <w:nsid w:val="661E3F1E"/>
    <w:multiLevelType w:val="hybridMultilevel"/>
    <w:lvl w:ilvl="0">
      <w:lvlJc w:val="left"/>
      <w:lvlText w:val="(%1)"/>
      <w:numFmt w:val="lowerLetter"/>
      <w:start w:val="2"/>
    </w:lvl>
  </w:abstractNum>
  <w:abstractNum w:abstractNumId="64">
    <w:nsid w:val="5DC79EA8"/>
    <w:multiLevelType w:val="hybridMultilevel"/>
    <w:lvl w:ilvl="0">
      <w:lvlJc w:val="left"/>
      <w:lvlText w:val="(%1)"/>
      <w:numFmt w:val="lowerLetter"/>
      <w:start w:val="1"/>
    </w:lvl>
  </w:abstractNum>
  <w:abstractNum w:abstractNumId="65">
    <w:nsid w:val="540A471C"/>
    <w:multiLevelType w:val="hybridMultilevel"/>
    <w:lvl w:ilvl="0">
      <w:lvlJc w:val="left"/>
      <w:lvlText w:val="(%1)"/>
      <w:numFmt w:val="lowerLetter"/>
      <w:start w:val="2"/>
    </w:lvl>
  </w:abstractNum>
  <w:abstractNum w:abstractNumId="66">
    <w:nsid w:val="7BD3EE7B"/>
    <w:multiLevelType w:val="hybridMultilevel"/>
    <w:lvl w:ilvl="0">
      <w:lvlJc w:val="left"/>
      <w:lvlText w:val="%1"/>
      <w:numFmt w:val="lowerLetter"/>
      <w:start w:val="1"/>
    </w:lvl>
    <w:lvl w:ilvl="1">
      <w:lvlJc w:val="left"/>
      <w:lvlText w:val="(%2)"/>
      <w:numFmt w:val="decimal"/>
      <w:start w:val="1"/>
    </w:lvl>
  </w:abstractNum>
  <w:abstractNum w:abstractNumId="67">
    <w:nsid w:val="51D9C564"/>
    <w:multiLevelType w:val="hybridMultilevel"/>
    <w:lvl w:ilvl="0">
      <w:lvlJc w:val="left"/>
      <w:lvlText w:val="(%1)"/>
      <w:numFmt w:val="lowerLetter"/>
      <w:start w:val="3"/>
    </w:lvl>
    <w:lvl w:ilvl="1">
      <w:lvlJc w:val="left"/>
      <w:lvlText w:val="(%2)"/>
      <w:numFmt w:val="decimal"/>
      <w:start w:val="1"/>
    </w:lvl>
  </w:abstractNum>
  <w:abstractNum w:abstractNumId="68">
    <w:nsid w:val="613EFDC5"/>
    <w:multiLevelType w:val="hybridMultilevel"/>
    <w:lvl w:ilvl="0">
      <w:lvlJc w:val="left"/>
      <w:lvlText w:val="(%1)"/>
      <w:numFmt w:val="lowerLetter"/>
      <w:start w:val="5"/>
    </w:lvl>
  </w:abstractNum>
  <w:abstractNum w:abstractNumId="69">
    <w:nsid w:val="BF72B14"/>
    <w:multiLevelType w:val="hybridMultilevel"/>
    <w:lvl w:ilvl="0">
      <w:lvlJc w:val="left"/>
      <w:lvlText w:val="(%1)"/>
      <w:numFmt w:val="lowerRoman"/>
      <w:start w:val="1"/>
    </w:lvl>
  </w:abstractNum>
  <w:abstractNum w:abstractNumId="70">
    <w:nsid w:val="11447B73"/>
    <w:multiLevelType w:val="hybridMultilevel"/>
    <w:lvl w:ilvl="0">
      <w:lvlJc w:val="left"/>
      <w:lvlText w:val="(%1)"/>
      <w:numFmt w:val="lowerLetter"/>
      <w:start w:val="1"/>
    </w:lvl>
  </w:abstractNum>
  <w:abstractNum w:abstractNumId="71">
    <w:nsid w:val="42963E5A"/>
    <w:multiLevelType w:val="hybridMultilevel"/>
    <w:lvl w:ilvl="0">
      <w:lvlJc w:val="left"/>
      <w:lvlText w:val="(%1)"/>
      <w:numFmt w:val="lowerLetter"/>
      <w:start w:val="3"/>
    </w:lvl>
  </w:abstractNum>
  <w:abstractNum w:abstractNumId="72">
    <w:nsid w:val="A0382C5"/>
    <w:multiLevelType w:val="hybridMultilevel"/>
    <w:lvl w:ilvl="0">
      <w:lvlJc w:val="left"/>
      <w:lvlText w:val="%1"/>
      <w:numFmt w:val="lowerLetter"/>
      <w:start w:val="1"/>
    </w:lvl>
    <w:lvl w:ilvl="1">
      <w:lvlJc w:val="left"/>
      <w:lvlText w:val="(%2)"/>
      <w:numFmt w:val="lowerLetter"/>
      <w:start w:val="1"/>
    </w:lvl>
  </w:abstractNum>
  <w:abstractNum w:abstractNumId="73">
    <w:nsid w:val="8F2B15E"/>
    <w:multiLevelType w:val="hybridMultilevel"/>
    <w:lvl w:ilvl="0">
      <w:lvlJc w:val="left"/>
      <w:lvlText w:val="(%1)"/>
      <w:numFmt w:val="lowerLetter"/>
      <w:start w:val="35"/>
    </w:lvl>
    <w:lvl w:ilvl="1">
      <w:lvlJc w:val="left"/>
      <w:lvlText w:val="(%2)"/>
      <w:numFmt w:val="lowerLetter"/>
      <w:start w:val="4"/>
    </w:lvl>
  </w:abstractNum>
  <w:abstractNum w:abstractNumId="74">
    <w:nsid w:val="1A32234B"/>
    <w:multiLevelType w:val="hybridMultilevel"/>
    <w:lvl w:ilvl="0">
      <w:lvlJc w:val="left"/>
      <w:lvlText w:val="(%1)"/>
      <w:numFmt w:val="lowerLetter"/>
      <w:start w:val="5"/>
    </w:lvl>
  </w:abstractNum>
  <w:abstractNum w:abstractNumId="75">
    <w:nsid w:val="3B0FD379"/>
    <w:multiLevelType w:val="hybridMultilevel"/>
    <w:lvl w:ilvl="0">
      <w:lvlJc w:val="left"/>
      <w:lvlText w:val="%1."/>
      <w:numFmt w:val="decimal"/>
      <w:start w:val="1"/>
    </w:lvl>
  </w:abstractNum>
  <w:abstractNum w:abstractNumId="76">
    <w:nsid w:val="68EB2F63"/>
    <w:multiLevelType w:val="hybridMultilevel"/>
    <w:lvl w:ilvl="0">
      <w:lvlJc w:val="left"/>
      <w:lvlText w:val="%1."/>
      <w:numFmt w:val="decimal"/>
      <w:start w:val="5"/>
    </w:lvl>
  </w:abstractNum>
  <w:abstractNum w:abstractNumId="77">
    <w:nsid w:val="4962813B"/>
    <w:multiLevelType w:val="hybridMultilevel"/>
    <w:lvl w:ilvl="0">
      <w:lvlJc w:val="left"/>
      <w:lvlText w:val="%1."/>
      <w:numFmt w:val="decimal"/>
      <w:start w:val="12"/>
    </w:lvl>
  </w:abstractNum>
  <w:abstractNum w:abstractNumId="78">
    <w:nsid w:val="60B6DF70"/>
    <w:multiLevelType w:val="hybridMultilevel"/>
    <w:lvl w:ilvl="0">
      <w:lvlJc w:val="left"/>
      <w:lvlText w:val="(%1)"/>
      <w:numFmt w:val="upperLetter"/>
      <w:start w:val="9"/>
    </w:lvl>
  </w:abstractNum>
  <w:abstractNum w:abstractNumId="79">
    <w:nsid w:val="6A5EE64"/>
    <w:multiLevelType w:val="hybridMultilevel"/>
    <w:lvl w:ilvl="0">
      <w:lvlJc w:val="left"/>
      <w:lvlText w:val="☐"/>
      <w:numFmt w:val="bullet"/>
      <w:start w:val="1"/>
    </w:lvl>
  </w:abstractNum>
  <w:abstractNum w:abstractNumId="80">
    <w:nsid w:val="14330624"/>
    <w:multiLevelType w:val="hybridMultilevel"/>
    <w:lvl w:ilvl="0">
      <w:lvlJc w:val="left"/>
      <w:lvlText w:val="·"/>
      <w:numFmt w:val="bullet"/>
      <w:start w:val="1"/>
    </w:lvl>
  </w:abstractNum>
  <w:abstractNum w:abstractNumId="81">
    <w:nsid w:val="7FFFCA11"/>
    <w:multiLevelType w:val="hybridMultilevel"/>
    <w:lvl w:ilvl="0">
      <w:lvlJc w:val="left"/>
      <w:lvlText w:val="·"/>
      <w:numFmt w:val="bullet"/>
      <w:start w:val="1"/>
    </w:lvl>
    <w:lvl w:ilvl="1">
      <w:lvlJc w:val="left"/>
      <w:lvlText w:val="·"/>
      <w:numFmt w:val="bullet"/>
      <w:start w:val="1"/>
    </w:lvl>
  </w:abstractNum>
  <w:abstractNum w:abstractNumId="82">
    <w:nsid w:val="1A2770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8" Type="http://schemas.openxmlformats.org/officeDocument/2006/relationships/hyperlink" Target="http://www.sec.gov/Archives/edgar/data/723125/000110465919006069/a18-36862_4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2020-04-24T15:03:23Z</dcterms:created>
  <dcterms:modified xsi:type="dcterms:W3CDTF">2020-04-24T15:03:23Z</dcterms:modified>
</cp:coreProperties>
</file>