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360" w:right="380"/>
        <w:spacing w:after="0" w:line="247" w:lineRule="auto"/>
        <w:rPr>
          <w:sz w:val="20"/>
          <w:szCs w:val="20"/>
          <w:color w:val="auto"/>
        </w:rPr>
      </w:pPr>
      <w:r>
        <w:rPr>
          <w:rFonts w:ascii="Arial" w:cs="Arial" w:eastAsia="Arial" w:hAnsi="Arial"/>
          <w:sz w:val="32"/>
          <w:szCs w:val="32"/>
          <w:b w:val="1"/>
          <w:bCs w:val="1"/>
          <w:color w:val="auto"/>
        </w:rPr>
        <w:t>UNITED STATES SECURITIES AND EXCHANGE COMMISSION</w:t>
      </w:r>
    </w:p>
    <w:p>
      <w:pPr>
        <w:spacing w:after="0" w:line="1" w:lineRule="exact"/>
        <w:rPr>
          <w:sz w:val="24"/>
          <w:szCs w:val="24"/>
          <w:color w:val="auto"/>
        </w:rPr>
      </w:pPr>
    </w:p>
    <w:p>
      <w:pPr>
        <w:jc w:val="center"/>
        <w:ind w:left="298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ind w:left="4500"/>
        <w:spacing w:after="0"/>
        <w:rPr>
          <w:sz w:val="20"/>
          <w:szCs w:val="20"/>
          <w:color w:val="auto"/>
        </w:rPr>
      </w:pPr>
      <w:r>
        <w:rPr>
          <w:rFonts w:ascii="Arial" w:cs="Arial" w:eastAsia="Arial" w:hAnsi="Arial"/>
          <w:sz w:val="32"/>
          <w:szCs w:val="32"/>
          <w:b w:val="1"/>
          <w:bCs w:val="1"/>
          <w:color w:val="auto"/>
        </w:rPr>
        <w:t>SCHEDULE 13G</w:t>
      </w:r>
    </w:p>
    <w:p>
      <w:pPr>
        <w:spacing w:after="0" w:line="330" w:lineRule="exact"/>
        <w:rPr>
          <w:sz w:val="24"/>
          <w:szCs w:val="24"/>
          <w:color w:val="auto"/>
        </w:rPr>
      </w:pPr>
    </w:p>
    <w:p>
      <w:pPr>
        <w:jc w:val="center"/>
        <w:ind w:left="298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left="2980"/>
        <w:spacing w:after="0"/>
        <w:rPr>
          <w:sz w:val="20"/>
          <w:szCs w:val="20"/>
          <w:color w:val="auto"/>
        </w:rPr>
      </w:pPr>
      <w:r>
        <w:rPr>
          <w:rFonts w:ascii="Arial" w:cs="Arial" w:eastAsia="Arial" w:hAnsi="Arial"/>
          <w:sz w:val="18"/>
          <w:szCs w:val="18"/>
          <w:b w:val="1"/>
          <w:bCs w:val="1"/>
          <w:color w:val="auto"/>
        </w:rPr>
        <w:t>(Amendment No. 9)*</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8"/>
          <w:szCs w:val="18"/>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-215900</wp:posOffset>
            </wp:positionV>
            <wp:extent cx="1449070" cy="1269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1269365"/>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OMB Number: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3235-0145</w:t>
      </w:r>
    </w:p>
    <w:p>
      <w:pPr>
        <w:spacing w:after="0" w:line="292" w:lineRule="exact"/>
        <w:rPr>
          <w:sz w:val="24"/>
          <w:szCs w:val="24"/>
          <w:color w:val="auto"/>
        </w:rPr>
      </w:pPr>
    </w:p>
    <w:p>
      <w:pPr>
        <w:spacing w:after="0"/>
        <w:rPr>
          <w:sz w:val="20"/>
          <w:szCs w:val="20"/>
          <w:color w:val="auto"/>
        </w:rPr>
      </w:pPr>
      <w:r>
        <w:rPr>
          <w:rFonts w:ascii="Arial" w:cs="Arial" w:eastAsia="Arial" w:hAnsi="Arial"/>
          <w:sz w:val="18"/>
          <w:szCs w:val="18"/>
          <w:color w:val="auto"/>
        </w:rPr>
        <w:t>Expires: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February 28, 2009</w:t>
      </w:r>
    </w:p>
    <w:p>
      <w:pPr>
        <w:spacing w:after="0" w:line="9" w:lineRule="exact"/>
        <w:rPr>
          <w:sz w:val="24"/>
          <w:szCs w:val="24"/>
          <w:color w:val="auto"/>
        </w:rPr>
      </w:pPr>
    </w:p>
    <w:p>
      <w:pPr>
        <w:ind w:right="380"/>
        <w:spacing w:after="0" w:line="341" w:lineRule="auto"/>
        <w:rPr>
          <w:sz w:val="20"/>
          <w:szCs w:val="20"/>
          <w:color w:val="auto"/>
        </w:rPr>
      </w:pPr>
      <w:r>
        <w:rPr>
          <w:rFonts w:ascii="Arial" w:cs="Arial" w:eastAsia="Arial" w:hAnsi="Arial"/>
          <w:sz w:val="16"/>
          <w:szCs w:val="16"/>
          <w:color w:val="auto"/>
        </w:rPr>
        <w:t>Estimated average burden hours per response. . 10.4</w:t>
      </w:r>
    </w:p>
    <w:p>
      <w:pPr>
        <w:spacing w:after="0" w:line="759" w:lineRule="exact"/>
        <w:rPr>
          <w:sz w:val="24"/>
          <w:szCs w:val="24"/>
          <w:color w:val="auto"/>
        </w:rPr>
      </w:pPr>
    </w:p>
    <w:p>
      <w:pPr>
        <w:sectPr>
          <w:pgSz w:w="11900" w:h="16838" w:orient="portrait"/>
          <w:cols w:equalWidth="0" w:num="2">
            <w:col w:w="8440" w:space="720"/>
            <w:col w:w="2260"/>
          </w:cols>
          <w:pgMar w:left="240" w:top="220" w:right="239" w:bottom="252" w:gutter="0" w:footer="0" w:header="0"/>
        </w:sect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595112103</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2006</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left="660" w:right="160"/>
        <w:spacing w:after="0" w:line="308"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left="660" w:right="28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7" w:lineRule="exact"/>
        <w:rPr>
          <w:sz w:val="24"/>
          <w:szCs w:val="24"/>
          <w:color w:val="auto"/>
        </w:rPr>
      </w:pPr>
    </w:p>
    <w:p>
      <w:pPr>
        <w:ind w:left="660" w:right="4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right="4080" w:hanging="620"/>
        <w:spacing w:after="0" w:line="275"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Names of Reporting Persons. I.R.S. Identification Nos. of above persons (entities only) </w:t>
      </w:r>
      <w:r>
        <w:rPr>
          <w:rFonts w:ascii="Arial" w:cs="Arial" w:eastAsia="Arial" w:hAnsi="Arial"/>
          <w:sz w:val="17"/>
          <w:szCs w:val="17"/>
          <w:color w:val="auto"/>
        </w:rPr>
        <w:t>PRIMECAP Management Company 95-3868081</w:t>
      </w:r>
    </w:p>
    <w:p>
      <w:pPr>
        <w:spacing w:after="0" w:line="389"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225 South Lake Ave., #400, Pasadena, CA 91101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-919480</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-1134110</wp:posOffset>
            </wp:positionV>
            <wp:extent cx="58743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-1751330</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7,794,669</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24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0" w:right="239" w:bottom="252" w:gutter="0" w:footer="0" w:header="0"/>
          <w:type w:val="continuous"/>
        </w:sectPr>
      </w:pPr>
    </w:p>
    <w:bookmarkStart w:id="1" w:name="page2"/>
    <w:bookmarkEnd w:id="1"/>
    <w:p>
      <w:pPr>
        <w:ind w:left="2700" w:right="6800" w:hanging="1091"/>
        <w:spacing w:after="0" w:line="275"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Sole Dispositive Power </w:t>
      </w:r>
      <w:r>
        <w:rPr>
          <w:rFonts w:ascii="Arial" w:cs="Arial" w:eastAsia="Arial" w:hAnsi="Arial"/>
          <w:sz w:val="17"/>
          <w:szCs w:val="17"/>
          <w:color w:val="auto"/>
        </w:rPr>
        <w:t>56,548,306</w:t>
      </w:r>
    </w:p>
    <w:p>
      <w:pPr>
        <w:spacing w:after="0" w:line="389" w:lineRule="exact"/>
        <w:rPr>
          <w:rFonts w:ascii="Arial" w:cs="Arial" w:eastAsia="Arial" w:hAnsi="Arial"/>
          <w:sz w:val="18"/>
          <w:szCs w:val="18"/>
          <w:color w:val="auto"/>
        </w:rPr>
      </w:pPr>
    </w:p>
    <w:p>
      <w:pPr>
        <w:ind w:left="2700" w:right="662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86" w:lineRule="exact"/>
        <w:rPr>
          <w:rFonts w:ascii="Arial" w:cs="Arial" w:eastAsia="Arial" w:hAnsi="Arial"/>
          <w:sz w:val="18"/>
          <w:szCs w:val="18"/>
          <w:color w:val="auto"/>
        </w:rPr>
      </w:pPr>
    </w:p>
    <w:p>
      <w:pPr>
        <w:ind w:left="1000" w:right="5400" w:hanging="620"/>
        <w:spacing w:after="0" w:line="275"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56,548,306</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6400" w:hanging="620"/>
        <w:spacing w:after="0" w:line="275"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7"/>
          <w:szCs w:val="17"/>
          <w:color w:val="auto"/>
        </w:rPr>
        <w:t>7.50%</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-2154555</wp:posOffset>
            </wp:positionV>
            <wp:extent cx="5531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-2703830</wp:posOffset>
            </wp:positionV>
            <wp:extent cx="55314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440" w:hanging="493"/>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Micron Technology Inc.</w:t>
      </w:r>
    </w:p>
    <w:p>
      <w:pPr>
        <w:spacing w:after="0" w:line="116" w:lineRule="exact"/>
        <w:rPr>
          <w:rFonts w:ascii="Arial" w:cs="Arial" w:eastAsia="Arial" w:hAnsi="Arial"/>
          <w:sz w:val="18"/>
          <w:szCs w:val="18"/>
          <w:color w:val="auto"/>
        </w:rPr>
      </w:pPr>
    </w:p>
    <w:p>
      <w:pPr>
        <w:ind w:left="1440" w:right="6340"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Address of Issuer’s Principal Executive Offices 8000 S. Federal Way, Boise, ID 83716-9632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PRIMECAP Management Company</w:t>
      </w:r>
    </w:p>
    <w:p>
      <w:pPr>
        <w:spacing w:after="0" w:line="116" w:lineRule="exact"/>
        <w:rPr>
          <w:rFonts w:ascii="Arial" w:cs="Arial" w:eastAsia="Arial" w:hAnsi="Arial"/>
          <w:sz w:val="18"/>
          <w:szCs w:val="18"/>
          <w:color w:val="auto"/>
        </w:rPr>
      </w:pPr>
    </w:p>
    <w:p>
      <w:pPr>
        <w:ind w:left="1440" w:right="548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225 South Lake Ave., #400, Pasadena, CA 91101</w:t>
      </w:r>
    </w:p>
    <w:p>
      <w:pPr>
        <w:spacing w:after="0" w:line="29" w:lineRule="exact"/>
        <w:rPr>
          <w:rFonts w:ascii="Arial" w:cs="Arial" w:eastAsia="Arial" w:hAnsi="Arial"/>
          <w:sz w:val="16"/>
          <w:szCs w:val="16"/>
          <w:color w:val="auto"/>
        </w:rPr>
      </w:pPr>
    </w:p>
    <w:p>
      <w:pPr>
        <w:ind w:left="1440" w:right="894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Citizenship U.S.A.</w:t>
      </w:r>
    </w:p>
    <w:p>
      <w:pPr>
        <w:spacing w:after="0" w:line="29" w:lineRule="exact"/>
        <w:rPr>
          <w:rFonts w:ascii="Arial" w:cs="Arial" w:eastAsia="Arial" w:hAnsi="Arial"/>
          <w:sz w:val="16"/>
          <w:szCs w:val="16"/>
          <w:color w:val="auto"/>
        </w:rPr>
      </w:pPr>
    </w:p>
    <w:p>
      <w:pPr>
        <w:ind w:left="1440" w:right="7840" w:hanging="493"/>
        <w:spacing w:after="0" w:line="277" w:lineRule="auto"/>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75" w:lineRule="exact"/>
        <w:rPr>
          <w:rFonts w:ascii="Arial" w:cs="Arial" w:eastAsia="Arial" w:hAnsi="Arial"/>
          <w:sz w:val="18"/>
          <w:szCs w:val="18"/>
          <w:color w:val="auto"/>
        </w:rPr>
      </w:pPr>
    </w:p>
    <w:p>
      <w:pPr>
        <w:ind w:left="1440" w:right="860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595112103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-1069340</wp:posOffset>
            </wp:positionV>
            <wp:extent cx="63290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-1421130</wp:posOffset>
            </wp:positionV>
            <wp:extent cx="63290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2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171" w:lineRule="exact"/>
        <w:rPr>
          <w:sz w:val="20"/>
          <w:szCs w:val="20"/>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hanging="1013"/>
        <w:spacing w:after="0" w:line="277" w:lineRule="auto"/>
        <w:tabs>
          <w:tab w:leader="none" w:pos="1447" w:val="left"/>
        </w:tabs>
        <w:numPr>
          <w:ilvl w:val="0"/>
          <w:numId w:val="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ectPr>
          <w:pgSz w:w="11900" w:h="16838" w:orient="portrait"/>
          <w:cols w:equalWidth="0" w:num="1">
            <w:col w:w="11200"/>
          </w:cols>
          <w:pgMar w:left="300" w:top="179" w:right="399" w:bottom="0" w:gutter="0" w:footer="0" w:header="0"/>
        </w:sectPr>
      </w:pPr>
    </w:p>
    <w:bookmarkStart w:id="2" w:name="page3"/>
    <w:bookmarkEnd w:id="2"/>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right="7620" w:hanging="394"/>
        <w:spacing w:after="0" w:line="340" w:lineRule="auto"/>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56,548,306</w:t>
      </w:r>
    </w:p>
    <w:p>
      <w:pPr>
        <w:spacing w:after="0" w:line="129" w:lineRule="exact"/>
        <w:rPr>
          <w:rFonts w:ascii="Arial" w:cs="Arial" w:eastAsia="Arial" w:hAnsi="Arial"/>
          <w:sz w:val="18"/>
          <w:szCs w:val="18"/>
          <w:color w:val="auto"/>
        </w:rPr>
      </w:pPr>
    </w:p>
    <w:p>
      <w:pPr>
        <w:ind w:left="1600" w:hanging="400"/>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7.50%</w:t>
      </w:r>
    </w:p>
    <w:p>
      <w:pPr>
        <w:spacing w:after="0" w:line="238" w:lineRule="exact"/>
        <w:rPr>
          <w:rFonts w:ascii="Arial" w:cs="Arial" w:eastAsia="Arial" w:hAnsi="Arial"/>
          <w:sz w:val="18"/>
          <w:szCs w:val="18"/>
          <w:color w:val="auto"/>
        </w:rPr>
      </w:pPr>
    </w:p>
    <w:p>
      <w:pPr>
        <w:ind w:left="1600" w:hanging="394"/>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255270</wp:posOffset>
            </wp:positionV>
            <wp:extent cx="62344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-653415</wp:posOffset>
            </wp:positionV>
            <wp:extent cx="62344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right="6260" w:hanging="453"/>
        <w:spacing w:after="0" w:line="340" w:lineRule="auto"/>
        <w:tabs>
          <w:tab w:leader="none" w:pos="2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7,794,669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6080" w:hanging="478"/>
        <w:spacing w:after="0" w:line="340" w:lineRule="auto"/>
        <w:tabs>
          <w:tab w:leader="none" w:pos="2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5340" w:hanging="503"/>
        <w:spacing w:after="0" w:line="340"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5,548,306</w:t>
      </w:r>
    </w:p>
    <w:p>
      <w:pPr>
        <w:spacing w:after="0" w:line="129" w:lineRule="exact"/>
        <w:rPr>
          <w:rFonts w:ascii="Arial" w:cs="Arial" w:eastAsia="Arial" w:hAnsi="Arial"/>
          <w:sz w:val="18"/>
          <w:szCs w:val="18"/>
          <w:color w:val="auto"/>
        </w:rPr>
      </w:pPr>
    </w:p>
    <w:p>
      <w:pPr>
        <w:ind w:left="2220" w:right="5160" w:hanging="498"/>
        <w:spacing w:after="0" w:line="340"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-440055</wp:posOffset>
            </wp:positionV>
            <wp:extent cx="58400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42" w:lineRule="exact"/>
        <w:rPr>
          <w:sz w:val="20"/>
          <w:szCs w:val="20"/>
          <w:color w:val="auto"/>
        </w:rPr>
      </w:pPr>
    </w:p>
    <w:p>
      <w:pPr>
        <w:ind w:left="660" w:right="2640"/>
        <w:spacing w:after="0" w:line="277" w:lineRule="auto"/>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§240.l3d-3(d)(1).</w:t>
      </w:r>
    </w:p>
    <w:p>
      <w:pPr>
        <w:spacing w:after="0" w:line="38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11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00" w:lineRule="exact"/>
        <w:rPr>
          <w:sz w:val="20"/>
          <w:szCs w:val="20"/>
          <w:color w:val="auto"/>
        </w:rPr>
      </w:pPr>
    </w:p>
    <w:p>
      <w:pPr>
        <w:spacing w:after="0" w:line="24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03" w:lineRule="exact"/>
        <w:rPr>
          <w:sz w:val="20"/>
          <w:szCs w:val="20"/>
          <w:color w:val="auto"/>
        </w:rPr>
      </w:pPr>
    </w:p>
    <w:p>
      <w:pPr>
        <w:ind w:left="1120" w:right="420" w:hanging="1120"/>
        <w:spacing w:after="0" w:line="277" w:lineRule="auto"/>
        <w:tabs>
          <w:tab w:leader="none" w:pos="11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62"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If a parent holding company has filed this schedule, pursuant to Rule l3d-1(b)(ii)(G),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39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§240.l3d-1(d), attach an exhibit stating the identity of each member of the group.</w:t>
      </w:r>
    </w:p>
    <w:p>
      <w:pPr>
        <w:spacing w:after="0" w:line="39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Notice of Dissolution of Group</w:t>
      </w:r>
    </w:p>
    <w:p>
      <w:pPr>
        <w:spacing w:after="0" w:line="117"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117" w:lineRule="exact"/>
        <w:rPr>
          <w:sz w:val="20"/>
          <w:szCs w:val="20"/>
          <w:color w:val="auto"/>
        </w:rPr>
      </w:pPr>
    </w:p>
    <w:p>
      <w:pPr>
        <w:ind w:left="1340" w:hanging="690"/>
        <w:spacing w:after="0"/>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ectPr>
          <w:pgSz w:w="11900" w:h="16874" w:orient="portrait"/>
          <w:cols w:equalWidth="0" w:num="1">
            <w:col w:w="11280"/>
          </w:cols>
          <w:pgMar w:left="300" w:top="125" w:right="319" w:bottom="0" w:gutter="0" w:footer="0" w:header="0"/>
        </w:sectPr>
      </w:pPr>
    </w:p>
    <w:bookmarkStart w:id="3" w:name="page4"/>
    <w:bookmarkEnd w:id="3"/>
    <w:p>
      <w:pPr>
        <w:ind w:left="2000" w:right="6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79" w:lineRule="exact"/>
        <w:rPr>
          <w:sz w:val="20"/>
          <w:szCs w:val="20"/>
          <w:color w:val="auto"/>
        </w:rPr>
      </w:pPr>
    </w:p>
    <w:p>
      <w:pPr>
        <w:ind w:left="1420" w:hanging="710"/>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117" w:lineRule="exact"/>
        <w:rPr>
          <w:sz w:val="20"/>
          <w:szCs w:val="20"/>
          <w:color w:val="auto"/>
        </w:rPr>
      </w:pPr>
    </w:p>
    <w:p>
      <w:pPr>
        <w:ind w:left="2000" w:right="6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9, 2007</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/s/ Karen Chen</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Karen Chen, CCO</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whom copies are to be sent.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22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1."/>
      <w:numFmt w:val="decimal"/>
      <w:start w:val="1"/>
    </w:lvl>
    <w:lvl w:ilvl="1">
      <w:lvlJc w:val="left"/>
      <w:lvlText w:val="(%2)"/>
      <w:numFmt w:val="lowerLetter"/>
      <w:start w:val="1"/>
    </w:lvl>
  </w:abstractNum>
  <w:abstractNum w:abstractNumId="2">
    <w:nsid w:val="7545E146"/>
    <w:multiLevelType w:val="hybridMultilevel"/>
    <w:lvl w:ilvl="0">
      <w:lvlJc w:val="left"/>
      <w:lvlText w:val="%1"/>
      <w:numFmt w:val="decimal"/>
      <w:start w:val="1"/>
    </w:lvl>
    <w:lvl w:ilvl="1">
      <w:lvlJc w:val="left"/>
      <w:lvlText w:val="%2."/>
      <w:numFmt w:val="decimal"/>
      <w:start w:val="7"/>
    </w:lvl>
  </w:abstractNum>
  <w:abstractNum w:abstractNumId="3">
    <w:nsid w:val="515F007C"/>
    <w:multiLevelType w:val="hybridMultilevel"/>
    <w:lvl w:ilvl="0">
      <w:lvlJc w:val="left"/>
      <w:lvlText w:val="%1."/>
      <w:numFmt w:val="decimal"/>
      <w:start w:val="9"/>
    </w:lvl>
    <w:lvl w:ilvl="1">
      <w:lvlJc w:val="left"/>
      <w:lvlText w:val="%2"/>
      <w:numFmt w:val="decimal"/>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Roman"/>
      <w:start w:val="1"/>
    </w:lvl>
  </w:abstractNum>
  <w:abstractNum w:abstractNumId="9">
    <w:nsid w:val="1190CDE7"/>
    <w:multiLevelType w:val="hybridMultilevel"/>
    <w:lvl w:ilvl="0">
      <w:lvlJc w:val="left"/>
      <w:lvlText w:val="(%1)"/>
      <w:numFmt w:val="lowerRoman"/>
      <w:start w:val="2"/>
    </w:lvl>
  </w:abstractNum>
  <w:abstractNum w:abstractNumId="10">
    <w:nsid w:val="66EF438D"/>
    <w:multiLevelType w:val="hybridMultilevel"/>
    <w:lvl w:ilvl="0">
      <w:lvlJc w:val="left"/>
      <w:lvlText w:val="(%1)"/>
      <w:numFmt w:val="lowerRoman"/>
      <w:start w:val="3"/>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2019-12-13T12:59:52Z</dcterms:created>
  <dcterms:modified xsi:type="dcterms:W3CDTF">2019-12-13T12:59:52Z</dcterms:modified>
</cp:coreProperties>
</file>