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00" w:type="dxa"/>
            <w:vAlign w:val="bottom"/>
            <w:vMerge w:val="restart"/>
          </w:tcPr>
          <w:p>
            <w:pPr>
              <w:jc w:val="center"/>
              <w:ind w:left="2821"/>
              <w:spacing w:after="0"/>
              <w:rPr>
                <w:sz w:val="20"/>
                <w:szCs w:val="20"/>
                <w:color w:val="auto"/>
              </w:rPr>
            </w:pPr>
            <w:r>
              <w:rPr>
                <w:rFonts w:ascii="Arial" w:cs="Arial" w:eastAsia="Arial" w:hAnsi="Arial"/>
                <w:sz w:val="22"/>
                <w:szCs w:val="22"/>
                <w:b w:val="1"/>
                <w:bCs w:val="1"/>
                <w:color w:val="auto"/>
                <w:w w:val="97"/>
              </w:rPr>
              <w:t>UNITED STATES</w:t>
            </w:r>
          </w:p>
        </w:tc>
        <w:tc>
          <w:tcPr>
            <w:tcW w:w="2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00" w:type="dxa"/>
            <w:vAlign w:val="bottom"/>
            <w:vMerge w:val="continue"/>
          </w:tcPr>
          <w:p>
            <w:pPr>
              <w:spacing w:after="0"/>
              <w:rPr>
                <w:sz w:val="17"/>
                <w:szCs w:val="17"/>
                <w:color w:val="auto"/>
              </w:rPr>
            </w:pPr>
          </w:p>
        </w:tc>
        <w:tc>
          <w:tcPr>
            <w:tcW w:w="2920" w:type="dxa"/>
            <w:vAlign w:val="bottom"/>
            <w:tcBorders>
              <w:left w:val="single" w:sz="8" w:color="auto"/>
              <w:right w:val="single" w:sz="8" w:color="auto"/>
            </w:tcBorders>
          </w:tcPr>
          <w:p>
            <w:pPr>
              <w:ind w:left="78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00" w:type="dxa"/>
            <w:vAlign w:val="bottom"/>
            <w:vMerge w:val="restart"/>
          </w:tcPr>
          <w:p>
            <w:pPr>
              <w:jc w:val="center"/>
              <w:ind w:left="282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00" w:type="dxa"/>
            <w:vAlign w:val="bottom"/>
            <w:vMerge w:val="continue"/>
          </w:tcPr>
          <w:p>
            <w:pPr>
              <w:spacing w:after="0"/>
              <w:rPr>
                <w:sz w:val="17"/>
                <w:szCs w:val="17"/>
                <w:color w:val="auto"/>
              </w:rPr>
            </w:pPr>
          </w:p>
        </w:tc>
        <w:tc>
          <w:tcPr>
            <w:tcW w:w="292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00" w:type="dxa"/>
            <w:vAlign w:val="bottom"/>
          </w:tcPr>
          <w:p>
            <w:pPr>
              <w:jc w:val="center"/>
              <w:ind w:left="2821"/>
              <w:spacing w:after="0"/>
              <w:rPr>
                <w:sz w:val="20"/>
                <w:szCs w:val="20"/>
                <w:color w:val="auto"/>
              </w:rPr>
            </w:pPr>
            <w:r>
              <w:rPr>
                <w:rFonts w:ascii="Arial" w:cs="Arial" w:eastAsia="Arial" w:hAnsi="Arial"/>
                <w:sz w:val="18"/>
                <w:szCs w:val="18"/>
                <w:b w:val="1"/>
                <w:bCs w:val="1"/>
                <w:color w:val="auto"/>
                <w:w w:val="91"/>
              </w:rPr>
              <w:t>Washington, D.C. 20549</w:t>
            </w:r>
          </w:p>
        </w:tc>
        <w:tc>
          <w:tcPr>
            <w:tcW w:w="2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18"/>
                <w:szCs w:val="18"/>
                <w:color w:val="auto"/>
              </w:rPr>
            </w:pPr>
          </w:p>
        </w:tc>
        <w:tc>
          <w:tcPr>
            <w:tcW w:w="2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00" w:type="dxa"/>
            <w:vAlign w:val="bottom"/>
            <w:vMerge w:val="restart"/>
          </w:tcPr>
          <w:p>
            <w:pPr>
              <w:jc w:val="center"/>
              <w:ind w:left="2821"/>
              <w:spacing w:after="0"/>
              <w:rPr>
                <w:sz w:val="20"/>
                <w:szCs w:val="20"/>
                <w:color w:val="auto"/>
              </w:rPr>
            </w:pPr>
            <w:r>
              <w:rPr>
                <w:rFonts w:ascii="Arial" w:cs="Arial" w:eastAsia="Arial" w:hAnsi="Arial"/>
                <w:sz w:val="22"/>
                <w:szCs w:val="22"/>
                <w:b w:val="1"/>
                <w:bCs w:val="1"/>
                <w:color w:val="auto"/>
                <w:w w:val="96"/>
              </w:rPr>
              <w:t>SCHEDULE 13G</w:t>
            </w:r>
          </w:p>
        </w:tc>
        <w:tc>
          <w:tcPr>
            <w:tcW w:w="2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247"/>
        </w:trPr>
        <w:tc>
          <w:tcPr>
            <w:tcW w:w="8500" w:type="dxa"/>
            <w:vAlign w:val="bottom"/>
            <w:vMerge w:val="continue"/>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8500" w:type="dxa"/>
            <w:vAlign w:val="bottom"/>
          </w:tcPr>
          <w:p>
            <w:pPr>
              <w:jc w:val="center"/>
              <w:ind w:left="284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00" w:type="dxa"/>
            <w:vAlign w:val="bottom"/>
          </w:tcPr>
          <w:p>
            <w:pPr>
              <w:jc w:val="center"/>
              <w:ind w:left="2841"/>
              <w:spacing w:after="0"/>
              <w:rPr>
                <w:sz w:val="20"/>
                <w:szCs w:val="20"/>
                <w:color w:val="auto"/>
              </w:rPr>
            </w:pPr>
            <w:r>
              <w:rPr>
                <w:rFonts w:ascii="Arial" w:cs="Arial" w:eastAsia="Arial" w:hAnsi="Arial"/>
                <w:sz w:val="18"/>
                <w:szCs w:val="18"/>
                <w:b w:val="1"/>
                <w:bCs w:val="1"/>
                <w:color w:val="auto"/>
                <w:w w:val="92"/>
              </w:rPr>
              <w:t>(Amendment No. 4)*</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00" w:type="dxa"/>
            <w:vAlign w:val="bottom"/>
            <w:tcBorders>
              <w:bottom w:val="single" w:sz="8" w:color="auto"/>
            </w:tcBorders>
          </w:tcPr>
          <w:p>
            <w:pPr>
              <w:jc w:val="center"/>
              <w:ind w:left="2821"/>
              <w:spacing w:after="0"/>
              <w:rPr>
                <w:sz w:val="20"/>
                <w:szCs w:val="20"/>
                <w:color w:val="auto"/>
              </w:rPr>
            </w:pPr>
            <w:r>
              <w:rPr>
                <w:rFonts w:ascii="Arial" w:cs="Arial" w:eastAsia="Arial" w:hAnsi="Arial"/>
                <w:sz w:val="32"/>
                <w:szCs w:val="32"/>
                <w:b w:val="1"/>
                <w:bCs w:val="1"/>
                <w:color w:val="auto"/>
                <w:w w:val="91"/>
              </w:rPr>
              <w:t>Micron Technology, Inc.</w:t>
            </w: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00" w:type="dxa"/>
            <w:vAlign w:val="bottom"/>
          </w:tcPr>
          <w:p>
            <w:pPr>
              <w:jc w:val="center"/>
              <w:ind w:left="2821"/>
              <w:spacing w:after="0"/>
              <w:rPr>
                <w:sz w:val="20"/>
                <w:szCs w:val="20"/>
                <w:color w:val="auto"/>
              </w:rPr>
            </w:pPr>
            <w:r>
              <w:rPr>
                <w:rFonts w:ascii="Arial" w:cs="Arial" w:eastAsia="Arial" w:hAnsi="Arial"/>
                <w:sz w:val="18"/>
                <w:szCs w:val="18"/>
                <w:color w:val="auto"/>
                <w:w w:val="90"/>
              </w:rPr>
              <w:t>(Name of Issuer)</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00" w:type="dxa"/>
            <w:vAlign w:val="bottom"/>
          </w:tcPr>
          <w:p>
            <w:pPr>
              <w:jc w:val="center"/>
              <w:ind w:left="2821"/>
              <w:spacing w:after="0"/>
              <w:rPr>
                <w:sz w:val="20"/>
                <w:szCs w:val="20"/>
                <w:color w:val="auto"/>
              </w:rPr>
            </w:pPr>
            <w:r>
              <w:rPr>
                <w:rFonts w:ascii="Arial" w:cs="Arial" w:eastAsia="Arial" w:hAnsi="Arial"/>
                <w:sz w:val="18"/>
                <w:szCs w:val="18"/>
                <w:b w:val="1"/>
                <w:bCs w:val="1"/>
                <w:color w:val="auto"/>
                <w:w w:val="89"/>
              </w:rPr>
              <w:t>Common</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00" w:type="dxa"/>
            <w:vAlign w:val="bottom"/>
          </w:tcPr>
          <w:p>
            <w:pPr>
              <w:jc w:val="center"/>
              <w:ind w:left="2841"/>
              <w:spacing w:after="0"/>
              <w:rPr>
                <w:sz w:val="20"/>
                <w:szCs w:val="20"/>
                <w:color w:val="auto"/>
              </w:rPr>
            </w:pPr>
            <w:r>
              <w:rPr>
                <w:rFonts w:ascii="Arial" w:cs="Arial" w:eastAsia="Arial" w:hAnsi="Arial"/>
                <w:sz w:val="18"/>
                <w:szCs w:val="18"/>
                <w:color w:val="auto"/>
                <w:w w:val="92"/>
              </w:rPr>
              <w:t>(Title of Class of Securities)</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00" w:type="dxa"/>
            <w:vAlign w:val="bottom"/>
          </w:tcPr>
          <w:p>
            <w:pPr>
              <w:jc w:val="center"/>
              <w:ind w:left="2841"/>
              <w:spacing w:after="0"/>
              <w:rPr>
                <w:sz w:val="20"/>
                <w:szCs w:val="20"/>
                <w:color w:val="auto"/>
              </w:rPr>
            </w:pPr>
            <w:r>
              <w:rPr>
                <w:rFonts w:ascii="Arial" w:cs="Arial" w:eastAsia="Arial" w:hAnsi="Arial"/>
                <w:sz w:val="18"/>
                <w:szCs w:val="18"/>
                <w:b w:val="1"/>
                <w:bCs w:val="1"/>
                <w:color w:val="auto"/>
                <w:w w:val="88"/>
              </w:rPr>
              <w:t>595112103</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00" w:type="dxa"/>
            <w:vAlign w:val="bottom"/>
          </w:tcPr>
          <w:p>
            <w:pPr>
              <w:jc w:val="center"/>
              <w:ind w:left="2821"/>
              <w:spacing w:after="0"/>
              <w:rPr>
                <w:sz w:val="20"/>
                <w:szCs w:val="20"/>
                <w:color w:val="auto"/>
              </w:rPr>
            </w:pPr>
            <w:r>
              <w:rPr>
                <w:rFonts w:ascii="Arial" w:cs="Arial" w:eastAsia="Arial" w:hAnsi="Arial"/>
                <w:sz w:val="18"/>
                <w:szCs w:val="18"/>
                <w:color w:val="auto"/>
                <w:w w:val="92"/>
              </w:rPr>
              <w:t>(CUSIP Number)</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00" w:type="dxa"/>
            <w:vAlign w:val="bottom"/>
            <w:tcBorders>
              <w:bottom w:val="single" w:sz="8" w:color="auto"/>
            </w:tcBorders>
          </w:tcPr>
          <w:p>
            <w:pPr>
              <w:jc w:val="center"/>
              <w:ind w:left="2821"/>
              <w:spacing w:after="0"/>
              <w:rPr>
                <w:sz w:val="20"/>
                <w:szCs w:val="20"/>
                <w:color w:val="auto"/>
              </w:rPr>
            </w:pPr>
            <w:r>
              <w:rPr>
                <w:rFonts w:ascii="Arial" w:cs="Arial" w:eastAsia="Arial" w:hAnsi="Arial"/>
                <w:sz w:val="18"/>
                <w:szCs w:val="18"/>
                <w:b w:val="1"/>
                <w:bCs w:val="1"/>
                <w:color w:val="auto"/>
                <w:w w:val="90"/>
              </w:rPr>
              <w:t>December 31, 2019</w:t>
            </w: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00" w:type="dxa"/>
            <w:vAlign w:val="bottom"/>
          </w:tcPr>
          <w:p>
            <w:pPr>
              <w:jc w:val="center"/>
              <w:ind w:left="2821"/>
              <w:spacing w:after="0"/>
              <w:rPr>
                <w:sz w:val="20"/>
                <w:szCs w:val="20"/>
                <w:color w:val="auto"/>
              </w:rPr>
            </w:pPr>
            <w:r>
              <w:rPr>
                <w:rFonts w:ascii="Arial" w:cs="Arial" w:eastAsia="Arial" w:hAnsi="Arial"/>
                <w:sz w:val="18"/>
                <w:szCs w:val="18"/>
                <w:color w:val="auto"/>
                <w:w w:val="92"/>
              </w:rPr>
              <w:t>(Date of Event Which Requires Filing of this Statement)</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2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right="4979"/>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54,740,478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55,877,289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55,877,289</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116" w:lineRule="exact"/>
        <w:rPr>
          <w:rFonts w:ascii="Arial" w:cs="Arial" w:eastAsia="Arial" w:hAnsi="Arial"/>
          <w:sz w:val="18"/>
          <w:szCs w:val="18"/>
          <w:color w:val="auto"/>
        </w:rPr>
      </w:pPr>
    </w:p>
    <w:p>
      <w:pPr>
        <w:ind w:left="1440" w:right="6340" w:hanging="493"/>
        <w:spacing w:after="0" w:line="342" w:lineRule="auto"/>
        <w:tabs>
          <w:tab w:leader="none" w:pos="1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Address of Issuer’s Principal Executive Offices 8000 S. Federal Way, Boise, ID 83716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391" w:right="399" w:bottom="1440" w:gutter="0" w:footer="0" w:header="0"/>
        </w:sectPr>
      </w:pPr>
    </w:p>
    <w:bookmarkStart w:id="3" w:name="page4"/>
    <w:bookmarkEnd w:id="3"/>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55,877,289.</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5.03%.</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54,740,478.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55,877,289.</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58" w:lineRule="exact"/>
        <w:rPr>
          <w:sz w:val="20"/>
          <w:szCs w:val="20"/>
          <w:color w:val="auto"/>
        </w:rPr>
      </w:pPr>
    </w:p>
    <w:p>
      <w:pPr>
        <w:jc w:val="center"/>
        <w:ind w:left="920"/>
        <w:spacing w:after="0"/>
        <w:tabs>
          <w:tab w:leader="none" w:pos="160" w:val="left"/>
        </w:tabs>
        <w:rPr>
          <w:sz w:val="20"/>
          <w:szCs w:val="20"/>
          <w:color w:val="auto"/>
        </w:rPr>
      </w:pPr>
      <w:r>
        <w:rPr>
          <w:rFonts w:ascii="Arial" w:cs="Arial" w:eastAsia="Arial" w:hAnsi="Arial"/>
          <w:sz w:val="18"/>
          <w:szCs w:val="18"/>
          <w:i w:val="1"/>
          <w:iCs w:val="1"/>
          <w:color w:val="auto"/>
        </w:rPr>
        <w:t>Instruction.</w:t>
      </w:r>
      <w:r>
        <w:rPr>
          <w:sz w:val="20"/>
          <w:szCs w:val="20"/>
          <w:color w:val="auto"/>
        </w:rPr>
        <w:tab/>
      </w:r>
      <w:r>
        <w:rPr>
          <w:rFonts w:ascii="Arial" w:cs="Arial" w:eastAsia="Arial" w:hAnsi="Arial"/>
          <w:sz w:val="18"/>
          <w:szCs w:val="18"/>
          <w:color w:val="auto"/>
        </w:rPr>
        <w:t xml:space="preserve">For computations regarding securities which represent a right to acquire an underlying security </w:t>
      </w:r>
      <w:r>
        <w:rPr>
          <w:rFonts w:ascii="Arial" w:cs="Arial" w:eastAsia="Arial" w:hAnsi="Arial"/>
          <w:sz w:val="18"/>
          <w:szCs w:val="18"/>
          <w:i w:val="1"/>
          <w:iCs w:val="1"/>
          <w:color w:val="auto"/>
        </w:rPr>
        <w:t>see</w:t>
      </w:r>
      <w:r>
        <w:rPr>
          <w:rFonts w:ascii="Arial" w:cs="Arial" w:eastAsia="Arial" w:hAnsi="Arial"/>
          <w:sz w:val="18"/>
          <w:szCs w:val="18"/>
          <w:color w:val="auto"/>
        </w:rPr>
        <w:t xml:space="preserve"> §240.13d-3(d)(1).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4" w:name="page5"/>
    <w:bookmarkEnd w:id="4"/>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The following certification shall be included if the statement is filed pursuant to §240.13d-1(b):</w:t>
      </w:r>
    </w:p>
    <w:p>
      <w:pPr>
        <w:spacing w:after="0" w:line="225" w:lineRule="exact"/>
        <w:rPr>
          <w:sz w:val="20"/>
          <w:szCs w:val="20"/>
          <w:color w:val="auto"/>
        </w:rPr>
      </w:pPr>
    </w:p>
    <w:p>
      <w:pPr>
        <w:ind w:left="116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The following certification shall be included if the statement is filed pursuant to §240.13d-1(c):</w:t>
      </w:r>
    </w:p>
    <w:p>
      <w:pPr>
        <w:spacing w:after="0" w:line="225" w:lineRule="exact"/>
        <w:rPr>
          <w:sz w:val="20"/>
          <w:szCs w:val="20"/>
          <w:color w:val="auto"/>
        </w:rPr>
      </w:pPr>
    </w:p>
    <w:p>
      <w:pPr>
        <w:ind w:left="1160" w:right="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8, 2020</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Michael Ricks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Michael Ricks,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9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2020-02-12T13:51:41Z</dcterms:created>
  <dcterms:modified xsi:type="dcterms:W3CDTF">2020-02-12T13:51:41Z</dcterms:modified>
</cp:coreProperties>
</file>