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color w:val="auto"/>
                <w:w w:val="87"/>
              </w:rPr>
              <w:t>Proxy Statement Pursuant to Section 14(a) of</w:t>
            </w:r>
          </w:p>
        </w:tc>
        <w:tc>
          <w:tcPr>
            <w:tcW w:w="3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7120" w:type="dxa"/>
            <w:vAlign w:val="bottom"/>
          </w:tcPr>
          <w:p>
            <w:pPr>
              <w:ind w:left="3040"/>
              <w:spacing w:after="0"/>
              <w:rPr>
                <w:sz w:val="20"/>
                <w:szCs w:val="20"/>
                <w:color w:val="auto"/>
              </w:rPr>
            </w:pPr>
            <w:r>
              <w:rPr>
                <w:rFonts w:ascii="Arial" w:cs="Arial" w:eastAsia="Arial" w:hAnsi="Arial"/>
                <w:sz w:val="18"/>
                <w:szCs w:val="18"/>
                <w:color w:val="auto"/>
                <w:w w:val="94"/>
              </w:rPr>
              <w:t>the Securities Exchange Act of 1934 (Amendment No.</w:t>
            </w:r>
          </w:p>
        </w:tc>
        <w:tc>
          <w:tcPr>
            <w:tcW w:w="38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452"/>
        </w:trPr>
        <w:tc>
          <w:tcPr>
            <w:tcW w:w="762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r>
      <w:tr>
        <w:trPr>
          <w:trHeight w:val="439"/>
        </w:trPr>
        <w:tc>
          <w:tcPr>
            <w:tcW w:w="7620" w:type="dxa"/>
            <w:vAlign w:val="bottom"/>
            <w:gridSpan w:val="2"/>
          </w:tcPr>
          <w:p>
            <w:pPr>
              <w:ind w:left="260"/>
              <w:spacing w:after="0"/>
              <w:rPr>
                <w:sz w:val="20"/>
                <w:szCs w:val="20"/>
                <w:color w:val="auto"/>
              </w:rPr>
            </w:pPr>
            <w:r>
              <w:rPr>
                <w:rFonts w:ascii="Arial" w:cs="Arial" w:eastAsia="Arial" w:hAnsi="Arial"/>
                <w:sz w:val="18"/>
                <w:szCs w:val="18"/>
                <w:color w:val="auto"/>
              </w:rPr>
              <w:t>Filed by a Party other than the Registrant o</w:t>
            </w:r>
          </w:p>
        </w:tc>
        <w:tc>
          <w:tcPr>
            <w:tcW w:w="3820" w:type="dxa"/>
            <w:vAlign w:val="bottom"/>
          </w:tcPr>
          <w:p>
            <w:pPr>
              <w:spacing w:after="0"/>
              <w:rPr>
                <w:sz w:val="24"/>
                <w:szCs w:val="24"/>
                <w:color w:val="auto"/>
              </w:rPr>
            </w:pPr>
          </w:p>
        </w:tc>
      </w:tr>
      <w:tr>
        <w:trPr>
          <w:trHeight w:val="459"/>
        </w:trPr>
        <w:tc>
          <w:tcPr>
            <w:tcW w:w="7620" w:type="dxa"/>
            <w:vAlign w:val="bottom"/>
            <w:gridSpan w:val="2"/>
          </w:tcPr>
          <w:p>
            <w:pPr>
              <w:ind w:left="260"/>
              <w:spacing w:after="0"/>
              <w:rPr>
                <w:sz w:val="20"/>
                <w:szCs w:val="20"/>
                <w:color w:val="auto"/>
              </w:rPr>
            </w:pPr>
            <w:r>
              <w:rPr>
                <w:rFonts w:ascii="Arial" w:cs="Arial" w:eastAsia="Arial" w:hAnsi="Arial"/>
                <w:sz w:val="18"/>
                <w:szCs w:val="18"/>
                <w:color w:val="auto"/>
              </w:rPr>
              <w:t>Check the appropriate box:</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Preliminary Proxy Statement</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tc>
        <w:tc>
          <w:tcPr>
            <w:tcW w:w="3820" w:type="dxa"/>
            <w:vAlign w:val="bottom"/>
          </w:tcPr>
          <w:p>
            <w:pPr>
              <w:spacing w:after="0"/>
              <w:rPr>
                <w:sz w:val="24"/>
                <w:szCs w:val="24"/>
                <w:color w:val="auto"/>
              </w:rPr>
            </w:pPr>
          </w:p>
        </w:tc>
      </w:tr>
      <w:tr>
        <w:trPr>
          <w:trHeight w:val="479"/>
        </w:trPr>
        <w:tc>
          <w:tcPr>
            <w:tcW w:w="5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Definitive Proxy Statement</w:t>
            </w:r>
          </w:p>
        </w:tc>
        <w:tc>
          <w:tcPr>
            <w:tcW w:w="3820" w:type="dxa"/>
            <w:vAlign w:val="bottom"/>
          </w:tcPr>
          <w:p>
            <w:pPr>
              <w:spacing w:after="0"/>
              <w:rPr>
                <w:sz w:val="24"/>
                <w:szCs w:val="24"/>
                <w:color w:val="auto"/>
              </w:rPr>
            </w:pPr>
          </w:p>
        </w:tc>
      </w:tr>
      <w:tr>
        <w:trPr>
          <w:trHeight w:val="43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Definitive Additional Materials</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Soliciting Material Pursuant to §240.14a-12</w:t>
            </w:r>
          </w:p>
        </w:tc>
        <w:tc>
          <w:tcPr>
            <w:tcW w:w="382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b w:val="1"/>
                <w:bCs w:val="1"/>
                <w:color w:val="auto"/>
                <w:w w:val="88"/>
              </w:rPr>
              <w:t>Micron Technology, Inc.</w:t>
            </w:r>
          </w:p>
        </w:tc>
        <w:tc>
          <w:tcPr>
            <w:tcW w:w="3820" w:type="dxa"/>
            <w:vAlign w:val="bottom"/>
          </w:tcPr>
          <w:p>
            <w:pPr>
              <w:spacing w:after="0"/>
              <w:rPr>
                <w:sz w:val="24"/>
                <w:szCs w:val="24"/>
                <w:color w:val="auto"/>
              </w:rPr>
            </w:pPr>
          </w:p>
        </w:tc>
      </w:tr>
      <w:tr>
        <w:trPr>
          <w:trHeight w:val="97"/>
        </w:trPr>
        <w:tc>
          <w:tcPr>
            <w:tcW w:w="500" w:type="dxa"/>
            <w:vAlign w:val="bottom"/>
            <w:tcBorders>
              <w:bottom w:val="single" w:sz="8" w:color="auto"/>
            </w:tcBorders>
          </w:tcPr>
          <w:p>
            <w:pPr>
              <w:spacing w:after="0"/>
              <w:rPr>
                <w:sz w:val="8"/>
                <w:szCs w:val="8"/>
                <w:color w:val="auto"/>
              </w:rPr>
            </w:pPr>
          </w:p>
        </w:tc>
        <w:tc>
          <w:tcPr>
            <w:tcW w:w="712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r>
      <w:tr>
        <w:trPr>
          <w:trHeight w:val="289"/>
        </w:trPr>
        <w:tc>
          <w:tcPr>
            <w:tcW w:w="500" w:type="dxa"/>
            <w:vAlign w:val="bottom"/>
          </w:tcPr>
          <w:p>
            <w:pPr>
              <w:spacing w:after="0"/>
              <w:rPr>
                <w:sz w:val="24"/>
                <w:szCs w:val="24"/>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color w:val="auto"/>
                <w:w w:val="89"/>
              </w:rPr>
              <w:t>(Name of Registrant as Specified In Its Charter)</w:t>
            </w:r>
          </w:p>
        </w:tc>
        <w:tc>
          <w:tcPr>
            <w:tcW w:w="3820" w:type="dxa"/>
            <w:vAlign w:val="bottom"/>
          </w:tcPr>
          <w:p>
            <w:pPr>
              <w:spacing w:after="0"/>
              <w:rPr>
                <w:sz w:val="24"/>
                <w:szCs w:val="24"/>
                <w:color w:val="auto"/>
              </w:rPr>
            </w:pPr>
          </w:p>
        </w:tc>
      </w:tr>
    </w:tbl>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4"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720" w:right="320" w:hanging="388"/>
        <w:spacing w:after="0" w:line="268"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2"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720" w:right="54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-3867785</wp:posOffset>
            </wp:positionV>
            <wp:extent cx="6800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-3567430</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-3129915</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-2830195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-2529840</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-1355090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-1054735</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-754380</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-454660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69" w:right="219" w:bottom="251" w:gutter="0" w:footer="0" w:header="0"/>
        </w:sectPr>
      </w:pPr>
    </w:p>
    <w:bookmarkStart w:id="1" w:name="page2"/>
    <w:bookmarkEnd w:id="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88900</wp:posOffset>
            </wp:positionV>
            <wp:extent cx="2778760"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8760"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Notice of 2008 Annual Meeting of Shareholders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11,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25"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NOTICE IS HEREBY GIVEN that the 2008 Annual Meeting of Shareholders of Micron Technology, Inc., a Delaware corporation (the "Company"), will be held on December 11, 2008, at 9:00 a.m., Mountain Standard Time, at the Company's headquarters located at 8000 South Federal Way, Boise, Idaho 83716-9632, for the following purposes: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2007 Equity Incentive Plan to increase the number of shares reserved for issuance thereunder by 10,000,000;</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of the Company for the fiscal year ending September 3, 2009;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Only shareholders of record at the close of business on October 15, 2008,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197" w:lineRule="exact"/>
        <w:rPr>
          <w:sz w:val="20"/>
          <w:szCs w:val="20"/>
          <w:color w:val="auto"/>
        </w:rPr>
      </w:pPr>
    </w:p>
    <w:p>
      <w:pPr>
        <w:jc w:val="both"/>
        <w:ind w:firstLine="452"/>
        <w:spacing w:after="0" w:line="298" w:lineRule="auto"/>
        <w:rPr>
          <w:sz w:val="20"/>
          <w:szCs w:val="20"/>
          <w:color w:val="auto"/>
        </w:rPr>
      </w:pPr>
      <w:r>
        <w:rPr>
          <w:rFonts w:ascii="Arial" w:cs="Arial" w:eastAsia="Arial" w:hAnsi="Arial"/>
          <w:sz w:val="16"/>
          <w:szCs w:val="16"/>
          <w:color w:val="auto"/>
        </w:rPr>
        <w:t>The Securities and Exchange Commission recently adopted rules that permit proxy materials to be furnished over the Internet rather than in paper form. Accordingly, we are sending many of our shareholders a notice regarding the availability of this proxy statement, our Annual Report on Form 10-K for fiscal 2008 and other proxy materials via the Internet. This electronic process gives you fast, convenient access to the materials, reduces the impact on the environment and reduces our printing and mailing costs. A paper copy of these materials can be requested using one of the methods described in the materials.</w:t>
      </w:r>
    </w:p>
    <w:p>
      <w:pPr>
        <w:spacing w:after="0" w:line="167" w:lineRule="exact"/>
        <w:rPr>
          <w:sz w:val="20"/>
          <w:szCs w:val="20"/>
          <w:color w:val="auto"/>
        </w:rPr>
      </w:pPr>
    </w:p>
    <w:p>
      <w:pPr>
        <w:jc w:val="both"/>
        <w:ind w:firstLine="396"/>
        <w:spacing w:after="0" w:line="332"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39"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Roderic W. Lewis</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General Counsel &amp;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28, 2008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88900</wp:posOffset>
            </wp:positionV>
            <wp:extent cx="2778760" cy="746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74612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11,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proxy is furnished in connection with the solicitation of proxies on behalf of the Board of Directors of Micron Technology, Inc. (the "Company"), for use at the 2008 Annual Meeting of Shareholders to be held on December 11, 2008, at 9:00 a.m., Mountain Standard Time, or at any adjournment or postponement thereof (the "Annual Meeting"). The purpose of the Annual Meeting is set forth herein and in the accompanying Notice of 2008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and related proxy card are first being distributed on or about October 28, 2008, to all shareholders entitled to vote at the meeting.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www.proxydocs.com/mu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Vote by telephone using the instructions on the proxy card or voting instruction card if you received a paper copy of the proxy materials;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Internet and telephone voting are available 24 hours a day, and if you use one of those methods, you do not need to return a proxy or voting instruction card.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Unless you are planning to vote at the meeting, your vote must be received by 11:59 p.m., Mountain Standard Time, on December 10,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October 15, 2008 (the "Record Date") are entitled to notice of and to vote at the meeting.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Revocability of Proxy</w:t>
      </w:r>
    </w:p>
    <w:p>
      <w:pPr>
        <w:spacing w:after="0" w:line="231" w:lineRule="exact"/>
        <w:rPr>
          <w:sz w:val="20"/>
          <w:szCs w:val="20"/>
          <w:color w:val="auto"/>
        </w:rPr>
      </w:pPr>
    </w:p>
    <w:p>
      <w:pPr>
        <w:jc w:val="both"/>
        <w:ind w:firstLine="341"/>
        <w:spacing w:after="0" w:line="332"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or Internet. The Company intends to use the services of Laurel Hill Advisory Group, LLC, a proxy solicitation firm, in connection with the solicitation of proxies. Although the exact cost of the solicitation services is not known at this time, it is anticipated that the fees and expenses paid by the Company for these services will be approximately $12,500.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31"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The Company has one class of stock outstanding, common stock, $.10 par value per share (the "Common Stock"). At October 15, 2008, the Record Date, 763,761,101 shares of Common Stock were issued and outstanding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31" w:lineRule="exact"/>
        <w:rPr>
          <w:sz w:val="20"/>
          <w:szCs w:val="20"/>
          <w:color w:val="auto"/>
        </w:rPr>
      </w:pPr>
    </w:p>
    <w:p>
      <w:pPr>
        <w:jc w:val="both"/>
        <w:ind w:firstLine="396"/>
        <w:spacing w:after="0" w:line="309" w:lineRule="auto"/>
        <w:rPr>
          <w:sz w:val="20"/>
          <w:szCs w:val="20"/>
          <w:color w:val="auto"/>
        </w:rPr>
      </w:pPr>
      <w:r>
        <w:rPr>
          <w:rFonts w:ascii="Arial" w:cs="Arial" w:eastAsia="Arial" w:hAnsi="Arial"/>
          <w:sz w:val="15"/>
          <w:szCs w:val="15"/>
          <w:color w:val="auto"/>
        </w:rPr>
        <w:t>Under the Delaware General Corporation Law and the Company's Restated Certificate of Incorporation and its Bylaws, each shareholder will be entitled to one vote for each share of the Company's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62" w:lineRule="exact"/>
        <w:rPr>
          <w:sz w:val="20"/>
          <w:szCs w:val="20"/>
          <w:color w:val="auto"/>
        </w:rPr>
      </w:pPr>
    </w:p>
    <w:p>
      <w:pPr>
        <w:jc w:val="both"/>
        <w:ind w:firstLine="503"/>
        <w:spacing w:after="0" w:line="256"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equity compensation plans unless the broker or nominee receives specific voting instructions from the beneficial owner of the shares. As a result, absent specific instructions, brokers or nominees may not vote a beneficial owner's shares on Item 2 and such shares will be considered "broker non-votes" for such proposal.</w:t>
      </w:r>
    </w:p>
    <w:p>
      <w:pPr>
        <w:spacing w:after="0" w:line="197" w:lineRule="exact"/>
        <w:rPr>
          <w:sz w:val="20"/>
          <w:szCs w:val="20"/>
          <w:color w:val="auto"/>
        </w:rPr>
      </w:pPr>
    </w:p>
    <w:p>
      <w:pPr>
        <w:jc w:val="both"/>
        <w:ind w:firstLine="436"/>
        <w:spacing w:after="0" w:line="33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each other item of business, the "FOR" vote of a majority of the Votes Cast is required in order for such matter to be considered approved by the shareholders.</w:t>
      </w:r>
    </w:p>
    <w:p>
      <w:pPr>
        <w:spacing w:after="0" w:line="139"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Cumulative voting for the election of directors shall not be required unless a shareholder has requested cumulative voting by written notice to the Secretary of the Company at least 15 days prior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94" w:lineRule="auto"/>
        <w:rPr>
          <w:sz w:val="20"/>
          <w:szCs w:val="20"/>
          <w:color w:val="auto"/>
        </w:rPr>
      </w:pPr>
      <w:r>
        <w:rPr>
          <w:rFonts w:ascii="Arial" w:cs="Arial" w:eastAsia="Arial" w:hAnsi="Arial"/>
          <w:sz w:val="16"/>
          <w:szCs w:val="16"/>
          <w:color w:val="auto"/>
        </w:rPr>
        <w:t>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the Company, the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Company's 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2007 Equity Incentive Plan to increase the number of shares reserved for issuance thereunder by 10,000,000,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the Independent Registered Public Accounting Firm of the Company for the fiscal year ending September 3, 2009, and (iv) in the discretion of the proxy holders for such business which may properly come before the Annual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ITEM 1—ELECTION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The Company's Bylaws currently authorize a Board of Directors comprised of seven members. A board of seven directors is to be elected at the Annual Meeting, all of whom have been recommended for nomination by a majority of the independent directors of the Board of Directors and all of whom are currently serving as directors of the Company. Unless otherwise instructed, the proxy holders will vote the proxies received by them for management's seven nominees named below, all of whom are presently directors of the Company.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2"/>
              </w:rPr>
              <w:t>Served as a</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Board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8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88"/>
              </w:rPr>
              <w:t>Committees*</w:t>
            </w: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Director</w:t>
            </w:r>
          </w:p>
        </w:tc>
        <w:tc>
          <w:tcPr>
            <w:tcW w:w="10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Nominee</w:t>
            </w:r>
          </w:p>
        </w:tc>
        <w:tc>
          <w:tcPr>
            <w:tcW w:w="5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Principal Occupation</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200" w:type="dxa"/>
            <w:vAlign w:val="bottom"/>
          </w:tcPr>
          <w:p>
            <w:pPr>
              <w:spacing w:after="0"/>
              <w:rPr>
                <w:sz w:val="14"/>
                <w:szCs w:val="14"/>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200" w:type="dxa"/>
            <w:vAlign w:val="bottom"/>
          </w:tcPr>
          <w:p>
            <w:pPr>
              <w:spacing w:after="0"/>
              <w:rPr>
                <w:sz w:val="14"/>
                <w:szCs w:val="14"/>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Vice Chairman of Sony Foundation for Education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Chairman and Chief Executive Officer of the Company</w:t>
            </w:r>
          </w:p>
        </w:tc>
        <w:tc>
          <w:tcPr>
            <w:tcW w:w="700" w:type="dxa"/>
            <w:vAlign w:val="bottom"/>
          </w:tcPr>
          <w:p>
            <w:pPr>
              <w:jc w:val="right"/>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Chairman of Lam Research Corporation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Robert L. Bailey</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Chairman of PMC-Sierra, Inc.</w:t>
            </w:r>
          </w:p>
        </w:tc>
        <w:tc>
          <w:tcPr>
            <w:tcW w:w="700" w:type="dxa"/>
            <w:vAlign w:val="bottom"/>
          </w:tcPr>
          <w:p>
            <w:pPr>
              <w:jc w:val="right"/>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3"/>
              </w:rPr>
              <w:t>Former Senior Vice President and Chief Financial Officer of Avago Technologies Limited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Former President and Chief Executive Officer of CSK Auto Corporation</w:t>
            </w:r>
          </w:p>
        </w:tc>
        <w:tc>
          <w:tcPr>
            <w:tcW w:w="700" w:type="dxa"/>
            <w:vAlign w:val="bottom"/>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Chairman, President and Chief Executive Officer of ADC Telecommunications, Inc.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 Audit Committee, C = Compensation Committee, G = Governance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i w:val="1"/>
          <w:iCs w:val="1"/>
          <w:color w:val="auto"/>
        </w:rPr>
        <w:t xml:space="preserve">Teruaki Aoki </w:t>
      </w:r>
      <w:r>
        <w:rPr>
          <w:rFonts w:ascii="Arial" w:cs="Arial" w:eastAsia="Arial" w:hAnsi="Arial"/>
          <w:sz w:val="16"/>
          <w:szCs w:val="16"/>
          <w:color w:val="auto"/>
        </w:rPr>
        <w:t>has served as Vice Chairman of Sony Foundation for Education since July 2008. Dr. Aoki has been associated with Sony since 1970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executive 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Governance Committee.</w:t>
      </w:r>
    </w:p>
    <w:p>
      <w:pPr>
        <w:spacing w:after="0" w:line="170"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i w:val="1"/>
          <w:iCs w:val="1"/>
          <w:color w:val="auto"/>
        </w:rPr>
        <w:t xml:space="preserve">Steven R. Appleton </w:t>
      </w:r>
      <w:r>
        <w:rPr>
          <w:rFonts w:ascii="Arial" w:cs="Arial" w:eastAsia="Arial" w:hAnsi="Arial"/>
          <w:sz w:val="18"/>
          <w:szCs w:val="18"/>
          <w:color w:val="auto"/>
        </w:rPr>
        <w:t>joined the Company in February 1983 and has served in various capacities with the Company and its subsidiaries. Mr. Appleton first</w:t>
      </w:r>
      <w:r>
        <w:rPr>
          <w:rFonts w:ascii="Arial" w:cs="Arial" w:eastAsia="Arial" w:hAnsi="Arial"/>
          <w:sz w:val="18"/>
          <w:szCs w:val="18"/>
          <w:i w:val="1"/>
          <w:iCs w:val="1"/>
          <w:color w:val="auto"/>
        </w:rPr>
        <w:t xml:space="preserve"> </w:t>
      </w:r>
      <w:r>
        <w:rPr>
          <w:rFonts w:ascii="Arial" w:cs="Arial" w:eastAsia="Arial" w:hAnsi="Arial"/>
          <w:sz w:val="18"/>
          <w:szCs w:val="18"/>
          <w:color w:val="auto"/>
        </w:rPr>
        <w:t>became an officer of the Company in August 1989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has served in various officer 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positions of Chief Executive Officer and Chairman of the Board. Mr. Appleton is a member of the Board of Directors of National Semiconductor Corporation. Mr. Appleton holds a BA in Business Management from Boise State University.</w:t>
      </w:r>
    </w:p>
    <w:p>
      <w:pPr>
        <w:spacing w:after="0" w:line="197" w:lineRule="exact"/>
        <w:rPr>
          <w:sz w:val="20"/>
          <w:szCs w:val="20"/>
          <w:color w:val="auto"/>
        </w:rPr>
      </w:pPr>
    </w:p>
    <w:p>
      <w:pPr>
        <w:jc w:val="both"/>
        <w:ind w:firstLine="554"/>
        <w:spacing w:after="0" w:line="256" w:lineRule="auto"/>
        <w:rPr>
          <w:sz w:val="20"/>
          <w:szCs w:val="20"/>
          <w:color w:val="auto"/>
        </w:rPr>
      </w:pPr>
      <w:r>
        <w:rPr>
          <w:rFonts w:ascii="Arial" w:cs="Arial" w:eastAsia="Arial" w:hAnsi="Arial"/>
          <w:sz w:val="18"/>
          <w:szCs w:val="18"/>
          <w:i w:val="1"/>
          <w:iCs w:val="1"/>
          <w:color w:val="auto"/>
        </w:rPr>
        <w:t xml:space="preserve">James W. Bagley </w:t>
      </w:r>
      <w:r>
        <w:rPr>
          <w:rFonts w:ascii="Arial" w:cs="Arial" w:eastAsia="Arial" w:hAnsi="Arial"/>
          <w:sz w:val="18"/>
          <w:szCs w:val="18"/>
          <w:color w:val="auto"/>
        </w:rPr>
        <w:t>became the Executive Chairman of Lam Research Corporation ("Lam"), a supplier of semiconductor manufacturing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2005. From August 1997 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pacing w:after="0" w:line="19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President and Chief Executive Officer of PMC-Sierra ("PMC") from July 1997 until May 2008. PMC is a leading provider of</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communication and storage semiconductor solutions for the next-generation Internet. Mr. Bailey has been a director of PMC since October 1996. He has been Chairman of PMC's Board of Directors since 2005 and also served as PMC's Chairman from February 2000 until February 2003. Mr. Bailey served as President, Chief Executive Officer and director of PMC-Sierra, Ltd., PMC's Canadian operating subsidiary since December 1993. Mr. Bailey was employed by AT&amp;T-Microelectronics (now a division of LSI Logic) from August 1989 to November 1993, where he served as Vice President and General Manager, and at Texas Instruments in various management positions from June 1979 to August 1989. Mr. Bailey holds a BS degree in Electrical Engineering from the University of Bridgeport and an MBA from the University of Dallas.</w:t>
      </w:r>
    </w:p>
    <w:p>
      <w:pPr>
        <w:spacing w:after="0" w:line="172" w:lineRule="exact"/>
        <w:rPr>
          <w:sz w:val="20"/>
          <w:szCs w:val="20"/>
          <w:color w:val="auto"/>
        </w:rPr>
      </w:pPr>
    </w:p>
    <w:p>
      <w:pPr>
        <w:jc w:val="both"/>
        <w:ind w:firstLine="662"/>
        <w:spacing w:after="0" w:line="294"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semiconductor company,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2005 to August 2008.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w:t>
      </w:r>
    </w:p>
    <w:p>
      <w:pPr>
        <w:spacing w:after="0" w:line="170"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was the President and Chief Executive Officer of CSK Auto Corporation ("CSK"), a specialty retailer of automotive aftermarket parts,</w:t>
      </w:r>
      <w:r>
        <w:rPr>
          <w:rFonts w:ascii="Arial" w:cs="Arial" w:eastAsia="Arial" w:hAnsi="Arial"/>
          <w:sz w:val="18"/>
          <w:szCs w:val="18"/>
          <w:i w:val="1"/>
          <w:iCs w:val="1"/>
          <w:color w:val="auto"/>
        </w:rPr>
        <w:t xml:space="preserve"> </w:t>
      </w:r>
      <w:r>
        <w:rPr>
          <w:rFonts w:ascii="Arial" w:cs="Arial" w:eastAsia="Arial" w:hAnsi="Arial"/>
          <w:sz w:val="18"/>
          <w:szCs w:val="18"/>
          <w:color w:val="auto"/>
        </w:rPr>
        <w:t>from June 2006 to July 2008. Prior to his appointment at CSK, Mr. Mondry served as the Chief Executive Officer of CompUSA Inc. from November 2003 to May 2006. Mr. Mondry joined CompUSA in 1990. Mr. Mondry currently serves on the Board of Directors of CSK. Mr. Mondry is the Chairman of the Board's Compensation Committee.</w:t>
      </w:r>
    </w:p>
    <w:p>
      <w:pPr>
        <w:spacing w:after="0" w:line="197"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6"/>
          <w:szCs w:val="16"/>
          <w:i w:val="1"/>
          <w:iCs w:val="1"/>
          <w:color w:val="auto"/>
        </w:rPr>
        <w:t xml:space="preserve">Robert E. Switz </w:t>
      </w:r>
      <w:r>
        <w:rPr>
          <w:rFonts w:ascii="Arial" w:cs="Arial" w:eastAsia="Arial" w:hAnsi="Arial"/>
          <w:sz w:val="16"/>
          <w:szCs w:val="16"/>
          <w:color w:val="auto"/>
        </w:rPr>
        <w:t>is currently Chairman, President and Chief Executive Officer of ADC Telecommunications, Inc. ("ADC"), a supplier of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products and services. Mr. Switz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Audit Committee.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The Board of Directors has adopted a Code of Business Conduct and Ethics that is applicable to all directors, officers and employees of the Company. A copy of the Micron Code of Business Conduct and Ethics is available on the Company's website at www.micron.com/code and is also available in print upon request. Any amendments or waivers of the Code of Business Conduct and Ethics will also be posted 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t>the Company's website within four business days of the amendment or waiver as required by applicable rules and regulations of the Securities and Exchange Commission ("SEC") and NYSE Listing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398"/>
        <w:spacing w:after="0" w:line="259" w:lineRule="auto"/>
        <w:rPr>
          <w:sz w:val="20"/>
          <w:szCs w:val="20"/>
          <w:color w:val="auto"/>
        </w:rPr>
      </w:pPr>
      <w:r>
        <w:rPr>
          <w:rFonts w:ascii="Arial" w:cs="Arial" w:eastAsia="Arial" w:hAnsi="Arial"/>
          <w:sz w:val="18"/>
          <w:szCs w:val="18"/>
          <w:color w:val="auto"/>
        </w:rPr>
        <w:t>Under current NYSE rules, a director only qualifies as "independent" if the Company's Board of Directors affirmatively determines that the director has no material relationship with the Company (either directly or as a partner, shareholder or officer of an organization that has a relationship with the Company). A director is not independent under Section 303A.02(b) of the NYSE List Company Manual if:</w:t>
      </w:r>
    </w:p>
    <w:p>
      <w:pPr>
        <w:spacing w:after="0" w:line="208" w:lineRule="exact"/>
        <w:rPr>
          <w:sz w:val="20"/>
          <w:szCs w:val="20"/>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the Company, or an immediate family member is, or has been within the last three years, an executive officer of the Company.</w:t>
      </w:r>
    </w:p>
    <w:p>
      <w:pPr>
        <w:spacing w:after="0" w:line="21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director has received, or has an immediate family member who has received, during any twelve-month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174"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The director or an immediate family member is a current partner of a firm that is the Company's internal or external auditor; (B) the director is a current employee of such a firm; (C) the director has an immediate family member who is a current employee of such a firm and who participates in the firm's audit, assurance or tax compliance (but not tax planning) practice; or (D) the director or an immediate family member was within the last three years (but is no longer) a partner or employee of such a firm and personally worked on the Company's audit within that time.</w:t>
      </w:r>
    </w:p>
    <w:p>
      <w:pPr>
        <w:spacing w:after="0" w:line="180"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director or an immediate family member is, or has been within the last three years, employed as an executive officer of another Company where any of the Company's present executive officers at the same time serves or served on that company's compensation committee.</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is a current employee, or an immediate family member is a current executive officer, of a company that has made payments to, or received payments from, the listed company for property or services in an amount which, in any of the last three fiscal years, exceeds the greater of $1 million, or 2% of such other company's consolidated gross revenues.</w:t>
      </w:r>
    </w:p>
    <w:p>
      <w:pPr>
        <w:spacing w:after="0" w:line="194"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8"/>
          <w:szCs w:val="18"/>
          <w:color w:val="auto"/>
        </w:rPr>
        <w:t>The guidelines provide that ownership of a significant amount of the Company's stock, by itself, does not constitute a material relationship with the Company. For relationships not covered by the guidelines set forth above, the determination of whether a material relationship exists is made by the other members of the Company's Board of Directors who are independent.</w:t>
      </w:r>
    </w:p>
    <w:p>
      <w:pPr>
        <w:spacing w:after="0" w:line="194"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of September 30, 2008, the Company's Board of Directors has determined that directors Aoki, Bailey, Johnson, Mondry and Switz are each "independent" within the meaning of Section 303A.02(b) of the NYSE Listed Company Manual. Each of these directors has no relationship with the Company, other than any relationship that is categorically not material under the guidelines shown above and other than as disclosed in this Proxy Statement under "Compensation of Directors" and "Certain Relationships and Related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31"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The Board of Directors of the Company held seven meetings during fiscal 2008. The Board of Directors met in Executive Session four times during fiscal 2008. In fiscal 2008, the Board of Directors had a standing Audit Committee, Governance Committee and Compensation Committee. During fiscal 2008, the Audit Committee met ten times, the Compensation Committee met four times and the Governance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jc w:val="both"/>
        <w:spacing w:after="0" w:line="298" w:lineRule="auto"/>
        <w:rPr>
          <w:sz w:val="20"/>
          <w:szCs w:val="20"/>
          <w:color w:val="auto"/>
        </w:rPr>
      </w:pPr>
      <w:r>
        <w:rPr>
          <w:rFonts w:ascii="Arial" w:cs="Arial" w:eastAsia="Arial" w:hAnsi="Arial"/>
          <w:sz w:val="16"/>
          <w:szCs w:val="16"/>
          <w:color w:val="auto"/>
        </w:rPr>
        <w:t>Committee met once. In addition to formal committee meetings, the chairmen of the committees engaged in regular discussions with management regarding various issues relevant to their respective committees. All incumbent directors attended 75% or more of the aggregate of (i) the total number of meetings of the Board of Directors and (ii) the total number of meetings of all committees of the Board on which they served, during fiscal 2008. Five directors attended the Company's Annual Meeting of Shareholders in 2007. The Company encourages director attendance at the Annual Meeting of Shareholders.</w:t>
      </w:r>
    </w:p>
    <w:p>
      <w:pPr>
        <w:spacing w:after="0" w:line="167"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The Audit Committee, the Governance Committee and the Compensation Committee each have written charters that comply with federal and NYSE rules relating to corporate governance matters. Copies of the committee charters as well as the Company's Corporate Governance Guidelines are available on the Company's website at www.micron.com and are also available in print upon request to corporatesecretary@micron.com. The Board has determined that all the members of the Audit Committee, the Governance Committee, and the Compensation Committee satisfy the independence requirements of applicable federal laws and the listing standards of the NYSE for such committees.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Ms. Johnson and Messrs. Bailey and Switz currently serve on the Audit Committee. Mr. Switz is the Chairman of the Audit Committee. On August 11, 2008, Ms. Johnson was appointed to the Audit Committee and Mr. Mondry resigned from the Audit Committee. The Board has determined that Ms. Johnson and Messrs. Bailey and Switz each qualifies as an "audit committee financial expert" for purposes of the rules and regulations of the SEC. The purpose of the Audit Committee is to assist the Board in overseeing and monitoring (i) the integrity of the Company's financial statements, (ii) 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the Audit Committee report that is included in the Company's annual Proxy Statement. See "Report of the Audit Committee of the Board of Directors." The complete duties and responsibilities of the Audit Committee are set forth in its written charter, which is available at www.micron.com and is also available in print upon request to corporatesecretary@micron.com. A copy of the Audit Committee charter was included as an appendix to the Company's 2006 Proxy Statement.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Dr. Aoki, Ms. Johnson, and Messrs. Bailey, Mondry and Switz currently serve on the Governance Committee. Dr. Aoki is the Chairman of the Governance Committee. The responsibilities of the Governance Committee include assisting the Board in discharging its duties with respect to (i) the identification and selection of nominees to the Company's Board of Directors and (ii) the development of Corporate Governance Guidelines for the Company. The complete duties and responsibilities of the Governance Committee are set forth in its written charter, which is available at www.micron.com and is also available in print upon request to corporatesecretary@micron.com.</w:t>
      </w:r>
    </w:p>
    <w:p>
      <w:pPr>
        <w:spacing w:after="0" w:line="197" w:lineRule="exact"/>
        <w:rPr>
          <w:sz w:val="20"/>
          <w:szCs w:val="20"/>
          <w:color w:val="auto"/>
        </w:rPr>
      </w:pPr>
    </w:p>
    <w:p>
      <w:pPr>
        <w:jc w:val="both"/>
        <w:ind w:firstLine="520"/>
        <w:spacing w:after="0" w:line="253" w:lineRule="auto"/>
        <w:rPr>
          <w:sz w:val="20"/>
          <w:szCs w:val="20"/>
          <w:color w:val="auto"/>
        </w:rPr>
      </w:pPr>
      <w:r>
        <w:rPr>
          <w:rFonts w:ascii="Arial" w:cs="Arial" w:eastAsia="Arial" w:hAnsi="Arial"/>
          <w:sz w:val="18"/>
          <w:szCs w:val="18"/>
          <w:color w:val="auto"/>
        </w:rPr>
        <w:t>The Governance Committee is responsible for identifying nominees for the Company's Board of Directors. There are no minimum qualifications that nominees must possess however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the Company and its operations; familiarity with accounting rules and practices; and "independence" as defined and required by NYSE Listing Application Standards and relevant rules and regulations of the SEC. The Board of Directors has determined that it would be advisable to add additional members to the Board. To that end, the Governance Committee works with a third party executive search firm to assist them in the identification and evaluation of potential candidates to the Company's Board of Directors. As a result of the Governance Committee's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8"/>
          <w:szCs w:val="18"/>
          <w:color w:val="auto"/>
        </w:rPr>
        <w:t>efforts and the executive search firm's efforts, Dr. Aoki and Mr. Switz were added to the Company's Board of Directors in 2006. It is currently anticipated that additional candidates will join the Company's Board of Directors in 2009.</w:t>
      </w:r>
    </w:p>
    <w:p>
      <w:pPr>
        <w:spacing w:after="0" w:line="186" w:lineRule="exact"/>
        <w:rPr>
          <w:sz w:val="20"/>
          <w:szCs w:val="20"/>
          <w:color w:val="auto"/>
        </w:rPr>
      </w:pPr>
    </w:p>
    <w:p>
      <w:pPr>
        <w:jc w:val="both"/>
        <w:ind w:firstLine="479"/>
        <w:spacing w:after="0" w:line="291" w:lineRule="auto"/>
        <w:rPr>
          <w:sz w:val="20"/>
          <w:szCs w:val="20"/>
          <w:color w:val="auto"/>
        </w:rPr>
      </w:pPr>
      <w:r>
        <w:rPr>
          <w:rFonts w:ascii="Arial" w:cs="Arial" w:eastAsia="Arial" w:hAnsi="Arial"/>
          <w:sz w:val="16"/>
          <w:szCs w:val="16"/>
          <w:color w:val="auto"/>
        </w:rPr>
        <w:t>The Governance Committee will consider director nominee recommendations from shareholders. Shareholder recommendations are subject to the same criteria used to evaluate other candidates. Shareholders wishing to recommend a prospective nominee should submit the candidate's name and qualifications to the Company's Corporate Secretary at corporatesecretary@micron.com. The Company's Bylaws contain the provisions that address the process by which a shareholder may actually nominate an individual to stand for election to the Company's Board of Directors. A copy of the Company's Bylaws can be found on the Corporate Governance page of its website at www.micron.com and is available in print upon request to corporatesecretary@micron.com. During fiscal 2008, the Company did not receive any director nominations from shareholders.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Mr. Mondry and Dr. Aoki currently serve on the Compensation Committee of the Board of Directors. Mr. Mondry is the Chairman of the Compensation Committee. The Compensation Committee is responsible for reviewing and approving the compensation of the Company's officers. See the "Compensation Discussion and Analysis" and the "Report of the Compensation Committee on Executive Compensation" for information how the Compensation Committee sets executive compensation levels. The complete duties of the Compensation Committee are set forth in its written charter, which is available at www.micron.com and is also available in print upon request to corporatesecretary@micron.com.</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jc w:val="both"/>
        <w:ind w:right="20" w:firstLine="427"/>
        <w:spacing w:after="0" w:line="268" w:lineRule="auto"/>
        <w:rPr>
          <w:sz w:val="20"/>
          <w:szCs w:val="20"/>
          <w:color w:val="auto"/>
        </w:rPr>
      </w:pPr>
      <w:r>
        <w:rPr>
          <w:rFonts w:ascii="Arial" w:cs="Arial" w:eastAsia="Arial" w:hAnsi="Arial"/>
          <w:sz w:val="18"/>
          <w:szCs w:val="18"/>
          <w:color w:val="auto"/>
        </w:rPr>
        <w:t>The Board of Directors meets regularly in executive sessions in which only non-employee directors are present. On September 30, 2008, Mr. Bagley was reappointed to preside at these executive sessions for fiscal 2009. He has served as presiding director since September 2002.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225" w:lineRule="exact"/>
        <w:rPr>
          <w:sz w:val="20"/>
          <w:szCs w:val="20"/>
          <w:color w:val="auto"/>
        </w:rPr>
      </w:pPr>
    </w:p>
    <w:p>
      <w:pPr>
        <w:jc w:val="both"/>
        <w:ind w:firstLine="1034"/>
        <w:spacing w:after="0" w:line="268" w:lineRule="auto"/>
        <w:rPr>
          <w:sz w:val="20"/>
          <w:szCs w:val="20"/>
          <w:color w:val="auto"/>
        </w:rPr>
      </w:pPr>
      <w:r>
        <w:rPr>
          <w:rFonts w:ascii="Arial" w:cs="Arial" w:eastAsia="Arial" w:hAnsi="Arial"/>
          <w:sz w:val="18"/>
          <w:szCs w:val="18"/>
          <w:color w:val="auto"/>
        </w:rPr>
        <w:t>Shareholders and interested parties wishing to communicate with the Company's Board of Directors may contact Mr. Bagley at presidingdirector@micron.com.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Governance Committee of the Board of Directors oversees the setting of compensation for the Company's non-employee members of its Board of Directors. At the end of fiscal 2007, the Governance Committee worked with Mercer, an outside compensation consultant, to review and evaluate director compensation for fiscal 2008 in light of prevailing market conditions. Mercer gathered compensation data from the Company's custom peer group of companies as well as from the National Association of Corporate Directors (NACD 2006-2007) Director Compensation Report. (For a discussion of the peer group of companies, please see Executive Compensation and Related Information—Compensation Discussion and Analysis.) In October 2007, upon completion of its review and evaluation, the Governance Committee concluded that changes to the Company's director compensation practices were not warranted.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i w:val="1"/>
          <w:iCs w:val="1"/>
          <w:color w:val="auto"/>
        </w:rPr>
        <w:t xml:space="preserve">Annual Retainer. </w:t>
      </w:r>
      <w:r>
        <w:rPr>
          <w:rFonts w:ascii="Arial" w:cs="Arial" w:eastAsia="Arial" w:hAnsi="Arial"/>
          <w:sz w:val="16"/>
          <w:szCs w:val="16"/>
          <w:color w:val="auto"/>
        </w:rPr>
        <w:t>Directors who are not employees of the Company are entitled to receive an annual retainer of $50,000. Pursuant to the Company's 1998</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Stock Incentive Plan ("DSIP"), non-employee directors may elect to take some or all of their annual retainer in the form of cash, shares of Common Stock or deferred rights to receive Common Stock upon termination as a director. During the period from October 1, 2007 to October 1, 2008, Ms. Johnson received 1,892 shares of Common Stock under the DSIP. During the same period, Mr. Bagley deferred the receipt of 9,162 shares of Common Stock under the DSIP. Directors who are employees of the Company receive no additional or special remuneration for their service as directors.</w:t>
      </w:r>
    </w:p>
    <w:p>
      <w:pPr>
        <w:spacing w:after="0" w:line="170"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Set forth below are the amounts received by directors for their service as committee chair or presiding director in fiscal 2008 and the amounts that are expected to be received in fiscal 2009:</w:t>
      </w:r>
    </w:p>
    <w:p>
      <w:pPr>
        <w:spacing w:after="0" w:line="236"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Governance Committee Chair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Presiding Director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12,500</w:t>
            </w:r>
          </w:p>
        </w:tc>
      </w:tr>
    </w:tbl>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Except for the foregoing, directors do not receive any additional or special remuneration for their service on any of the committees established by the Board of Directors.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also reimburses directors for travel and lodging expenses, if any, incurred in connection with attendance at Board of Directors' meetings.</w:t>
      </w:r>
    </w:p>
    <w:p>
      <w:pPr>
        <w:spacing w:after="0" w:line="248" w:lineRule="exact"/>
        <w:rPr>
          <w:sz w:val="20"/>
          <w:szCs w:val="20"/>
          <w:color w:val="auto"/>
        </w:rPr>
      </w:pPr>
    </w:p>
    <w:p>
      <w:pPr>
        <w:jc w:val="both"/>
        <w:ind w:firstLine="492"/>
        <w:spacing w:after="0" w:line="288" w:lineRule="auto"/>
        <w:rPr>
          <w:sz w:val="20"/>
          <w:szCs w:val="20"/>
          <w:color w:val="auto"/>
        </w:rPr>
      </w:pPr>
      <w:r>
        <w:rPr>
          <w:rFonts w:ascii="Arial" w:cs="Arial" w:eastAsia="Arial" w:hAnsi="Arial"/>
          <w:sz w:val="16"/>
          <w:szCs w:val="16"/>
          <w:i w:val="1"/>
          <w:iCs w:val="1"/>
          <w:color w:val="auto"/>
        </w:rPr>
        <w:t xml:space="preserve">Equity Award. </w:t>
      </w:r>
      <w:r>
        <w:rPr>
          <w:rFonts w:ascii="Arial" w:cs="Arial" w:eastAsia="Arial" w:hAnsi="Arial"/>
          <w:sz w:val="16"/>
          <w:szCs w:val="16"/>
          <w:color w:val="auto"/>
        </w:rPr>
        <w:t>A "targeted value" for annual non-employee director compensation is established each year. Following discussion of relevant data with</w:t>
      </w:r>
      <w:r>
        <w:rPr>
          <w:rFonts w:ascii="Arial" w:cs="Arial" w:eastAsia="Arial" w:hAnsi="Arial"/>
          <w:sz w:val="16"/>
          <w:szCs w:val="16"/>
          <w:i w:val="1"/>
          <w:iCs w:val="1"/>
          <w:color w:val="auto"/>
        </w:rPr>
        <w:t xml:space="preserve"> </w:t>
      </w:r>
      <w:r>
        <w:rPr>
          <w:rFonts w:ascii="Arial" w:cs="Arial" w:eastAsia="Arial" w:hAnsi="Arial"/>
          <w:sz w:val="16"/>
          <w:szCs w:val="16"/>
          <w:color w:val="auto"/>
        </w:rPr>
        <w:t>Mercer, the Board determined that such targeted value for fiscal 2008 should be $225,000. Based on this amount, the Board approved an award of 20,834 shares of restricted Common Stock to each of the directors, derived by dividing the targeted value of $225,000 by the Fair Market Value, as defined under the Company's equity plans, of the Company's Common Stock. For purposes of the Company's equity plans, "Fair Market Value" equals the average closing price of the Company's Common Stock on the last trading day prior to the date of grant. The restrictions on the shares awarded for fiscal 2008 lapsed for 50% of such shares on the first anniversary of the date of grant and will lapse for the remaining 50% on the second anniversary of the date of grant (the "Vesting Period"). Notwithstanding the foregoing, the restrictions as to the fiscal 2008 shares will lapse for 100% of such shares in the event a director either reaches the mandatory retirement age of 70 during the Vesting Period or retires from the Board during the Vesting Period having achieved a minimum of three years of service with the Board of Directors prior to the effective date of his or her retirement.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total compensation earned by the Company's non-employee directors in fiscal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5"/>
              </w:rPr>
              <w:t>Fees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Earned</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Paid in</w:t>
            </w:r>
          </w:p>
        </w:tc>
        <w:tc>
          <w:tcPr>
            <w:tcW w:w="20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2"/>
                <w:szCs w:val="12"/>
                <w:color w:val="auto"/>
              </w:rPr>
            </w:pPr>
          </w:p>
        </w:tc>
        <w:tc>
          <w:tcPr>
            <w:tcW w:w="100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gridSpan w:val="2"/>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Cash</w:t>
            </w:r>
          </w:p>
        </w:tc>
        <w:tc>
          <w:tcPr>
            <w:tcW w:w="20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Awards(1)</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Compensation(2)</w:t>
            </w:r>
          </w:p>
        </w:tc>
        <w:tc>
          <w:tcPr>
            <w:tcW w:w="20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Teruaki Aoki</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$ 58,333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$ 277,622</w:t>
            </w:r>
          </w:p>
        </w:tc>
        <w:tc>
          <w:tcPr>
            <w:tcW w:w="6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James W. Bagley</w:t>
            </w:r>
          </w:p>
        </w:tc>
        <w:tc>
          <w:tcPr>
            <w:tcW w:w="620" w:type="dxa"/>
            <w:vAlign w:val="bottom"/>
          </w:tcPr>
          <w:p>
            <w:pPr>
              <w:jc w:val="right"/>
              <w:spacing w:after="0"/>
              <w:rPr>
                <w:sz w:val="20"/>
                <w:szCs w:val="20"/>
                <w:color w:val="auto"/>
              </w:rPr>
            </w:pPr>
            <w:r>
              <w:rPr>
                <w:rFonts w:ascii="Arial" w:cs="Arial" w:eastAsia="Arial" w:hAnsi="Arial"/>
                <w:sz w:val="18"/>
                <w:szCs w:val="18"/>
                <w:color w:val="auto"/>
              </w:rPr>
              <w:t>50,022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229,048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279,070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84,563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Mercedes Johnson</w:t>
            </w:r>
          </w:p>
        </w:tc>
        <w:tc>
          <w:tcPr>
            <w:tcW w:w="620" w:type="dxa"/>
            <w:vAlign w:val="bottom"/>
          </w:tcPr>
          <w:p>
            <w:pPr>
              <w:jc w:val="right"/>
              <w:spacing w:after="0"/>
              <w:rPr>
                <w:sz w:val="20"/>
                <w:szCs w:val="20"/>
                <w:color w:val="auto"/>
              </w:rPr>
            </w:pPr>
            <w:r>
              <w:rPr>
                <w:rFonts w:ascii="Arial" w:cs="Arial" w:eastAsia="Arial" w:hAnsi="Arial"/>
                <w:sz w:val="18"/>
                <w:szCs w:val="18"/>
                <w:color w:val="auto"/>
              </w:rPr>
              <w:t>52,374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335,398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317,507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Robert E. Switz</w:t>
            </w:r>
          </w:p>
        </w:tc>
        <w:tc>
          <w:tcPr>
            <w:tcW w:w="620" w:type="dxa"/>
            <w:vAlign w:val="bottom"/>
          </w:tcPr>
          <w:p>
            <w:pPr>
              <w:jc w:val="right"/>
              <w:spacing w:after="0"/>
              <w:rPr>
                <w:sz w:val="20"/>
                <w:szCs w:val="20"/>
                <w:color w:val="auto"/>
              </w:rPr>
            </w:pPr>
            <w:r>
              <w:rPr>
                <w:rFonts w:ascii="Arial" w:cs="Arial" w:eastAsia="Arial" w:hAnsi="Arial"/>
                <w:sz w:val="18"/>
                <w:szCs w:val="18"/>
                <w:color w:val="auto"/>
              </w:rPr>
              <w:t>64,167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277,622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341,789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540" w:hanging="532"/>
        <w:spacing w:after="0" w:line="287"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October 8, 2007, each director who was not an employee of the Company was granted 20,834 shares of restricted stock with a grant date fair value of $225,000 ($10.80 per share). Amount shown is the expense recognized in the Company's financial statements for fiscal 2008 under Statement of Financial Accounting Standards ("SFAS") No. 123(R), "Share-Based Payments," related to each director's outstanding restricted stock. Assumptions used in determining the fair values of these option awards is set forth in the "Equity Plans" notes to the Company's financial statements included in its annual reports on Form 10-K for fiscal 2008, 2007 and 2006, which are incorporated herein by reference. The expense shown for these stock awards is based solely on the stock price as of the date of grant, disregarding any assumptions as to estimated forfeitures based on continued service. For information on the restrictions associated with these awards, see "Elements of Director Compensation—Equity Awards" above. Specific amounts expensed for each director vary as a result of the director's holdings, length of service and age. Any dividends payable with respect to the Company's Common Stock will be payable with respect to all awards of restricted stock. The total number of restricted shares and options held as of August 28, 2008 for each non-employee director was as follows:</w:t>
      </w:r>
    </w:p>
    <w:p>
      <w:pPr>
        <w:spacing w:after="0" w:line="200" w:lineRule="exact"/>
        <w:rPr>
          <w:sz w:val="20"/>
          <w:szCs w:val="20"/>
          <w:color w:val="auto"/>
        </w:rPr>
      </w:pPr>
    </w:p>
    <w:p>
      <w:pPr>
        <w:spacing w:after="0" w:line="203" w:lineRule="exact"/>
        <w:rPr>
          <w:sz w:val="20"/>
          <w:szCs w:val="20"/>
          <w:color w:val="auto"/>
        </w:rPr>
      </w:pPr>
    </w:p>
    <w:tbl>
      <w:tblPr>
        <w:tblLayout w:type="fixed"/>
        <w:tblInd w:w="32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27,126</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line="20" w:lineRule="exact"/>
              <w:rPr>
                <w:sz w:val="1"/>
                <w:szCs w:val="1"/>
                <w:color w:val="auto"/>
              </w:rPr>
            </w:pPr>
          </w:p>
        </w:tc>
      </w:tr>
      <w:tr>
        <w:trPr>
          <w:trHeight w:val="190"/>
        </w:trPr>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Teruaki Aoki</w:t>
            </w:r>
          </w:p>
        </w:tc>
        <w:tc>
          <w:tcPr>
            <w:tcW w:w="9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27,126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27,126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Robert E. Switz</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27,126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133350</wp:posOffset>
            </wp:positionV>
            <wp:extent cx="1637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160" w:hanging="531"/>
        <w:spacing w:after="0" w:line="268" w:lineRule="auto"/>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options are fully vested and exercisable. Prior to fiscal 2006 directors' annual equity awards were comprised exclusively of stock options.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amount incurred to cover tax services provided by Deloitte Touche Tohmatsu Japan.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ITEM 2—APPROVAL OF AN AMENDMENT TO THE 2007 EQUITY INCENTIVE PLAN</w:t>
      </w:r>
    </w:p>
    <w:p>
      <w:pPr>
        <w:spacing w:after="0" w:line="231"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The 2007 Equity Incentive Plan was adopted by the Board of Directors on October 9, 2007. On September 30, 2008, the Board approved an amendment to the plan to increase the number of shares reserved for issuance thereunder from 30,000,000 to 40,000,000 shares, subject to shareholder approval. As of October 15, 2008, there were approximately 18,200 employees and six non-employee directors eligible to participate in the 2007 Equity Incentive Plan. Officers are not eligible to participate in the 2007 Equity Incentive Plan. On October 27, 2008, the closing price of the Company's Common Stock was $3.39.</w:t>
      </w:r>
    </w:p>
    <w:p>
      <w:pPr>
        <w:spacing w:after="0" w:line="167"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this Proxy Statement as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The purpose of the plan is to promote the Company's success by linking the personal interests of its employees, non-employee directors and consultants to those of the Company's shareholders, and by providing participants with an incentive for outstanding performance. Officers of the Company are not eligible to participate in the plan.</w:t>
      </w:r>
    </w:p>
    <w:p>
      <w:pPr>
        <w:spacing w:after="0" w:line="194" w:lineRule="exact"/>
        <w:rPr>
          <w:sz w:val="20"/>
          <w:szCs w:val="20"/>
          <w:color w:val="auto"/>
        </w:rPr>
      </w:pPr>
    </w:p>
    <w:p>
      <w:pPr>
        <w:ind w:left="400"/>
        <w:spacing w:after="0"/>
        <w:tabs>
          <w:tab w:leader="none" w:pos="2000" w:val="left"/>
        </w:tabs>
        <w:rPr>
          <w:sz w:val="20"/>
          <w:szCs w:val="20"/>
          <w:color w:val="auto"/>
        </w:rPr>
      </w:pPr>
      <w:r>
        <w:rPr>
          <w:rFonts w:ascii="Arial" w:cs="Arial" w:eastAsia="Arial" w:hAnsi="Arial"/>
          <w:sz w:val="18"/>
          <w:szCs w:val="18"/>
          <w:i w:val="1"/>
          <w:iCs w:val="1"/>
          <w:color w:val="auto"/>
        </w:rPr>
        <w:t>Permissible Awards.</w:t>
      </w:r>
      <w:r>
        <w:rPr>
          <w:sz w:val="20"/>
          <w:szCs w:val="20"/>
          <w:color w:val="auto"/>
        </w:rPr>
        <w:tab/>
      </w:r>
      <w:r>
        <w:rPr>
          <w:rFonts w:ascii="Arial" w:cs="Arial" w:eastAsia="Arial" w:hAnsi="Arial"/>
          <w:sz w:val="16"/>
          <w:szCs w:val="16"/>
          <w:color w:val="auto"/>
        </w:rPr>
        <w:t>The plan authorizes the grant of awards in any of the following forms: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Options to purchase shares of Common Stock, which may be nonstatutory stock options or incentive stock options under the U.S. Internal Revenue Code of 1986, as amended (the "Code"). The exercise price of an option granted under the plan may not be less than the fair market value of the Company's Common Stock on the date of grant. Options granted under the plan will have a term of six years.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excess, if any, of the fair market value of one share of Common Stock on the date of exercise, over the base price of the stock appreciation right.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shares, which are units valued by reference to a designated number of shares of Common Stock to be paid upon the attainment of performance goals set by the Compensation Committee of the Board of Directors (the "Committee").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 equivalent rights, which entitle the participant to payments in cash or property calculated by reference to the amount of dividends paid on the shares of stock underlying an award.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right or interest relating to Stock or cash.</w:t>
      </w:r>
    </w:p>
    <w:p>
      <w:pPr>
        <w:spacing w:after="0" w:line="225" w:lineRule="exact"/>
        <w:rPr>
          <w:sz w:val="20"/>
          <w:szCs w:val="20"/>
          <w:color w:val="auto"/>
        </w:rPr>
      </w:pPr>
    </w:p>
    <w:p>
      <w:pPr>
        <w:ind w:firstLine="516"/>
        <w:spacing w:after="0" w:line="268" w:lineRule="auto"/>
        <w:rPr>
          <w:sz w:val="20"/>
          <w:szCs w:val="20"/>
          <w:color w:val="auto"/>
        </w:rPr>
      </w:pPr>
      <w:r>
        <w:rPr>
          <w:rFonts w:ascii="Arial" w:cs="Arial" w:eastAsia="Arial" w:hAnsi="Arial"/>
          <w:sz w:val="18"/>
          <w:szCs w:val="18"/>
          <w:color w:val="auto"/>
        </w:rPr>
        <w:t>All awards will be evidenced by a written award certificate between the Company and the participant, which will include such provisions as may be specified by the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Shares Available for Awards</w:t>
      </w:r>
    </w:p>
    <w:p>
      <w:pPr>
        <w:spacing w:after="0" w:line="23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Subject to adjustment as provided in the plan, the aggregate number of shares of Common Stock reserved and available for issuance pursuant to awards granted under the plan is 40,000,000. The maximum number of shares that may be issued to one person upon exercise of incentive stock options granted under the plan is 2,000,000. </w:t>
      </w:r>
      <w:r>
        <w:rPr>
          <w:rFonts w:ascii="Arial" w:cs="Arial" w:eastAsia="Arial" w:hAnsi="Arial"/>
          <w:sz w:val="16"/>
          <w:szCs w:val="16"/>
          <w:i w:val="1"/>
          <w:iCs w:val="1"/>
          <w:color w:val="auto"/>
        </w:rPr>
        <w:t>Each share issued pursuant to "full value" awards, such as restricted stock, unrestricted stock, restricted stock units, deferred stock units,</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shares, or other stock-based awards payable in stock, reduces the number of shares available for grant by two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31" w:lineRule="exact"/>
        <w:rPr>
          <w:sz w:val="20"/>
          <w:szCs w:val="20"/>
          <w:color w:val="auto"/>
        </w:rPr>
      </w:pPr>
    </w:p>
    <w:p>
      <w:pPr>
        <w:jc w:val="both"/>
        <w:ind w:firstLine="404"/>
        <w:spacing w:after="0" w:line="256"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plan to any one person during any one calendar year is 2,000,000. The maximum number of shares of Common Stock that may be granted under the plan in the form of restricted stock, restricted stock units, deferred stock units, performance shares or other stock-based awards under the plan to any one person during any one calendar year is 2,000,000.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plan will be administered by the Committee. The Committee will have the authority to designate participants; determine the type or types of awards to be granted to each participant and the number, terms and conditions thereof; establish, adopt or revise any rules and regulations as it may deem advisable to administer the plan; and make all other decisions and determinations that may be required under the plan. The Board of Directors may at any time administer the plan. If it does so, it will have all the powers of the Committee under the plan.</w:t>
      </w:r>
    </w:p>
    <w:p>
      <w:pPr>
        <w:spacing w:after="0" w:line="197" w:lineRule="exact"/>
        <w:rPr>
          <w:sz w:val="20"/>
          <w:szCs w:val="20"/>
          <w:color w:val="auto"/>
        </w:rPr>
      </w:pPr>
    </w:p>
    <w:p>
      <w:pPr>
        <w:jc w:val="both"/>
        <w:ind w:firstLine="428"/>
        <w:spacing w:after="0" w:line="256" w:lineRule="auto"/>
        <w:rPr>
          <w:sz w:val="20"/>
          <w:szCs w:val="20"/>
          <w:color w:val="auto"/>
        </w:rPr>
      </w:pPr>
      <w:r>
        <w:rPr>
          <w:rFonts w:ascii="Arial" w:cs="Arial" w:eastAsia="Arial" w:hAnsi="Arial"/>
          <w:sz w:val="18"/>
          <w:szCs w:val="18"/>
          <w:color w:val="auto"/>
        </w:rPr>
        <w:t>In September 2008, the Board of Directors created a director compensation sub-plan of the 2007 Equity Incentive Plan for awards to the Company's non-employee directors. Awards granted to the Company's non-employee directors will be made only in accordance with the parameters of the Company's director compensation plan, or any successor program for the compensation of non-employee directors as in effect from time to time. The Committee may not make discretionary grants under the director compensation plan to non-employee directors.</w:t>
      </w:r>
    </w:p>
    <w:p>
      <w:pPr>
        <w:spacing w:after="0" w:line="197"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31"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The 2007 Equity Incentive Plan is designed to comply with Code Section 162(m) so that grants of market-priced options and stock appreciation rights under the plan, and other awards that are conditioned on performance goals as described below, will be excluded from the calculation of annual compensation for purposes of Code Section 162(m) and will be fully deductible. While the Committee believes it is important to preserve the deductibility of compensation under Code Section 162(m) generally, the Board and the Committee reserve the right to grant or approve awards or compensation that is non-deductible.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expenses, including research and development and selling, general and administrative expenses;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86"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the Company, waive the achievement of any specified goal.</w:t>
      </w:r>
    </w:p>
    <w:p>
      <w:pPr>
        <w:spacing w:after="0" w:line="161" w:lineRule="exact"/>
        <w:rPr>
          <w:sz w:val="20"/>
          <w:szCs w:val="20"/>
          <w:color w:val="auto"/>
        </w:rPr>
      </w:pPr>
    </w:p>
    <w:p>
      <w:pPr>
        <w:jc w:val="both"/>
        <w:ind w:firstLine="536"/>
        <w:spacing w:after="0" w:line="289" w:lineRule="auto"/>
        <w:rPr>
          <w:sz w:val="20"/>
          <w:szCs w:val="20"/>
          <w:color w:val="auto"/>
        </w:rPr>
      </w:pPr>
      <w:r>
        <w:rPr>
          <w:rFonts w:ascii="Arial" w:cs="Arial" w:eastAsia="Arial" w:hAnsi="Arial"/>
          <w:sz w:val="16"/>
          <w:szCs w:val="16"/>
          <w:color w:val="auto"/>
        </w:rPr>
        <w:t>The Committee may determine that any evaluation of performance will include, exclude or otherwise equitably adjust for unusual and non-recurring financial events such as asset write-downs or impairment charges; litigation or claim judgments or settlements; the effect of changes in tax laws or accounting 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However, in order to meet the requirements of Section 162(m), in the event the Committee determines to include or exclude such unusual and nonrecurring events when measuring actual results,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31" w:lineRule="exact"/>
        <w:rPr>
          <w:sz w:val="20"/>
          <w:szCs w:val="20"/>
          <w:color w:val="auto"/>
        </w:rPr>
      </w:pPr>
    </w:p>
    <w:p>
      <w:pPr>
        <w:jc w:val="both"/>
        <w:ind w:firstLine="402"/>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manner determined by the Committee, designate a beneficiary to exercise the rights of the participant and to receive any distribution with respect to any award upon the participant's death.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31"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Unless otherwise provided in an award certificate or other governing document, upon the occurrence of a "change in control" of the Company (as defined in the 2007 Equity Incentive Plan), all outstanding options, stock appreciation rights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70"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 In addition, the Committee may in its discretion accelerate awards for any other reason; provided, however, that the Committee shall not exercise such discretion with respect to restricted stock or restricted stock units that in the aggregate exceed 5% of the shares available for issuance under the plan (excluding from this calculation restricted shares or restricted stock units granted to non-employee directors or accelerations of vesting upon a change in control or other corporate transaction or restructuring, or a participant's termination of employment or separation from service resulting from death or disability or for the convenience or in the bests interests of the Company). The Committee may discriminate among participants or among awards in exercising such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31" w:lineRule="exact"/>
        <w:rPr>
          <w:sz w:val="20"/>
          <w:szCs w:val="20"/>
          <w:color w:val="auto"/>
        </w:rPr>
      </w:pPr>
    </w:p>
    <w:p>
      <w:pPr>
        <w:jc w:val="both"/>
        <w:ind w:firstLine="354"/>
        <w:spacing w:after="0" w:line="254" w:lineRule="auto"/>
        <w:rPr>
          <w:sz w:val="20"/>
          <w:szCs w:val="20"/>
          <w:color w:val="auto"/>
        </w:rPr>
      </w:pPr>
      <w:r>
        <w:rPr>
          <w:rFonts w:ascii="Arial" w:cs="Arial" w:eastAsia="Arial" w:hAnsi="Arial"/>
          <w:sz w:val="18"/>
          <w:szCs w:val="18"/>
          <w:color w:val="auto"/>
        </w:rPr>
        <w:t>In the event of a stock split, a dividend payable in shares of Common Stock, a spin-off, an extraordinary cash dividend, a combination or consolidation of the Common Stock into a lesser number of shares, or another equity restructuring that causes the per-share value of the Common Stock to change, the share authorization limits under the plan will automatically be adjusted proportionately, and the shares then subject to each award will automatically be adjusted proportionately without any change in the aggregate purchase price for such award. If the Company is involved in another corporate transaction or event that affects the Common Stock, such as a recapitalization, reorganization, merger or consolidation, the Committee may adjust outstanding awards to preserve the benefits or potential benefits of the awards.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31" w:lineRule="exact"/>
        <w:rPr>
          <w:sz w:val="20"/>
          <w:szCs w:val="20"/>
          <w:color w:val="auto"/>
        </w:rPr>
      </w:pPr>
    </w:p>
    <w:p>
      <w:pPr>
        <w:jc w:val="both"/>
        <w:ind w:firstLine="383"/>
        <w:spacing w:after="0" w:line="291" w:lineRule="auto"/>
        <w:rPr>
          <w:sz w:val="20"/>
          <w:szCs w:val="20"/>
          <w:color w:val="auto"/>
        </w:rPr>
      </w:pPr>
      <w:r>
        <w:rPr>
          <w:rFonts w:ascii="Arial" w:cs="Arial" w:eastAsia="Arial" w:hAnsi="Arial"/>
          <w:sz w:val="16"/>
          <w:szCs w:val="16"/>
          <w:color w:val="auto"/>
        </w:rPr>
        <w:t>The 2007 Equity Incentive Plan was approved by the Company's Board of Directors in October 2007 and is being submitted to the Company's shareholders at the 2008 Annual Meeting. The 2007 Equity Incentive Plan has a term of ten years, unless earlier terminated by the Board or the Committee. The Board or the Committee may, at any time and from time to time, terminate or amend the plan, but if an amendment to the plan would materially increase the number of shares of stock issuable under the plan, expand the types of awards provided under the plan, materially expand the class of participants eligible to participate in the plan, materially extend the term of the plan or otherwise constitute a material amendment requiring shareholder approval under applicable listing requirements, laws, policies or regulations, then such amendment will be subject to shareholder approval. No termination or amendment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of the plan may adversely affect any award previously granted under the plan without the written consent of the participant.</w:t>
      </w:r>
    </w:p>
    <w:p>
      <w:pPr>
        <w:spacing w:after="0" w:line="225"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and, unless approved by the shareholders or otherwise permitted by the anti-dilution provisions of the plan, the exercise price of an outstanding option may not be reduced, directly or indirectly, and the original term of an option may not be extended.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31" w:lineRule="exact"/>
        <w:rPr>
          <w:sz w:val="20"/>
          <w:szCs w:val="20"/>
          <w:color w:val="auto"/>
        </w:rPr>
      </w:pPr>
    </w:p>
    <w:p>
      <w:pPr>
        <w:jc w:val="both"/>
        <w:ind w:right="20" w:firstLine="415"/>
        <w:spacing w:after="0" w:line="335" w:lineRule="auto"/>
        <w:rPr>
          <w:sz w:val="20"/>
          <w:szCs w:val="20"/>
          <w:color w:val="auto"/>
        </w:rPr>
      </w:pPr>
      <w:r>
        <w:rPr>
          <w:rFonts w:ascii="Arial" w:cs="Arial" w:eastAsia="Arial" w:hAnsi="Arial"/>
          <w:sz w:val="15"/>
          <w:szCs w:val="15"/>
          <w:color w:val="auto"/>
        </w:rPr>
        <w:t>As indicated above under "Termination and Amendment," outstanding stock options and SARs cannot be repriced, directly or indirectly, without the prior consent of the Company's shareholders. The exchange of an "underwater" option (i.e., an option having an exercise price in excess of the current market value of the underling stock) for another award would be considered an indirect repricing and would, therefore, require the prior consent of the Company's shareholders.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31"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plan and the subsequent sale of Common Stock acquired under the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0"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197"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There typically will be no federal income tax consequences to the optionee or to the Company upon the grant or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If the optionee holds the option shares for the required holding period of at least two years after the date the option was granted and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72" w:lineRule="exact"/>
        <w:rPr>
          <w:sz w:val="20"/>
          <w:szCs w:val="20"/>
          <w:color w:val="auto"/>
        </w:rPr>
      </w:pPr>
    </w:p>
    <w:p>
      <w:pPr>
        <w:jc w:val="both"/>
        <w:ind w:firstLine="539"/>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jc w:val="both"/>
        <w:ind w:firstLine="395"/>
        <w:spacing w:after="0" w:line="288"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the income to the date of grant as described below,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74"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recognize income, and the Company will not be allowed a tax deduction, at the time a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issuance of shares of Common Stock in settlement of a restricted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jc w:val="both"/>
        <w:ind w:firstLine="483"/>
        <w:spacing w:after="0" w:line="298" w:lineRule="auto"/>
        <w:rPr>
          <w:sz w:val="20"/>
          <w:szCs w:val="20"/>
          <w:color w:val="auto"/>
        </w:rPr>
      </w:pPr>
      <w:r>
        <w:rPr>
          <w:rFonts w:ascii="Arial" w:cs="Arial" w:eastAsia="Arial" w:hAnsi="Arial"/>
          <w:sz w:val="16"/>
          <w:szCs w:val="16"/>
          <w:i w:val="1"/>
          <w:iCs w:val="1"/>
          <w:color w:val="auto"/>
        </w:rPr>
        <w:t xml:space="preserve">Deferred Stock Units. </w:t>
      </w:r>
      <w:r>
        <w:rPr>
          <w:rFonts w:ascii="Arial" w:cs="Arial" w:eastAsia="Arial" w:hAnsi="Arial"/>
          <w:sz w:val="16"/>
          <w:szCs w:val="16"/>
          <w:color w:val="auto"/>
        </w:rPr>
        <w:t>A participant will not recognize income, and the Company will not be allowed a tax deduction, at the time a deferred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issuance of shares of Common Stock in settlement of a deferred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jc w:val="both"/>
        <w:ind w:firstLine="468"/>
        <w:spacing w:after="0" w:line="256"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97"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6"/>
          <w:szCs w:val="16"/>
          <w:i w:val="1"/>
          <w:iCs w:val="1"/>
          <w:color w:val="auto"/>
        </w:rPr>
        <w:t xml:space="preserve">Code Section 409A. </w:t>
      </w:r>
      <w:r>
        <w:rPr>
          <w:rFonts w:ascii="Arial" w:cs="Arial" w:eastAsia="Arial" w:hAnsi="Arial"/>
          <w:sz w:val="16"/>
          <w:szCs w:val="16"/>
          <w:color w:val="auto"/>
        </w:rPr>
        <w:t>The plan permits the grant of various types of incentive awards, which may or may not be exempt from Code Section 409A. If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subject to Section 409A, and if the requirements of Section 409A are not met, the taxable events as described above could apply earlier than described, and could result in the imposition of additional taxes and penalties. Restricted stock awards, and stock options and stock appreciation rights that comply with the terms of the plan are designed to be exempt from the application of Code Section 409A. Restricted stock units, deferred stock units and performance shares granted under the plan would be subject to Section 409A unless they are designed to satisfy the short-term deferral exemption from such law. If not exempt, such awards must be specially designed to meet the requirements of Section 409A in order to avoid early taxation and penalties.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31"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Officers of the Company are not eligible to participate in the 2007 Equity Incentive Plan and therefore have not and will not receive any benefits under the plan. The following table sets forth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8"/>
          <w:szCs w:val="18"/>
          <w:color w:val="auto"/>
        </w:rPr>
        <w:t>number of stock options and shares of restricted stock units that, as of October 15, 2008, have previously been granted under the 2007 Equity Incentive Plan to the specified individuals and groups.</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Restricted Stock</w:t>
            </w:r>
          </w:p>
        </w:tc>
      </w:tr>
      <w:tr>
        <w:trPr>
          <w:trHeight w:val="161"/>
        </w:trPr>
        <w:tc>
          <w:tcPr>
            <w:tcW w:w="116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Name</w:t>
            </w:r>
          </w:p>
        </w:tc>
        <w:tc>
          <w:tcPr>
            <w:tcW w:w="4360" w:type="dxa"/>
            <w:vAlign w:val="bottom"/>
            <w:gridSpan w:val="2"/>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Stock Options</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Named Executive Officers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160" w:type="dxa"/>
            <w:vAlign w:val="bottom"/>
          </w:tcPr>
          <w:p>
            <w:pPr>
              <w:spacing w:after="0"/>
              <w:rPr>
                <w:sz w:val="18"/>
                <w:szCs w:val="18"/>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All Current Executive Officers as a Group</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160" w:type="dxa"/>
            <w:vAlign w:val="bottom"/>
          </w:tcPr>
          <w:p>
            <w:pPr>
              <w:spacing w:after="0"/>
              <w:rPr>
                <w:sz w:val="18"/>
                <w:szCs w:val="18"/>
                <w:color w:val="auto"/>
              </w:rPr>
            </w:pPr>
          </w:p>
        </w:tc>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Current Non-Executive Directors as a Group</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160" w:type="dxa"/>
            <w:vAlign w:val="bottom"/>
          </w:tcPr>
          <w:p>
            <w:pPr>
              <w:spacing w:after="0"/>
              <w:rPr>
                <w:sz w:val="18"/>
                <w:szCs w:val="18"/>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w w:val="95"/>
              </w:rPr>
              <w:t>Each Associate of any such Directors or Executive Officers(1)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160" w:type="dxa"/>
            <w:vAlign w:val="bottom"/>
          </w:tcPr>
          <w:p>
            <w:pPr>
              <w:spacing w:after="0"/>
              <w:rPr>
                <w:sz w:val="18"/>
                <w:szCs w:val="18"/>
                <w:color w:val="auto"/>
              </w:rPr>
            </w:pPr>
          </w:p>
        </w:tc>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Employees as a Group</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6,112,539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2,858,450</w:t>
            </w:r>
          </w:p>
        </w:tc>
      </w:tr>
      <w:tr>
        <w:trPr>
          <w:trHeight w:val="216"/>
        </w:trPr>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21" w:lineRule="exact"/>
        <w:rPr>
          <w:sz w:val="20"/>
          <w:szCs w:val="20"/>
          <w:color w:val="auto"/>
        </w:rPr>
      </w:pPr>
    </w:p>
    <w:p>
      <w:pPr>
        <w:ind w:left="1620" w:hanging="532"/>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stock options granted to the spouse of one of the Company's executive officers.</w:t>
      </w:r>
    </w:p>
    <w:p>
      <w:pPr>
        <w:spacing w:after="0" w:line="225"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Any future awards under the 2007 Equity Incentive Plan, as proposed to be amended, will be made at the discretion of the Committee. Therefore, it is not presently possible to determine the benefits or amounts that will be received by the persons or groups mentioned above pursuant to the 2007 Equity Incentive Plan, as proposed to be amended,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Approval of the amendment to the 2007 Equity Incentive Plan will require the affirmative vote of the holders of a majority of the shares of Common Stock that are represented in person or by proxy at the 2008 Annual Meeting. If the amendment to the 2007 Equity Incentive Plan is approved by the shareholders, it will be effective as of the date of the 2008 Annual Meeting. If shareholders do not approve the amendment to the 2007 Equity Incentive Plan, it will not become effective.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approval of the amendment to the 2007 Equity Incentive Plan.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ITEM 3—RATIFICATION OF PRICEWATERHOUSECOOPERS LLP</w:t>
      </w:r>
    </w:p>
    <w:p>
      <w:pPr>
        <w:spacing w:after="0" w:line="231"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The Audit Committee of the Board has retained PricewaterhouseCoopers LLP ("PwC") as the Company's Independent Registered Public Accounting Firm to audit the consolidated financial statements of the Company for the fiscal year ending September 3, 2009. PwC and its predecessor, Coopers and Lybrand LLP, have been the Company's Independent Registered Public Accounting Firm since fiscal 1985. If the ratification of PwC's appointment is not approved by a majority of the shares voting thereon, the Audit Committee may reconsider its decision to appoint PwC as the Company's Independent Registered Public Accounting Firm. Representatives of PwC are expected to be present at the Annual Meeting, will have the opportunity to make a statement if they so desire, and are expected to be available to respond to appropriate questions.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charged to the Company for services performed by PwC for fiscal 2008 and 2007 were as follows:</w:t>
      </w:r>
    </w:p>
    <w:p>
      <w:pPr>
        <w:spacing w:after="0" w:line="275"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millions)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Audit-related fees(2)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03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23" w:lineRule="exact"/>
        <w:rPr>
          <w:sz w:val="20"/>
          <w:szCs w:val="20"/>
          <w:color w:val="auto"/>
        </w:rPr>
      </w:pPr>
    </w:p>
    <w:p>
      <w:pPr>
        <w:ind w:left="540" w:right="2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fees related to the audit of the Company's financial statements, fees for services provided in connection with statutory and regulatory filings and fees for attestation services related to the Company's internal control over financial reporting as required by the Sarbanes-Oxley Act of 2002.</w:t>
      </w:r>
    </w:p>
    <w:p>
      <w:pPr>
        <w:spacing w:after="0" w:line="166"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Primarily reflects fees for audits of supply arrangements, for audits of carve-out financial statements in connection with the Company's planned spin-out of its Aptina Imaging business and consultation concerning the application of financial accounting standards in connection with the Company's planned partnering arrangements.</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Primarily reflects fees for expatriate tax services. In fiscal 2008 the Company substantially discontinued use of PwC's services for the preparation of expatriate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31" w:lineRule="exact"/>
        <w:rPr>
          <w:sz w:val="20"/>
          <w:szCs w:val="20"/>
          <w:color w:val="auto"/>
        </w:rPr>
      </w:pPr>
    </w:p>
    <w:p>
      <w:pPr>
        <w:jc w:val="both"/>
        <w:ind w:firstLine="542"/>
        <w:spacing w:after="0" w:line="298" w:lineRule="auto"/>
        <w:rPr>
          <w:sz w:val="20"/>
          <w:szCs w:val="20"/>
          <w:color w:val="auto"/>
        </w:rPr>
      </w:pPr>
      <w:r>
        <w:rPr>
          <w:rFonts w:ascii="Arial" w:cs="Arial" w:eastAsia="Arial" w:hAnsi="Arial"/>
          <w:sz w:val="16"/>
          <w:szCs w:val="16"/>
          <w:color w:val="auto"/>
        </w:rPr>
        <w:t>The Audit Committee Charter provides that the Audit Committee will pre-approve all audit and non-audit services provided to the Company by the independent auditors, except for such de minimis non-audit services for which the pre-approved requirements are waived in accordance with the rules and regulations of the SEC. A copy of the Audit Committee charter is available on the Company's website at www.micron.com. In fiscal 2008 and 2007, all audit and non-audit services provided by PwC were approved by the Audit Committee in advance of services being provided.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2008. The Board of Directors determined that each committee member qualified as an "audit committee financial expert" for purposes of the rules and regulations of the SEC. The Board of Directors also determined that during their period of service 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Audit Committee, each member satisfied the independence requirements of applicable federal laws and the listing standards of the NYSE.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purpose of the Audit Committee is to assist the Board of Directors in overseeing and monitoring (i) the integrity of the Company's financial statements,</w:t>
      </w:r>
    </w:p>
    <w:p>
      <w:pPr>
        <w:spacing w:after="0" w:line="38" w:lineRule="exact"/>
        <w:rPr>
          <w:sz w:val="20"/>
          <w:szCs w:val="20"/>
          <w:color w:val="auto"/>
        </w:rPr>
      </w:pPr>
    </w:p>
    <w:p>
      <w:pPr>
        <w:jc w:val="both"/>
        <w:ind w:firstLine="8"/>
        <w:spacing w:after="0" w:line="255"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this report for inclusion in the Proxy Statement.</w:t>
      </w:r>
    </w:p>
    <w:p>
      <w:pPr>
        <w:spacing w:after="0" w:line="198" w:lineRule="exact"/>
        <w:rPr>
          <w:sz w:val="20"/>
          <w:szCs w:val="20"/>
          <w:color w:val="auto"/>
        </w:rPr>
      </w:pPr>
    </w:p>
    <w:p>
      <w:pPr>
        <w:jc w:val="both"/>
        <w:ind w:firstLine="556"/>
        <w:spacing w:after="0" w:line="289" w:lineRule="auto"/>
        <w:rPr>
          <w:sz w:val="20"/>
          <w:szCs w:val="20"/>
          <w:color w:val="auto"/>
        </w:rPr>
      </w:pPr>
      <w:r>
        <w:rPr>
          <w:rFonts w:ascii="Arial" w:cs="Arial" w:eastAsia="Arial" w:hAnsi="Arial"/>
          <w:sz w:val="16"/>
          <w:szCs w:val="16"/>
          <w:color w:val="auto"/>
        </w:rPr>
        <w:t xml:space="preserve">The Audit Committee has reviewed and discussed the Company's audited financial statements with the Company's management, which has primary responsibility for such financial statements. PricewaterhouseCoopers LLP ("PwC"), the Company's Independent Registered Public Accounting Firm for fiscal 2008,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Independence Standards Board Standard No. 1 (</w:t>
      </w:r>
      <w:r>
        <w:rPr>
          <w:rFonts w:ascii="Arial" w:cs="Arial" w:eastAsia="Arial" w:hAnsi="Arial"/>
          <w:sz w:val="16"/>
          <w:szCs w:val="16"/>
          <w:i w:val="1"/>
          <w:iCs w:val="1"/>
          <w:color w:val="auto"/>
        </w:rPr>
        <w:t>Independence Discussions</w:t>
      </w:r>
      <w:r>
        <w:rPr>
          <w:rFonts w:ascii="Arial" w:cs="Arial" w:eastAsia="Arial" w:hAnsi="Arial"/>
          <w:sz w:val="16"/>
          <w:szCs w:val="16"/>
          <w:color w:val="auto"/>
        </w:rPr>
        <w:t xml:space="preserve"> </w:t>
      </w:r>
      <w:r>
        <w:rPr>
          <w:rFonts w:ascii="Arial" w:cs="Arial" w:eastAsia="Arial" w:hAnsi="Arial"/>
          <w:sz w:val="16"/>
          <w:szCs w:val="16"/>
          <w:i w:val="1"/>
          <w:iCs w:val="1"/>
          <w:color w:val="auto"/>
        </w:rPr>
        <w:t>with Audit Committees</w:t>
      </w:r>
      <w:r>
        <w:rPr>
          <w:rFonts w:ascii="Arial" w:cs="Arial" w:eastAsia="Arial" w:hAnsi="Arial"/>
          <w:sz w:val="16"/>
          <w:szCs w:val="16"/>
          <w:color w:val="auto"/>
        </w:rPr>
        <w:t>), and the Audit Committee discussed with PwC its independence. The Audit Committee also concluded that PwC's provision of non-audit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the Company, as described above, is compatible with PwC's independence.</w:t>
      </w:r>
    </w:p>
    <w:p>
      <w:pPr>
        <w:spacing w:after="0" w:line="172"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the Company's audited consolidated financial statements in the Company's Annual Report on Form 10-K for fiscal 2008; appointed PwC as the Independent Registered Public Accounting Firm of the Company for the Company's fiscal year ending September 3, 2009, and approved and authorized PwC to carry out and perform certain specified non-audit services for the Company in fiscal 2009.</w:t>
      </w:r>
    </w:p>
    <w:p>
      <w:pPr>
        <w:spacing w:after="0" w:line="19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the Company's consolidated financial statements and for the reporting process in general, and (ii) establishing and maintaining internal controls. Similarly, it is the responsibility of the Independent Registered Public Accounting Firm, and not the Audit Committee, to conduct the audit of the Company's consolidated financial statements and express an opinion as to the conformity of the financial statements with accounting principles generally accepted in the United States.</w:t>
      </w:r>
    </w:p>
    <w:p>
      <w:pPr>
        <w:spacing w:after="0" w:line="1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E. Switz</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ind w:left="446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following table sets forth security ownership information of the Company's Common Stock as of the Record Date (October 15, 2008), based on the most current information provided to the Company by the beneficial owners, available to the Company from its own records or provided in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jc w:val="right"/>
              <w:ind w:right="794"/>
              <w:spacing w:after="0" w:line="149"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94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Right to</w:t>
            </w: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1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61"/>
        </w:trPr>
        <w:tc>
          <w:tcPr>
            <w:tcW w:w="378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 and Address of Beneficial Owner</w:t>
            </w:r>
          </w:p>
        </w:tc>
        <w:tc>
          <w:tcPr>
            <w:tcW w:w="2380" w:type="dxa"/>
            <w:vAlign w:val="bottom"/>
          </w:tcPr>
          <w:p>
            <w:pPr>
              <w:jc w:val="right"/>
              <w:ind w:right="614"/>
              <w:spacing w:after="0"/>
              <w:rPr>
                <w:sz w:val="20"/>
                <w:szCs w:val="20"/>
                <w:color w:val="auto"/>
              </w:rPr>
            </w:pPr>
            <w:r>
              <w:rPr>
                <w:rFonts w:ascii="Arial" w:cs="Arial" w:eastAsia="Arial" w:hAnsi="Arial"/>
                <w:sz w:val="14"/>
                <w:szCs w:val="14"/>
                <w:b w:val="1"/>
                <w:bCs w:val="1"/>
                <w:color w:val="auto"/>
              </w:rPr>
              <w:t>Shares Owned(1)</w:t>
            </w:r>
          </w:p>
        </w:tc>
        <w:tc>
          <w:tcPr>
            <w:tcW w:w="20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rPr>
              <w:t>Acquire(2)</w:t>
            </w:r>
          </w:p>
        </w:tc>
        <w:tc>
          <w:tcPr>
            <w:tcW w:w="1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Class(3)</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BlackRock, Inc.(4)</w:t>
            </w:r>
          </w:p>
        </w:tc>
        <w:tc>
          <w:tcPr>
            <w:tcW w:w="420" w:type="dxa"/>
            <w:vAlign w:val="bottom"/>
            <w:shd w:val="clear" w:color="auto" w:fill="CCEEFF"/>
          </w:tcPr>
          <w:p>
            <w:pPr>
              <w:spacing w:after="0"/>
              <w:rPr>
                <w:sz w:val="17"/>
                <w:szCs w:val="17"/>
                <w:color w:val="auto"/>
              </w:rPr>
            </w:pPr>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52,224,022</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52,224,022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55"/>
        </w:trPr>
        <w:tc>
          <w:tcPr>
            <w:tcW w:w="860" w:type="dxa"/>
            <w:vAlign w:val="bottom"/>
          </w:tcPr>
          <w:p>
            <w:pPr>
              <w:spacing w:after="0"/>
              <w:rPr>
                <w:sz w:val="22"/>
                <w:szCs w:val="22"/>
                <w:color w:val="auto"/>
              </w:rPr>
            </w:pPr>
          </w:p>
        </w:tc>
        <w:tc>
          <w:tcPr>
            <w:tcW w:w="2920" w:type="dxa"/>
            <w:vAlign w:val="bottom"/>
            <w:gridSpan w:val="3"/>
            <w:shd w:val="clear" w:color="auto" w:fill="CCEEFF"/>
          </w:tcPr>
          <w:p>
            <w:pPr>
              <w:ind w:left="120"/>
              <w:spacing w:after="0" w:line="255" w:lineRule="exact"/>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2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New York, NY 10022</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w w:val="97"/>
              </w:rPr>
              <w:t>Brandes Investment Partners, L.P.(5)</w:t>
            </w:r>
          </w:p>
        </w:tc>
        <w:tc>
          <w:tcPr>
            <w:tcW w:w="2380" w:type="dxa"/>
            <w:vAlign w:val="bottom"/>
          </w:tcPr>
          <w:p>
            <w:pPr>
              <w:jc w:val="right"/>
              <w:spacing w:after="0"/>
              <w:rPr>
                <w:sz w:val="20"/>
                <w:szCs w:val="20"/>
                <w:color w:val="auto"/>
              </w:rPr>
            </w:pPr>
            <w:r>
              <w:rPr>
                <w:rFonts w:ascii="Arial" w:cs="Arial" w:eastAsia="Arial" w:hAnsi="Arial"/>
                <w:sz w:val="18"/>
                <w:szCs w:val="18"/>
                <w:color w:val="auto"/>
              </w:rPr>
              <w:t>81,349,316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81,349,316</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11988 El Camino Real, Suite 500</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San Diego, CA 92130</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Capital Research Global Investors(6)</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40,855,000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40,855,000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333 Hope Street</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 Angeles, CA 90071-1406</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w w:val="97"/>
              </w:rPr>
              <w:t>ClearBridge Advisors, LLC and Smith</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w w:val="98"/>
              </w:rPr>
              <w:t>Barney Fund Management, LLC(7)</w:t>
            </w:r>
          </w:p>
        </w:tc>
        <w:tc>
          <w:tcPr>
            <w:tcW w:w="2380" w:type="dxa"/>
            <w:vAlign w:val="bottom"/>
          </w:tcPr>
          <w:p>
            <w:pPr>
              <w:jc w:val="right"/>
              <w:spacing w:after="0"/>
              <w:rPr>
                <w:sz w:val="20"/>
                <w:szCs w:val="20"/>
                <w:color w:val="auto"/>
              </w:rPr>
            </w:pPr>
            <w:r>
              <w:rPr>
                <w:rFonts w:ascii="Arial" w:cs="Arial" w:eastAsia="Arial" w:hAnsi="Arial"/>
                <w:sz w:val="18"/>
                <w:szCs w:val="18"/>
                <w:color w:val="auto"/>
              </w:rPr>
              <w:t>49,281,409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49,281,409</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339 Park Avenue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New York, NY 10022</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PRIMECAP Management(8)</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55,297,594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55,297,594</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225 South Lake Avenue, Suite 400</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Pasadena, CA 91101-3005</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2380" w:type="dxa"/>
            <w:vAlign w:val="bottom"/>
          </w:tcPr>
          <w:p>
            <w:pPr>
              <w:jc w:val="right"/>
              <w:spacing w:after="0"/>
              <w:rPr>
                <w:sz w:val="20"/>
                <w:szCs w:val="20"/>
                <w:color w:val="auto"/>
              </w:rPr>
            </w:pPr>
            <w:r>
              <w:rPr>
                <w:rFonts w:ascii="Arial" w:cs="Arial" w:eastAsia="Arial" w:hAnsi="Arial"/>
                <w:sz w:val="18"/>
                <w:szCs w:val="18"/>
                <w:color w:val="auto"/>
              </w:rPr>
              <w:t>350,518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191,635</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542,153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Teruaki Aoki</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Steven R. Appleton(9)</w:t>
            </w:r>
          </w:p>
        </w:tc>
        <w:tc>
          <w:tcPr>
            <w:tcW w:w="2380" w:type="dxa"/>
            <w:vAlign w:val="bottom"/>
          </w:tcPr>
          <w:p>
            <w:pPr>
              <w:jc w:val="right"/>
              <w:spacing w:after="0"/>
              <w:rPr>
                <w:sz w:val="20"/>
                <w:szCs w:val="20"/>
                <w:color w:val="auto"/>
              </w:rPr>
            </w:pPr>
            <w:r>
              <w:rPr>
                <w:rFonts w:ascii="Arial" w:cs="Arial" w:eastAsia="Arial" w:hAnsi="Arial"/>
                <w:sz w:val="18"/>
                <w:szCs w:val="18"/>
                <w:color w:val="auto"/>
              </w:rPr>
              <w:t>2,458,880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2,600,000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5,058,880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101,831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Robert L. Bailey</w:t>
            </w:r>
          </w:p>
        </w:tc>
        <w:tc>
          <w:tcPr>
            <w:tcW w:w="2380" w:type="dxa"/>
            <w:vAlign w:val="bottom"/>
          </w:tcPr>
          <w:p>
            <w:pPr>
              <w:jc w:val="right"/>
              <w:spacing w:after="0"/>
              <w:rPr>
                <w:sz w:val="20"/>
                <w:szCs w:val="20"/>
                <w:color w:val="auto"/>
              </w:rPr>
            </w:pPr>
            <w:r>
              <w:rPr>
                <w:rFonts w:ascii="Arial" w:cs="Arial" w:eastAsia="Arial" w:hAnsi="Arial"/>
                <w:sz w:val="18"/>
                <w:szCs w:val="18"/>
                <w:color w:val="auto"/>
              </w:rPr>
              <w:t>71,058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71,058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Durcan(10)</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1,420,000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2,481,393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Ronald C. Foster(11)</w:t>
            </w:r>
          </w:p>
        </w:tc>
        <w:tc>
          <w:tcPr>
            <w:tcW w:w="2380" w:type="dxa"/>
            <w:vAlign w:val="bottom"/>
          </w:tcPr>
          <w:p>
            <w:pPr>
              <w:jc w:val="right"/>
              <w:spacing w:after="0"/>
              <w:rPr>
                <w:sz w:val="20"/>
                <w:szCs w:val="20"/>
                <w:color w:val="auto"/>
              </w:rPr>
            </w:pPr>
            <w:r>
              <w:rPr>
                <w:rFonts w:ascii="Arial" w:cs="Arial" w:eastAsia="Arial" w:hAnsi="Arial"/>
                <w:sz w:val="18"/>
                <w:szCs w:val="18"/>
                <w:color w:val="auto"/>
              </w:rPr>
              <w:t>439,470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439,470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Lawrence N. Mondry</w:t>
            </w:r>
          </w:p>
        </w:tc>
        <w:tc>
          <w:tcPr>
            <w:tcW w:w="2380" w:type="dxa"/>
            <w:vAlign w:val="bottom"/>
          </w:tcPr>
          <w:p>
            <w:pPr>
              <w:jc w:val="right"/>
              <w:spacing w:after="0"/>
              <w:rPr>
                <w:sz w:val="20"/>
                <w:szCs w:val="20"/>
                <w:color w:val="auto"/>
              </w:rPr>
            </w:pPr>
            <w:r>
              <w:rPr>
                <w:rFonts w:ascii="Arial" w:cs="Arial" w:eastAsia="Arial" w:hAnsi="Arial"/>
                <w:sz w:val="18"/>
                <w:szCs w:val="18"/>
                <w:color w:val="auto"/>
              </w:rPr>
              <w:t>91,141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108,641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476,450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918,705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Wilbur G. Stover, Jr.(12)</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1,235,000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1,235,000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w w:val="97"/>
              </w:rPr>
              <w:t>All directors and executive officers as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a group (16 persons)</w:t>
            </w:r>
          </w:p>
        </w:tc>
        <w:tc>
          <w:tcPr>
            <w:tcW w:w="2380" w:type="dxa"/>
            <w:vAlign w:val="bottom"/>
          </w:tcPr>
          <w:p>
            <w:pPr>
              <w:jc w:val="right"/>
              <w:spacing w:after="0"/>
              <w:rPr>
                <w:sz w:val="20"/>
                <w:szCs w:val="20"/>
                <w:color w:val="auto"/>
              </w:rPr>
            </w:pPr>
            <w:r>
              <w:rPr>
                <w:rFonts w:ascii="Arial" w:cs="Arial" w:eastAsia="Arial" w:hAnsi="Arial"/>
                <w:sz w:val="18"/>
                <w:szCs w:val="18"/>
                <w:color w:val="auto"/>
              </w:rPr>
              <w:t>6,818,808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8,691,540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15,510,348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25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38" w:lineRule="exact"/>
        <w:rPr>
          <w:rFonts w:ascii="Arial" w:cs="Arial" w:eastAsia="Arial" w:hAnsi="Arial"/>
          <w:sz w:val="18"/>
          <w:szCs w:val="18"/>
          <w:color w:val="auto"/>
        </w:rPr>
      </w:pPr>
    </w:p>
    <w:p>
      <w:pPr>
        <w:ind w:left="5620" w:right="4240" w:hanging="5612"/>
        <w:spacing w:after="0" w:line="613" w:lineRule="auto"/>
        <w:tabs>
          <w:tab w:leader="none" w:pos="5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shares that an individual has a right to acquire within 60 days of October 15, 2008.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ind w:left="540" w:hanging="532"/>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221"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BlackRock, Inc. on behalf of its investment advisory subsidiaries has shared voting power as to 52,224,022 shares and shares dispositive power as to 52,224,022 shares. The following subsidiaries of BlackRock, Inc. are investment advisors which hold shares of Micron Technology, Inc.: BlackRock Advisors, LLC, BlackRock Asset Management UK Limited, BlackRock Investment Management, LLC, BlackRock Management (Australia), BlackRock (Channel Islands) Limited., Black Rock (Isle of Man) Ltd., BlackRock Fund Managers Limited, BlackRock International Ltd., BlackRock Japan Co., Ltd., BlackRock Investment Management (UK) Limited., and State Street Research &amp; Management Company. This information was taken from a Schedule 13G dated December 31, 2007.</w:t>
      </w:r>
    </w:p>
    <w:p>
      <w:pPr>
        <w:spacing w:after="0" w:line="21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Brandes Investment Partners have shared voting power as to 64,018,458 shares and shared dispositive power as to 81,349,316 shares. This information was taken from a Schedule 13G dated December 31, 2007.</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Research Global Investors has sole voting power as to 10,920,000 shares and sole dispositive power as to 40,885,000 shares. This information was taken from a Schedule 13G dated December 31, 2007.</w:t>
      </w:r>
    </w:p>
    <w:p>
      <w:pPr>
        <w:spacing w:after="0" w:line="212"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ClearBridge Advisors LLC and Smith Barney Fund Management LLC have shared voting power as to 38,073,855 shares and shared dispositive power as to 49,281,409 shares. ClearBridge Advisors LLC claims beneficial ownership as to 48,598,709 and shared voting power as to 37,391,155 shares and shared dispositive power as to 48,598,709 shares. Smith Barney Fund Management LLC claims beneficial shared voting and dispositive ownership as to 682,700 shares. This information was taken from a Schedule 13G dated December 31, 2007.</w:t>
      </w:r>
    </w:p>
    <w:p>
      <w:pPr>
        <w:spacing w:after="0" w:line="180"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PRIMECAP Management Company has sole voting power as to 6,766,157 shares and sole dispositive power as to 55,297,594 shares. This information was taken from a Schedule 13G dated December 31, 2007.</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28,000 shares beneficially owned by Mesa L.P.</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202,316 shares held by C &amp; E Partners L.P. and 3,101 shares beneficially owned by Mr. Durcan's spouse.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38"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Stover served as the Company's Chief Financial Officer for a portion of fiscal 2008 (September 2007 through November 2007). Pursuant to the terms of his severance agreement with the Company, Mr. Stover has until December 24, 2008, to exercise his vested options.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9" w:lineRule="exact"/>
        <w:rPr>
          <w:sz w:val="20"/>
          <w:szCs w:val="20"/>
          <w:color w:val="auto"/>
        </w:rPr>
      </w:pPr>
    </w:p>
    <w:p>
      <w:pPr>
        <w:jc w:val="both"/>
        <w:ind w:firstLine="651"/>
        <w:spacing w:after="0" w:line="256"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Throughout this discussion, those individuals named in the "Fiscal 2008 Summary Compensation Table" are referred to as our "Named Executive Officers" and the Compensation Committee of the Board of Directors is referred to as the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3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6"/>
          <w:szCs w:val="16"/>
          <w:color w:val="auto"/>
        </w:rPr>
        <w:t>Our executive compensation program is administered by the Committee, which is composed entirely of independent directors (as defined in the listing standards of the NYSE as well as applicable federal law). The Committee is comprised of Mr. Mondry, who is the Chairman of the Committee, and Dr. Aoki. The Committee assists the Board of Directors in discharging its responsibilities with respect to the compensation of the Company's officers. The Committee has direct responsibility to review and approve corporate goals and objectives relevant to the chief executive officer's compensation, evaluate his performance in light of such goals and objectives, and determine and approve his compensation level based on this evaluation. The Committee also reviews the evaluation process and compensation structure for the Company's other officers, including the other Named Executive Officers, and approves their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3" w:name="page24"/>
    <w:bookmarkEnd w:id="23"/>
    <w:p>
      <w:pPr>
        <w:jc w:val="both"/>
        <w:ind w:firstLine="510"/>
        <w:spacing w:after="0" w:line="298" w:lineRule="auto"/>
        <w:rPr>
          <w:sz w:val="20"/>
          <w:szCs w:val="20"/>
          <w:color w:val="auto"/>
        </w:rPr>
      </w:pPr>
      <w:r>
        <w:rPr>
          <w:rFonts w:ascii="Arial" w:cs="Arial" w:eastAsia="Arial" w:hAnsi="Arial"/>
          <w:sz w:val="16"/>
          <w:szCs w:val="16"/>
          <w:color w:val="auto"/>
        </w:rPr>
        <w:t>The Committee annually engages an outside compensation consultant, currently Mercer. The Committee also works closely with the Company's chief executive officer. A more complete description of the Committee's responsibilities is provided in the Committee's Charter approved by the Board of Directors, which can be found on the Company's website (www.micron.com) in the governance section. A more complete description of the role of the chief executive officer in the compensation process is described later in this compensation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of our Executive Compensation Program</w:t>
      </w:r>
    </w:p>
    <w:p>
      <w:pPr>
        <w:spacing w:after="0" w:line="231"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that align the interests of executives with those of our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31"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by the Committee's review of the median Market Data (as defined below) for each of the primary elements of compensation.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8"/>
          <w:szCs w:val="18"/>
          <w:color w:val="auto"/>
        </w:rPr>
        <w:t>As a rough gauge of reasonableness, the Committee typically reviews the median of Market Data and a range of values of +/- 20% from the median. Base salaries are generally targeted to approximate the median of the Market Data.</w:t>
      </w:r>
    </w:p>
    <w:p>
      <w:pPr>
        <w:spacing w:after="0" w:line="186" w:lineRule="exact"/>
        <w:rPr>
          <w:sz w:val="20"/>
          <w:szCs w:val="20"/>
          <w:color w:val="auto"/>
        </w:rPr>
      </w:pPr>
    </w:p>
    <w:p>
      <w:pPr>
        <w:jc w:val="both"/>
        <w:ind w:firstLine="390"/>
        <w:spacing w:after="0" w:line="254" w:lineRule="auto"/>
        <w:rPr>
          <w:sz w:val="20"/>
          <w:szCs w:val="20"/>
          <w:color w:val="auto"/>
        </w:rPr>
      </w:pPr>
      <w:r>
        <w:rPr>
          <w:rFonts w:ascii="Arial" w:cs="Arial" w:eastAsia="Arial" w:hAnsi="Arial"/>
          <w:sz w:val="18"/>
          <w:szCs w:val="18"/>
          <w:color w:val="auto"/>
        </w:rPr>
        <w:t>With respect to short-term incentive compensation, we pay for achievement of financial, operational and strategic objectives approved by the Committee at the beginning of each fiscal year. The short-tem incentive opportunities are set to be competitive with market practices but actual incentive payouts are commensurate with achievement. Thus, we have adopted a "pay for performance" approach as it relates to short-term incentives. Although we review the short-term incentive opportunities against the median of Market Data and a range of +/- 20%, the opportunities are not necessarily limited to either the median of Market Data or the identified +/- 20% range as actual results drive payouts. Please see the discussion under the heading "Fiscal 2008 short-term incentive awards."</w:t>
      </w:r>
    </w:p>
    <w:p>
      <w:pPr>
        <w:spacing w:after="0" w:line="198" w:lineRule="exact"/>
        <w:rPr>
          <w:sz w:val="20"/>
          <w:szCs w:val="20"/>
          <w:color w:val="auto"/>
        </w:rPr>
      </w:pPr>
    </w:p>
    <w:p>
      <w:pPr>
        <w:jc w:val="both"/>
        <w:ind w:firstLine="590"/>
        <w:spacing w:after="0" w:line="290" w:lineRule="auto"/>
        <w:rPr>
          <w:sz w:val="20"/>
          <w:szCs w:val="20"/>
          <w:color w:val="auto"/>
        </w:rPr>
      </w:pPr>
      <w:r>
        <w:rPr>
          <w:rFonts w:ascii="Arial" w:cs="Arial" w:eastAsia="Arial" w:hAnsi="Arial"/>
          <w:sz w:val="16"/>
          <w:szCs w:val="16"/>
          <w:color w:val="auto"/>
        </w:rPr>
        <w:t>Finally, with respect to long-term incentive compensation, we believe such compensation should be tied to the success of the Company and more specifically, to increases in shareholder value (without subjecting such long-term incentive compensation to an identified boundary from the median of the Market Data). Accordingly, we make significant use of equity vehicles, such as awards of restricted stock subject to "performance-based" restrictions, as a key component of the executive compensation program. Nevertheless, to ensure the long-term incentive program helps to retain executives, we also believe it is appropriate to have as a key component of our program, equity awards that are "time-based," such as awards of restricted stock where the restrictions will lapse based on continued service with the Company. The Company believes that a 50-50 split between the value of performance-based restricted shares and time-based restricted shares strikes the right balance between retentive effect and reward for long-term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Company success. However, given a 50-50 split in value, the actual number of restricted shares awarded with performance-based restrictions will not be the same as the number of such shares awarded having time-based restrictions because there is a "probability-of-achievement" discount applied to the performance-based restricted shares. This results in the actual number of shares in the two categories being different from one another with the number of performance-based shares exceeding the number of time-based shares. The mechanics of the probability-of-achievement factor are discussed later under the heading "Fiscal 2008 long-term equity incentives."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it is important to retain flexibility and, when appropriate, to deviate from the above targets due to factors such as:</w:t>
      </w:r>
    </w:p>
    <w:p>
      <w:pPr>
        <w:spacing w:after="0" w:line="239" w:lineRule="exact"/>
        <w:rPr>
          <w:sz w:val="20"/>
          <w:szCs w:val="20"/>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the other officers within the Company and as compared to similarly situated officers within the Compensation Peer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past and anticipated financial and non-financial contributions by an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the other officers within the Company and as compared to officers within the Compensation Peer Group.</w:t>
      </w:r>
    </w:p>
    <w:p>
      <w:pPr>
        <w:spacing w:after="0" w:line="186"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etc. Accordingly, what may have been the "median" or within a reasonable range of competitiveness in one year, may be higher or lower for the next. For this reason, shareholders should understand that even though the Committee manages compensation in accordance with such guiding principles, officer compensation may vary, above or below the median, or a range from the median, year over year.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jc w:val="both"/>
        <w:ind w:right="20" w:firstLine="549"/>
        <w:spacing w:after="0" w:line="268"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short-term incentive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25"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Executive perquisites, which for us are minor in scope and amount, are also reviewed but are not considered to be material elements of compensation. We also believe it is appropriate for the Named Executive Officers to participate on the same terms and conditions as all other employees of the Company in programs and benefits that are offered to the employee population at large. Generally, these programs consist of medical, dental, vision, short-term and long-term disability, life insurance, time-off with pay and a 401(k) retirement program. These benefits are viewed as important for competitive purposes but not material to the overall cost of an executive compensation package offered to our Named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jc w:val="both"/>
        <w:ind w:firstLine="415"/>
        <w:spacing w:after="0" w:line="290" w:lineRule="auto"/>
        <w:rPr>
          <w:sz w:val="20"/>
          <w:szCs w:val="20"/>
          <w:color w:val="auto"/>
        </w:rPr>
      </w:pPr>
      <w:r>
        <w:rPr>
          <w:rFonts w:ascii="Arial" w:cs="Arial" w:eastAsia="Arial" w:hAnsi="Arial"/>
          <w:sz w:val="16"/>
          <w:szCs w:val="16"/>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should align executives' interests with those of the Company's shareholders. Additionally, although the Committee reviews total direct compensation, which is the sum of base salary, short-term incentive and long-term incentive compensation for the Named Executive Officers, it does not have a fixed objective with respect such total direct compensation. For informational purposes only, for fiscal 2008, the total direct compensation approved by the Committee with respect to our Named Executive Officers, placed Messrs. Appleton, Durcan, Foster and Stover below, and Messrs. Shirley and Adams above the median of the Market Data for similarly situated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data is gathered by Mercer from proxy statements of the Compensation Peer Group and from published compensation surveys.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jc w:val="both"/>
        <w:ind w:firstLine="438"/>
        <w:spacing w:after="0" w:line="256" w:lineRule="auto"/>
        <w:rPr>
          <w:sz w:val="20"/>
          <w:szCs w:val="20"/>
          <w:color w:val="auto"/>
        </w:rPr>
      </w:pPr>
      <w:r>
        <w:rPr>
          <w:rFonts w:ascii="Arial" w:cs="Arial" w:eastAsia="Arial" w:hAnsi="Arial"/>
          <w:sz w:val="18"/>
          <w:szCs w:val="18"/>
          <w:color w:val="auto"/>
        </w:rPr>
        <w:t>Survey data may vary from year to year. For fiscal 2008, Mercer used the CHiPS Executive &amp; Senior Management Total Compensation Survey, Radford Executive Survey, and Buck Consultants Total Direct Compensation Survey. These surveys, collectively, included compensation data from approximately 900 companies, national and international. The Company believes these surveys are particularly relevant for high technology companies given many of the survey participants.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relevant survey and proxy data for fiscal 2008 were weighted equally and are collectively referred to throughout this discussion as the "Market Data."</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Data is also gathered from proxy statements and other documents that are filed with the U.S. Securities &amp; Exchange Commission for the Compensation Peer Group.</w:t>
      </w:r>
    </w:p>
    <w:p>
      <w:pPr>
        <w:spacing w:after="0" w:line="186"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Mercer works with our management team, including our chief executive officer,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one-third to three times the size of Micron and have a high degree of business match. We believe our custom peer group is comprised of companies that are likely to be our competitors for executive talent.</w:t>
      </w:r>
    </w:p>
    <w:p>
      <w:pPr>
        <w:spacing w:after="0" w:line="198"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The Committee is responsible for approving the custom peer group of companies. For fiscal 2008, the custom peer group of companies consisted of: Advanced Micro Devices, Inc., Agilent Technologies, Inc., Analog Devices, Inc., Applied Materials, Inc., Broadcom Corporation, Infineon Technologies AG, National Semiconductor Corporation, Nvidia Corporation, QUALCOMM Incorporated, SanDisk Corporation, Spansion Inc., STMicroelectronics N.V. and Texas Instruments Incorporated. These companies are referred to in the compensation discussion and analysis as the "Compensation Peer Group."</w:t>
      </w:r>
    </w:p>
    <w:p>
      <w:pPr>
        <w:spacing w:after="0" w:line="167"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We believe it is important to reevaluate the composition of our Compensation Peer Group annually to reflect industry or economic changes that may have occurred during the fiscal year, e.g., changes in business strategies, operations, revenues, product lines, or availability of information. For fiscal 2008, based on the foregoing factors, two companies were dropped from the fiscal 2007 list (Freescale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both"/>
        <w:ind w:right="20"/>
        <w:spacing w:after="0" w:line="268" w:lineRule="auto"/>
        <w:rPr>
          <w:sz w:val="20"/>
          <w:szCs w:val="20"/>
          <w:color w:val="auto"/>
        </w:rPr>
      </w:pPr>
      <w:r>
        <w:rPr>
          <w:rFonts w:ascii="Arial" w:cs="Arial" w:eastAsia="Arial" w:hAnsi="Arial"/>
          <w:sz w:val="18"/>
          <w:szCs w:val="18"/>
          <w:color w:val="auto"/>
        </w:rPr>
        <w:t>Semiconductor, Inc. and Jabil Circuit, Inc.) and three companies, comparable in size and business scope were added (Infineon Technologies AG, QUALCOMM Incorporated and STMicroelectronics N.V.).</w:t>
      </w:r>
    </w:p>
    <w:p>
      <w:pPr>
        <w:spacing w:after="0" w:line="186"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31"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The Committee reviews the compensation of our Named Executive Officers on an annual basis in connection with the annual financial results for the fiscal year just ended and projections for the current fiscal year. As mentioned previously, the Committee annually engages a compensation consultant, currently Mercer, to provide a comprehensive review of cash and non-cash elements, and also to review payment data, both historical and trend with respect to all of the Company's officers, including the Named Executive Officers.</w:t>
      </w:r>
    </w:p>
    <w:p>
      <w:pPr>
        <w:spacing w:after="0" w:line="19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6"/>
          <w:szCs w:val="16"/>
          <w:color w:val="auto"/>
        </w:rPr>
        <w:t>Mercer reviews and identifies the most recent available data and identifies the Market Data for the 25th, 50th and 75th percentile with respect to each position or rank. Mercer compares the Company's compensation data, both as to elements and amounts to be paid or potential value to be delivered, with that of the Market Data and reports its findings to the chief executive officer and the Committee chair. The Company's chief executive officer works with Mercer by providing actual Company financial data with respect to the most-recently completed fiscal year. The chief executive officer also reviews projected Company financial results for the current fiscal year and the Company's strategic business plan. The chief executive officer makes suggestions as to base salary, recommends a potential set of Company-wide, business unit and personal metrics and targets for the current fiscal year with respect to short-term incentives and offers suggestions as to long-term incentive compensation for the Named Executive Officers other than himself. He makes no recommendations as to his own level of compensation.</w:t>
      </w:r>
    </w:p>
    <w:p>
      <w:pPr>
        <w:spacing w:after="0" w:line="172" w:lineRule="exact"/>
        <w:rPr>
          <w:sz w:val="20"/>
          <w:szCs w:val="20"/>
          <w:color w:val="auto"/>
        </w:rPr>
      </w:pPr>
    </w:p>
    <w:p>
      <w:pPr>
        <w:jc w:val="both"/>
        <w:ind w:firstLine="583"/>
        <w:spacing w:after="0" w:line="290" w:lineRule="auto"/>
        <w:rPr>
          <w:sz w:val="20"/>
          <w:szCs w:val="20"/>
          <w:color w:val="auto"/>
        </w:rPr>
      </w:pPr>
      <w:r>
        <w:rPr>
          <w:rFonts w:ascii="Arial" w:cs="Arial" w:eastAsia="Arial" w:hAnsi="Arial"/>
          <w:sz w:val="16"/>
          <w:szCs w:val="16"/>
          <w:color w:val="auto"/>
        </w:rPr>
        <w:t>The Committee reviews the Market Data, discusses the Market Data with the chief executive officer and with Mercer, discusses individual officer performance based on input from the chief executive officer, and without the chief executive officer present, the chief executive officer's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to approve the compensation, including the metrics and targets for the current year and, if judged appropriate, to deviate from the Market Data, based on the factors described earlier.</w:t>
      </w:r>
    </w:p>
    <w:p>
      <w:pPr>
        <w:spacing w:after="0" w:line="172" w:lineRule="exact"/>
        <w:rPr>
          <w:sz w:val="20"/>
          <w:szCs w:val="20"/>
          <w:color w:val="auto"/>
        </w:rPr>
      </w:pPr>
    </w:p>
    <w:p>
      <w:pPr>
        <w:jc w:val="both"/>
        <w:ind w:firstLine="352"/>
        <w:spacing w:after="0" w:line="254" w:lineRule="auto"/>
        <w:rPr>
          <w:sz w:val="20"/>
          <w:szCs w:val="20"/>
          <w:color w:val="auto"/>
        </w:rPr>
      </w:pPr>
      <w:r>
        <w:rPr>
          <w:rFonts w:ascii="Arial" w:cs="Arial" w:eastAsia="Arial" w:hAnsi="Arial"/>
          <w:sz w:val="18"/>
          <w:szCs w:val="18"/>
          <w:color w:val="auto"/>
        </w:rPr>
        <w:t>The Committee has established procedures that it considers adequate to ensure that Mercer's advice to the Committee remains objective and is not influenced by the Company's management. These procedures include: a direct reporting relationship to the Committee; a provision in the Committee's engagement letter with Mercer specifying what information, data, and recommendations can be shared with management; an annual update to the Committee on Mercer's relationship with the Company, including a summary of the work performed for the Company during the preceding 12 months; and written assurances from Mercer that, within the Mercer organization, the Mercer consultant who performs services for the Company has a reporting relationship and compensation determined separately from Mercer's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other lines of business and from its other work for the Company. The specific activities that Mercer undertakes for the Company include:</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executive compensation peer group and recommend any changes in its members,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the competitiveness of Micron's non-employee board compensation package relative to its peer group,</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benchmark total direct compensation levels (salary, total cash, long-term incentives and total direct compensation) of the Micron executive team using several data sources,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competitiveness of executive benefits and perquisites,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of the metrics and targets associated with the annual and long-term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attend the Committee meeting in which executive compensation matters are discussed.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2008 base salaries</w:t>
      </w:r>
    </w:p>
    <w:p>
      <w:pPr>
        <w:spacing w:after="0" w:line="225"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auto"/>
        </w:rPr>
        <w:t>The purpose of a competitive base salary is to compensate executives for performing their day-to-day job responsibilities. Base salaries are generally targeted to approximate the median of the Market Data. At the completion of fiscal 2007, the Market Data showed that all of the Named Executive Officers' base salaries were within +/- 20% from the median for their positions or ranks. The Committee determined, following a recommendation by the chief executive officer and upon review by Mercer, to increase base salaries for fiscal 2008 for Messrs. Adams and Shirley to reduce the margin of deviation and to leave unchanged the base salary for Mr. Durcan. The Committee also reviewed Market Data related to CEO and CFO compensation and determined to leave those salaries unchanged for fiscal 2008.</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2008 short-term incentive awards</w:t>
      </w:r>
    </w:p>
    <w:p>
      <w:pPr>
        <w:spacing w:after="0" w:line="225" w:lineRule="exact"/>
        <w:rPr>
          <w:sz w:val="20"/>
          <w:szCs w:val="20"/>
          <w:color w:val="auto"/>
        </w:rPr>
      </w:pPr>
    </w:p>
    <w:p>
      <w:pPr>
        <w:jc w:val="both"/>
        <w:ind w:firstLine="433"/>
        <w:spacing w:after="0" w:line="254" w:lineRule="auto"/>
        <w:rPr>
          <w:sz w:val="20"/>
          <w:szCs w:val="20"/>
          <w:color w:val="auto"/>
        </w:rPr>
      </w:pPr>
      <w:r>
        <w:rPr>
          <w:rFonts w:ascii="Arial" w:cs="Arial" w:eastAsia="Arial" w:hAnsi="Arial"/>
          <w:sz w:val="18"/>
          <w:szCs w:val="18"/>
          <w:color w:val="auto"/>
        </w:rPr>
        <w:t>Annual cash awards are made to the Company's officers under the Executive Officer Performance Incentive Plan ("EIP"). The full text of the EIP can be found at the following websites: http\www.sec.gov and www.micron.com. Consistent with the Company's guiding principles regarding annual bonus amounts, the short-term incentive "opportunity" ("Target Award") is stated in terms of a specified percentage of each Named Executive Officer's base salary and is designed to reward participants for the achievement of specified short-term individual, business-unit and/or Company-wide financial, operation or strategic goals. The Committee believes the pre-determined goals, regardless of whether tied to individual, business unit or Company-wide performance, should promote the Company's long-term success and shareholder value.</w:t>
      </w:r>
    </w:p>
    <w:p>
      <w:pPr>
        <w:spacing w:after="0" w:line="198"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8"/>
          <w:szCs w:val="18"/>
          <w:color w:val="auto"/>
        </w:rPr>
        <w:t>In October 2007, and in accordance with the provisions of the EIP, the Committee met and established goals for fiscal 2008. The fiscal 2008 goals were as follows: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of the Company expressed as a percentage of net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growth year-over-year for the Company expressed as a percentage,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SG&amp;A target percentages for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R&amp;D target percentage for the Company's memory products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sale or divestiture of all or a portion of the Company's imaging business,</w:t>
      </w:r>
    </w:p>
    <w:p>
      <w:pPr>
        <w:spacing w:after="0" w:line="252" w:lineRule="exact"/>
        <w:rPr>
          <w:rFonts w:ascii="Arial" w:cs="Arial" w:eastAsia="Arial" w:hAnsi="Arial"/>
          <w:sz w:val="18"/>
          <w:szCs w:val="18"/>
          <w:color w:val="auto"/>
        </w:rPr>
      </w:pPr>
    </w:p>
    <w:p>
      <w:pPr>
        <w:ind w:left="5620" w:right="5100" w:hanging="5072"/>
        <w:spacing w:after="0" w:line="613" w:lineRule="auto"/>
        <w:tabs>
          <w:tab w:leader="none" w:pos="10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cost reduction targets for DRAM and NAND products,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individual goal, tailored to each Named Executive Officer, given his role and responsibility within the Company.</w:t>
      </w:r>
    </w:p>
    <w:p>
      <w:pPr>
        <w:spacing w:after="0" w:line="225" w:lineRule="exact"/>
        <w:rPr>
          <w:sz w:val="20"/>
          <w:szCs w:val="20"/>
          <w:color w:val="auto"/>
        </w:rPr>
      </w:pPr>
    </w:p>
    <w:p>
      <w:pPr>
        <w:jc w:val="both"/>
        <w:ind w:firstLine="402"/>
        <w:spacing w:after="0" w:line="288" w:lineRule="auto"/>
        <w:rPr>
          <w:sz w:val="20"/>
          <w:szCs w:val="20"/>
          <w:color w:val="auto"/>
        </w:rPr>
      </w:pPr>
      <w:r>
        <w:rPr>
          <w:rFonts w:ascii="Arial" w:cs="Arial" w:eastAsia="Arial" w:hAnsi="Arial"/>
          <w:sz w:val="16"/>
          <w:szCs w:val="16"/>
          <w:color w:val="auto"/>
        </w:rPr>
        <w:t>The corporate goals of net income and revenue growth were chosen due to their direct correlation to shareholder value creation. The other business unit or operational goals were chosen primarily for their potential indirect positive impact on the Company's net income and revenue growth. The threshold, target and maximum incentive amounts that could be payable under the EIP for achievement of the fiscal 2008 goals are shown in the columns "Estimated Future Payouts under Non-Equity Incentive Plan Awards" of the "Grants of Plan-Based Awards" table. The aggregate threshold amount requires considerable effort without assurance of achievement and represents the minimum level of achievement before any amounts are paid. The target payout requires a significant level of effort without assurance of goal achievement. The target level payout represents full achievement of the relevant goal. The maximum payout requires an exceptional amount of effort for results that are very aggressive, beyond target, and thought unlikely to be achieved based on information available at the time the goal was set. Not all goals had a threshold, target or maximum payout. In some cases, the targets were set with the expectation that they would be achieved at no less than "target" or not at all.</w:t>
      </w:r>
    </w:p>
    <w:p>
      <w:pPr>
        <w:spacing w:after="0" w:line="174"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auto"/>
        </w:rPr>
        <w:t>The Target Awards established for fiscal 2008 for the Named Executive Officers were measured against the median Market Data. As previously discussed, although we review the short-term incentive opportunities against the median of Market Data and a range of +/- 20%, the opportunities are not necessarily limited to either the median of Market Data or the identified +/- 20% range. Actual results drive payouts and the Company pays for achievement of the pre-determined goals. For fiscal 2008, the following Target Awards were established for the Named Executive Officers:</w:t>
      </w:r>
    </w:p>
    <w:p>
      <w:pPr>
        <w:spacing w:after="0" w:line="194" w:lineRule="exact"/>
        <w:rPr>
          <w:sz w:val="20"/>
          <w:szCs w:val="20"/>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Appleton—150% of base salary (which was 25% above the median of the relevant Market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Durcan—120% of base salary (which was 1% above the median of the relevant Market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Shirley—80% of base salary (which was 5% above the median of the relevant Market Data)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Adams—80% of base salary (which was 12% above the median of the relevant Market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CFO(1)—90% of base salary (which was 4% below the median of the relevant Market Data)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time the Committee reviewed and established fiscal 2008 compensation levels, W. G. Stover, Jr., the Company's then CFO had announced his intention to resign from the Company. As a result of Mr. Stover's announcement, the Committee established compensation levels for the CFO position without any particular individual in mind. Mr. Stover resigned from the Company on November 29, 2007, and Mr. Foster was hired as his replacement on April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1903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77"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Given that the CEO and CFO serve in a positions tied closely to corporate-wide results, their Target Awards were heavily weighted (i.e., 70%) toward the successful completion of goals (a), (b) and (c) described above. Given that Mr. Durcan oversees operations that affected both the Company as a whole and the business units, his Target Awards were weighted across nearly all the corporate goals, with no single corporate goal receiving more than a 20% weight. Given that Messrs. Shirley and Adams each had responsibility for a significant business unit, their Target Awards were weighted toward a blend of corporate-wide goals and business unit/operational goals.</w:t>
      </w:r>
    </w:p>
    <w:p>
      <w:pPr>
        <w:spacing w:after="0" w:line="197"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Following a review of the fiscal 2008 results, the Committee determined the Company did not meet goals (a), (b), (d) and (e). The Named Executive Officers met the SG&amp;A goal between target and maximum and the manufacturing cost reduction goals between threshold and target. Except for Mr. Adams, at least one individual goal for each of the Named Executive Officers was met between threshold and target. These varying levels of achievement resulted in amounts being paid to the Named Executive Officers as indicated in the column "Non-Equity Incentive Plan Compensation" in the "Fiscal 2008 Summary Compensation Table." Amounts paid were a function of the Named Executive Officer's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base salary times percentage of goal achieved times weight given to the achieved goal. Notwithstanding having achieved certain corporate and individual goals, Mr. Appleton requested that, in light of current market conditions and the Company's results, he receive no short-term incentive payments for fiscal 2008. The Committee granted his request.</w:t>
      </w:r>
    </w:p>
    <w:p>
      <w:pPr>
        <w:spacing w:after="0" w:line="194"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auto"/>
        </w:rPr>
        <w:t>The EIP calls for certain performance goals to be modified under the EIP if permitted by Section 162(m) of the Internal Revenue Code of 1986, as amended (the "Code"), with respect to major corporate transactions. These events are more fully described in the EIP. Additionally, the Committee has the discretion to modify performance goals with respect to Target Awards that are not intended to satisfy Section 162(m) if the Committee determines that due to changes in business, operations, corporate or capital structure of the Company render existing performance goals to be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 In fiscal 2008, the Committee did not exercise any discretion, positive or negative, in connection with the EIP, except, as noted above, with respect to Mr. Appleton's short-term incentive award.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2008 long-term equity incentives</w:t>
      </w:r>
    </w:p>
    <w:p>
      <w:pPr>
        <w:spacing w:after="0" w:line="225"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6"/>
          <w:szCs w:val="16"/>
          <w:color w:val="auto"/>
        </w:rPr>
        <w:t>Pursuant to the Company's objective to provide a competitive compensation package, with variable compensation being a significant portion of such package, the Company provided the Named Executive Officers with equity awards in fiscal 2008. In connection therewith, the Committee reviewed the Market Data for the Compensation Peer Group for fiscal 2008, and found that 100% of the companies in the Compensation Peer Group used stock options, 62% of the companies used time-based restricted shares and 23% also used performance-based restricted shares as compensation vehicles for their executives.</w:t>
      </w:r>
    </w:p>
    <w:p>
      <w:pPr>
        <w:spacing w:after="0" w:line="167"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The Committee noted that prior to fiscal 2005, all equity awards at the Company had taken the form of stock options. Consequently, in order to bring the officers mix of equity compensation more in line with the practices of the Compensation Peer Group and to account for the fact that a majority of the prior awards had been in the form of stock options, the Committee determined that it would be appropriate to grant awards comprised of restricted stock only for fiscal 2008.</w:t>
      </w:r>
    </w:p>
    <w:p>
      <w:pPr>
        <w:spacing w:after="0" w:line="161"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Finally, in reviewing the Market Data in October 2007, the Committee further noted that of the companies of the Compensation Peer Group awarding restricted stock, a number of them awarded both time-based and performance-based restricted shares (a majority, however, used time-based restricted shares only). Consistent with our guiding principles that equity awards should not only tie executive compensation to long-term Company success but also have retentive effect, the Committee determined to approve awards of restricted stock with one-half of the value of the awards being subject to time-based restrictions and the other half being subject to performance-based restrictions. The Committee judged the 50-50 split value approach as an appropriate balance between the focus on retention and performance.</w:t>
      </w:r>
    </w:p>
    <w:p>
      <w:pPr>
        <w:spacing w:after="0" w:line="198" w:lineRule="exact"/>
        <w:rPr>
          <w:sz w:val="20"/>
          <w:szCs w:val="20"/>
          <w:color w:val="auto"/>
        </w:rPr>
      </w:pPr>
    </w:p>
    <w:p>
      <w:pPr>
        <w:jc w:val="both"/>
        <w:ind w:firstLine="384"/>
        <w:spacing w:after="0" w:line="289" w:lineRule="auto"/>
        <w:rPr>
          <w:sz w:val="20"/>
          <w:szCs w:val="20"/>
          <w:color w:val="auto"/>
        </w:rPr>
      </w:pPr>
      <w:r>
        <w:rPr>
          <w:rFonts w:ascii="Arial" w:cs="Arial" w:eastAsia="Arial" w:hAnsi="Arial"/>
          <w:sz w:val="16"/>
          <w:szCs w:val="16"/>
          <w:color w:val="auto"/>
        </w:rPr>
        <w:t xml:space="preserve">With respect to the </w:t>
      </w:r>
      <w:r>
        <w:rPr>
          <w:rFonts w:ascii="Arial" w:cs="Arial" w:eastAsia="Arial" w:hAnsi="Arial"/>
          <w:sz w:val="16"/>
          <w:szCs w:val="16"/>
          <w:b w:val="1"/>
          <w:bCs w:val="1"/>
          <w:i w:val="1"/>
          <w:iCs w:val="1"/>
          <w:color w:val="auto"/>
        </w:rPr>
        <w:t>time-based</w:t>
      </w:r>
      <w:r>
        <w:rPr>
          <w:rFonts w:ascii="Arial" w:cs="Arial" w:eastAsia="Arial" w:hAnsi="Arial"/>
          <w:sz w:val="16"/>
          <w:szCs w:val="16"/>
          <w:color w:val="auto"/>
        </w:rPr>
        <w:t xml:space="preserve"> restricted stock awards for fiscal 2008, the restrictions lapse as to one-fourth of the shares on each anniversary of the date of grant. With respect to the </w:t>
      </w:r>
      <w:r>
        <w:rPr>
          <w:rFonts w:ascii="Arial" w:cs="Arial" w:eastAsia="Arial" w:hAnsi="Arial"/>
          <w:sz w:val="16"/>
          <w:szCs w:val="16"/>
          <w:b w:val="1"/>
          <w:bCs w:val="1"/>
          <w:i w:val="1"/>
          <w:iCs w:val="1"/>
          <w:color w:val="auto"/>
        </w:rPr>
        <w:t>performance-based</w:t>
      </w:r>
      <w:r>
        <w:rPr>
          <w:rFonts w:ascii="Arial" w:cs="Arial" w:eastAsia="Arial" w:hAnsi="Arial"/>
          <w:sz w:val="16"/>
          <w:szCs w:val="16"/>
          <w:color w:val="auto"/>
        </w:rPr>
        <w:t xml:space="preserve"> restricted stock awards granted in fiscal 2008, the restrictions will lapse, if ever, provided the Company achieves a certain percentage return on invested capital ("ROIC") over a rolling four-quarter period between the beginning of fiscal 2008 and the end of fiscal 2010 (the "Share Performance Period"). The achievement during the Share Performance Period of a lower threshold ROIC percentage will result in the restrictions lapsing as to one-half of the fiscal 2008 performance-based shares. The achievement during the Share Performance Period of the target ROIC percentage will result in the restrictions lapsing as to all of the fiscal 2008 performance-based shares. Both the threshold and target ROIC percentages require significant effort with the achievement of neither ROIC percentage being assured. In the absence of at least the threshold ROIC percentage being achieved during the Share Performance Period, the restrictions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jc w:val="both"/>
        <w:spacing w:after="0" w:line="298" w:lineRule="auto"/>
        <w:rPr>
          <w:sz w:val="20"/>
          <w:szCs w:val="20"/>
          <w:color w:val="auto"/>
        </w:rPr>
      </w:pPr>
      <w:r>
        <w:rPr>
          <w:rFonts w:ascii="Arial" w:cs="Arial" w:eastAsia="Arial" w:hAnsi="Arial"/>
          <w:sz w:val="16"/>
          <w:szCs w:val="16"/>
          <w:color w:val="auto"/>
        </w:rPr>
        <w:t>will not lapse and all of the fiscal 2008 performance-based shares set forth in the column titled "Estimated Future Payouts under Equity Incentive Plan Awards-Target" of the "Grants of Plan-Based Awards" table will be forfeited. For example, please refer to the discussion following the "Grant of Plan-Based Awards" table where we indicate that our Named Executive Officers forfeited their fiscal 2006 performance shares and will likely forfeit their fiscal 2007 performance-based shares as well for failing to meet the minimum specified rolling four quarter ROIC percentage during the relevant performance period.</w:t>
      </w:r>
    </w:p>
    <w:p>
      <w:pPr>
        <w:spacing w:after="0" w:line="167"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8"/>
          <w:szCs w:val="18"/>
          <w:color w:val="auto"/>
        </w:rPr>
        <w:t>In determining the amount of the long-term equity incentive awards to be received by each of the Named Executive Officers for fiscal 2008, the Committee reviewed the Market Data. While the Market Data showed that Mr. Appleton's then current long-term equity incentive opportunity based on value was approximately 20% below the median, the Committee decided to keep the value of Mr. Appleton's long-term equity incentive award for fiscal 2008 at the fiscal 2007 level of $6,500,000.</w:t>
      </w:r>
    </w:p>
    <w:p>
      <w:pPr>
        <w:spacing w:after="0" w:line="197" w:lineRule="exact"/>
        <w:rPr>
          <w:sz w:val="20"/>
          <w:szCs w:val="20"/>
          <w:color w:val="auto"/>
        </w:rPr>
      </w:pPr>
    </w:p>
    <w:p>
      <w:pPr>
        <w:jc w:val="both"/>
        <w:ind w:right="20" w:firstLine="387"/>
        <w:spacing w:after="0" w:line="332" w:lineRule="auto"/>
        <w:rPr>
          <w:sz w:val="20"/>
          <w:szCs w:val="20"/>
          <w:color w:val="auto"/>
        </w:rPr>
      </w:pPr>
      <w:r>
        <w:rPr>
          <w:rFonts w:ascii="Arial" w:cs="Arial" w:eastAsia="Arial" w:hAnsi="Arial"/>
          <w:sz w:val="16"/>
          <w:szCs w:val="16"/>
          <w:color w:val="auto"/>
        </w:rPr>
        <w:t>Consistent with the guiding principles that call for a 50-50 split in the value of the award, one-half with respect to time-based restricted shares and one-half with respect to performance-based shares, the Committee awarded Mr. Appleton the following number of shares, calculated as follows:</w:t>
      </w:r>
    </w:p>
    <w:p>
      <w:pPr>
        <w:spacing w:after="0" w:line="15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$3,250,000/$10.75 (the fair market value on the date of grant) = 302,326 shares;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$3,250,000/$8.60 (the above price per share discounted by 20% due to the performance-based restrictions) = 377,907 shares</w:t>
      </w:r>
    </w:p>
    <w:p>
      <w:pPr>
        <w:spacing w:after="0" w:line="225"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6"/>
          <w:szCs w:val="16"/>
          <w:color w:val="auto"/>
        </w:rPr>
        <w:t>The time-based share amounts (302,326) can be found listed in the column "Stock Awards: Number of Shares of Stock or Units" of the "Grants of Plan-Based Awards" table. The performance-based share amounts (377,907) can be found listed in the column "Estimated Future Payouts under Equity Incentive Plan Awards-Target" of the "Grants of Plan-Based Awards" table. Value differences between the amounts stated above and what is found in the table are attributable to the 20% discount applied to the performance-based shares and the SFAS No. 123(R) fair valuation method.</w:t>
      </w:r>
    </w:p>
    <w:p>
      <w:pPr>
        <w:spacing w:after="0" w:line="167"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Upon recommendation by the chief executive officer and following a performance appraisal by him of each of the other Named Executive Officers, the Committee approved long-term incentive opportunities for fiscal 2008, all of which fell between the 25th and 75th percentile of the Market Data for their position or rank. The share amounts for the Named Executive Officers other than Mr. Appleton were calculated in the same fashion and appear in the same columns as were used for Mr. Appleton in the "Grants of Plan-Based Awards" table.</w:t>
      </w:r>
    </w:p>
    <w:p>
      <w:pPr>
        <w:spacing w:after="0" w:line="197"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The Company has not and does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(which typically occurs within approximately one week of the Company's announcement of its results for the fiscal year). Historically, long-term incentive grants to the Named Executive Officers are approved by the Committee on the same day as the grants to other officers and the exercise price of stock options is equal to the fair market value of the Company's Common Stock as defined by the applicable Company equity plan pursuant to which the award is granted. For purposes of the Company's equity plans, fair market value is defined as the average closing price as quoted on the NYSE for the last market trading day prior to the date of grant.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fiscal 2008 employee benefits</w:t>
      </w:r>
    </w:p>
    <w:p>
      <w:pPr>
        <w:spacing w:after="0" w:line="225"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The Company provides medical, dental, disability, life insurance and defined contribution retirement benefit programs, in which substantially all employees, including the Named Executive Officers, are entitled to participate. The role of these plans is to provide a competitive level of health, welfare, and retirement benefits to substantially all employees.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jc w:val="both"/>
        <w:ind w:firstLine="486"/>
        <w:spacing w:after="0" w:line="255" w:lineRule="auto"/>
        <w:rPr>
          <w:sz w:val="20"/>
          <w:szCs w:val="20"/>
          <w:color w:val="auto"/>
        </w:rPr>
      </w:pPr>
      <w:r>
        <w:rPr>
          <w:rFonts w:ascii="Arial" w:cs="Arial" w:eastAsia="Arial" w:hAnsi="Arial"/>
          <w:sz w:val="18"/>
          <w:szCs w:val="18"/>
          <w:i w:val="1"/>
          <w:iCs w:val="1"/>
          <w:color w:val="auto"/>
        </w:rPr>
        <w:t xml:space="preserve">Time off with Pay. </w:t>
      </w:r>
      <w:r>
        <w:rPr>
          <w:rFonts w:ascii="Arial" w:cs="Arial" w:eastAsia="Arial" w:hAnsi="Arial"/>
          <w:sz w:val="18"/>
          <w:szCs w:val="18"/>
          <w:color w:val="auto"/>
        </w:rPr>
        <w:t>In addition to cash and equity compensation programs, the Named Executive Officers participate in various other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plans, including, but not limited to, a time-off plan. Under the time-off plan, all employees of the Company, including the Named Executive Officers, are allowed to accumulate up to 999 hours of time-off to be used for vacation, holiday, sick time, emergencies and personal needs. Amounts accumulated in excess of 999 hours, if any, are paid out as regular compensation to participants, including the Named Executive Officers, and, with respect to the latter are included in the "Summary Compensation Table."</w:t>
      </w:r>
    </w:p>
    <w:p>
      <w:pPr>
        <w:spacing w:after="0" w:line="197"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i w:val="1"/>
          <w:iCs w:val="1"/>
          <w:color w:val="auto"/>
        </w:rPr>
        <w:t xml:space="preserve">401(k) Retirement Benefits. </w:t>
      </w:r>
      <w:r>
        <w:rPr>
          <w:rFonts w:ascii="Arial" w:cs="Arial" w:eastAsia="Arial" w:hAnsi="Arial"/>
          <w:sz w:val="16"/>
          <w:szCs w:val="16"/>
          <w:color w:val="auto"/>
        </w:rPr>
        <w:t>The Company provides retirement benefits to its employees, including the Named Executive Officers, under its tax-qualified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In fiscal 2008, the Company made discretionary matching contributions on behalf of each participant equal to 4% of annual eligible earnings or $2,000, whichever was greater. The Named Executive Officers participate in the 401(k) Plan on the same terms as all other Company employees.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We have established stock ownership guidelines for our officers and directors. The Committee believes that officers will more effectively manage the Company in the best interests of the shareholders if they are also shareholders. The minimum ownership guideline for officers ranges from 10,000 to 90,000 shares, depending on the officer's position with the Company. Officers are given five years to meet the ownership guidelines. Sales restrictions may be imposed upon the Company's officers and directors if the stock ownership guidelines are not met.</w:t>
      </w:r>
    </w:p>
    <w:p>
      <w:pPr>
        <w:spacing w:after="0" w:line="167"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The Committee reviews the Ownership Guidelines at least annually and monitors each covered executive's progress toward, and continued compliance with, the guidelines. For fiscal 2008, all officers were in compliance with the guidelines.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31" w:lineRule="exact"/>
        <w:rPr>
          <w:sz w:val="20"/>
          <w:szCs w:val="20"/>
          <w:color w:val="auto"/>
        </w:rPr>
      </w:pPr>
    </w:p>
    <w:p>
      <w:pPr>
        <w:jc w:val="both"/>
        <w:ind w:firstLine="524"/>
        <w:spacing w:after="0" w:line="288"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 million paid to the Named Executive Officers. Qualifying performance-based compensation is not subject to the deduction limit if certain requirements are met. Historically, we have structured the key component of our long-term incentives in the form of stock option grants or performance-based restricted stock awards to comply with the statute. Awards under the Company's EIP are also generally designed to comply with the statute. Although the Committee believes it is important to preserve the deductibility of compensation under Section 162(m) whenever practicable, it reserves the right to grant or approve compensation or awards that may be non-deductible when it believes such compensation or awards are in the best interests of the Company and its shareholders. For fiscal 2008, the Committee believes the EIP payments complied with Section 162(m) and that the lapse of restrictions on the performance-based restricted shares, if ever, should comply with Section 162(m) at the time of lapse. Other tax consequences, whether to the Named Executive Officer or to the Company, did not influence an initial recommendation or change in an award or compensation for fiscal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Implications of our Executive Compensation Program</w:t>
      </w:r>
    </w:p>
    <w:p>
      <w:pPr>
        <w:spacing w:after="0" w:line="231"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We recognize expense for our stock compensation plans using the fair value method in accordance with the adoption in 2006 of SFAS No. 123(R). Prior to fiscal 2006, we have recorded our compensation cost in accordance with APB Opinion No. 25, "Accounting for Stock Issued to Employees," which did not require the recording of an expense for stock options if they were granted at a price equal to the fair market value of our common stock on the grant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Severance Agreements</w:t>
      </w:r>
    </w:p>
    <w:p>
      <w:pPr>
        <w:spacing w:after="0" w:line="231" w:lineRule="exact"/>
        <w:rPr>
          <w:sz w:val="20"/>
          <w:szCs w:val="20"/>
          <w:color w:val="auto"/>
        </w:rPr>
      </w:pPr>
    </w:p>
    <w:p>
      <w:pPr>
        <w:jc w:val="both"/>
        <w:ind w:firstLine="371"/>
        <w:spacing w:after="0" w:line="291" w:lineRule="auto"/>
        <w:rPr>
          <w:sz w:val="20"/>
          <w:szCs w:val="20"/>
          <w:color w:val="auto"/>
        </w:rPr>
      </w:pPr>
      <w:r>
        <w:rPr>
          <w:rFonts w:ascii="Arial" w:cs="Arial" w:eastAsia="Arial" w:hAnsi="Arial"/>
          <w:sz w:val="16"/>
          <w:szCs w:val="16"/>
          <w:color w:val="auto"/>
        </w:rPr>
        <w:t>We have historically approved severance agreements for each of the Company's Named Executive Officers. In general, they provide for severance payments upon termination of employment with the Company for any reason, including death, voluntary or involuntary termination, or termination with or without cause. We believe severance agreements are in the best interests of the Company and its shareholders because we believe they are necessary to attract and maintain qualified executive talent, promote candid discussion among the officers of the Company, help provide for a smooth transition when there is a change in management, provide the officer with benefits in consideration of a promise not to compete with the Company after termination of employment with the Company and release the Company, officers, directors, employees and agents from any and all claims.</w:t>
      </w:r>
    </w:p>
    <w:p>
      <w:pPr>
        <w:spacing w:after="0" w:line="17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Each of our Named Executive Officers has a severance agreement in place with the Company (the "Severance Agreements"). The Severance Agreements provide for a "Transition Period," which begins upon a "separation of service" as defined in Section 409A of the Code, regardless of when a termination of employment or loss of officer status occurs, and ends after a period of one year, except with regard to Messrs. Stover and Foster. Mr. Stover's Severance Agreement provided for a Transition Period of 184 days plus the number of hours Mr. Stover had accrued under the Company's time off plan, which resulted in Mr. Stover's Transition Period being slightly less than one year. Mr. Foster's Severance Agreement provides that during the first two years of his employment with the Company, his one-year Transition Period shall be extended by an additional two years, provided, however that the additional two years will be reduced over his first two years of service on a daily basis, pro rata, so that the standard one-year Transition Period applies at the end of such two years. In addition, if Mr. Foster chooses to leave the Company voluntarily during his first two years of service, the additional two-year extension, or remaining pro-rata amount thereof, will automatically be eliminated. The Compensation Committee reviewed and approved the terms of Mr. Foster's Severance Agreement in connection with Mr. Foster's hiring.</w:t>
      </w:r>
    </w:p>
    <w:p>
      <w:pPr>
        <w:spacing w:after="0" w:line="177" w:lineRule="exact"/>
        <w:rPr>
          <w:sz w:val="20"/>
          <w:szCs w:val="20"/>
          <w:color w:val="auto"/>
        </w:rPr>
      </w:pPr>
    </w:p>
    <w:p>
      <w:pPr>
        <w:jc w:val="both"/>
        <w:ind w:firstLine="426"/>
        <w:spacing w:after="0" w:line="288" w:lineRule="auto"/>
        <w:rPr>
          <w:sz w:val="20"/>
          <w:szCs w:val="20"/>
          <w:color w:val="auto"/>
        </w:rPr>
      </w:pPr>
      <w:r>
        <w:rPr>
          <w:rFonts w:ascii="Arial" w:cs="Arial" w:eastAsia="Arial" w:hAnsi="Arial"/>
          <w:sz w:val="16"/>
          <w:szCs w:val="16"/>
          <w:color w:val="auto"/>
        </w:rPr>
        <w:t>Provided an officer complies with post-employment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bonuses, executive bonuses, benefits and continued vesting of any granted stock options and restricted shares. With respect to short-term incentive awards and long-term equity awards that are performance-based, the officer is entitled to receive such awards only if the goals are achieved prior to or during the applicable Transition Period. Such terminated officers are not entitled to receive any new awards under the Company's equity plans or EIP or to the payment of any compensation that would be deferred past the Transition Period due to payment criteria of an incentive program, as those criteria exist as of the Termination Date. Pursuant to Mr. Stover's severance agreement, restrictions as to 26,467 shares of restricted stock were scheduled to lapse during his Transition Period. In connection with his resignation and in recognition of his approximately 20 years of service with the Company, the Committee accelerated the lapsing of restrictions as to these shares and an additional 19,600 shares of restricted stock held by Mr. Stover.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Terminated officers are subject to the following restrictions:</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one year noncompetition obligation.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Confidentiality obligations related to the Company's proprietary and confidential information that last indefinitely.</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nondisparagement and confidentiality obligation surrounding the reasons for, and circumstances of, the officer's termination of employment or change in officer status that lasts indefinitely. However, the Company may disclose such information as it determines, in its sole discretion, is either required by law to be disclosed or necessary to be disclosed to serve a valid business purpose.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the Company's employees and business partners.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Upon receipt of all benefits under the Severance Agreement, the officer and Company are considered to have settled, waived, and voluntarily released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194"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The amounts payable to Mr. Stover in connection with his resignation and amounts that would be paid to the Named Executive Officers under the Severance Agreements assuming they had terminated employment with the Company as of our fiscal year end, August 28, 2008, can be found in the table Voluntary or Involuntary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Arrangements</w:t>
      </w:r>
    </w:p>
    <w:p>
      <w:pPr>
        <w:spacing w:after="0" w:line="231"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8"/>
          <w:szCs w:val="18"/>
          <w:color w:val="auto"/>
        </w:rPr>
        <w:t>The Company does not have separate change-in-control arrangements for its executive officers or directors. The severance agreements described above, including the Severance Agreements, provide for transitional benefits in the event of termination of employment, regardless of the reason for the termination, including a change in control. In addition, under the terms of the Company's equity compensation plans, equity awards may be substituted, assumed or accelerated upon a change in control, depending upon the circumstances.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Dr. Teruaki Aoki</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N. Mondry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No members of the Compensation Committee (Dr. Aoki and Mr. Mondry) are or have been officers or employees of the Company or any of its subsidiaries. During fiscal 2008, no executive officer of the Company served on the compensation committee (or equivalent), or the board of directors of another entity whose executive officer(s) served on the Company's Compensation Committee or on the board of directors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FISCAL 2008 SUMMARY COMPENSATION 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total compensation earned by the Company's Named Executive Officers in fiscal 2008 and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5"/>
              </w:rPr>
              <w:t>Incentive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86"/>
              <w:spacing w:after="0" w:line="149"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2"/>
                <w:szCs w:val="12"/>
                <w:color w:val="auto"/>
              </w:rPr>
            </w:pPr>
          </w:p>
        </w:tc>
        <w:tc>
          <w:tcPr>
            <w:tcW w:w="7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b w:val="1"/>
                <w:bCs w:val="1"/>
                <w:color w:val="auto"/>
                <w:w w:val="96"/>
              </w:rPr>
              <w:t>Name and Principal Position</w:t>
            </w:r>
          </w:p>
        </w:tc>
        <w:tc>
          <w:tcPr>
            <w:tcW w:w="2160" w:type="dxa"/>
            <w:vAlign w:val="bottom"/>
            <w:gridSpan w:val="2"/>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700" w:type="dxa"/>
            <w:vAlign w:val="bottom"/>
          </w:tcPr>
          <w:p>
            <w:pPr>
              <w:jc w:val="right"/>
              <w:ind w:right="82"/>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820" w:type="dxa"/>
            <w:vAlign w:val="bottom"/>
          </w:tcPr>
          <w:p>
            <w:pPr>
              <w:jc w:val="right"/>
              <w:ind w:right="46"/>
              <w:spacing w:after="0"/>
              <w:rPr>
                <w:sz w:val="20"/>
                <w:szCs w:val="20"/>
                <w:color w:val="auto"/>
              </w:rPr>
            </w:pPr>
            <w:r>
              <w:rPr>
                <w:rFonts w:ascii="Arial" w:cs="Arial" w:eastAsia="Arial" w:hAnsi="Arial"/>
                <w:sz w:val="14"/>
                <w:szCs w:val="14"/>
                <w:b w:val="1"/>
                <w:bCs w:val="1"/>
                <w:color w:val="auto"/>
              </w:rPr>
              <w:t>Awards(1)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Awards(1)</w:t>
            </w:r>
          </w:p>
        </w:tc>
        <w:tc>
          <w:tcPr>
            <w:tcW w:w="1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Compensation(2)</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Compensation(3)</w:t>
            </w:r>
          </w:p>
        </w:tc>
        <w:tc>
          <w:tcPr>
            <w:tcW w:w="180" w:type="dxa"/>
            <w:vAlign w:val="bottom"/>
          </w:tcPr>
          <w:p>
            <w:pPr>
              <w:spacing w:after="0"/>
              <w:rPr>
                <w:sz w:val="14"/>
                <w:szCs w:val="14"/>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 w:type="dxa"/>
            <w:vAlign w:val="bottom"/>
            <w:vMerge w:val="continue"/>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2160" w:type="dxa"/>
            <w:vAlign w:val="bottom"/>
            <w:gridSpan w:val="2"/>
            <w:shd w:val="clear" w:color="auto" w:fill="CCEEFF"/>
          </w:tcPr>
          <w:p>
            <w:pPr>
              <w:spacing w:after="0"/>
              <w:rPr>
                <w:sz w:val="17"/>
                <w:szCs w:val="17"/>
                <w:color w:val="auto"/>
              </w:rPr>
            </w:pPr>
          </w:p>
        </w:tc>
        <w:tc>
          <w:tcPr>
            <w:tcW w:w="4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4"/>
              </w:rPr>
              <w:t>2008</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$ 950,000</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$ 2,187,977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49,392</w:t>
            </w:r>
          </w:p>
        </w:tc>
        <w:tc>
          <w:tcPr>
            <w:tcW w:w="9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$3,187,369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 (Principal Executive</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948,169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2,334,443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Ronald C. Foster(4)</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186,923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156,376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72,550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102,031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520,875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1,038,755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w w:val="95"/>
              </w:rPr>
              <w:t>Chief Financial Officer (Principal Financial Officer)</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2007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1,302,354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Operating Officer</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515,115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1,325,986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2,066,508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368,000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434,036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466,795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1,347,634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Vice President of Worldwide Sales</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342,000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505,607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498,677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1,427,408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581,054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Memory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1,428,943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W. G. Stover, Jr.(5)</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320,136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441,437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874,073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Former Chief Financial Officer</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449,870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502,953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127,080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1,119,633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540" w:hanging="532"/>
        <w:spacing w:after="0" w:line="290"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 shown is the expense recognized in the Company's audited annual financial statements under SFAS No. 123(R) for each Named Executive Officer's outstanding restricted stock and stock options. For option awards, assumptions used in determining the fair values are set forth in the "Equity Plans" notes to the Company's financial statements included in its annual reports on Form 10-K for fiscal 2008, 2007 and 2006, which are incorporated herein by reference. For stock awards, the expense shown is based solely on the fair value as of the date of grant, disregarding any assumptions as to estimated forfeitures based on continued service. No other assumptions are used in the expense calculation for the stock awards. Under the Company's equity plans, fair market value is defined as the average closing price on the last trading day prior to the date of grant. Any dividends payable with respect to the Company's Common Stock will be payable with respect to all awards of restricted stock.</w:t>
      </w:r>
    </w:p>
    <w:p>
      <w:pPr>
        <w:spacing w:after="0" w:line="199" w:lineRule="exact"/>
        <w:rPr>
          <w:rFonts w:ascii="Arial" w:cs="Arial" w:eastAsia="Arial" w:hAnsi="Arial"/>
          <w:sz w:val="16"/>
          <w:szCs w:val="16"/>
          <w:color w:val="auto"/>
        </w:rPr>
      </w:pPr>
    </w:p>
    <w:p>
      <w:pPr>
        <w:ind w:left="540" w:hanging="532"/>
        <w:spacing w:after="0" w:line="332"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amounts shown were paid pursuant to the Executive Officer Incentive Plan ("EIP") and relate to the achievement of certain performance milestones. In light of the Company's financial results, in fiscal 2008 and 2007, Mr. Appleton declined amounts earned under the EIP.</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reflect the following compensation for each Named Executive Officer: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Matching contributions allocated by the Company to each of the Named Executive Officers pursuant to the Company's 401(k) retirement plan. For fiscal 2008, the contributions for Messrs. Appleton, Durcan, Shirley and Adams were $9,200 and the contribution for Mr. Foster was $2,013. The contributions for each of the Named Executive Officers for fiscal 2007 were $9,000.</w:t>
      </w:r>
    </w:p>
    <w:p>
      <w:pPr>
        <w:spacing w:after="0" w:line="187"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fiscal 2007, the Company made return on equity contributions to employees 401(k) accounts based on the Company's return of equity ("ROE"). The ROE contribution for each of the Named Executive Officers was $1,284. The Company eliminated the ROE contribution after fiscal 2007.</w:t>
      </w:r>
    </w:p>
    <w:p>
      <w:pPr>
        <w:spacing w:after="0" w:line="207"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Under the Company's time-off plan, unused time off in excess of 999 hours cannot be carried forward and is paid out in cash. Amounts paid to Messrs. Appleton and Stover in fiscal 2008 under the time-off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1620" w:right="20"/>
        <w:spacing w:after="0" w:line="268" w:lineRule="auto"/>
        <w:rPr>
          <w:sz w:val="20"/>
          <w:szCs w:val="20"/>
          <w:color w:val="auto"/>
        </w:rPr>
      </w:pPr>
      <w:r>
        <w:rPr>
          <w:rFonts w:ascii="Arial" w:cs="Arial" w:eastAsia="Arial" w:hAnsi="Arial"/>
          <w:sz w:val="18"/>
          <w:szCs w:val="18"/>
          <w:color w:val="auto"/>
        </w:rPr>
        <w:t>were $40,192 and $11,250, respectively. Amounts paid to Messrs. Appleton and Stover in fiscal 2007 under the time-off plan were $52,873 and $18,173, respectively.</w:t>
      </w:r>
    </w:p>
    <w:p>
      <w:pPr>
        <w:spacing w:after="0" w:line="199" w:lineRule="exact"/>
        <w:rPr>
          <w:sz w:val="20"/>
          <w:szCs w:val="20"/>
          <w:color w:val="auto"/>
        </w:rPr>
      </w:pPr>
    </w:p>
    <w:p>
      <w:pPr>
        <w:jc w:val="both"/>
        <w:ind w:left="1620" w:right="20" w:hanging="532"/>
        <w:spacing w:after="0" w:line="259"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Mr. Foster received a signing bonus of $50,000 for joining the Company and was reimbursed for relocation expenses of $253,891 related to his move from California to Idaho. Also included in Mr. Foster's amount are taxes associated with the signing bonus and relocation expenses in the amounts of $50,260 and $164,711, respectively.</w:t>
      </w:r>
    </w:p>
    <w:p>
      <w:pPr>
        <w:spacing w:after="0" w:line="221"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Mr. Stover left the Company in November 2007 and during fiscal 2008 earned severance payments aggregating $430,187 in accordance with the terms of his severance agreement.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Foster joined the Company as Chief Financial Officer in April 1, 2008. Mr. Foster's base salary for fiscal 2008 was $450,000. Amount shown reflects prorated salary for fiscal 2008.</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Stover served as the Company's Chief Financial Officer during a portion of fiscal 2008 (September 2007 through November 2007). In connection with his departure from the Company, an expense of $207,623 for the accelerated vesting of 46,067 restricted shares was recognized by the Company.</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 IN FISCAL 2008</w:t>
      </w:r>
    </w:p>
    <w:p>
      <w:pPr>
        <w:spacing w:after="0" w:line="231" w:lineRule="exact"/>
        <w:rPr>
          <w:sz w:val="20"/>
          <w:szCs w:val="20"/>
          <w:color w:val="auto"/>
        </w:rPr>
      </w:pPr>
    </w:p>
    <w:p>
      <w:pPr>
        <w:ind w:firstLine="453"/>
        <w:spacing w:after="0" w:line="268" w:lineRule="auto"/>
        <w:rPr>
          <w:sz w:val="20"/>
          <w:szCs w:val="20"/>
          <w:color w:val="auto"/>
        </w:rPr>
      </w:pPr>
      <w:r>
        <w:rPr>
          <w:rFonts w:ascii="Arial" w:cs="Arial" w:eastAsia="Arial" w:hAnsi="Arial"/>
          <w:sz w:val="18"/>
          <w:szCs w:val="18"/>
          <w:color w:val="auto"/>
        </w:rPr>
        <w:t>The table below sets forth the plan-based award grants to the Company's Named Executive Officers in fiscal 2008. W. G. Stover, the Company's former Chief Financial Officer did not receive any plan-based awards in fiscal 2008.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14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7"/>
              </w:rPr>
              <w:t>Non-Equity Incentive Plan</w:t>
            </w:r>
          </w:p>
        </w:tc>
        <w:tc>
          <w:tcPr>
            <w:tcW w:w="14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1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5"/>
              </w:rPr>
              <w:t>Awards(1)</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Plan Awards(2)</w:t>
            </w: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Number</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Close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w w:val="98"/>
              </w:rPr>
              <w:t>of Shares</w:t>
            </w: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Stock</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40" w:type="dxa"/>
            <w:vAlign w:val="bottom"/>
          </w:tcPr>
          <w:p>
            <w:pPr>
              <w:spacing w:after="0"/>
              <w:rPr>
                <w:sz w:val="12"/>
                <w:szCs w:val="12"/>
                <w:color w:val="auto"/>
              </w:rPr>
            </w:pPr>
          </w:p>
        </w:tc>
        <w:tc>
          <w:tcPr>
            <w:tcW w:w="13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Grant Date Fair Value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Plan</w:t>
            </w: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Grant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or</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Price of</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40" w:type="dxa"/>
            <w:vAlign w:val="bottom"/>
          </w:tcPr>
          <w:p>
            <w:pPr>
              <w:spacing w:after="0"/>
              <w:rPr>
                <w:sz w:val="12"/>
                <w:szCs w:val="12"/>
                <w:color w:val="auto"/>
              </w:rPr>
            </w:pPr>
          </w:p>
        </w:tc>
        <w:tc>
          <w:tcPr>
            <w:tcW w:w="13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of Stock (or units) and</w:t>
            </w:r>
          </w:p>
        </w:tc>
        <w:tc>
          <w:tcPr>
            <w:tcW w:w="0" w:type="dxa"/>
            <w:vAlign w:val="bottom"/>
          </w:tcPr>
          <w:p>
            <w:pPr>
              <w:spacing w:after="0"/>
              <w:rPr>
                <w:sz w:val="1"/>
                <w:szCs w:val="1"/>
                <w:color w:val="auto"/>
              </w:rPr>
            </w:pPr>
          </w:p>
        </w:tc>
      </w:tr>
      <w:tr>
        <w:trPr>
          <w:trHeight w:val="18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Target</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Max</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Units(3)</w:t>
            </w:r>
          </w:p>
        </w:tc>
        <w:tc>
          <w:tcPr>
            <w:tcW w:w="16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Underlying Options</w:t>
            </w:r>
          </w:p>
        </w:tc>
        <w:tc>
          <w:tcPr>
            <w:tcW w:w="14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3"/>
              </w:rPr>
              <w:t>Option(4)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0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w w:val="74"/>
              </w:rPr>
              <w:t>Steven</w:t>
            </w:r>
          </w:p>
        </w:tc>
        <w:tc>
          <w:tcPr>
            <w:tcW w:w="840" w:type="dxa"/>
            <w:vAlign w:val="bottom"/>
            <w:tcBorders>
              <w:top w:val="single" w:sz="8" w:color="CCEEFF"/>
            </w:tcBorders>
            <w:shd w:val="clear" w:color="auto" w:fill="CCEEFF"/>
          </w:tcPr>
          <w:p>
            <w:pPr>
              <w:ind w:left="100"/>
              <w:spacing w:after="0" w:line="111" w:lineRule="exact"/>
              <w:rPr>
                <w:sz w:val="20"/>
                <w:szCs w:val="20"/>
                <w:color w:val="auto"/>
              </w:rPr>
            </w:pPr>
            <w:r>
              <w:rPr>
                <w:rFonts w:ascii="Arial" w:cs="Arial" w:eastAsia="Arial" w:hAnsi="Arial"/>
                <w:sz w:val="12"/>
                <w:szCs w:val="12"/>
                <w:color w:val="auto"/>
              </w:rPr>
              <w:t>R.</w:t>
            </w:r>
          </w:p>
        </w:tc>
        <w:tc>
          <w:tcPr>
            <w:tcW w:w="740" w:type="dxa"/>
            <w:vAlign w:val="bottom"/>
            <w:tcBorders>
              <w:top w:val="single" w:sz="8" w:color="CCEEFF"/>
            </w:tcBorders>
            <w:gridSpan w:val="2"/>
            <w:shd w:val="clear" w:color="auto" w:fill="CCEEFF"/>
          </w:tcPr>
          <w:p>
            <w:pPr>
              <w:jc w:val="right"/>
              <w:ind w:right="140"/>
              <w:spacing w:after="0" w:line="111" w:lineRule="exact"/>
              <w:rPr>
                <w:sz w:val="20"/>
                <w:szCs w:val="20"/>
                <w:color w:val="auto"/>
              </w:rPr>
            </w:pPr>
            <w:r>
              <w:rPr>
                <w:rFonts w:ascii="Arial" w:cs="Arial" w:eastAsia="Arial" w:hAnsi="Arial"/>
                <w:sz w:val="12"/>
                <w:szCs w:val="12"/>
                <w:color w:val="auto"/>
              </w:rPr>
              <w:t>2004 Plan</w:t>
            </w:r>
          </w:p>
        </w:tc>
        <w:tc>
          <w:tcPr>
            <w:tcW w:w="680" w:type="dxa"/>
            <w:vAlign w:val="bottom"/>
            <w:tcBorders>
              <w:top w:val="single" w:sz="8" w:color="CCEEFF"/>
            </w:tcBorders>
            <w:gridSpan w:val="2"/>
            <w:shd w:val="clear" w:color="auto" w:fill="CCEEFF"/>
          </w:tcPr>
          <w:p>
            <w:pPr>
              <w:jc w:val="right"/>
              <w:ind w:right="140"/>
              <w:spacing w:after="0" w:line="111" w:lineRule="exact"/>
              <w:rPr>
                <w:sz w:val="20"/>
                <w:szCs w:val="20"/>
                <w:color w:val="auto"/>
              </w:rPr>
            </w:pPr>
            <w:r>
              <w:rPr>
                <w:rFonts w:ascii="Arial" w:cs="Arial" w:eastAsia="Arial" w:hAnsi="Arial"/>
                <w:sz w:val="12"/>
                <w:szCs w:val="12"/>
                <w:color w:val="auto"/>
              </w:rPr>
              <w:t>10/09/07</w:t>
            </w:r>
          </w:p>
        </w:tc>
        <w:tc>
          <w:tcPr>
            <w:tcW w:w="4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302,326</w:t>
            </w:r>
          </w:p>
        </w:tc>
        <w:tc>
          <w:tcPr>
            <w:tcW w:w="16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$ 10.64</w:t>
            </w:r>
          </w:p>
        </w:tc>
        <w:tc>
          <w:tcPr>
            <w:tcW w:w="360" w:type="dxa"/>
            <w:vAlign w:val="bottom"/>
            <w:tcBorders>
              <w:top w:val="single" w:sz="8" w:color="CCEEFF"/>
            </w:tcBorders>
            <w:gridSpan w:val="2"/>
            <w:shd w:val="clear" w:color="auto" w:fill="CCEEFF"/>
          </w:tcPr>
          <w:p>
            <w:pPr>
              <w:jc w:val="right"/>
              <w:ind w:right="72"/>
              <w:spacing w:after="0" w:line="111"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3,250,005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Appleton</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2004 Plan</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10/09/07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188,954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377,907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Chief Executive</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EIP</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10/09/07</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$1,068,750</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$2,493,750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Officer</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140" w:type="dxa"/>
            <w:vAlign w:val="bottom"/>
            <w:gridSpan w:val="2"/>
          </w:tcPr>
          <w:p>
            <w:pPr>
              <w:spacing w:after="0"/>
              <w:rPr>
                <w:sz w:val="20"/>
                <w:szCs w:val="20"/>
                <w:color w:val="auto"/>
              </w:rPr>
            </w:pPr>
            <w:r>
              <w:rPr>
                <w:rFonts w:ascii="Arial" w:cs="Arial" w:eastAsia="Arial" w:hAnsi="Arial"/>
                <w:sz w:val="14"/>
                <w:szCs w:val="14"/>
                <w:color w:val="auto"/>
              </w:rPr>
              <w:t>Ronald C. Foster</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2004 Plan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4/1/2008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$ 5.97</w:t>
            </w:r>
          </w:p>
        </w:tc>
        <w:tc>
          <w:tcPr>
            <w:tcW w:w="460" w:type="dxa"/>
            <w:vAlign w:val="bottom"/>
          </w:tcPr>
          <w:p>
            <w:pPr>
              <w:jc w:val="right"/>
              <w:spacing w:after="0"/>
              <w:rPr>
                <w:sz w:val="20"/>
                <w:szCs w:val="20"/>
                <w:color w:val="auto"/>
              </w:rPr>
            </w:pPr>
            <w:r>
              <w:rPr>
                <w:rFonts w:ascii="Arial" w:cs="Arial" w:eastAsia="Arial" w:hAnsi="Arial"/>
                <w:sz w:val="14"/>
                <w:szCs w:val="14"/>
                <w:color w:val="auto"/>
              </w:rPr>
              <w:t>6.00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740,515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Chief Financial</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2004 Plan</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4/1/2008</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83,753</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500,005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Officer</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2004 Plan</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4/1/2008</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101,250</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168,750</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303,750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52,346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104,691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625,005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EIP</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5"/>
              </w:rPr>
              <w:t>4/1/2008</w:t>
            </w:r>
          </w:p>
        </w:tc>
        <w:tc>
          <w:tcPr>
            <w:tcW w:w="60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 Mark Durcan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2004 Plan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10/08/07</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138,889</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1,500,001</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 and</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2004 Plan</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10/08/07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86,806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173,612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1,875,010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Chief Operating</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EIP</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10/08/07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522,000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720,000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1,260,000</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Officer</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140" w:type="dxa"/>
            <w:vAlign w:val="bottom"/>
            <w:gridSpan w:val="2"/>
          </w:tcPr>
          <w:p>
            <w:pPr>
              <w:spacing w:after="0"/>
              <w:rPr>
                <w:sz w:val="20"/>
                <w:szCs w:val="20"/>
                <w:color w:val="auto"/>
              </w:rPr>
            </w:pPr>
            <w:r>
              <w:rPr>
                <w:rFonts w:ascii="Arial" w:cs="Arial" w:eastAsia="Arial" w:hAnsi="Arial"/>
                <w:sz w:val="14"/>
                <w:szCs w:val="14"/>
                <w:color w:val="auto"/>
              </w:rPr>
              <w:t>Mark W. Adams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2004 Plan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10/08/07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37,038</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10.75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Vice President of</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2004 Plan</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10/08/07</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23,149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46,297</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500,008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gridSpan w:val="2"/>
          </w:tcPr>
          <w:p>
            <w:pPr>
              <w:ind w:left="120"/>
              <w:spacing w:after="0"/>
              <w:rPr>
                <w:sz w:val="20"/>
                <w:szCs w:val="20"/>
                <w:color w:val="auto"/>
              </w:rPr>
            </w:pPr>
            <w:r>
              <w:rPr>
                <w:rFonts w:ascii="Arial" w:cs="Arial" w:eastAsia="Arial" w:hAnsi="Arial"/>
                <w:sz w:val="14"/>
                <w:szCs w:val="14"/>
                <w:color w:val="auto"/>
                <w:w w:val="95"/>
              </w:rPr>
              <w:t>Worldwide Sales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EIP</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10/08/07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177,600</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296,000</w:t>
            </w:r>
          </w:p>
        </w:tc>
        <w:tc>
          <w:tcPr>
            <w:tcW w:w="600" w:type="dxa"/>
            <w:vAlign w:val="bottom"/>
          </w:tcPr>
          <w:p>
            <w:pPr>
              <w:jc w:val="right"/>
              <w:spacing w:after="0"/>
              <w:rPr>
                <w:sz w:val="20"/>
                <w:szCs w:val="20"/>
                <w:color w:val="auto"/>
              </w:rPr>
            </w:pPr>
            <w:r>
              <w:rPr>
                <w:rFonts w:ascii="Arial" w:cs="Arial" w:eastAsia="Arial" w:hAnsi="Arial"/>
                <w:sz w:val="14"/>
                <w:szCs w:val="14"/>
                <w:color w:val="auto"/>
              </w:rPr>
              <w:t>532,800</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2004 Plan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10/08/07</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69,445</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750,006</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Vice President of</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2004 Plan</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10/08/07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43,403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86,806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Memory</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EIP</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10/08/07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237,600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352,000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545,600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540" w:hanging="532"/>
        <w:spacing w:after="0" w:line="233"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bonuses set in fiscal 2008 under the Executive Officer Incentive Plan ("EIP"). Payment of bonuses under the EIP is dependent upon meeting specified performance goals. Target amounts represent the aggregate amount that would be paid upon the successful achievement of each goal assigned to the Named Executive Officer. Actual amounts paid pursuant to these bonuses are included in the Summary Compensation Table under the heading "Non-equity Incentive Plan Compensation."</w:t>
      </w:r>
    </w:p>
    <w:p>
      <w:pPr>
        <w:spacing w:after="0" w:line="111" w:lineRule="exact"/>
        <w:rPr>
          <w:rFonts w:ascii="Arial" w:cs="Arial" w:eastAsia="Arial" w:hAnsi="Arial"/>
          <w:sz w:val="14"/>
          <w:szCs w:val="14"/>
          <w:color w:val="auto"/>
        </w:rPr>
      </w:pPr>
    </w:p>
    <w:p>
      <w:pPr>
        <w:ind w:left="540" w:hanging="532"/>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restricted stock awarded in fiscal 2008 under the 2004 Equity Incentive Plan (the "2004 Plan") with performance-based restrictions. Information related to the performance-based restrictions associated with these shares is contained in Compensation Discussion and Analysis. Target amounts represent the maximum number of shares that may be awarded.</w:t>
      </w:r>
    </w:p>
    <w:p>
      <w:pPr>
        <w:spacing w:after="0" w:line="66"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restricted stock awarded in fiscal 2008 under the 2004 Plan with time-based restrictions. Time-based restrictions lapse in four equal installments over a four year period from the date of the award.</w:t>
      </w:r>
    </w:p>
    <w:p>
      <w:pPr>
        <w:spacing w:after="0" w:line="111" w:lineRule="exact"/>
        <w:rPr>
          <w:rFonts w:ascii="Arial" w:cs="Arial" w:eastAsia="Arial" w:hAnsi="Arial"/>
          <w:sz w:val="14"/>
          <w:szCs w:val="14"/>
          <w:color w:val="auto"/>
        </w:rPr>
      </w:pPr>
    </w:p>
    <w:p>
      <w:pPr>
        <w:jc w:val="both"/>
        <w:ind w:left="540" w:hanging="532"/>
        <w:spacing w:after="0" w:line="270"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expense shown for stock awards is based solely on the fair value as of the date of grant, disregarding any assumptions as to estimated forfeitures based on continued service. No other assumptions are used in the expense calculation for the stock awards. Under the Company's equity plans fair market value is defined as the average closing price on the last trading day prior to the date of grant. For purposes of the Company's equity plans and the calculation of "Grant Date Fair Value," the fair market value of the Company's Common Stock on the dates of grant referenced in this table (October 8, 2007, October 9, 2007 and April 1, 2008) were $10.80, $10.75 and $5.97, respectively (the average closing prices on October 5, 2007, October 8, 2007, and March 31, 2008). The closing price of the Company's Common Stock on the dates of grant referenced in this table (October 8, 2007, October 9, 2007 and April 1, 2008) was $10.75, $10.64 and $6.00, respectively. Assumptions used in determining the fair values of these option awards is set forth in the "Equity Plans" notes to the Company's financial statements included in its annual reports on Form 10-K for fiscal 2008.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both"/>
        <w:ind w:firstLine="480"/>
        <w:spacing w:after="0" w:line="290" w:lineRule="auto"/>
        <w:rPr>
          <w:sz w:val="20"/>
          <w:szCs w:val="20"/>
          <w:color w:val="auto"/>
        </w:rPr>
      </w:pPr>
      <w:r>
        <w:rPr>
          <w:rFonts w:ascii="Arial" w:cs="Arial" w:eastAsia="Arial" w:hAnsi="Arial"/>
          <w:sz w:val="16"/>
          <w:szCs w:val="16"/>
          <w:b w:val="1"/>
          <w:bCs w:val="1"/>
          <w:color w:val="auto"/>
        </w:rPr>
        <w:t xml:space="preserve">Plan Information: </w:t>
      </w:r>
      <w:r>
        <w:rPr>
          <w:rFonts w:ascii="Arial" w:cs="Arial" w:eastAsia="Arial" w:hAnsi="Arial"/>
          <w:sz w:val="16"/>
          <w:szCs w:val="16"/>
          <w:color w:val="auto"/>
        </w:rPr>
        <w:t>In fiscal 2008, compensatory awards were made to the Named Executive Officers pursuant to the Executive Officer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"EIP") and the 2004 Equity Incentive Plan (the "2004 Plan"). The EIP was approved by the Company's shareholders in November 2004. The purpose of the EIP is to attract, retain and reward qualified executives who are important to the Company's success by providing cash awards for outstanding performance at the individual, business-unit and Company-wide level. The 2004 Plan was also approved by the Company's shareholders in November 2004. The purpose of the 2004 Plan is to promote the Company's success by linking the personal interests of its employees, officers, directors and consultants to those of the Company's shareholders, and by providing participants with an incentive for outstanding performance. Permissible awards under the 2004 Plan include: options, restricted stock, restricted stock units, stock appreciation rights, deferred stock units and dividend equivalent rights. The Company has issued options, restricted stock and restricted stock units under the 2004 Plan.</w:t>
      </w:r>
    </w:p>
    <w:p>
      <w:pPr>
        <w:spacing w:after="0" w:line="166" w:lineRule="exact"/>
        <w:rPr>
          <w:sz w:val="20"/>
          <w:szCs w:val="20"/>
          <w:color w:val="auto"/>
        </w:rPr>
      </w:pPr>
    </w:p>
    <w:p>
      <w:pPr>
        <w:jc w:val="both"/>
        <w:ind w:firstLine="403"/>
        <w:spacing w:after="0" w:line="256" w:lineRule="auto"/>
        <w:rPr>
          <w:sz w:val="20"/>
          <w:szCs w:val="20"/>
          <w:color w:val="auto"/>
        </w:rPr>
      </w:pPr>
      <w:r>
        <w:rPr>
          <w:rFonts w:ascii="Arial" w:cs="Arial" w:eastAsia="Arial" w:hAnsi="Arial"/>
          <w:sz w:val="18"/>
          <w:szCs w:val="18"/>
          <w:b w:val="1"/>
          <w:bCs w:val="1"/>
          <w:color w:val="auto"/>
        </w:rPr>
        <w:t xml:space="preserve">Lapsing of Restrictions Associated with Restricted Stock Awards: </w:t>
      </w:r>
      <w:r>
        <w:rPr>
          <w:rFonts w:ascii="Arial" w:cs="Arial" w:eastAsia="Arial" w:hAnsi="Arial"/>
          <w:sz w:val="18"/>
          <w:szCs w:val="18"/>
          <w:color w:val="auto"/>
        </w:rPr>
        <w:t>The restrictions associated with the restricted stock granted to the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include both time-based restrictions and performance-based restrictions. Time-based restrictions applicable to awards made in fiscal 2006 and 2005 lapse in three equal installments over a three-year period from the date of the award. Time-based restrictions applicable to awards made after fiscal 2006 lapse in four equal installments over a four-year period. For information on the restrictions associated with performance-based awards, see the 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Performance-Based Awards:</w:t>
      </w:r>
    </w:p>
    <w:p>
      <w:pPr>
        <w:spacing w:after="0" w:line="23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In fiscal 2007 and 2006, the Company's executive officers were granted restricted stock with performance-based restrictions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a minimum specified ROIC goal. While the executive officers have until the end of fiscal 2009 to achieve the performance goals associated with the shares granted in 2007, during fiscal 2008 it was determined that achievement of the goals was not probable and the expense the Company had previously recorded related to those shares was reversed. Similarly, in fiscal 2007 the expense related to the performance-based shares granted in fiscal 2006 was reversed when it was determined that the achievement of the ROIC goals associated with those shares was not probable. In fiscal 2009 the restricted shares granted in fiscal 2006 were in fact forfeited.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 the below are the expenses reversed in fiscal 2008 and 2007 for the Named Executive Officers and the number of shares related to the expense.</w:t>
      </w:r>
    </w:p>
    <w:p>
      <w:pPr>
        <w:spacing w:after="0" w:line="29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40" w:type="dxa"/>
            <w:vAlign w:val="bottom"/>
            <w:gridSpan w:val="4"/>
            <w:vMerge w:val="restart"/>
          </w:tcPr>
          <w:p>
            <w:pPr>
              <w:ind w:left="1600"/>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4"/>
            <w:vMerge w:val="continue"/>
          </w:tcPr>
          <w:p>
            <w:pPr>
              <w:spacing w:after="0"/>
              <w:rPr>
                <w:sz w:val="12"/>
                <w:szCs w:val="12"/>
                <w:color w:val="auto"/>
              </w:rPr>
            </w:pPr>
          </w:p>
        </w:tc>
        <w:tc>
          <w:tcPr>
            <w:tcW w:w="10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Expense</w:t>
            </w:r>
          </w:p>
        </w:tc>
        <w:tc>
          <w:tcPr>
            <w:tcW w:w="6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Expense</w:t>
            </w: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1"/>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$1,300,316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$540,264</w:t>
            </w: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800" w:type="dxa"/>
            <w:vAlign w:val="bottom"/>
          </w:tcPr>
          <w:p>
            <w:pPr>
              <w:jc w:val="right"/>
              <w:spacing w:after="0"/>
              <w:rPr>
                <w:sz w:val="20"/>
                <w:szCs w:val="20"/>
                <w:color w:val="auto"/>
              </w:rPr>
            </w:pPr>
            <w:r>
              <w:rPr>
                <w:rFonts w:ascii="Arial" w:cs="Arial" w:eastAsia="Arial" w:hAnsi="Arial"/>
                <w:sz w:val="18"/>
                <w:szCs w:val="18"/>
                <w:color w:val="auto"/>
              </w:rPr>
              <w:t>600,486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108,800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167,668</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W. Adams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160,060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Brian M. Shirley</w:t>
            </w:r>
          </w:p>
        </w:tc>
        <w:tc>
          <w:tcPr>
            <w:tcW w:w="800" w:type="dxa"/>
            <w:vAlign w:val="bottom"/>
          </w:tcPr>
          <w:p>
            <w:pPr>
              <w:jc w:val="right"/>
              <w:spacing w:after="0"/>
              <w:rPr>
                <w:sz w:val="20"/>
                <w:szCs w:val="20"/>
                <w:color w:val="auto"/>
              </w:rPr>
            </w:pPr>
            <w:r>
              <w:rPr>
                <w:rFonts w:ascii="Arial" w:cs="Arial" w:eastAsia="Arial" w:hAnsi="Arial"/>
                <w:sz w:val="18"/>
                <w:szCs w:val="18"/>
                <w:color w:val="auto"/>
              </w:rPr>
              <w:t>269,885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48,900</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W.G. Stover, Jr.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269,885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167,668</w:t>
            </w: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hanging="532"/>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shares forfeited as a result of performance goals not being met.</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The performance milestones related to the payment of bonuses under the EIP for fiscal 2008 and 2007 were only partially achieved or not</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at all. As a result, bonuses for those fiscal years were not paid out at the levels indicated in the columns labeled "Estimated Future Payouts under Non-equity Incentive Plan Awards" on the "Grants of Plan-Based Awards" table. The actual amount of the EIP bonuses paid for fiscal 2008 and 2007 performance are included in the "Fiscal 2008 Summary Compensation Table" in the column labeled "Non-Equity Plan Incentive Compensation." The performance milestones related to the EIP are discussed in the Compensation Discussion and Analysis.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both"/>
        <w:ind w:firstLine="395"/>
        <w:spacing w:after="0" w:line="290" w:lineRule="auto"/>
        <w:rPr>
          <w:sz w:val="20"/>
          <w:szCs w:val="20"/>
          <w:color w:val="auto"/>
        </w:rPr>
      </w:pPr>
      <w:r>
        <w:rPr>
          <w:rFonts w:ascii="Arial" w:cs="Arial" w:eastAsia="Arial" w:hAnsi="Arial"/>
          <w:sz w:val="16"/>
          <w:szCs w:val="16"/>
          <w:b w:val="1"/>
          <w:bCs w:val="1"/>
          <w:color w:val="auto"/>
        </w:rPr>
        <w:t xml:space="preserve">Compensation Expense Related to Stock Options: </w:t>
      </w:r>
      <w:r>
        <w:rPr>
          <w:rFonts w:ascii="Arial" w:cs="Arial" w:eastAsia="Arial" w:hAnsi="Arial"/>
          <w:sz w:val="16"/>
          <w:szCs w:val="16"/>
          <w:color w:val="auto"/>
        </w:rPr>
        <w:t>Compensation expense related to stock options held by the Named Executive Officers is significantly</w:t>
      </w:r>
      <w:r>
        <w:rPr>
          <w:rFonts w:ascii="Arial" w:cs="Arial" w:eastAsia="Arial" w:hAnsi="Arial"/>
          <w:sz w:val="16"/>
          <w:szCs w:val="16"/>
          <w:b w:val="1"/>
          <w:bCs w:val="1"/>
          <w:color w:val="auto"/>
        </w:rPr>
        <w:t xml:space="preserve"> </w:t>
      </w:r>
      <w:r>
        <w:rPr>
          <w:rFonts w:ascii="Arial" w:cs="Arial" w:eastAsia="Arial" w:hAnsi="Arial"/>
          <w:sz w:val="16"/>
          <w:szCs w:val="16"/>
          <w:color w:val="auto"/>
        </w:rPr>
        <w:t>less then the expense related to restricted stock for two reasons. First, since fiscal 2005 the Company has not regularly granted stock options to its executive officers. While the Company retains the flexibility to award stock options to executive officers, in recent years only shares of restricted stock have been awarded. The shift to restricted stock was made in an effort to bring the composition of the executive officers' equity awards in line with that of the executive officers at other corporations within the Company's compensation peer group. (See the Compensation Discussion and Analysis for additional information related to the Company's peer group.) Second, in April 2005, the Company accelerated the vesting of outstanding options with an exercise price of $12.00 or higher in an attempt to reduce compensation costs associated with the adoption of SFAS No. 123(R). As a result, the expenses associated with accelerated options for the Named Executive Officers' options were never required to be recorded in the Company's financial statements.</w:t>
      </w:r>
    </w:p>
    <w:p>
      <w:pPr>
        <w:spacing w:after="0" w:line="166" w:lineRule="exact"/>
        <w:rPr>
          <w:sz w:val="20"/>
          <w:szCs w:val="20"/>
          <w:color w:val="auto"/>
        </w:rPr>
      </w:pPr>
    </w:p>
    <w:p>
      <w:pPr>
        <w:jc w:val="both"/>
        <w:ind w:firstLine="406"/>
        <w:spacing w:after="0" w:line="301" w:lineRule="auto"/>
        <w:rPr>
          <w:sz w:val="20"/>
          <w:szCs w:val="20"/>
          <w:color w:val="auto"/>
        </w:rPr>
      </w:pPr>
      <w:r>
        <w:rPr>
          <w:rFonts w:ascii="Arial" w:cs="Arial" w:eastAsia="Arial" w:hAnsi="Arial"/>
          <w:sz w:val="16"/>
          <w:szCs w:val="16"/>
          <w:b w:val="1"/>
          <w:bCs w:val="1"/>
          <w:color w:val="auto"/>
        </w:rPr>
        <w:t xml:space="preserve">Stock Option Vesting: </w:t>
      </w:r>
      <w:r>
        <w:rPr>
          <w:rFonts w:ascii="Arial" w:cs="Arial" w:eastAsia="Arial" w:hAnsi="Arial"/>
          <w:sz w:val="16"/>
          <w:szCs w:val="16"/>
          <w:color w:val="auto"/>
        </w:rPr>
        <w:t>Since September 2004, options granted by the Company generally vest in four equal installments over a four-year period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and have a term of six years. Mr. Adams holds options that were originally issued by Lexar Media, Inc. ("Lexar") and subsequently converted into Micron options in connection with the Company's acquisition of Lexar in June 2006. His Lexar options vest over a four-year period, with 25% vesting in the first year and the remaining 75% vesting in monthly increments thereafter. The Lexar options have a term of 10 years.</w:t>
      </w:r>
    </w:p>
    <w:p>
      <w:pPr>
        <w:spacing w:after="0" w:line="157" w:lineRule="exact"/>
        <w:rPr>
          <w:sz w:val="20"/>
          <w:szCs w:val="20"/>
          <w:color w:val="auto"/>
        </w:rPr>
      </w:pPr>
    </w:p>
    <w:p>
      <w:pPr>
        <w:jc w:val="both"/>
        <w:ind w:firstLine="436"/>
        <w:spacing w:after="0" w:line="296" w:lineRule="auto"/>
        <w:rPr>
          <w:sz w:val="20"/>
          <w:szCs w:val="20"/>
          <w:color w:val="auto"/>
        </w:rPr>
      </w:pPr>
      <w:r>
        <w:rPr>
          <w:rFonts w:ascii="Arial" w:cs="Arial" w:eastAsia="Arial" w:hAnsi="Arial"/>
          <w:sz w:val="16"/>
          <w:szCs w:val="16"/>
          <w:b w:val="1"/>
          <w:bCs w:val="1"/>
          <w:color w:val="auto"/>
        </w:rPr>
        <w:t xml:space="preserve">Determination of Stock-based Compensation: </w:t>
      </w:r>
      <w:r>
        <w:rPr>
          <w:rFonts w:ascii="Arial" w:cs="Arial" w:eastAsia="Arial" w:hAnsi="Arial"/>
          <w:sz w:val="16"/>
          <w:szCs w:val="16"/>
          <w:color w:val="auto"/>
        </w:rPr>
        <w:t>Under the provisions of SFAS No. 123(R), stock-based compensation cost is estimated at the grant date</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fair value of the award and is recognized as expense ratably over the requisite service period of the award. Determining the appropriate fair 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68" w:lineRule="exact"/>
        <w:rPr>
          <w:sz w:val="20"/>
          <w:szCs w:val="20"/>
          <w:color w:val="auto"/>
        </w:rPr>
      </w:pPr>
    </w:p>
    <w:p>
      <w:pPr>
        <w:jc w:val="both"/>
        <w:ind w:firstLine="430"/>
        <w:spacing w:after="0" w:line="255"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The estimate life of options granted was based on the simplified method provided by the SEC. Forfeiture rates are derived from historical experience and the terms and conditions of the options. For stock-based compensation awards with graded vesting that were granted after 2005, the Company recognizes compensation expense using the straight-line amortization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OUTSTANDING EQUITY AWARDS AT 2008 FISCAL YEAR-END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shares held by the Company's Named Executive Officers as of August 28,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4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Awards: Market</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or</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or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Payout Value of</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Unearned</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Shares,</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That</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Units or</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or Other Rights</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That</w:t>
            </w: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That Have</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r>
      <w:tr>
        <w:trPr>
          <w:trHeight w:val="161"/>
        </w:trPr>
        <w:tc>
          <w:tcPr>
            <w:tcW w:w="58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Exercisable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Unexercisable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Vested(1)</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Not Vested</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Vested(1)</w:t>
            </w:r>
          </w:p>
        </w:tc>
      </w:tr>
      <w:tr>
        <w:trPr>
          <w:trHeight w:val="20"/>
        </w:trPr>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23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Steven R. Appleton</w:t>
            </w:r>
          </w:p>
        </w:tc>
        <w:tc>
          <w:tcPr>
            <w:tcW w:w="108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200,000</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14.02</w:t>
            </w:r>
          </w:p>
        </w:tc>
        <w:tc>
          <w:tcPr>
            <w:tcW w:w="110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9/21/2008</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55,000(2)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235,950</w:t>
            </w:r>
          </w:p>
        </w:tc>
        <w:tc>
          <w:tcPr>
            <w:tcW w:w="10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145,000(3)</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622,050</w:t>
            </w:r>
          </w:p>
        </w:tc>
      </w:tr>
      <w:tr>
        <w:trPr>
          <w:trHeight w:val="149"/>
        </w:trPr>
        <w:tc>
          <w:tcPr>
            <w:tcW w:w="580" w:type="dxa"/>
            <w:vAlign w:val="bottom"/>
          </w:tcPr>
          <w:p>
            <w:pPr>
              <w:spacing w:after="0"/>
              <w:rPr>
                <w:sz w:val="12"/>
                <w:szCs w:val="12"/>
                <w:color w:val="auto"/>
              </w:rPr>
            </w:pP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Chief Executive Officer</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250,000</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39.94</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9/27/2009</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141,375(4)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606,499</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235,600(5)</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1,010,724</w:t>
            </w:r>
          </w:p>
        </w:tc>
      </w:tr>
      <w:tr>
        <w:trPr>
          <w:trHeight w:val="172"/>
        </w:trPr>
        <w:tc>
          <w:tcPr>
            <w:tcW w:w="5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9/1/2010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302,326(6)</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1,296,979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377,907(7)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1,621,221</w:t>
            </w:r>
          </w:p>
        </w:tc>
      </w:tr>
      <w:tr>
        <w:trPr>
          <w:trHeight w:val="205"/>
        </w:trPr>
        <w:tc>
          <w:tcPr>
            <w:tcW w:w="5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400,000</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9/21/2011</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9/10/2012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4/22/2013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9/23/2013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3/29/2014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10/1/2010</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300"/>
        </w:trPr>
        <w:tc>
          <w:tcPr>
            <w:tcW w:w="58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Ronald C. Foster</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300,000(8)</w:t>
            </w:r>
          </w:p>
        </w:tc>
        <w:tc>
          <w:tcPr>
            <w:tcW w:w="600" w:type="dxa"/>
            <w:vAlign w:val="bottom"/>
          </w:tcPr>
          <w:p>
            <w:pPr>
              <w:jc w:val="right"/>
              <w:spacing w:after="0"/>
              <w:rPr>
                <w:sz w:val="20"/>
                <w:szCs w:val="20"/>
                <w:color w:val="auto"/>
              </w:rPr>
            </w:pPr>
            <w:r>
              <w:rPr>
                <w:rFonts w:ascii="Arial" w:cs="Arial" w:eastAsia="Arial" w:hAnsi="Arial"/>
                <w:sz w:val="14"/>
                <w:szCs w:val="14"/>
                <w:color w:val="auto"/>
              </w:rPr>
              <w:t>5.97</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4/1/2014</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83,753(9)</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359,300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104,691(7)</w:t>
            </w:r>
          </w:p>
        </w:tc>
        <w:tc>
          <w:tcPr>
            <w:tcW w:w="1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449,124</w:t>
            </w:r>
          </w:p>
        </w:tc>
      </w:tr>
      <w:tr>
        <w:trPr>
          <w:trHeight w:val="159"/>
        </w:trPr>
        <w:tc>
          <w:tcPr>
            <w:tcW w:w="580" w:type="dxa"/>
            <w:vAlign w:val="bottom"/>
          </w:tcPr>
          <w:p>
            <w:pPr>
              <w:spacing w:after="0"/>
              <w:rPr>
                <w:sz w:val="13"/>
                <w:szCs w:val="13"/>
                <w:color w:val="auto"/>
              </w:rPr>
            </w:pPr>
          </w:p>
        </w:tc>
        <w:tc>
          <w:tcPr>
            <w:tcW w:w="23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Chief Financial Officer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1"/>
        </w:trPr>
        <w:tc>
          <w:tcPr>
            <w:tcW w:w="580" w:type="dxa"/>
            <w:vAlign w:val="bottom"/>
          </w:tcPr>
          <w:p>
            <w:pPr>
              <w:spacing w:after="0"/>
              <w:rPr>
                <w:sz w:val="24"/>
                <w:szCs w:val="24"/>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 Mark Durcan</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180,000</w:t>
            </w: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9/21/2008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16,667(2)</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71,501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45,000(3)</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193,050</w:t>
            </w:r>
          </w:p>
        </w:tc>
      </w:tr>
      <w:tr>
        <w:trPr>
          <w:trHeight w:val="149"/>
        </w:trPr>
        <w:tc>
          <w:tcPr>
            <w:tcW w:w="580" w:type="dxa"/>
            <w:vAlign w:val="bottom"/>
          </w:tcPr>
          <w:p>
            <w:pPr>
              <w:spacing w:after="0"/>
              <w:rPr>
                <w:sz w:val="12"/>
                <w:szCs w:val="12"/>
                <w:color w:val="auto"/>
              </w:rPr>
            </w:pP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 and Chief Operating</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39.94</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9/27/2009</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16,667(10)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71,501</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108,800(5)</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466,752</w:t>
            </w:r>
          </w:p>
        </w:tc>
      </w:tr>
      <w:tr>
        <w:trPr>
          <w:trHeight w:val="149"/>
        </w:trPr>
        <w:tc>
          <w:tcPr>
            <w:tcW w:w="580" w:type="dxa"/>
            <w:vAlign w:val="bottom"/>
          </w:tcPr>
          <w:p>
            <w:pPr>
              <w:spacing w:after="0"/>
              <w:rPr>
                <w:sz w:val="12"/>
                <w:szCs w:val="12"/>
                <w:color w:val="auto"/>
              </w:rPr>
            </w:pP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Officer</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78.31</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9/1/2010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65,250(4)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279,923</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173,612(7)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744,795</w:t>
            </w:r>
          </w:p>
        </w:tc>
      </w:tr>
      <w:tr>
        <w:trPr>
          <w:trHeight w:val="172"/>
        </w:trPr>
        <w:tc>
          <w:tcPr>
            <w:tcW w:w="5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300,000</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9/21/2011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33,750(11)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144,788</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5"/>
        </w:trPr>
        <w:tc>
          <w:tcPr>
            <w:tcW w:w="5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300,000</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9/10/2012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138,889(12)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595,834</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40,000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4/22/2013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9/23/2013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3/29/2014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10/1/2010</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300"/>
        </w:trPr>
        <w:tc>
          <w:tcPr>
            <w:tcW w:w="58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Mark W. Adams</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50,000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50,000(13)</w:t>
            </w:r>
          </w:p>
        </w:tc>
        <w:tc>
          <w:tcPr>
            <w:tcW w:w="600" w:type="dxa"/>
            <w:vAlign w:val="bottom"/>
          </w:tcPr>
          <w:p>
            <w:pPr>
              <w:jc w:val="right"/>
              <w:spacing w:after="0"/>
              <w:rPr>
                <w:sz w:val="20"/>
                <w:szCs w:val="20"/>
                <w:color w:val="auto"/>
              </w:rPr>
            </w:pPr>
            <w:r>
              <w:rPr>
                <w:rFonts w:ascii="Arial" w:cs="Arial" w:eastAsia="Arial" w:hAnsi="Arial"/>
                <w:sz w:val="14"/>
                <w:szCs w:val="14"/>
                <w:color w:val="auto"/>
              </w:rPr>
              <w:t>16.68</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6/27/2012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15,000(15)</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64,350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29,000(5)</w:t>
            </w:r>
          </w:p>
        </w:tc>
        <w:tc>
          <w:tcPr>
            <w:tcW w:w="1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124,410</w:t>
            </w:r>
          </w:p>
        </w:tc>
      </w:tr>
      <w:tr>
        <w:trPr>
          <w:trHeight w:val="149"/>
        </w:trPr>
        <w:tc>
          <w:tcPr>
            <w:tcW w:w="580" w:type="dxa"/>
            <w:vAlign w:val="bottom"/>
          </w:tcPr>
          <w:p>
            <w:pPr>
              <w:spacing w:after="0"/>
              <w:rPr>
                <w:sz w:val="12"/>
                <w:szCs w:val="12"/>
                <w:color w:val="auto"/>
              </w:rPr>
            </w:pPr>
          </w:p>
        </w:tc>
        <w:tc>
          <w:tcPr>
            <w:tcW w:w="2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Vice President of Worldwide</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43,509</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15,740(14)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1/4/2016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17,400(4)</w:t>
            </w: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74,646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46,297(7)</w:t>
            </w: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198,614</w:t>
            </w:r>
          </w:p>
        </w:tc>
      </w:tr>
      <w:tr>
        <w:trPr>
          <w:trHeight w:val="159"/>
        </w:trPr>
        <w:tc>
          <w:tcPr>
            <w:tcW w:w="580" w:type="dxa"/>
            <w:vAlign w:val="bottom"/>
          </w:tcPr>
          <w:p>
            <w:pPr>
              <w:spacing w:after="0"/>
              <w:rPr>
                <w:sz w:val="13"/>
                <w:szCs w:val="13"/>
                <w:color w:val="auto"/>
              </w:rPr>
            </w:pPr>
          </w:p>
        </w:tc>
        <w:tc>
          <w:tcPr>
            <w:tcW w:w="23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Sales</w:t>
            </w:r>
          </w:p>
        </w:tc>
        <w:tc>
          <w:tcPr>
            <w:tcW w:w="10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87,020</w:t>
            </w: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31,479(14)</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10.89</w:t>
            </w:r>
          </w:p>
        </w:tc>
        <w:tc>
          <w:tcPr>
            <w:tcW w:w="11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2/10/2016</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37,038(12)</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158,893</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1"/>
        </w:trPr>
        <w:tc>
          <w:tcPr>
            <w:tcW w:w="580" w:type="dxa"/>
            <w:vAlign w:val="bottom"/>
          </w:tcPr>
          <w:p>
            <w:pPr>
              <w:spacing w:after="0"/>
              <w:rPr>
                <w:sz w:val="24"/>
                <w:szCs w:val="24"/>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28,000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12,500(16)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9/21/2008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4,400(19)</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18,876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48,900(5)</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209,781</w:t>
            </w:r>
          </w:p>
        </w:tc>
      </w:tr>
      <w:tr>
        <w:trPr>
          <w:trHeight w:val="149"/>
        </w:trPr>
        <w:tc>
          <w:tcPr>
            <w:tcW w:w="580" w:type="dxa"/>
            <w:vAlign w:val="bottom"/>
          </w:tcPr>
          <w:p>
            <w:pPr>
              <w:spacing w:after="0"/>
              <w:rPr>
                <w:sz w:val="12"/>
                <w:szCs w:val="12"/>
                <w:color w:val="auto"/>
              </w:rPr>
            </w:pP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Vice President of</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60,000</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32,500(17)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10/20/2009</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10,000(10)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42,900</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86,806(7)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372,398</w:t>
            </w:r>
          </w:p>
        </w:tc>
      </w:tr>
      <w:tr>
        <w:trPr>
          <w:trHeight w:val="149"/>
        </w:trPr>
        <w:tc>
          <w:tcPr>
            <w:tcW w:w="580" w:type="dxa"/>
            <w:vAlign w:val="bottom"/>
          </w:tcPr>
          <w:p>
            <w:pPr>
              <w:spacing w:after="0"/>
              <w:rPr>
                <w:sz w:val="12"/>
                <w:szCs w:val="12"/>
                <w:color w:val="auto"/>
              </w:rPr>
            </w:pP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Memory</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50,100</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25,000(18)</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10/18/2010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29,400(4)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126,126</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2"/>
        </w:trPr>
        <w:tc>
          <w:tcPr>
            <w:tcW w:w="5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12,500</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9/15/2011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69,445(12)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297,919</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5"/>
        </w:trPr>
        <w:tc>
          <w:tcPr>
            <w:tcW w:w="5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70,100</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9/21/2011</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32,500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12/16/2011</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10/16/2012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5/5/2013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11/19/2013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9/1/2014</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300"/>
        </w:trPr>
        <w:tc>
          <w:tcPr>
            <w:tcW w:w="58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W. G. Stover, Jr. (20)</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122,000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14.02</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9/21/2008</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45,000(3)</w:t>
            </w:r>
          </w:p>
        </w:tc>
        <w:tc>
          <w:tcPr>
            <w:tcW w:w="1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193,050</w:t>
            </w:r>
          </w:p>
        </w:tc>
      </w:tr>
      <w:tr>
        <w:trPr>
          <w:trHeight w:val="149"/>
        </w:trPr>
        <w:tc>
          <w:tcPr>
            <w:tcW w:w="580" w:type="dxa"/>
            <w:vAlign w:val="bottom"/>
          </w:tcPr>
          <w:p>
            <w:pPr>
              <w:spacing w:after="0"/>
              <w:rPr>
                <w:sz w:val="12"/>
                <w:szCs w:val="12"/>
                <w:color w:val="auto"/>
              </w:rPr>
            </w:pPr>
          </w:p>
        </w:tc>
        <w:tc>
          <w:tcPr>
            <w:tcW w:w="2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Former Chief Financial Officer</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39.94</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9/27/2009</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48,900(5)</w:t>
            </w: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209,781</w:t>
            </w:r>
          </w:p>
        </w:tc>
      </w:tr>
      <w:tr>
        <w:trPr>
          <w:trHeight w:val="172"/>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200,000</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78.31</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9/1/2010</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21.11</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9/21/2011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17.43</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9/10/2012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10,000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9.16</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4/22/2013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112,500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14.35</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9/23/2013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112,500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15.91</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3/29/2014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3"/>
        </w:trPr>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92"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by $4.29, the closing price of the Company's common stock on August 28,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shares lapse on September 30, 2008.</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2008. The performance goals related to these shares were not met and the shares were forfeited on October 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September 26, 2008, September 26, 2009, and September 26, 2010.</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2009. The Company currently anticipates that the performance goals related to these shares will not be met and that the shares will be forfeited.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shares lapse in 25% increments annually beginning on October 9,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2010.</w:t>
      </w:r>
    </w:p>
    <w:p>
      <w:pPr>
        <w:sectPr>
          <w:pgSz w:w="11900" w:h="16838" w:orient="portrait"/>
          <w:cols w:equalWidth="0" w:num="1">
            <w:col w:w="11420"/>
          </w:cols>
          <w:pgMar w:left="240" w:top="34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9" w:name="page40"/>
    <w:bookmarkEnd w:id="39"/>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vest in 25% increments annually beginning on April 1,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shares lapse in 25% increments annually beginning on April 1,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shares lapse on February 13,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August 27, 2009, August 27, 2010 and August 27, 2011.</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shares lapse in 25% increments annually beginning on October 8,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vest in equal installments on June 27, 2009, and June 27, 2010.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vest in 5.9% increments monthly beginning on September 4, 2008, and ending on January 4, 2010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shares lapse on June 27,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vest in equal installments on September 15, 2008, and September 15,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vest in equal installments on December 16, 2008, and December 16,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vested on September 1,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shares lapse on December 16,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Stover served as the Company's Chief Financial Officer during a portion of fiscal 2008 (September 2007 through November 2008).</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firstLine="426"/>
        <w:spacing w:after="0" w:line="268" w:lineRule="auto"/>
        <w:rPr>
          <w:sz w:val="20"/>
          <w:szCs w:val="20"/>
          <w:color w:val="auto"/>
        </w:rPr>
      </w:pPr>
      <w:r>
        <w:rPr>
          <w:rFonts w:ascii="Arial" w:cs="Arial" w:eastAsia="Arial" w:hAnsi="Arial"/>
          <w:sz w:val="18"/>
          <w:szCs w:val="18"/>
          <w:color w:val="auto"/>
        </w:rPr>
        <w:t>The following table sets forth information related to the number of options and restricted shares held by each of the Named Executive Officers, that were exercised or vested in fiscal 2008, and the value realized.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40" w:type="dxa"/>
            <w:vAlign w:val="bottom"/>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Realized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20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Value Realized</w:t>
            </w:r>
          </w:p>
        </w:tc>
        <w:tc>
          <w:tcPr>
            <w:tcW w:w="0" w:type="dxa"/>
            <w:vAlign w:val="bottom"/>
          </w:tcPr>
          <w:p>
            <w:pPr>
              <w:spacing w:after="0"/>
              <w:rPr>
                <w:sz w:val="1"/>
                <w:szCs w:val="1"/>
                <w:color w:val="auto"/>
              </w:rPr>
            </w:pPr>
          </w:p>
        </w:tc>
      </w:tr>
      <w:tr>
        <w:trPr>
          <w:trHeight w:val="161"/>
        </w:trPr>
        <w:tc>
          <w:tcPr>
            <w:tcW w:w="5420" w:type="dxa"/>
            <w:vAlign w:val="bottom"/>
            <w:gridSpan w:val="4"/>
          </w:tcPr>
          <w:p>
            <w:pPr>
              <w:ind w:left="204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on Exercise</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on 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on Vesting</w:t>
            </w:r>
          </w:p>
        </w:tc>
        <w:tc>
          <w:tcPr>
            <w:tcW w:w="2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on Vesting(1)</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3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98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125,458</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1,314,568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19"/>
                <w:szCs w:val="19"/>
                <w:color w:val="auto"/>
              </w:rPr>
            </w:pPr>
          </w:p>
        </w:tc>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Ronald C. Foster</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38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19"/>
                <w:szCs w:val="19"/>
                <w:color w:val="auto"/>
              </w:rPr>
            </w:pPr>
          </w:p>
        </w:tc>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President and Chief Operating Officer</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165,228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380" w:type="dxa"/>
            <w:vAlign w:val="bottom"/>
            <w:gridSpan w:val="3"/>
          </w:tcPr>
          <w:p>
            <w:pPr>
              <w:ind w:left="180"/>
              <w:spacing w:after="0"/>
              <w:rPr>
                <w:sz w:val="20"/>
                <w:szCs w:val="20"/>
                <w:color w:val="auto"/>
              </w:rPr>
            </w:pPr>
            <w:r>
              <w:rPr>
                <w:rFonts w:ascii="Arial" w:cs="Arial" w:eastAsia="Arial" w:hAnsi="Arial"/>
                <w:sz w:val="18"/>
                <w:szCs w:val="18"/>
                <w:color w:val="auto"/>
              </w:rPr>
              <w:t>Vice President of Worldwide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19"/>
                <w:szCs w:val="19"/>
                <w:color w:val="auto"/>
              </w:rPr>
            </w:pPr>
          </w:p>
        </w:tc>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Vice President of Memory</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W. G. Stover, Jr.(2)</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79,200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760,313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380" w:type="dxa"/>
            <w:vAlign w:val="bottom"/>
            <w:gridSpan w:val="3"/>
          </w:tcPr>
          <w:p>
            <w:pPr>
              <w:ind w:left="180"/>
              <w:spacing w:after="0"/>
              <w:rPr>
                <w:sz w:val="20"/>
                <w:szCs w:val="20"/>
                <w:color w:val="auto"/>
              </w:rPr>
            </w:pPr>
            <w:r>
              <w:rPr>
                <w:rFonts w:ascii="Arial" w:cs="Arial" w:eastAsia="Arial" w:hAnsi="Arial"/>
                <w:sz w:val="18"/>
                <w:szCs w:val="18"/>
                <w:color w:val="auto"/>
              </w:rPr>
              <w:t>Former Chief Financial Officer</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of the shares on the vesting date.</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Stover served as the Company's Chief Financial Officer during a portion of fiscal 2008 (September 2007 through November 2007). In connection with his departure from the Company, 46,067 restricted shares were accelerated by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ind w:firstLine="541"/>
        <w:spacing w:after="0" w:line="306" w:lineRule="auto"/>
        <w:rPr>
          <w:sz w:val="20"/>
          <w:szCs w:val="20"/>
          <w:color w:val="auto"/>
        </w:rPr>
      </w:pPr>
      <w:r>
        <w:rPr>
          <w:rFonts w:ascii="Arial" w:cs="Arial" w:eastAsia="Arial" w:hAnsi="Arial"/>
          <w:sz w:val="16"/>
          <w:szCs w:val="16"/>
          <w:color w:val="auto"/>
        </w:rPr>
        <w:t>The following tables quantify the estimated payments and benefits for each of the Named Executive Officers pursuant to the Severance Agreements described in the "Severance Agreements" section of the "Compensation Discussion and Analysis." The amounts were calculated based on Mr. Stover's resignation date of November 29, 2007 and as if the other Named Executive Officers separated from service on August 28, 2008, the last day of fiscal 2008.</w:t>
      </w:r>
    </w:p>
    <w:p>
      <w:pPr>
        <w:spacing w:after="0" w:line="161" w:lineRule="exact"/>
        <w:rPr>
          <w:sz w:val="20"/>
          <w:szCs w:val="20"/>
          <w:color w:val="auto"/>
        </w:rPr>
      </w:pPr>
    </w:p>
    <w:p>
      <w:pPr>
        <w:jc w:val="both"/>
        <w:ind w:firstLine="404"/>
        <w:spacing w:after="0" w:line="256" w:lineRule="auto"/>
        <w:rPr>
          <w:sz w:val="20"/>
          <w:szCs w:val="20"/>
          <w:color w:val="auto"/>
        </w:rPr>
      </w:pPr>
      <w:r>
        <w:rPr>
          <w:rFonts w:ascii="Arial" w:cs="Arial" w:eastAsia="Arial" w:hAnsi="Arial"/>
          <w:sz w:val="18"/>
          <w:szCs w:val="18"/>
          <w:color w:val="auto"/>
        </w:rPr>
        <w:t>The "Salary" portion of severance payments are paid on the Company's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officer's separation from service. The remaining payments would then be paid according to the Company's regular payroll schedule.</w:t>
      </w:r>
    </w:p>
    <w:p>
      <w:pPr>
        <w:spacing w:after="0" w:line="197"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prior to or during the applicable Transition Period. Such payments are made at the same time as the other officers participating in the applicable bonus plan receive their payments, if any, and typically would occur during the Company's first fiscal quarter.</w:t>
      </w:r>
    </w:p>
    <w:p>
      <w:pPr>
        <w:spacing w:after="0" w:line="194" w:lineRule="exact"/>
        <w:rPr>
          <w:sz w:val="20"/>
          <w:szCs w:val="20"/>
          <w:color w:val="auto"/>
        </w:rPr>
      </w:pPr>
    </w:p>
    <w:p>
      <w:pPr>
        <w:jc w:val="both"/>
        <w:ind w:firstLine="512"/>
        <w:spacing w:after="0" w:line="287" w:lineRule="auto"/>
        <w:rPr>
          <w:sz w:val="20"/>
          <w:szCs w:val="20"/>
          <w:color w:val="auto"/>
        </w:rPr>
      </w:pPr>
      <w:r>
        <w:rPr>
          <w:rFonts w:ascii="Arial" w:cs="Arial" w:eastAsia="Arial" w:hAnsi="Arial"/>
          <w:sz w:val="16"/>
          <w:szCs w:val="16"/>
          <w:color w:val="auto"/>
        </w:rPr>
        <w:t>The "Cash in Lieu of Benefits" portion of the severance payments is calculated based on the difference between the amount of premiums the Named Executive Officer paid each month for benefits coverage as an employee of the Company and the estimated premiums the Named Executive Officer would need to pay each month for the same or similar coverage as a former employee of the Company. This monthly amount is multiplied by the number of months in the Named Executive Officer's Transition Period and is grossed-up for taxes. In addition, a portion of the "Cash in Lieu of Benefits" payments consist of the amount of matching contribution the Named Executive Officer would have received in the Company's 401(k) plan if the Named Executive Officer had continued to participate in such plan during the Transition Period. This payment is grossed-up for taxes. All gross-up calculations and payments are based on the standard supplemental withholding rates provided by federal and state guidelines. The Company does not use the Named Executive Officer's actual tax rate for these calculations. The "Cash in Lieu of Benefits" payment is made within 30 days after the officer's separation from service, subject to the possibility of a six-month delay that may be required by Section 409A of the Code. If Section 409A imposes a six-month delay, the payment would be made to the officer on the first day of the seventh month following the officer's separation from service.</w:t>
      </w:r>
    </w:p>
    <w:p>
      <w:pPr>
        <w:spacing w:after="0" w:line="177" w:lineRule="exact"/>
        <w:rPr>
          <w:sz w:val="20"/>
          <w:szCs w:val="20"/>
          <w:color w:val="auto"/>
        </w:rPr>
      </w:pPr>
    </w:p>
    <w:p>
      <w:pPr>
        <w:jc w:val="both"/>
        <w:ind w:firstLine="408"/>
        <w:spacing w:after="0" w:line="268" w:lineRule="auto"/>
        <w:rPr>
          <w:sz w:val="20"/>
          <w:szCs w:val="20"/>
          <w:color w:val="auto"/>
        </w:rPr>
      </w:pPr>
      <w:r>
        <w:rPr>
          <w:rFonts w:ascii="Arial" w:cs="Arial" w:eastAsia="Arial" w:hAnsi="Arial"/>
          <w:sz w:val="18"/>
          <w:szCs w:val="18"/>
          <w:color w:val="auto"/>
        </w:rPr>
        <w:t>The "Value of Extended Option Vesting and Exercise Period" and the "Value of Extended Restricted Stock Vesting" portions of the severance arrangement have been estimated assuming the continued vesting and exercisability during the Transition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"Value of Unearned Stock Awards" was determined in the manner described below in footnote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Voluntary or Involuntary Termination of Employment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Extended</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Extended</w:t>
            </w:r>
          </w:p>
        </w:tc>
        <w:tc>
          <w:tcPr>
            <w:tcW w:w="2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Cash in Lieu</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Unearned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Benefits</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Exercise</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340" w:type="dxa"/>
            <w:vAlign w:val="bottom"/>
            <w:gridSpan w:val="2"/>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Salary(1)</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Bonus(2)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Payment(3)</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Period(4)</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Vesting(5)</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Awards(6)</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2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  950,000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$ 118,678</w:t>
            </w: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37,192</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$762,361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$1,868,231</w:t>
            </w:r>
          </w:p>
        </w:tc>
        <w:tc>
          <w:tcPr>
            <w:tcW w:w="60" w:type="dxa"/>
            <w:vAlign w:val="bottom"/>
            <w:shd w:val="clear" w:color="auto" w:fill="CCEEFF"/>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2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Ronald C. Foster</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1,166,301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$102,031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154,348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179,652</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$449,124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2,321,135</w:t>
            </w:r>
          </w:p>
        </w:tc>
        <w:tc>
          <w:tcPr>
            <w:tcW w:w="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72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233,712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433,531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1,376,140</w:t>
            </w:r>
          </w:p>
        </w:tc>
        <w:tc>
          <w:tcPr>
            <w:tcW w:w="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President and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Operating Officer</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800" w:type="dxa"/>
            <w:vAlign w:val="bottom"/>
          </w:tcPr>
          <w:p>
            <w:pPr>
              <w:jc w:val="right"/>
              <w:spacing w:after="0"/>
              <w:rPr>
                <w:sz w:val="20"/>
                <w:szCs w:val="20"/>
                <w:color w:val="auto"/>
              </w:rPr>
            </w:pPr>
            <w:r>
              <w:rPr>
                <w:rFonts w:ascii="Arial" w:cs="Arial" w:eastAsia="Arial" w:hAnsi="Arial"/>
                <w:sz w:val="18"/>
                <w:szCs w:val="18"/>
                <w:color w:val="auto"/>
              </w:rPr>
              <w:t>370,000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69,603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128,955</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641,726</w:t>
            </w:r>
          </w:p>
        </w:tc>
        <w:tc>
          <w:tcPr>
            <w:tcW w:w="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720" w:type="dxa"/>
            <w:vAlign w:val="bottom"/>
            <w:gridSpan w:val="3"/>
          </w:tcPr>
          <w:p>
            <w:pPr>
              <w:ind w:left="180"/>
              <w:spacing w:after="0"/>
              <w:rPr>
                <w:sz w:val="20"/>
                <w:szCs w:val="20"/>
                <w:color w:val="auto"/>
              </w:rPr>
            </w:pPr>
            <w:r>
              <w:rPr>
                <w:rFonts w:ascii="Arial" w:cs="Arial" w:eastAsia="Arial" w:hAnsi="Arial"/>
                <w:sz w:val="18"/>
                <w:szCs w:val="18"/>
                <w:color w:val="auto"/>
                <w:w w:val="91"/>
              </w:rPr>
              <w:t>Vice President of Worldwide Sales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113,399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178,297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800,072</w:t>
            </w:r>
          </w:p>
        </w:tc>
        <w:tc>
          <w:tcPr>
            <w:tcW w:w="6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Vice President of Memory</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W. G. Stover, Jr.</w:t>
            </w:r>
          </w:p>
        </w:tc>
        <w:tc>
          <w:tcPr>
            <w:tcW w:w="800" w:type="dxa"/>
            <w:vAlign w:val="bottom"/>
          </w:tcPr>
          <w:p>
            <w:pPr>
              <w:jc w:val="right"/>
              <w:spacing w:after="0"/>
              <w:rPr>
                <w:sz w:val="20"/>
                <w:szCs w:val="20"/>
                <w:color w:val="auto"/>
              </w:rPr>
            </w:pPr>
            <w:r>
              <w:rPr>
                <w:rFonts w:ascii="Arial" w:cs="Arial" w:eastAsia="Arial" w:hAnsi="Arial"/>
                <w:sz w:val="18"/>
                <w:szCs w:val="18"/>
                <w:color w:val="auto"/>
              </w:rPr>
              <w:t>446,539</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92,686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92,352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412,300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1,043,877</w:t>
            </w:r>
          </w:p>
        </w:tc>
        <w:tc>
          <w:tcPr>
            <w:tcW w:w="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720" w:type="dxa"/>
            <w:vAlign w:val="bottom"/>
            <w:gridSpan w:val="3"/>
          </w:tcPr>
          <w:p>
            <w:pPr>
              <w:ind w:left="180"/>
              <w:spacing w:after="0"/>
              <w:rPr>
                <w:sz w:val="20"/>
                <w:szCs w:val="20"/>
                <w:color w:val="auto"/>
              </w:rPr>
            </w:pPr>
            <w:r>
              <w:rPr>
                <w:rFonts w:ascii="Arial" w:cs="Arial" w:eastAsia="Arial" w:hAnsi="Arial"/>
                <w:sz w:val="18"/>
                <w:szCs w:val="18"/>
                <w:color w:val="auto"/>
              </w:rPr>
              <w:t>Former Chief Financial Officer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21" w:lineRule="exact"/>
        <w:rPr>
          <w:sz w:val="20"/>
          <w:szCs w:val="20"/>
          <w:color w:val="auto"/>
        </w:rPr>
      </w:pPr>
    </w:p>
    <w:p>
      <w:pPr>
        <w:jc w:val="both"/>
        <w:ind w:left="540" w:hanging="532"/>
        <w:spacing w:after="0" w:line="25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as of August 28, 2008, except with respect to Mr. Foster and Mr. Stover. Mr. Foster would have been entitled to 31 months of salary if he had been terminated on August 28, 2008. Mr. Stover's Transition Period began on November 30, 2007 and will end on November 25, 2008. As of August 28, 2008, Mr. Stover had received $313,269 in salary payments and the remaining $133,270 is payable for the period from August 28, 2008 through November 25, 2008.</w:t>
      </w:r>
    </w:p>
    <w:p>
      <w:pPr>
        <w:spacing w:after="0" w:line="22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cash bonus actually earned by each Named Executive Officer for fiscal 2008, as determined by the Compensation Committee. Mr. Stover was not eligible for a cash bonus for fiscal 2008.</w:t>
      </w:r>
    </w:p>
    <w:p>
      <w:pPr>
        <w:spacing w:after="0" w:line="199"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 cash payment for an amount estimated to allow the Named Executive Officer to purchase during the Transition Period benefits similar to those he received while an employee of the Company and to compensate the Named Executive Officer for the loss of his 401(k) plan match during the applicable Transition Period. The amount listed includes a gross-up calculation for the tax impact of the payment. Mr. Stover received a one-time payment in the amount listed during fiscal 2008.</w:t>
      </w:r>
    </w:p>
    <w:p>
      <w:pPr>
        <w:spacing w:after="0" w:line="210"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option value resulting from the additional vesting and exercise period provided by the Named Executive Officer's 12-month (31 months for Mr. Foster) Transition Period. The fair value of each option award is estimated as of August 28, 2008 (November 29, 2007 for Mr. Stover), using the Black-Scholes model. Expected volatility is based on the implied volatility from traded options on the Company's stock and historical volatility. The expected term is based on the length of transition period. The risk-free rates are based on the U.S. Treasury yield.</w:t>
      </w:r>
    </w:p>
    <w:p>
      <w:pPr>
        <w:spacing w:after="0" w:line="193"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restricted share value resulting from the additional vesting provided by the Named Executive Officer's 12-month (31 months for Mr. Foster) Transition Period. Except with respect to Mr. Stover, amount shown is calculated as the number of shares multiplied by $4.29 per share, the Company's closing stock price on August 28, 2008. The stock price used with respect to Mr. Stover is based on $8.95 per share, which was the closing price of the Company's stock on December 5, 2007,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left="540"/>
        <w:spacing w:after="0"/>
        <w:rPr>
          <w:sz w:val="20"/>
          <w:szCs w:val="20"/>
          <w:color w:val="auto"/>
        </w:rPr>
      </w:pPr>
      <w:r>
        <w:rPr>
          <w:rFonts w:ascii="Arial" w:cs="Arial" w:eastAsia="Arial" w:hAnsi="Arial"/>
          <w:sz w:val="18"/>
          <w:szCs w:val="18"/>
          <w:color w:val="auto"/>
        </w:rPr>
        <w:t>which is the day the Compensation Committee approved the acceleration of the lapsing of the restrictions on the shares.</w:t>
      </w:r>
    </w:p>
    <w:p>
      <w:pPr>
        <w:spacing w:after="0" w:line="239" w:lineRule="exact"/>
        <w:rPr>
          <w:sz w:val="20"/>
          <w:szCs w:val="20"/>
          <w:color w:val="auto"/>
        </w:rPr>
      </w:pPr>
    </w:p>
    <w:p>
      <w:pPr>
        <w:jc w:val="both"/>
        <w:ind w:left="540" w:hanging="532"/>
        <w:spacing w:after="0" w:line="255"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performance-based goals have been established on a long-term basis using a four-quarter rolling average. Due to the Company's performance in recent fiscal quarters, the Company has assumed for purposes of this presentation that the performance-based goals related to these shares would not have been met during the Named Executive Officer's 12-month Transition Period. In the case of Mr. Foster, the Company has assumed for purposes of this presentation that the performance-based goals related to these shares would have been met during Mr. Foster's 31-month Transition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31"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8"/>
          <w:szCs w:val="18"/>
          <w:color w:val="auto"/>
        </w:rPr>
        <w:t>The Company does not have change-in-control arrangements for its Named Executive Officers. However, the severance agreements described above provide for transitional benefits in the event of termination of employment, whether or not the termination is in connection with a change in control. In addition, under the Company's equity plans, upon a change in control or corporate transaction, outstanding awards become fully vested or may be accelerated at the discretion of the administrator of the plan. A change in control is generally defined as a change in the majority of the Board's directors within a specified time period or the acquisition of 35% or more of the Company's outstanding Common Stock. A corporate transaction is generally defined as merger or sale of substantially all of the Company's assets.</w:t>
      </w:r>
    </w:p>
    <w:p>
      <w:pPr>
        <w:spacing w:after="0" w:line="198" w:lineRule="exact"/>
        <w:rPr>
          <w:sz w:val="20"/>
          <w:szCs w:val="20"/>
          <w:color w:val="auto"/>
        </w:rPr>
      </w:pPr>
    </w:p>
    <w:p>
      <w:pPr>
        <w:jc w:val="both"/>
        <w:ind w:firstLine="521"/>
        <w:spacing w:after="0" w:line="268"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 and is paid within 30 days.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 sets forth the estimated benefits payable to the Named Executive Officers assuming a change in control or corporate transaction occurred on August 28, 2008. We have assumed for simplicity of presentation that benefits earned as of August 28, 2008, would have equaled benefits earned as of the end of the preceding month in the event of a change of control.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EIP</w:t>
            </w:r>
          </w:p>
        </w:tc>
        <w:tc>
          <w:tcPr>
            <w:tcW w:w="20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Value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5460" w:type="dxa"/>
            <w:vAlign w:val="bottom"/>
            <w:gridSpan w:val="4"/>
          </w:tcPr>
          <w:p>
            <w:pPr>
              <w:ind w:left="228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5"/>
              </w:rPr>
              <w:t>Bonus(1)</w:t>
            </w:r>
          </w:p>
        </w:tc>
        <w:tc>
          <w:tcPr>
            <w:tcW w:w="200" w:type="dxa"/>
            <w:vAlign w:val="bottom"/>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Options(2)</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Stock(3)</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r>
      <w:tr>
        <w:trPr>
          <w:trHeight w:val="181"/>
        </w:trPr>
        <w:tc>
          <w:tcPr>
            <w:tcW w:w="2280" w:type="dxa"/>
            <w:vAlign w:val="bottom"/>
          </w:tcPr>
          <w:p>
            <w:pPr>
              <w:spacing w:after="0"/>
              <w:rPr>
                <w:sz w:val="15"/>
                <w:szCs w:val="15"/>
                <w:color w:val="auto"/>
              </w:rPr>
            </w:pPr>
          </w:p>
        </w:tc>
        <w:tc>
          <w:tcPr>
            <w:tcW w:w="38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w w:val="72"/>
              </w:rPr>
              <w:t>Steven</w:t>
            </w:r>
          </w:p>
        </w:tc>
        <w:tc>
          <w:tcPr>
            <w:tcW w:w="2800" w:type="dxa"/>
            <w:vAlign w:val="bottom"/>
            <w:tcBorders>
              <w:top w:val="single" w:sz="8" w:color="CCEEFF"/>
            </w:tcBorders>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R. Appleton</w:t>
            </w:r>
          </w:p>
        </w:tc>
        <w:tc>
          <w:tcPr>
            <w:tcW w:w="7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ind w:left="480"/>
              <w:spacing w:after="0" w:line="182" w:lineRule="exact"/>
              <w:rPr>
                <w:sz w:val="20"/>
                <w:szCs w:val="20"/>
                <w:color w:val="auto"/>
              </w:rPr>
            </w:pPr>
            <w:r>
              <w:rPr>
                <w:rFonts w:ascii="Arial" w:cs="Arial" w:eastAsia="Arial" w:hAnsi="Arial"/>
                <w:sz w:val="18"/>
                <w:szCs w:val="18"/>
                <w:color w:val="auto"/>
                <w:w w:val="88"/>
              </w:rPr>
              <w:t>—</w:t>
            </w:r>
          </w:p>
        </w:tc>
        <w:tc>
          <w:tcPr>
            <w:tcW w:w="1040" w:type="dxa"/>
            <w:vAlign w:val="bottom"/>
            <w:tcBorders>
              <w:top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$ 5,393,422</w:t>
            </w:r>
          </w:p>
        </w:tc>
        <w:tc>
          <w:tcPr>
            <w:tcW w:w="1040" w:type="dxa"/>
            <w:vAlign w:val="bottom"/>
            <w:tcBorders>
              <w:top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$ 5,393,422</w:t>
            </w:r>
          </w:p>
        </w:tc>
        <w:tc>
          <w:tcPr>
            <w:tcW w:w="60" w:type="dxa"/>
            <w:vAlign w:val="bottom"/>
            <w:tcBorders>
              <w:top w:val="single" w:sz="8" w:color="CCEEFF"/>
            </w:tcBorders>
            <w:shd w:val="clear" w:color="auto" w:fill="CCEEFF"/>
          </w:tcPr>
          <w:p>
            <w:pPr>
              <w:spacing w:after="0"/>
              <w:rPr>
                <w:sz w:val="15"/>
                <w:szCs w:val="15"/>
                <w:color w:val="auto"/>
              </w:rPr>
            </w:pPr>
          </w:p>
        </w:tc>
      </w:tr>
      <w:tr>
        <w:trPr>
          <w:trHeight w:val="224"/>
        </w:trPr>
        <w:tc>
          <w:tcPr>
            <w:tcW w:w="2280" w:type="dxa"/>
            <w:vAlign w:val="bottom"/>
          </w:tcPr>
          <w:p>
            <w:pPr>
              <w:spacing w:after="0"/>
              <w:rPr>
                <w:sz w:val="19"/>
                <w:szCs w:val="19"/>
                <w:color w:val="auto"/>
              </w:rPr>
            </w:pPr>
          </w:p>
        </w:tc>
        <w:tc>
          <w:tcPr>
            <w:tcW w:w="3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8"/>
        </w:trPr>
        <w:tc>
          <w:tcPr>
            <w:tcW w:w="228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Ronald C. Foster</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$ 102,031</w:t>
            </w:r>
          </w:p>
        </w:tc>
        <w:tc>
          <w:tcPr>
            <w:tcW w:w="2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808,425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910,456</w:t>
            </w:r>
          </w:p>
        </w:tc>
        <w:tc>
          <w:tcPr>
            <w:tcW w:w="60" w:type="dxa"/>
            <w:vAlign w:val="bottom"/>
          </w:tcPr>
          <w:p>
            <w:pPr>
              <w:spacing w:after="0"/>
              <w:rPr>
                <w:sz w:val="18"/>
                <w:szCs w:val="18"/>
                <w:color w:val="auto"/>
              </w:rPr>
            </w:pPr>
          </w:p>
        </w:tc>
      </w:tr>
      <w:tr>
        <w:trPr>
          <w:trHeight w:val="222"/>
        </w:trPr>
        <w:tc>
          <w:tcPr>
            <w:tcW w:w="228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233,712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2,568,144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2,801,856</w:t>
            </w:r>
          </w:p>
        </w:tc>
        <w:tc>
          <w:tcPr>
            <w:tcW w:w="60" w:type="dxa"/>
            <w:vAlign w:val="bottom"/>
            <w:shd w:val="clear" w:color="auto" w:fill="CCEEFF"/>
          </w:tcPr>
          <w:p>
            <w:pPr>
              <w:spacing w:after="0"/>
              <w:rPr>
                <w:sz w:val="18"/>
                <w:szCs w:val="18"/>
                <w:color w:val="auto"/>
              </w:rPr>
            </w:pPr>
          </w:p>
        </w:tc>
      </w:tr>
      <w:tr>
        <w:trPr>
          <w:trHeight w:val="224"/>
        </w:trPr>
        <w:tc>
          <w:tcPr>
            <w:tcW w:w="2280" w:type="dxa"/>
            <w:vAlign w:val="bottom"/>
          </w:tcPr>
          <w:p>
            <w:pPr>
              <w:spacing w:after="0"/>
              <w:rPr>
                <w:sz w:val="19"/>
                <w:szCs w:val="19"/>
                <w:color w:val="auto"/>
              </w:rPr>
            </w:pPr>
          </w:p>
        </w:tc>
        <w:tc>
          <w:tcPr>
            <w:tcW w:w="3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President and Chief Operating Officer</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8"/>
        </w:trPr>
        <w:tc>
          <w:tcPr>
            <w:tcW w:w="228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700" w:type="dxa"/>
            <w:vAlign w:val="bottom"/>
          </w:tcPr>
          <w:p>
            <w:pPr>
              <w:jc w:val="right"/>
              <w:spacing w:after="0"/>
              <w:rPr>
                <w:sz w:val="20"/>
                <w:szCs w:val="20"/>
                <w:color w:val="auto"/>
              </w:rPr>
            </w:pPr>
            <w:r>
              <w:rPr>
                <w:rFonts w:ascii="Arial" w:cs="Arial" w:eastAsia="Arial" w:hAnsi="Arial"/>
                <w:sz w:val="18"/>
                <w:szCs w:val="18"/>
                <w:color w:val="auto"/>
              </w:rPr>
              <w:t>69,603</w:t>
            </w:r>
          </w:p>
        </w:tc>
        <w:tc>
          <w:tcPr>
            <w:tcW w:w="2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620,913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690,516</w:t>
            </w:r>
          </w:p>
        </w:tc>
        <w:tc>
          <w:tcPr>
            <w:tcW w:w="60" w:type="dxa"/>
            <w:vAlign w:val="bottom"/>
          </w:tcPr>
          <w:p>
            <w:pPr>
              <w:spacing w:after="0"/>
              <w:rPr>
                <w:sz w:val="18"/>
                <w:szCs w:val="18"/>
                <w:color w:val="auto"/>
              </w:rPr>
            </w:pPr>
          </w:p>
        </w:tc>
      </w:tr>
      <w:tr>
        <w:trPr>
          <w:trHeight w:val="222"/>
        </w:trPr>
        <w:tc>
          <w:tcPr>
            <w:tcW w:w="228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Vice President of Worldwide Sales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1,181,399</w:t>
            </w:r>
          </w:p>
        </w:tc>
        <w:tc>
          <w:tcPr>
            <w:tcW w:w="60" w:type="dxa"/>
            <w:vAlign w:val="bottom"/>
            <w:shd w:val="clear" w:color="auto" w:fill="CCEEFF"/>
          </w:tcPr>
          <w:p>
            <w:pPr>
              <w:spacing w:after="0"/>
              <w:rPr>
                <w:sz w:val="18"/>
                <w:szCs w:val="18"/>
                <w:color w:val="auto"/>
              </w:rPr>
            </w:pPr>
          </w:p>
        </w:tc>
      </w:tr>
      <w:tr>
        <w:trPr>
          <w:trHeight w:val="224"/>
        </w:trPr>
        <w:tc>
          <w:tcPr>
            <w:tcW w:w="2280" w:type="dxa"/>
            <w:vAlign w:val="bottom"/>
          </w:tcPr>
          <w:p>
            <w:pPr>
              <w:spacing w:after="0"/>
              <w:rPr>
                <w:sz w:val="19"/>
                <w:szCs w:val="19"/>
                <w:color w:val="auto"/>
              </w:rPr>
            </w:pPr>
          </w:p>
        </w:tc>
        <w:tc>
          <w:tcPr>
            <w:tcW w:w="3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Vice President of Memory</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8"/>
        </w:trPr>
        <w:tc>
          <w:tcPr>
            <w:tcW w:w="228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W. G. Stover, Jr.</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28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Former Chief Financial Officer</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2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35" w:lineRule="exact"/>
        <w:rPr>
          <w:sz w:val="20"/>
          <w:szCs w:val="20"/>
          <w:color w:val="auto"/>
        </w:rPr>
      </w:pPr>
    </w:p>
    <w:p>
      <w:pPr>
        <w:ind w:left="54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performance measured as of August 28, 2008 and the target award for the officer for fiscal 2008, as determined by the Compensation Committee.</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the acceleration of vesting for all outstanding options. Amount shown is calculated as the excess of $4.29, the closing price of the Company's stock on August 28, 2008, over the accelerated option's exercise price.</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the lapsing of all restrictions associated with the shares. Amount shown is calculated as the number of shares on which restrictions would lapse multiplied by $4.29 per share.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firstLine="601"/>
        <w:spacing w:after="0" w:line="268" w:lineRule="auto"/>
        <w:rPr>
          <w:sz w:val="20"/>
          <w:szCs w:val="20"/>
          <w:color w:val="auto"/>
        </w:rPr>
      </w:pPr>
      <w:r>
        <w:rPr>
          <w:rFonts w:ascii="Arial" w:cs="Arial" w:eastAsia="Arial" w:hAnsi="Arial"/>
          <w:sz w:val="18"/>
          <w:szCs w:val="18"/>
          <w:color w:val="auto"/>
        </w:rPr>
        <w:t>The following table provides information as of August 28, 2008, regarding Common Stock that may be issued pursuant to the Company's equity compensation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Number Of Securities</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To Be Issued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Equity Compensation</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Plans</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Options,</w:t>
            </w:r>
          </w:p>
        </w:tc>
        <w:tc>
          <w:tcPr>
            <w:tcW w:w="1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61"/>
        </w:trPr>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Rights</w:t>
            </w: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Column (a))</w:t>
            </w:r>
          </w:p>
        </w:tc>
        <w:tc>
          <w:tcPr>
            <w:tcW w:w="200" w:type="dxa"/>
            <w:vAlign w:val="bottom"/>
          </w:tcPr>
          <w:p>
            <w:pPr>
              <w:spacing w:after="0"/>
              <w:rPr>
                <w:sz w:val="14"/>
                <w:szCs w:val="14"/>
                <w:color w:val="auto"/>
              </w:rPr>
            </w:pPr>
          </w:p>
        </w:tc>
      </w:tr>
      <w:tr>
        <w:trPr>
          <w:trHeight w:val="142"/>
        </w:trPr>
        <w:tc>
          <w:tcPr>
            <w:tcW w:w="1620" w:type="dxa"/>
            <w:vAlign w:val="bottom"/>
          </w:tcPr>
          <w:p>
            <w:pPr>
              <w:spacing w:after="0"/>
              <w:rPr>
                <w:sz w:val="12"/>
                <w:szCs w:val="12"/>
                <w:color w:val="auto"/>
              </w:rPr>
            </w:pPr>
          </w:p>
        </w:tc>
        <w:tc>
          <w:tcPr>
            <w:tcW w:w="4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Equity Compensation Plans Approved by Shareholders</w:t>
            </w:r>
          </w:p>
        </w:tc>
        <w:tc>
          <w:tcPr>
            <w:tcW w:w="13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87,359,899(1) $</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18.63</w:t>
            </w:r>
          </w:p>
        </w:tc>
        <w:tc>
          <w:tcPr>
            <w:tcW w:w="1740" w:type="dxa"/>
            <w:vAlign w:val="bottom"/>
            <w:gridSpan w:val="3"/>
            <w:shd w:val="clear" w:color="auto" w:fill="CCEEFF"/>
          </w:tcPr>
          <w:p>
            <w:pPr>
              <w:ind w:left="920"/>
              <w:spacing w:after="0" w:line="142" w:lineRule="exact"/>
              <w:rPr>
                <w:sz w:val="20"/>
                <w:szCs w:val="20"/>
                <w:color w:val="auto"/>
              </w:rPr>
            </w:pPr>
            <w:r>
              <w:rPr>
                <w:rFonts w:ascii="Arial" w:cs="Arial" w:eastAsia="Arial" w:hAnsi="Arial"/>
                <w:sz w:val="14"/>
                <w:szCs w:val="14"/>
                <w:color w:val="auto"/>
                <w:w w:val="91"/>
              </w:rPr>
              <w:t>61,082,339(2)</w:t>
            </w:r>
          </w:p>
        </w:tc>
      </w:tr>
      <w:tr>
        <w:trPr>
          <w:trHeight w:val="174"/>
        </w:trPr>
        <w:tc>
          <w:tcPr>
            <w:tcW w:w="16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Equity Compensation Plans Not Approved By Shareholders(3)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29,702,291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18.35</w:t>
            </w:r>
          </w:p>
        </w:tc>
        <w:tc>
          <w:tcPr>
            <w:tcW w:w="180" w:type="dxa"/>
            <w:vAlign w:val="bottom"/>
          </w:tcPr>
          <w:p>
            <w:pPr>
              <w:spacing w:after="0"/>
              <w:rPr>
                <w:sz w:val="15"/>
                <w:szCs w:val="15"/>
                <w:color w:val="auto"/>
              </w:rPr>
            </w:pPr>
          </w:p>
        </w:tc>
        <w:tc>
          <w:tcPr>
            <w:tcW w:w="13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w w:val="85"/>
              </w:rPr>
              <w:t>19,599,293</w:t>
            </w:r>
          </w:p>
        </w:tc>
        <w:tc>
          <w:tcPr>
            <w:tcW w:w="200" w:type="dxa"/>
            <w:vAlign w:val="bottom"/>
          </w:tcPr>
          <w:p>
            <w:pPr>
              <w:spacing w:after="0"/>
              <w:rPr>
                <w:sz w:val="15"/>
                <w:szCs w:val="15"/>
                <w:color w:val="auto"/>
              </w:rPr>
            </w:pPr>
          </w:p>
        </w:tc>
      </w:tr>
      <w:tr>
        <w:trPr>
          <w:trHeight w:val="144"/>
        </w:trPr>
        <w:tc>
          <w:tcPr>
            <w:tcW w:w="1620" w:type="dxa"/>
            <w:vAlign w:val="bottom"/>
          </w:tcPr>
          <w:p>
            <w:pPr>
              <w:spacing w:after="0"/>
              <w:rPr>
                <w:sz w:val="12"/>
                <w:szCs w:val="12"/>
                <w:color w:val="auto"/>
              </w:rPr>
            </w:pPr>
          </w:p>
        </w:tc>
        <w:tc>
          <w:tcPr>
            <w:tcW w:w="40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Totals(4)</w:t>
            </w: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117,062,190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18.56</w:t>
            </w:r>
          </w:p>
        </w:tc>
        <w:tc>
          <w:tcPr>
            <w:tcW w:w="1740" w:type="dxa"/>
            <w:vAlign w:val="bottom"/>
            <w:gridSpan w:val="3"/>
            <w:shd w:val="clear" w:color="auto" w:fill="CCEEFF"/>
          </w:tcPr>
          <w:p>
            <w:pPr>
              <w:ind w:left="920"/>
              <w:spacing w:after="0" w:line="144" w:lineRule="exact"/>
              <w:rPr>
                <w:sz w:val="20"/>
                <w:szCs w:val="20"/>
                <w:color w:val="auto"/>
              </w:rPr>
            </w:pPr>
            <w:r>
              <w:rPr>
                <w:rFonts w:ascii="Arial" w:cs="Arial" w:eastAsia="Arial" w:hAnsi="Arial"/>
                <w:sz w:val="14"/>
                <w:szCs w:val="14"/>
                <w:color w:val="auto"/>
                <w:w w:val="91"/>
              </w:rPr>
              <w:t>80,681,632(2)</w:t>
            </w:r>
          </w:p>
        </w:tc>
      </w:tr>
      <w:tr>
        <w:trPr>
          <w:trHeight w:val="27"/>
        </w:trPr>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16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92" w:lineRule="exact"/>
        <w:rPr>
          <w:sz w:val="20"/>
          <w:szCs w:val="20"/>
          <w:color w:val="auto"/>
        </w:rPr>
      </w:pPr>
    </w:p>
    <w:p>
      <w:pPr>
        <w:jc w:val="both"/>
        <w:ind w:left="540" w:hanging="532"/>
        <w:spacing w:after="0" w:line="270" w:lineRule="auto"/>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shares issuable upon exercise of options granted pursuant to the Company's 1994 Stock Option Plan (the "1994 Plan"), 1996 Lexar Stock Option Plan (the "1996 Lexar Plan"), 2000 Lexar Stock Option Plan (the "2000 Lexar Plan"), 2001 Stock Option Plan (the "2001 Plan"), 2004 Equity Incentive Plan (the "2004 Plan"), 2007 Equity Incentive Plan (the "2007 Plan") and rights under the 1998 Director's Stock Incentive Plan (the "DSIP"). The 2004 Plan and the 2007 Plan provide for a maximum term for options and SARs of six years, all other Company equity plans provide for a maximum option term of 10 years. The 2004 Plan and the 2007 Plan which are the Company's only plans that permit the granting awards other than stock options, provide that awards other than stock options or SARs reduce the number of available shares under the plan by two shares for each one share covered by the award. In addition, none of the Company's equity plans contain provisions that are commonly known as "liberal share counting provisions" or permit the grant of discounted options or SARs.</w:t>
      </w:r>
    </w:p>
    <w:p>
      <w:pPr>
        <w:spacing w:after="0" w:line="94"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405,316 shares remaining under the DSIP and 1,771,149 shares remaining under the Company's 1989 Employee Stock Purchase Plan (the "ESPP"). The DSIP will expire on January 14, 2009. The ESPP was suspended by the Board of Directors effective December 31, 2007 and will expire October 31, 2008.</w:t>
      </w:r>
    </w:p>
    <w:p>
      <w:pPr>
        <w:spacing w:after="0" w:line="111" w:lineRule="exact"/>
        <w:rPr>
          <w:rFonts w:ascii="Arial" w:cs="Arial" w:eastAsia="Arial" w:hAnsi="Arial"/>
          <w:sz w:val="14"/>
          <w:szCs w:val="14"/>
          <w:color w:val="auto"/>
        </w:rPr>
      </w:pPr>
    </w:p>
    <w:p>
      <w:pPr>
        <w:jc w:val="both"/>
        <w:ind w:left="540" w:hanging="532"/>
        <w:spacing w:after="0" w:line="230"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shares issuable upon exercise of options granted pursuant to the Company's Nonstatutory Stock Option Plan (the "NSOP"), 1997 Nonstatutory Stock Option Plan (the "1997 Plan"), 1998 Nonstatutory Stock Option Plan (the "1998 Plan") and the 2002 Employee Inducement Stock Option Plan (the "2002 Plan"). Options granted under the aforementioned plans have terms ranging from six to ten years. The exercise price and the vesting schedule of the options granted under these plans are determined by the administrators of the plans or the Company's Board of Directors. Executive officers and directors do not participate in the aforementioned plans.</w:t>
      </w:r>
    </w:p>
    <w:p>
      <w:pPr>
        <w:spacing w:after="0" w:line="112" w:lineRule="exact"/>
        <w:rPr>
          <w:rFonts w:ascii="Arial" w:cs="Arial" w:eastAsia="Arial" w:hAnsi="Arial"/>
          <w:sz w:val="14"/>
          <w:szCs w:val="14"/>
          <w:color w:val="auto"/>
        </w:rPr>
      </w:pPr>
    </w:p>
    <w:p>
      <w:pPr>
        <w:ind w:left="540" w:hanging="532"/>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following table contains further information as to awards outstanding and available for issuance under each of the Company's equity plans.</w:t>
      </w:r>
    </w:p>
    <w:p>
      <w:pPr>
        <w:spacing w:after="0" w:line="200" w:lineRule="exact"/>
        <w:rPr>
          <w:rFonts w:ascii="Arial" w:cs="Arial" w:eastAsia="Arial" w:hAnsi="Arial"/>
          <w:sz w:val="14"/>
          <w:szCs w:val="14"/>
          <w:color w:val="auto"/>
        </w:rPr>
      </w:pPr>
    </w:p>
    <w:p>
      <w:pPr>
        <w:spacing w:after="0" w:line="244" w:lineRule="exact"/>
        <w:rPr>
          <w:rFonts w:ascii="Arial" w:cs="Arial" w:eastAsia="Arial" w:hAnsi="Arial"/>
          <w:sz w:val="14"/>
          <w:szCs w:val="14"/>
          <w:color w:val="auto"/>
        </w:rPr>
      </w:pPr>
    </w:p>
    <w:p>
      <w:pPr>
        <w:ind w:left="7620" w:hanging="1411"/>
        <w:spacing w:after="0"/>
        <w:tabs>
          <w:tab w:leader="none" w:pos="7620" w:val="left"/>
        </w:tabs>
        <w:numPr>
          <w:ilvl w:val="1"/>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(b)</w:t>
      </w:r>
    </w:p>
    <w:tbl>
      <w:tblPr>
        <w:tblLayout w:type="fixed"/>
        <w:tblInd w:w="0" w:type="dxa"/>
        <w:tblCellMar>
          <w:top w:w="0" w:type="dxa"/>
          <w:left w:w="0" w:type="dxa"/>
          <w:bottom w:w="0" w:type="dxa"/>
          <w:right w:w="0" w:type="dxa"/>
        </w:tblCellMar>
      </w:tblPr>
      <w:tr>
        <w:trPr>
          <w:trHeight w:val="136"/>
        </w:trPr>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jc w:val="center"/>
              <w:ind w:right="180"/>
              <w:spacing w:after="0" w:line="136"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6"/>
              </w:rPr>
              <w:t>Number of Securities</w:t>
            </w: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Available for Issuance</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Equity Plan</w:t>
            </w:r>
          </w:p>
        </w:tc>
        <w:tc>
          <w:tcPr>
            <w:tcW w:w="124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Approved Plans</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tcBorders>
              <w:right w:val="single" w:sz="8" w:color="CCEEFF"/>
            </w:tcBorders>
            <w:shd w:val="clear" w:color="auto" w:fill="CCEEFF"/>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1994</w:t>
            </w: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2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36,643,854</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1996</w:t>
            </w:r>
          </w:p>
        </w:tc>
        <w:tc>
          <w:tcPr>
            <w:tcW w:w="1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Lexar Plan</w:t>
            </w:r>
          </w:p>
        </w:tc>
        <w:tc>
          <w:tcPr>
            <w:tcW w:w="2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50,384</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2000</w:t>
            </w: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Lexar Plan</w:t>
            </w:r>
          </w:p>
        </w:tc>
        <w:tc>
          <w:tcPr>
            <w:tcW w:w="2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1,458,166</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2001</w:t>
            </w:r>
          </w:p>
        </w:tc>
        <w:tc>
          <w:tcPr>
            <w:tcW w:w="1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2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35,404,667</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5,371,077</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2004</w:t>
            </w: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72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5,137,725(a)</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34,864,461</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2007</w:t>
            </w:r>
          </w:p>
        </w:tc>
        <w:tc>
          <w:tcPr>
            <w:tcW w:w="1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7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8,625,227(b)</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18,670,336</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5"/>
              </w:rPr>
              <w:t>DSIP</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39,876</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405,316</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ESPP</w:t>
            </w:r>
          </w:p>
        </w:tc>
        <w:tc>
          <w:tcPr>
            <w:tcW w:w="7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1,771,149</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20" w:type="dxa"/>
            <w:vAlign w:val="bottom"/>
            <w:gridSpan w:val="5"/>
            <w:vMerge w:val="restart"/>
          </w:tcPr>
          <w:p>
            <w:pPr>
              <w:ind w:left="1020"/>
              <w:spacing w:after="0"/>
              <w:rPr>
                <w:sz w:val="20"/>
                <w:szCs w:val="20"/>
                <w:color w:val="auto"/>
              </w:rPr>
            </w:pPr>
            <w:r>
              <w:rPr>
                <w:rFonts w:ascii="Arial" w:cs="Arial" w:eastAsia="Arial" w:hAnsi="Arial"/>
                <w:sz w:val="14"/>
                <w:szCs w:val="14"/>
                <w:color w:val="auto"/>
              </w:rPr>
              <w:t>Approved Plan Total</w:t>
            </w:r>
          </w:p>
        </w:tc>
        <w:tc>
          <w:tcPr>
            <w:tcW w:w="204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87,359,899</w:t>
            </w:r>
          </w:p>
        </w:tc>
        <w:tc>
          <w:tcPr>
            <w:tcW w:w="18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61,082,339</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Not Approved Plans</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tcBorders>
              <w:right w:val="single" w:sz="8" w:color="CCEEFF"/>
            </w:tcBorders>
            <w:shd w:val="clear" w:color="auto" w:fill="CCEEFF"/>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NSOP</w:t>
            </w:r>
          </w:p>
        </w:tc>
        <w:tc>
          <w:tcPr>
            <w:tcW w:w="2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28,875,509</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17,879,618</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1997</w:t>
            </w:r>
          </w:p>
        </w:tc>
        <w:tc>
          <w:tcPr>
            <w:tcW w:w="1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2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210,650</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252,914</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1998</w:t>
            </w: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2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616,132</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466,761</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2002</w:t>
            </w:r>
          </w:p>
        </w:tc>
        <w:tc>
          <w:tcPr>
            <w:tcW w:w="1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2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20" w:type="dxa"/>
            <w:vAlign w:val="bottom"/>
            <w:gridSpan w:val="5"/>
            <w:vMerge w:val="restart"/>
          </w:tcPr>
          <w:p>
            <w:pPr>
              <w:ind w:left="1020"/>
              <w:spacing w:after="0"/>
              <w:rPr>
                <w:sz w:val="20"/>
                <w:szCs w:val="20"/>
                <w:color w:val="auto"/>
              </w:rPr>
            </w:pPr>
            <w:r>
              <w:rPr>
                <w:rFonts w:ascii="Arial" w:cs="Arial" w:eastAsia="Arial" w:hAnsi="Arial"/>
                <w:sz w:val="14"/>
                <w:szCs w:val="14"/>
                <w:color w:val="auto"/>
              </w:rPr>
              <w:t>Not Approved Plan Total</w:t>
            </w:r>
          </w:p>
        </w:tc>
        <w:tc>
          <w:tcPr>
            <w:tcW w:w="204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29,702,291</w:t>
            </w:r>
          </w:p>
        </w:tc>
        <w:tc>
          <w:tcPr>
            <w:tcW w:w="18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19,599,293</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Grand Total</w:t>
            </w:r>
          </w:p>
        </w:tc>
        <w:tc>
          <w:tcPr>
            <w:tcW w:w="204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117,062,190</w:t>
            </w:r>
          </w:p>
        </w:tc>
        <w:tc>
          <w:tcPr>
            <w:tcW w:w="138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80,681,632</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20" w:type="dxa"/>
            <w:vAlign w:val="bottom"/>
            <w:gridSpan w:val="4"/>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8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14"/>
                <w:szCs w:val="14"/>
                <w:color w:val="auto"/>
              </w:rPr>
              <w:t>(a)</w:t>
            </w:r>
          </w:p>
        </w:tc>
        <w:tc>
          <w:tcPr>
            <w:tcW w:w="3020" w:type="dxa"/>
            <w:vAlign w:val="bottom"/>
            <w:gridSpan w:val="5"/>
          </w:tcPr>
          <w:p>
            <w:pPr>
              <w:ind w:left="180"/>
              <w:spacing w:after="0"/>
              <w:rPr>
                <w:sz w:val="20"/>
                <w:szCs w:val="20"/>
                <w:color w:val="auto"/>
              </w:rPr>
            </w:pPr>
            <w:r>
              <w:rPr>
                <w:rFonts w:ascii="Arial" w:cs="Arial" w:eastAsia="Arial" w:hAnsi="Arial"/>
                <w:sz w:val="14"/>
                <w:szCs w:val="14"/>
                <w:color w:val="auto"/>
              </w:rPr>
              <w:t>Includes 1,398,112 restricted stock units.</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14"/>
                <w:szCs w:val="14"/>
                <w:color w:val="auto"/>
              </w:rPr>
              <w:t>(b)</w:t>
            </w:r>
          </w:p>
        </w:tc>
        <w:tc>
          <w:tcPr>
            <w:tcW w:w="3020" w:type="dxa"/>
            <w:vAlign w:val="bottom"/>
            <w:gridSpan w:val="5"/>
          </w:tcPr>
          <w:p>
            <w:pPr>
              <w:ind w:left="180"/>
              <w:spacing w:after="0"/>
              <w:rPr>
                <w:sz w:val="20"/>
                <w:szCs w:val="20"/>
                <w:color w:val="auto"/>
              </w:rPr>
            </w:pPr>
            <w:r>
              <w:rPr>
                <w:rFonts w:ascii="Arial" w:cs="Arial" w:eastAsia="Arial" w:hAnsi="Arial"/>
                <w:sz w:val="14"/>
                <w:szCs w:val="14"/>
                <w:color w:val="auto"/>
              </w:rPr>
              <w:t>Includes 2,703,237 restricted stock units.</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gridSpan w:val="2"/>
          </w:tcPr>
          <w:p>
            <w:pPr>
              <w:jc w:val="right"/>
              <w:ind w:right="99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Related party transactions are reviewed by the Company's Board of Directors. Related parties include the Company's directors and officers, their family members and affiliates. In cases where the related party is a director, that director does not participate in the review of the proposed transaction. In reviewing a proposed related party transaction, the Board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the Company and the related party.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fiscal 2008, the Company paid $121 million to Lam Research Corporation ("Lam") for semiconductor manufacturing equipment and related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received approximately $413,000 from Lam for the sale of used equipment in fiscal 2008. Mr. Bagley is the Executive Chairman of Lam.</w:t>
      </w:r>
    </w:p>
    <w:p>
      <w:pPr>
        <w:spacing w:after="0" w:line="242" w:lineRule="exact"/>
        <w:rPr>
          <w:sz w:val="20"/>
          <w:szCs w:val="20"/>
          <w:color w:val="auto"/>
        </w:rPr>
      </w:pPr>
    </w:p>
    <w:p>
      <w:pPr>
        <w:jc w:val="both"/>
        <w:ind w:firstLine="559"/>
        <w:spacing w:after="0" w:line="256" w:lineRule="auto"/>
        <w:rPr>
          <w:sz w:val="20"/>
          <w:szCs w:val="20"/>
          <w:color w:val="auto"/>
        </w:rPr>
      </w:pPr>
      <w:r>
        <w:rPr>
          <w:rFonts w:ascii="Arial" w:cs="Arial" w:eastAsia="Arial" w:hAnsi="Arial"/>
          <w:sz w:val="18"/>
          <w:szCs w:val="18"/>
          <w:color w:val="auto"/>
        </w:rPr>
        <w:t>In December 2006, the Company acquired the CMOS image sensor business of Avago Technologies Limited ("Avago"). The Company paid Avago $8 million in fiscal 2008 for the achievement of certain contingent payments related to the acquisition. Ms. Johnson was the Senior Vice President, Finance and Chief Financial Officer of Avago at the time of the acquisition. Ms. Johnson did not participate in any deliberations of the Company's Board of Directors concerning the Avago acquisition.</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416"/>
        <w:spacing w:after="0" w:line="253" w:lineRule="auto"/>
        <w:rPr>
          <w:sz w:val="20"/>
          <w:szCs w:val="20"/>
          <w:color w:val="auto"/>
        </w:rPr>
      </w:pPr>
      <w:r>
        <w:rPr>
          <w:rFonts w:ascii="Arial" w:cs="Arial" w:eastAsia="Arial" w:hAnsi="Arial"/>
          <w:sz w:val="18"/>
          <w:szCs w:val="18"/>
          <w:color w:val="auto"/>
        </w:rPr>
        <w:t>Section 16(a) of the Securities and Exchange Act of 1934 (the "Exchange Act") requires the Company's directors and executive officers, and persons who own beneficially more than 10% of the Common Stock of the Company, to file reports of ownership and changes of ownership with the Securities and Exchange Commission and the New York Stock Exchange ("NYSE"). Copies of all filed reports are required to be furnished to the Company pursuant to Section 16(a) of the Exchange Act. Based solely on the reports received by the Company and on written representations from reporting persons, the Company believes that with the exception of Form 4s for two executive officers (Brian M. Shirley and Patrick T. Otte), all directors, other executive officers, and greater than 10% beneficial owners complied with all applicable filing requirements during the fiscal year ended August 28, 2008. Mr. Shirley and Mr. Otte each had one late filing related to one transaction.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December 11, 2008. The Proxy statement and Annual Report on Form 10-K are available at www.proxydocs.com/mu.</w:t>
      </w:r>
    </w:p>
    <w:p>
      <w:pPr>
        <w:spacing w:after="0" w:line="186"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As permitted by rules recently adopted by the Securities and Exchange Commission,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31"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Company is allowed and intends to deliver only one copy of the notice regarding the Internet availability of proxy materials or set of one Annual Report on Form 10-K and one Proxy Statement to multiple registered shareholders sharing an address who have received prior notice of our intent to deliver such notice or report and proxy statement per address, so long as the Company has not received contrary instructions from one or more of such shareholders. This practice is commonly referred to as "householding." Householding reduces the volume of duplicate information received at your household and the cost to the Company of preparing and mailing duplicate materials.</w:t>
      </w:r>
    </w:p>
    <w:p>
      <w:pPr>
        <w:spacing w:after="0" w:line="197" w:lineRule="exact"/>
        <w:rPr>
          <w:sz w:val="20"/>
          <w:szCs w:val="20"/>
          <w:color w:val="auto"/>
        </w:rPr>
      </w:pPr>
    </w:p>
    <w:p>
      <w:pPr>
        <w:jc w:val="both"/>
        <w:ind w:firstLine="503"/>
        <w:spacing w:after="0" w:line="288" w:lineRule="auto"/>
        <w:rPr>
          <w:sz w:val="20"/>
          <w:szCs w:val="20"/>
          <w:color w:val="auto"/>
        </w:rPr>
      </w:pPr>
      <w:r>
        <w:rPr>
          <w:rFonts w:ascii="Arial" w:cs="Arial" w:eastAsia="Arial" w:hAnsi="Arial"/>
          <w:sz w:val="16"/>
          <w:szCs w:val="16"/>
          <w:color w:val="auto"/>
        </w:rPr>
        <w:t>If you share an address with other registered shareholders and your household receives one copy of the notice of Internet availability or of this Proxy Statement and 2008 Annual Report on Form 10-K and you decide you want a separate copy of this Proxy Statement and 2008 Annual Report on Form 10-K through the date of the Annual Meeting, we will promptly deliver your separate copy if you contact us at Micron Technology, Inc., Attn.: Corporate Secretary, P.O. Box 6, MS-1-507, Boise, Idaho 83707-0006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74" w:lineRule="exact"/>
        <w:rPr>
          <w:sz w:val="20"/>
          <w:szCs w:val="20"/>
          <w:color w:val="auto"/>
        </w:rPr>
      </w:pPr>
    </w:p>
    <w:p>
      <w:pPr>
        <w:jc w:val="both"/>
        <w:ind w:firstLine="534"/>
        <w:spacing w:after="0" w:line="259" w:lineRule="auto"/>
        <w:rPr>
          <w:sz w:val="20"/>
          <w:szCs w:val="20"/>
          <w:color w:val="auto"/>
        </w:rPr>
      </w:pPr>
      <w:r>
        <w:rPr>
          <w:rFonts w:ascii="Arial" w:cs="Arial" w:eastAsia="Arial" w:hAnsi="Arial"/>
          <w:sz w:val="18"/>
          <w:szCs w:val="18"/>
          <w:color w:val="auto"/>
        </w:rPr>
        <w:t>Additionally, the Company has been notified that certain banks, brokers and other nominees will household the company's annual reports and proxy statements for shareholders who hold in street names and have consented to householding. In this case, you may request an individual copy of this Proxy Statement and 2008 Annual Report on Form 10-K by contacting your bank, broker or other nominee.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DEADLINE FOR RECEIPT OF SHAREHOLDER PROPOSALS FOR 2009 ANNUAL MEETING</w:t>
      </w:r>
    </w:p>
    <w:p>
      <w:pPr>
        <w:spacing w:after="0" w:line="231"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Proposals of shareholders of the Company which are intended to be presented at the Company's 2009 Annual Meeting of Shareholders must be received by the Company at its principal executive offices located at 8000 South Federal Way, Boise, Idaho 83716-9632, no later than July 8, 2009, and must also be in compliance with the Company's Restated Certificate of Incorporation and its Bylaws and with applicable laws and regulations in order to be included in the Proxy Statement and form of proxy relating to that meeting. Proposals which are received after July 8, 2009, will be untimely and will not be considered at the meeting.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28, 2008</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left="10300"/>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2007 EQUITY INCENTIVE PLAN</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94" w:lineRule="exact"/>
        <w:rPr>
          <w:sz w:val="20"/>
          <w:szCs w:val="20"/>
          <w:color w:val="auto"/>
        </w:rPr>
      </w:pPr>
    </w:p>
    <w:p>
      <w:pPr>
        <w:ind w:left="540" w:firstLine="374"/>
        <w:spacing w:after="0" w:line="268"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85" w:lineRule="exact"/>
        <w:rPr>
          <w:rFonts w:ascii="Arial" w:cs="Arial" w:eastAsia="Arial" w:hAnsi="Arial"/>
          <w:sz w:val="18"/>
          <w:szCs w:val="18"/>
          <w:color w:val="auto"/>
        </w:rPr>
      </w:pPr>
    </w:p>
    <w:p>
      <w:pPr>
        <w:jc w:val="both"/>
        <w:ind w:left="540" w:firstLine="430"/>
        <w:spacing w:after="0" w:line="259" w:lineRule="auto"/>
        <w:tabs>
          <w:tab w:leader="none" w:pos="1536" w:val="left"/>
        </w:tabs>
        <w:numPr>
          <w:ilvl w:val="2"/>
          <w:numId w:val="38"/>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194" w:lineRule="exact"/>
        <w:rPr>
          <w:rFonts w:ascii="Arial" w:cs="Arial" w:eastAsia="Arial" w:hAnsi="Arial"/>
          <w:sz w:val="18"/>
          <w:szCs w:val="18"/>
          <w:color w:val="auto"/>
        </w:rPr>
      </w:pPr>
    </w:p>
    <w:p>
      <w:pPr>
        <w:jc w:val="both"/>
        <w:ind w:left="540" w:firstLine="473"/>
        <w:spacing w:after="0" w:line="298" w:lineRule="auto"/>
        <w:tabs>
          <w:tab w:leader="none" w:pos="1607" w:val="left"/>
        </w:tabs>
        <w:numPr>
          <w:ilvl w:val="3"/>
          <w:numId w:val="38"/>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66" w:lineRule="exact"/>
        <w:rPr>
          <w:rFonts w:ascii="Arial" w:cs="Arial" w:eastAsia="Arial" w:hAnsi="Arial"/>
          <w:sz w:val="16"/>
          <w:szCs w:val="16"/>
          <w:color w:val="auto"/>
        </w:rPr>
      </w:pPr>
    </w:p>
    <w:p>
      <w:pPr>
        <w:ind w:left="1420" w:hanging="521"/>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400" w:hanging="501"/>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jc w:val="both"/>
        <w:ind w:left="1080" w:firstLine="505"/>
        <w:spacing w:after="0" w:line="256" w:lineRule="auto"/>
        <w:tabs>
          <w:tab w:leader="none" w:pos="2041" w:val="left"/>
        </w:tabs>
        <w:numPr>
          <w:ilvl w:val="4"/>
          <w:numId w:val="39"/>
        </w:numPr>
        <w:rPr>
          <w:rFonts w:ascii="Arial" w:cs="Arial" w:eastAsia="Arial" w:hAnsi="Arial"/>
          <w:sz w:val="18"/>
          <w:szCs w:val="18"/>
          <w:color w:val="auto"/>
        </w:rPr>
      </w:pPr>
      <w:r>
        <w:rPr>
          <w:rFonts w:ascii="Arial" w:cs="Arial" w:eastAsia="Arial" w:hAnsi="Arial"/>
          <w:sz w:val="18"/>
          <w:szCs w:val="18"/>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both"/>
        <w:ind w:left="540"/>
        <w:spacing w:after="0" w:line="256" w:lineRule="auto"/>
        <w:rPr>
          <w:sz w:val="20"/>
          <w:szCs w:val="20"/>
          <w:color w:val="auto"/>
        </w:rPr>
      </w:pPr>
      <w:r>
        <w:rPr>
          <w:rFonts w:ascii="Arial" w:cs="Arial" w:eastAsia="Arial" w:hAnsi="Arial"/>
          <w:sz w:val="18"/>
          <w:szCs w:val="18"/>
          <w:color w:val="auto"/>
        </w:rPr>
        <w:t>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7" w:lineRule="exact"/>
        <w:rPr>
          <w:sz w:val="20"/>
          <w:szCs w:val="20"/>
          <w:color w:val="auto"/>
        </w:rPr>
      </w:pPr>
    </w:p>
    <w:p>
      <w:pPr>
        <w:jc w:val="both"/>
        <w:ind w:left="540" w:firstLine="419"/>
        <w:spacing w:after="0" w:line="290" w:lineRule="auto"/>
        <w:tabs>
          <w:tab w:leader="none" w:pos="1440" w:val="left"/>
        </w:tabs>
        <w:numPr>
          <w:ilvl w:val="2"/>
          <w:numId w:val="40"/>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2" w:lineRule="exact"/>
        <w:rPr>
          <w:rFonts w:ascii="Arial" w:cs="Arial" w:eastAsia="Arial" w:hAnsi="Arial"/>
          <w:sz w:val="16"/>
          <w:szCs w:val="16"/>
          <w:color w:val="auto"/>
        </w:rPr>
      </w:pPr>
    </w:p>
    <w:p>
      <w:pPr>
        <w:jc w:val="both"/>
        <w:ind w:left="540" w:firstLine="509"/>
        <w:spacing w:after="0" w:line="285" w:lineRule="auto"/>
        <w:tabs>
          <w:tab w:leader="none" w:pos="1679" w:val="left"/>
        </w:tabs>
        <w:numPr>
          <w:ilvl w:val="3"/>
          <w:numId w:val="40"/>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5" w:lineRule="exact"/>
        <w:rPr>
          <w:rFonts w:ascii="Arial" w:cs="Arial" w:eastAsia="Arial" w:hAnsi="Arial"/>
          <w:sz w:val="16"/>
          <w:szCs w:val="16"/>
          <w:color w:val="auto"/>
        </w:rPr>
      </w:pPr>
    </w:p>
    <w:p>
      <w:pPr>
        <w:ind w:left="1420" w:hanging="520"/>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jc w:val="both"/>
        <w:ind w:firstLine="404"/>
        <w:spacing w:after="0" w:line="259" w:lineRule="auto"/>
        <w:tabs>
          <w:tab w:leader="none" w:pos="9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48" w:name="page49"/>
    <w:bookmarkEnd w:id="48"/>
    <w:p>
      <w:pPr>
        <w:ind w:left="880" w:hanging="521"/>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jc w:val="both"/>
        <w:ind w:firstLine="425"/>
        <w:spacing w:after="0" w:line="288"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4" w:lineRule="exact"/>
        <w:rPr>
          <w:sz w:val="20"/>
          <w:szCs w:val="20"/>
          <w:color w:val="auto"/>
        </w:rPr>
      </w:pPr>
    </w:p>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jc w:val="both"/>
        <w:ind w:firstLine="461"/>
        <w:spacing w:after="0" w:line="289" w:lineRule="auto"/>
        <w:tabs>
          <w:tab w:leader="none" w:pos="1054"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72" w:lineRule="exact"/>
        <w:rPr>
          <w:sz w:val="20"/>
          <w:szCs w:val="20"/>
          <w:color w:val="auto"/>
        </w:rPr>
      </w:pPr>
    </w:p>
    <w:p>
      <w:pPr>
        <w:ind w:left="880" w:hanging="521"/>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firstLine="399"/>
        <w:spacing w:after="0" w:line="268" w:lineRule="auto"/>
        <w:tabs>
          <w:tab w:leader="none" w:pos="9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85" w:lineRule="exact"/>
        <w:rPr>
          <w:rFonts w:ascii="Arial" w:cs="Arial" w:eastAsia="Arial" w:hAnsi="Arial"/>
          <w:sz w:val="18"/>
          <w:szCs w:val="18"/>
          <w:color w:val="auto"/>
        </w:rPr>
      </w:pPr>
    </w:p>
    <w:p>
      <w:pPr>
        <w:ind w:right="20" w:firstLine="427"/>
        <w:spacing w:after="0" w:line="268" w:lineRule="auto"/>
        <w:tabs>
          <w:tab w:leader="none" w:pos="99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85" w:lineRule="exact"/>
        <w:rPr>
          <w:rFonts w:ascii="Arial" w:cs="Arial" w:eastAsia="Arial" w:hAnsi="Arial"/>
          <w:sz w:val="18"/>
          <w:szCs w:val="18"/>
          <w:color w:val="auto"/>
        </w:rPr>
      </w:pPr>
    </w:p>
    <w:p>
      <w:pPr>
        <w:jc w:val="both"/>
        <w:ind w:firstLine="436"/>
        <w:spacing w:after="0" w:line="291" w:lineRule="auto"/>
        <w:tabs>
          <w:tab w:leader="none" w:pos="1006" w:val="left"/>
        </w:tabs>
        <w:numPr>
          <w:ilvl w:val="2"/>
          <w:numId w:val="45"/>
        </w:numPr>
        <w:rPr>
          <w:rFonts w:ascii="Arial" w:cs="Arial" w:eastAsia="Arial" w:hAnsi="Arial"/>
          <w:sz w:val="16"/>
          <w:szCs w:val="16"/>
          <w:color w:val="auto"/>
        </w:rPr>
      </w:pPr>
      <w:r>
        <w:rPr>
          <w:rFonts w:ascii="Arial" w:cs="Arial" w:eastAsia="Arial" w:hAnsi="Arial"/>
          <w:sz w:val="16"/>
          <w:szCs w:val="16"/>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49" w:name="page50"/>
    <w:bookmarkEnd w:id="49"/>
    <w:p>
      <w:pPr>
        <w:jc w:val="both"/>
        <w:spacing w:after="0" w:line="306" w:lineRule="auto"/>
        <w:rPr>
          <w:sz w:val="20"/>
          <w:szCs w:val="20"/>
          <w:color w:val="auto"/>
        </w:rPr>
      </w:pPr>
      <w:r>
        <w:rPr>
          <w:rFonts w:ascii="Arial" w:cs="Arial" w:eastAsia="Arial" w:hAnsi="Arial"/>
          <w:sz w:val="16"/>
          <w:szCs w:val="16"/>
          <w:color w:val="auto"/>
        </w:rPr>
        <w:t>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61" w:lineRule="exact"/>
        <w:rPr>
          <w:sz w:val="20"/>
          <w:szCs w:val="20"/>
          <w:color w:val="auto"/>
        </w:rPr>
      </w:pPr>
    </w:p>
    <w:p>
      <w:pPr>
        <w:ind w:left="840" w:hanging="481"/>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w:t>
      </w:r>
    </w:p>
    <w:p>
      <w:pPr>
        <w:spacing w:after="0" w:line="225" w:lineRule="exact"/>
        <w:rPr>
          <w:rFonts w:ascii="Arial" w:cs="Arial" w:eastAsia="Arial" w:hAnsi="Arial"/>
          <w:sz w:val="18"/>
          <w:szCs w:val="18"/>
          <w:color w:val="auto"/>
        </w:rPr>
      </w:pPr>
    </w:p>
    <w:p>
      <w:pPr>
        <w:jc w:val="both"/>
        <w:ind w:firstLine="419"/>
        <w:spacing w:after="0" w:line="259" w:lineRule="auto"/>
        <w:tabs>
          <w:tab w:leader="none" w:pos="955" w:val="left"/>
        </w:tabs>
        <w:numPr>
          <w:ilvl w:val="4"/>
          <w:numId w:val="46"/>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94" w:lineRule="exact"/>
        <w:rPr>
          <w:rFonts w:ascii="Arial" w:cs="Arial" w:eastAsia="Arial" w:hAnsi="Arial"/>
          <w:sz w:val="18"/>
          <w:szCs w:val="18"/>
          <w:color w:val="auto"/>
        </w:rPr>
      </w:pPr>
    </w:p>
    <w:p>
      <w:pPr>
        <w:ind w:right="20" w:firstLine="398"/>
        <w:spacing w:after="0" w:line="268" w:lineRule="auto"/>
        <w:tabs>
          <w:tab w:leader="none" w:pos="946" w:val="left"/>
        </w:tabs>
        <w:numPr>
          <w:ilvl w:val="2"/>
          <w:numId w:val="46"/>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85" w:lineRule="exact"/>
        <w:rPr>
          <w:rFonts w:ascii="Arial" w:cs="Arial" w:eastAsia="Arial" w:hAnsi="Arial"/>
          <w:sz w:val="18"/>
          <w:szCs w:val="18"/>
          <w:color w:val="auto"/>
        </w:rPr>
      </w:pPr>
    </w:p>
    <w:p>
      <w:pPr>
        <w:ind w:left="880" w:hanging="521"/>
        <w:spacing w:after="0"/>
        <w:tabs>
          <w:tab w:leader="none" w:pos="880" w:val="left"/>
        </w:tabs>
        <w:numPr>
          <w:ilvl w:val="2"/>
          <w:numId w:val="46"/>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48" w:lineRule="exact"/>
        <w:rPr>
          <w:rFonts w:ascii="Arial" w:cs="Arial" w:eastAsia="Arial" w:hAnsi="Arial"/>
          <w:sz w:val="16"/>
          <w:szCs w:val="16"/>
          <w:color w:val="auto"/>
        </w:rPr>
      </w:pPr>
    </w:p>
    <w:p>
      <w:pPr>
        <w:ind w:left="880" w:hanging="521"/>
        <w:spacing w:after="0"/>
        <w:tabs>
          <w:tab w:leader="none" w:pos="8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firstLine="359"/>
        <w:spacing w:after="0" w:line="268" w:lineRule="auto"/>
        <w:tabs>
          <w:tab w:leader="none" w:pos="858" w:val="left"/>
        </w:tabs>
        <w:numPr>
          <w:ilvl w:val="4"/>
          <w:numId w:val="47"/>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85" w:lineRule="exact"/>
        <w:rPr>
          <w:rFonts w:ascii="Arial" w:cs="Arial" w:eastAsia="Arial" w:hAnsi="Arial"/>
          <w:sz w:val="18"/>
          <w:szCs w:val="18"/>
          <w:color w:val="auto"/>
        </w:rPr>
      </w:pPr>
    </w:p>
    <w:p>
      <w:pPr>
        <w:ind w:firstLine="387"/>
        <w:spacing w:after="0" w:line="268" w:lineRule="auto"/>
        <w:tabs>
          <w:tab w:leader="none" w:pos="915" w:val="left"/>
        </w:tabs>
        <w:numPr>
          <w:ilvl w:val="3"/>
          <w:numId w:val="48"/>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85" w:lineRule="exact"/>
        <w:rPr>
          <w:rFonts w:ascii="Arial" w:cs="Arial" w:eastAsia="Arial" w:hAnsi="Arial"/>
          <w:sz w:val="18"/>
          <w:szCs w:val="18"/>
          <w:color w:val="auto"/>
        </w:rPr>
      </w:pPr>
    </w:p>
    <w:p>
      <w:pPr>
        <w:jc w:val="both"/>
        <w:ind w:firstLine="502"/>
        <w:spacing w:after="0" w:line="259" w:lineRule="auto"/>
        <w:tabs>
          <w:tab w:leader="none" w:pos="1131" w:val="left"/>
        </w:tabs>
        <w:numPr>
          <w:ilvl w:val="6"/>
          <w:numId w:val="48"/>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94" w:lineRule="exact"/>
        <w:rPr>
          <w:rFonts w:ascii="Arial" w:cs="Arial" w:eastAsia="Arial" w:hAnsi="Arial"/>
          <w:sz w:val="18"/>
          <w:szCs w:val="18"/>
          <w:color w:val="auto"/>
        </w:rPr>
      </w:pPr>
    </w:p>
    <w:p>
      <w:pPr>
        <w:jc w:val="both"/>
        <w:ind w:firstLine="371"/>
        <w:spacing w:after="0" w:line="298" w:lineRule="auto"/>
        <w:tabs>
          <w:tab w:leader="none" w:pos="876" w:val="left"/>
        </w:tabs>
        <w:numPr>
          <w:ilvl w:val="2"/>
          <w:numId w:val="49"/>
        </w:numPr>
        <w:rPr>
          <w:rFonts w:ascii="Arial" w:cs="Arial" w:eastAsia="Arial" w:hAnsi="Arial"/>
          <w:sz w:val="16"/>
          <w:szCs w:val="16"/>
          <w:color w:val="auto"/>
        </w:rPr>
      </w:pPr>
      <w:r>
        <w:rPr>
          <w:rFonts w:ascii="Arial" w:cs="Arial" w:eastAsia="Arial" w:hAnsi="Arial"/>
          <w:sz w:val="16"/>
          <w:szCs w:val="16"/>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166" w:lineRule="exact"/>
        <w:rPr>
          <w:rFonts w:ascii="Arial" w:cs="Arial" w:eastAsia="Arial" w:hAnsi="Arial"/>
          <w:sz w:val="16"/>
          <w:szCs w:val="16"/>
          <w:color w:val="auto"/>
        </w:rPr>
      </w:pPr>
    </w:p>
    <w:p>
      <w:pPr>
        <w:ind w:firstLine="421"/>
        <w:spacing w:after="0" w:line="332" w:lineRule="auto"/>
        <w:tabs>
          <w:tab w:leader="none" w:pos="943" w:val="left"/>
        </w:tabs>
        <w:numPr>
          <w:ilvl w:val="5"/>
          <w:numId w:val="49"/>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39" w:lineRule="exact"/>
        <w:rPr>
          <w:sz w:val="20"/>
          <w:szCs w:val="20"/>
          <w:color w:val="auto"/>
        </w:rPr>
      </w:pPr>
    </w:p>
    <w:p>
      <w:pPr>
        <w:ind w:firstLine="449"/>
        <w:spacing w:after="0" w:line="268" w:lineRule="auto"/>
        <w:tabs>
          <w:tab w:leader="none" w:pos="1009" w:val="left"/>
        </w:tabs>
        <w:numPr>
          <w:ilvl w:val="3"/>
          <w:numId w:val="50"/>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185" w:lineRule="exact"/>
        <w:rPr>
          <w:rFonts w:ascii="Arial" w:cs="Arial" w:eastAsia="Arial" w:hAnsi="Arial"/>
          <w:sz w:val="18"/>
          <w:szCs w:val="18"/>
          <w:color w:val="auto"/>
        </w:rPr>
      </w:pPr>
    </w:p>
    <w:p>
      <w:pPr>
        <w:ind w:left="860" w:hanging="501"/>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means the Micron Technology, Inc. 2007 Equity Incentive Plan, as amended from time to time.</w:t>
      </w:r>
    </w:p>
    <w:p>
      <w:pPr>
        <w:spacing w:after="0" w:line="225" w:lineRule="exact"/>
        <w:rPr>
          <w:rFonts w:ascii="Arial" w:cs="Arial" w:eastAsia="Arial" w:hAnsi="Arial"/>
          <w:sz w:val="18"/>
          <w:szCs w:val="18"/>
          <w:color w:val="auto"/>
        </w:rPr>
      </w:pPr>
    </w:p>
    <w:p>
      <w:pPr>
        <w:ind w:firstLine="415"/>
        <w:spacing w:after="0" w:line="332" w:lineRule="auto"/>
        <w:tabs>
          <w:tab w:leader="none" w:pos="954" w:val="left"/>
        </w:tabs>
        <w:numPr>
          <w:ilvl w:val="2"/>
          <w:numId w:val="51"/>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39" w:lineRule="exact"/>
        <w:rPr>
          <w:rFonts w:ascii="Arial" w:cs="Arial" w:eastAsia="Arial" w:hAnsi="Arial"/>
          <w:sz w:val="16"/>
          <w:szCs w:val="16"/>
          <w:color w:val="auto"/>
        </w:rPr>
      </w:pPr>
    </w:p>
    <w:p>
      <w:pPr>
        <w:ind w:firstLine="379"/>
        <w:spacing w:after="0" w:line="268" w:lineRule="auto"/>
        <w:tabs>
          <w:tab w:leader="none" w:pos="8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50" w:name="page51"/>
    <w:bookmarkEnd w:id="50"/>
    <w:p>
      <w:pPr>
        <w:ind w:left="1400" w:hanging="501"/>
        <w:spacing w:after="0"/>
        <w:tabs>
          <w:tab w:leader="none" w:pos="1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248" w:lineRule="exact"/>
        <w:rPr>
          <w:rFonts w:ascii="Arial" w:cs="Arial" w:eastAsia="Arial" w:hAnsi="Arial"/>
          <w:sz w:val="16"/>
          <w:szCs w:val="16"/>
          <w:color w:val="auto"/>
        </w:rPr>
      </w:pPr>
    </w:p>
    <w:p>
      <w:pPr>
        <w:ind w:left="540" w:firstLine="383"/>
        <w:spacing w:after="0" w:line="332" w:lineRule="auto"/>
        <w:tabs>
          <w:tab w:leader="none" w:pos="1442" w:val="left"/>
        </w:tabs>
        <w:numPr>
          <w:ilvl w:val="1"/>
          <w:numId w:val="52"/>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39" w:lineRule="exact"/>
        <w:rPr>
          <w:rFonts w:ascii="Arial" w:cs="Arial" w:eastAsia="Arial" w:hAnsi="Arial"/>
          <w:sz w:val="16"/>
          <w:szCs w:val="16"/>
          <w:color w:val="auto"/>
        </w:rPr>
      </w:pPr>
    </w:p>
    <w:p>
      <w:pPr>
        <w:ind w:left="540" w:firstLine="441"/>
        <w:spacing w:after="0" w:line="268" w:lineRule="auto"/>
        <w:tabs>
          <w:tab w:leader="none" w:pos="1536" w:val="left"/>
        </w:tabs>
        <w:numPr>
          <w:ilvl w:val="2"/>
          <w:numId w:val="52"/>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86" w:lineRule="exact"/>
        <w:rPr>
          <w:sz w:val="20"/>
          <w:szCs w:val="20"/>
          <w:color w:val="auto"/>
        </w:rPr>
      </w:pPr>
    </w:p>
    <w:p>
      <w:pPr>
        <w:ind w:left="540" w:firstLine="422"/>
        <w:spacing w:after="0" w:line="370" w:lineRule="auto"/>
        <w:tabs>
          <w:tab w:leader="none" w:pos="1531" w:val="left"/>
        </w:tabs>
        <w:numPr>
          <w:ilvl w:val="2"/>
          <w:numId w:val="53"/>
        </w:numPr>
        <w:rPr>
          <w:rFonts w:ascii="Arial" w:cs="Arial" w:eastAsia="Arial" w:hAnsi="Arial"/>
          <w:sz w:val="15"/>
          <w:szCs w:val="15"/>
          <w:color w:val="auto"/>
        </w:rPr>
      </w:pPr>
      <w:r>
        <w:rPr>
          <w:rFonts w:ascii="Arial" w:cs="Arial" w:eastAsia="Arial" w:hAnsi="Arial"/>
          <w:sz w:val="15"/>
          <w:szCs w:val="15"/>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16" w:lineRule="exact"/>
        <w:rPr>
          <w:rFonts w:ascii="Arial" w:cs="Arial" w:eastAsia="Arial" w:hAnsi="Arial"/>
          <w:sz w:val="15"/>
          <w:szCs w:val="15"/>
          <w:color w:val="auto"/>
        </w:rPr>
      </w:pPr>
    </w:p>
    <w:p>
      <w:pPr>
        <w:ind w:left="540" w:firstLine="405"/>
        <w:spacing w:after="0" w:line="268" w:lineRule="auto"/>
        <w:tabs>
          <w:tab w:leader="none" w:pos="14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85" w:lineRule="exact"/>
        <w:rPr>
          <w:rFonts w:ascii="Arial" w:cs="Arial" w:eastAsia="Arial" w:hAnsi="Arial"/>
          <w:sz w:val="18"/>
          <w:szCs w:val="18"/>
          <w:color w:val="auto"/>
        </w:rPr>
      </w:pPr>
    </w:p>
    <w:p>
      <w:pPr>
        <w:ind w:left="540" w:right="20" w:firstLine="464"/>
        <w:spacing w:after="0" w:line="332" w:lineRule="auto"/>
        <w:tabs>
          <w:tab w:leader="none" w:pos="1574" w:val="left"/>
        </w:tabs>
        <w:numPr>
          <w:ilvl w:val="3"/>
          <w:numId w:val="54"/>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39" w:lineRule="exact"/>
        <w:rPr>
          <w:rFonts w:ascii="Arial" w:cs="Arial" w:eastAsia="Arial" w:hAnsi="Arial"/>
          <w:sz w:val="16"/>
          <w:szCs w:val="16"/>
          <w:color w:val="auto"/>
        </w:rPr>
      </w:pPr>
    </w:p>
    <w:p>
      <w:pPr>
        <w:jc w:val="both"/>
        <w:ind w:left="540" w:right="20" w:firstLine="369"/>
        <w:spacing w:after="0" w:line="259" w:lineRule="auto"/>
        <w:tabs>
          <w:tab w:leader="none" w:pos="14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94" w:lineRule="exact"/>
        <w:rPr>
          <w:rFonts w:ascii="Arial" w:cs="Arial" w:eastAsia="Arial" w:hAnsi="Arial"/>
          <w:sz w:val="18"/>
          <w:szCs w:val="18"/>
          <w:color w:val="auto"/>
        </w:rPr>
      </w:pPr>
    </w:p>
    <w:p>
      <w:pPr>
        <w:ind w:left="1460" w:hanging="561"/>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TERM OF PLAN</w:t>
      </w:r>
    </w:p>
    <w:p>
      <w:pPr>
        <w:spacing w:after="0" w:line="219"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1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jc w:val="both"/>
        <w:spacing w:after="0" w:line="290" w:lineRule="auto"/>
        <w:rPr>
          <w:sz w:val="20"/>
          <w:szCs w:val="20"/>
          <w:color w:val="auto"/>
        </w:rPr>
      </w:pPr>
      <w:r>
        <w:rPr>
          <w:rFonts w:ascii="Arial" w:cs="Arial" w:eastAsia="Arial" w:hAnsi="Arial"/>
          <w:sz w:val="16"/>
          <w:szCs w:val="16"/>
          <w:color w:val="auto"/>
        </w:rPr>
        <w:t>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7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ACTION AND INTERPRETATIONS BY THE COMMITTEE.</w:t>
      </w:r>
      <w:r>
        <w:rPr>
          <w:rFonts w:ascii="Arial" w:cs="Arial" w:eastAsia="Arial" w:hAnsi="Arial"/>
          <w:sz w:val="16"/>
          <w:szCs w:val="16"/>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72" w:lineRule="exact"/>
        <w:rPr>
          <w:sz w:val="20"/>
          <w:szCs w:val="20"/>
          <w:color w:val="auto"/>
        </w:rPr>
      </w:pPr>
    </w:p>
    <w:p>
      <w:pPr>
        <w:ind w:left="360"/>
        <w:spacing w:after="0"/>
        <w:tabs>
          <w:tab w:leader="none" w:pos="780" w:val="left"/>
          <w:tab w:leader="none" w:pos="3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AUTHORITY OF COMMITTEE.</w:t>
      </w:r>
      <w:r>
        <w:rPr>
          <w:sz w:val="20"/>
          <w:szCs w:val="20"/>
          <w:color w:val="auto"/>
        </w:rPr>
        <w:tab/>
      </w:r>
      <w:r>
        <w:rPr>
          <w:rFonts w:ascii="Arial" w:cs="Arial" w:eastAsia="Arial" w:hAnsi="Arial"/>
          <w:sz w:val="15"/>
          <w:szCs w:val="15"/>
          <w:color w:val="auto"/>
        </w:rPr>
        <w:t>Except as provided below, the Committee has the exclusive power, authority and discretion to:</w:t>
      </w:r>
    </w:p>
    <w:p>
      <w:pPr>
        <w:spacing w:after="0" w:line="225" w:lineRule="exact"/>
        <w:rPr>
          <w:sz w:val="20"/>
          <w:szCs w:val="20"/>
          <w:color w:val="auto"/>
        </w:rPr>
      </w:pPr>
    </w:p>
    <w:p>
      <w:pPr>
        <w:ind w:left="1400" w:hanging="501"/>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400" w:hanging="501"/>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25" w:lineRule="exact"/>
        <w:rPr>
          <w:rFonts w:ascii="Arial" w:cs="Arial" w:eastAsia="Arial" w:hAnsi="Arial"/>
          <w:sz w:val="18"/>
          <w:szCs w:val="18"/>
          <w:color w:val="auto"/>
        </w:rPr>
      </w:pPr>
    </w:p>
    <w:p>
      <w:pPr>
        <w:jc w:val="both"/>
        <w:ind w:left="540" w:firstLine="473"/>
        <w:spacing w:after="0" w:line="306" w:lineRule="auto"/>
        <w:tabs>
          <w:tab w:leader="none" w:pos="1607" w:val="left"/>
        </w:tabs>
        <w:numPr>
          <w:ilvl w:val="2"/>
          <w:numId w:val="56"/>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60" w:lineRule="exact"/>
        <w:rPr>
          <w:rFonts w:ascii="Arial" w:cs="Arial" w:eastAsia="Arial" w:hAnsi="Arial"/>
          <w:sz w:val="16"/>
          <w:szCs w:val="16"/>
          <w:color w:val="auto"/>
        </w:rPr>
      </w:pPr>
    </w:p>
    <w:p>
      <w:pPr>
        <w:ind w:left="540" w:firstLine="397"/>
        <w:spacing w:after="0" w:line="268" w:lineRule="auto"/>
        <w:tabs>
          <w:tab w:leader="none" w:pos="148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86" w:lineRule="exact"/>
        <w:rPr>
          <w:sz w:val="20"/>
          <w:szCs w:val="20"/>
          <w:color w:val="auto"/>
        </w:rPr>
      </w:pPr>
    </w:p>
    <w:p>
      <w:pPr>
        <w:ind w:left="540" w:right="20" w:firstLine="379"/>
        <w:spacing w:after="0" w:line="268" w:lineRule="auto"/>
        <w:tabs>
          <w:tab w:leader="none" w:pos="14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85" w:lineRule="exact"/>
        <w:rPr>
          <w:rFonts w:ascii="Arial" w:cs="Arial" w:eastAsia="Arial" w:hAnsi="Arial"/>
          <w:sz w:val="18"/>
          <w:szCs w:val="18"/>
          <w:color w:val="auto"/>
        </w:rPr>
      </w:pPr>
    </w:p>
    <w:p>
      <w:pPr>
        <w:ind w:left="1420" w:hanging="521"/>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left="540" w:firstLine="491"/>
        <w:spacing w:after="0" w:line="268" w:lineRule="auto"/>
        <w:tabs>
          <w:tab w:leader="none" w:pos="1651"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85" w:lineRule="exact"/>
        <w:rPr>
          <w:rFonts w:ascii="Arial" w:cs="Arial" w:eastAsia="Arial" w:hAnsi="Arial"/>
          <w:sz w:val="18"/>
          <w:szCs w:val="18"/>
          <w:color w:val="auto"/>
        </w:rPr>
      </w:pPr>
    </w:p>
    <w:p>
      <w:pPr>
        <w:ind w:left="1400" w:hanging="501"/>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sz w:val="20"/>
          <w:szCs w:val="20"/>
          <w:color w:val="auto"/>
        </w:rPr>
      </w:pPr>
    </w:p>
    <w:p>
      <w:pPr>
        <w:jc w:val="both"/>
        <w:ind w:left="540" w:firstLine="461"/>
        <w:spacing w:after="0" w:line="259" w:lineRule="auto"/>
        <w:tabs>
          <w:tab w:leader="none" w:pos="15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94"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94"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w:t>
      </w:r>
    </w:p>
    <w:p>
      <w:pPr>
        <w:spacing w:after="0" w:line="3" w:lineRule="exact"/>
        <w:rPr>
          <w:sz w:val="20"/>
          <w:szCs w:val="20"/>
          <w:color w:val="auto"/>
        </w:rPr>
      </w:pPr>
    </w:p>
    <w:p>
      <w:pPr>
        <w:jc w:val="both"/>
        <w:ind w:firstLine="8"/>
        <w:spacing w:after="0" w:line="302" w:lineRule="auto"/>
        <w:tabs>
          <w:tab w:leader="none" w:pos="2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6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SUBJECT TO THE PLAN</w:t>
      </w:r>
    </w:p>
    <w:p>
      <w:pPr>
        <w:spacing w:after="0" w:line="219"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30,000,000;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97"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86" w:lineRule="exact"/>
        <w:rPr>
          <w:sz w:val="20"/>
          <w:szCs w:val="20"/>
          <w:color w:val="auto"/>
        </w:rPr>
      </w:pPr>
    </w:p>
    <w:p>
      <w:pPr>
        <w:ind w:left="540" w:right="20" w:firstLine="387"/>
        <w:spacing w:after="0" w:line="268" w:lineRule="auto"/>
        <w:tabs>
          <w:tab w:leader="none" w:pos="1253"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25" w:lineRule="exact"/>
        <w:rPr>
          <w:rFonts w:ascii="Arial" w:cs="Arial" w:eastAsia="Arial" w:hAnsi="Arial"/>
          <w:sz w:val="18"/>
          <w:szCs w:val="18"/>
          <w:color w:val="auto"/>
        </w:rPr>
      </w:pPr>
    </w:p>
    <w:p>
      <w:pPr>
        <w:ind w:left="540" w:firstLine="440"/>
        <w:spacing w:after="0" w:line="268" w:lineRule="auto"/>
        <w:tabs>
          <w:tab w:leader="none" w:pos="1329" w:val="left"/>
        </w:tabs>
        <w:numPr>
          <w:ilvl w:val="2"/>
          <w:numId w:val="64"/>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both"/>
        <w:ind w:firstLine="405"/>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86"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ind w:left="360"/>
        <w:spacing w:after="0"/>
        <w:tabs>
          <w:tab w:leader="none" w:pos="780" w:val="left"/>
          <w:tab w:leader="none" w:pos="1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The Committee is authorized to grant Options to Participants on the following terms and conditions:</w:t>
      </w:r>
    </w:p>
    <w:p>
      <w:pPr>
        <w:spacing w:after="0" w:line="225" w:lineRule="exact"/>
        <w:rPr>
          <w:sz w:val="20"/>
          <w:szCs w:val="20"/>
          <w:color w:val="auto"/>
        </w:rPr>
      </w:pPr>
    </w:p>
    <w:p>
      <w:pPr>
        <w:jc w:val="both"/>
        <w:ind w:left="1080" w:firstLine="414"/>
        <w:spacing w:after="0" w:line="259" w:lineRule="auto"/>
        <w:tabs>
          <w:tab w:leader="none" w:pos="1877" w:val="left"/>
        </w:tabs>
        <w:numPr>
          <w:ilvl w:val="3"/>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under an Option shall be determined by the Committee; provided that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any Option (other than an Option issued as a substitute Award pursuant to Section 14.14) shall not be less than the Fair Market Value as of the Grant Date.</w:t>
      </w:r>
    </w:p>
    <w:p>
      <w:pPr>
        <w:spacing w:after="0" w:line="194" w:lineRule="exact"/>
        <w:rPr>
          <w:rFonts w:ascii="Arial" w:cs="Arial" w:eastAsia="Arial" w:hAnsi="Arial"/>
          <w:sz w:val="18"/>
          <w:szCs w:val="18"/>
          <w:color w:val="auto"/>
        </w:rPr>
      </w:pPr>
    </w:p>
    <w:p>
      <w:pPr>
        <w:ind w:left="1080" w:right="20" w:firstLine="387"/>
        <w:spacing w:after="0" w:line="332" w:lineRule="auto"/>
        <w:tabs>
          <w:tab w:leader="none" w:pos="1856" w:val="left"/>
        </w:tabs>
        <w:numPr>
          <w:ilvl w:val="2"/>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PROHIBITION ON REPRICING. </w:t>
      </w:r>
      <w:r>
        <w:rPr>
          <w:rFonts w:ascii="Arial" w:cs="Arial" w:eastAsia="Arial" w:hAnsi="Arial"/>
          <w:sz w:val="16"/>
          <w:szCs w:val="16"/>
          <w:color w:val="auto"/>
        </w:rPr>
        <w:t>Except as otherwise provided in Section 15.1, the exercise price of an Option may not be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cancellation and regrant or otherwise, without the prior approval of the shareholders of the Company.</w:t>
      </w:r>
    </w:p>
    <w:p>
      <w:pPr>
        <w:spacing w:after="0" w:line="139" w:lineRule="exact"/>
        <w:rPr>
          <w:rFonts w:ascii="Arial" w:cs="Arial" w:eastAsia="Arial" w:hAnsi="Arial"/>
          <w:sz w:val="16"/>
          <w:szCs w:val="16"/>
          <w:color w:val="auto"/>
        </w:rPr>
      </w:pPr>
    </w:p>
    <w:p>
      <w:pPr>
        <w:jc w:val="both"/>
        <w:ind w:left="1080" w:firstLine="373"/>
        <w:spacing w:after="0" w:line="259" w:lineRule="auto"/>
        <w:tabs>
          <w:tab w:leader="none" w:pos="1829"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TIME AND CONDITIONS OF EXERCISE. </w:t>
      </w:r>
      <w:r>
        <w:rPr>
          <w:rFonts w:ascii="Arial" w:cs="Arial" w:eastAsia="Arial" w:hAnsi="Arial"/>
          <w:sz w:val="18"/>
          <w:szCs w:val="18"/>
          <w:color w:val="auto"/>
        </w:rPr>
        <w:t>The Committee shall determine the time or times at which an Option may be exercised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or in part, subject to Section 7.1(e). The Committee shall also determine the performance or other conditions, if any, that must be satisfied before all or part of an Option may be exercised or vested.</w:t>
      </w:r>
    </w:p>
    <w:p>
      <w:pPr>
        <w:spacing w:after="0" w:line="194" w:lineRule="exact"/>
        <w:rPr>
          <w:rFonts w:ascii="Arial" w:cs="Arial" w:eastAsia="Arial" w:hAnsi="Arial"/>
          <w:sz w:val="18"/>
          <w:szCs w:val="18"/>
          <w:color w:val="auto"/>
        </w:rPr>
      </w:pPr>
    </w:p>
    <w:p>
      <w:pPr>
        <w:jc w:val="both"/>
        <w:ind w:left="1080" w:firstLine="387"/>
        <w:spacing w:after="0" w:line="259" w:lineRule="auto"/>
        <w:tabs>
          <w:tab w:leader="none" w:pos="1852" w:val="left"/>
        </w:tabs>
        <w:numPr>
          <w:ilvl w:val="2"/>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The Committee shall determine the methods by which the exercise price of an Option may be paid, the form of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cash, Shares, or other property (including "cashless exercise" arrangements), and the methods by which Shares shall be delivered or deemed to be delivered to Participants.</w:t>
      </w:r>
    </w:p>
    <w:p>
      <w:pPr>
        <w:spacing w:after="0" w:line="194" w:lineRule="exact"/>
        <w:rPr>
          <w:rFonts w:ascii="Arial" w:cs="Arial" w:eastAsia="Arial" w:hAnsi="Arial"/>
          <w:sz w:val="18"/>
          <w:szCs w:val="18"/>
          <w:color w:val="auto"/>
        </w:rPr>
      </w:pPr>
    </w:p>
    <w:p>
      <w:pPr>
        <w:ind w:left="1820" w:hanging="380"/>
        <w:spacing w:after="0"/>
        <w:tabs>
          <w:tab w:leader="none" w:pos="18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EXERCISE TERM.  </w:t>
      </w:r>
      <w:r>
        <w:rPr>
          <w:rFonts w:ascii="Arial" w:cs="Arial" w:eastAsia="Arial" w:hAnsi="Arial"/>
          <w:sz w:val="18"/>
          <w:szCs w:val="18"/>
          <w:color w:val="auto"/>
        </w:rPr>
        <w:t>No option granted under the Plan shall be exercisable for more than six years from the Grant Date.</w:t>
      </w:r>
    </w:p>
    <w:p>
      <w:pPr>
        <w:spacing w:after="0" w:line="225" w:lineRule="exact"/>
        <w:rPr>
          <w:rFonts w:ascii="Arial" w:cs="Arial" w:eastAsia="Arial" w:hAnsi="Arial"/>
          <w:sz w:val="18"/>
          <w:szCs w:val="18"/>
          <w:color w:val="auto"/>
        </w:rPr>
      </w:pPr>
    </w:p>
    <w:p>
      <w:pPr>
        <w:ind w:left="1080" w:firstLine="495"/>
        <w:spacing w:after="0" w:line="268" w:lineRule="auto"/>
        <w:tabs>
          <w:tab w:leader="none" w:pos="1980" w:val="left"/>
        </w:tabs>
        <w:numPr>
          <w:ilvl w:val="4"/>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NO DEFERRAL FEATURE. </w:t>
      </w:r>
      <w:r>
        <w:rPr>
          <w:rFonts w:ascii="Arial" w:cs="Arial" w:eastAsia="Arial" w:hAnsi="Arial"/>
          <w:sz w:val="18"/>
          <w:szCs w:val="18"/>
          <w:color w:val="auto"/>
        </w:rPr>
        <w:t>No Option shall provide for any feature for the deferral of compensation other than the deferral of</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income until the exercise or disposition of the Option.</w:t>
      </w:r>
    </w:p>
    <w:p>
      <w:pPr>
        <w:spacing w:after="0" w:line="185" w:lineRule="exact"/>
        <w:rPr>
          <w:rFonts w:ascii="Arial" w:cs="Arial" w:eastAsia="Arial" w:hAnsi="Arial"/>
          <w:sz w:val="18"/>
          <w:szCs w:val="18"/>
          <w:color w:val="auto"/>
        </w:rPr>
      </w:pPr>
    </w:p>
    <w:p>
      <w:pPr>
        <w:jc w:val="both"/>
        <w:ind w:left="1080" w:firstLine="373"/>
        <w:spacing w:after="0" w:line="259" w:lineRule="auto"/>
        <w:tabs>
          <w:tab w:leader="none" w:pos="1838"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SUSPENSION. </w:t>
      </w:r>
      <w:r>
        <w:rPr>
          <w:rFonts w:ascii="Arial" w:cs="Arial" w:eastAsia="Arial" w:hAnsi="Arial"/>
          <w:sz w:val="18"/>
          <w:szCs w:val="18"/>
          <w:color w:val="auto"/>
        </w:rPr>
        <w:t>Any Participant who is also a participant in the Retirement at Micron ("RAM") Section 401(k) Plan and who requests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receives a hardship distribution from the RAM Plan, is prohibited from making, and must suspend, his or her employee elective contributions and employee contributions including, without limitation on the foregoing,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ind w:left="1080"/>
        <w:spacing w:after="0"/>
        <w:rPr>
          <w:sz w:val="20"/>
          <w:szCs w:val="20"/>
          <w:color w:val="auto"/>
        </w:rPr>
      </w:pPr>
      <w:r>
        <w:rPr>
          <w:rFonts w:ascii="Arial" w:cs="Arial" w:eastAsia="Arial" w:hAnsi="Arial"/>
          <w:sz w:val="18"/>
          <w:szCs w:val="18"/>
          <w:color w:val="auto"/>
        </w:rPr>
        <w:t>exercise of any Option granted from the date of receipt by that employee of the RAM hardship distribution.</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INCENTIVE STOCK OPTIONS.</w:t>
      </w:r>
      <w:r>
        <w:rPr>
          <w:rFonts w:ascii="Arial" w:cs="Arial" w:eastAsia="Arial" w:hAnsi="Arial"/>
          <w:sz w:val="16"/>
          <w:szCs w:val="16"/>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APPRECIATION RIGHTS</w:t>
      </w:r>
    </w:p>
    <w:p>
      <w:pPr>
        <w:spacing w:after="0" w:line="219" w:lineRule="exact"/>
        <w:rPr>
          <w:sz w:val="20"/>
          <w:szCs w:val="20"/>
          <w:color w:val="auto"/>
        </w:rPr>
      </w:pPr>
    </w:p>
    <w:p>
      <w:pPr>
        <w:ind w:firstLine="419"/>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86" w:lineRule="exact"/>
        <w:rPr>
          <w:sz w:val="20"/>
          <w:szCs w:val="20"/>
          <w:color w:val="auto"/>
        </w:rPr>
      </w:pPr>
    </w:p>
    <w:p>
      <w:pPr>
        <w:ind w:left="540" w:firstLine="440"/>
        <w:spacing w:after="0" w:line="268" w:lineRule="auto"/>
        <w:tabs>
          <w:tab w:leader="none" w:pos="1379" w:val="left"/>
        </w:tabs>
        <w:numPr>
          <w:ilvl w:val="2"/>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RIGHT TO PAYMENT. </w:t>
      </w:r>
      <w:r>
        <w:rPr>
          <w:rFonts w:ascii="Arial" w:cs="Arial" w:eastAsia="Arial" w:hAnsi="Arial"/>
          <w:sz w:val="18"/>
          <w:szCs w:val="18"/>
          <w:color w:val="auto"/>
        </w:rPr>
        <w:t>Upon the exercise of a Stock Appreciation Right, the Participant to whom it is granted has the right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4"/>
          <w:numId w:val="69"/>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080" w:firstLine="410"/>
        <w:spacing w:after="0" w:line="268" w:lineRule="auto"/>
        <w:tabs>
          <w:tab w:leader="none" w:pos="1834" w:val="left"/>
        </w:tabs>
        <w:numPr>
          <w:ilvl w:val="5"/>
          <w:numId w:val="69"/>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85" w:lineRule="exact"/>
        <w:rPr>
          <w:rFonts w:ascii="Arial" w:cs="Arial" w:eastAsia="Arial" w:hAnsi="Arial"/>
          <w:sz w:val="18"/>
          <w:szCs w:val="18"/>
          <w:color w:val="auto"/>
        </w:rPr>
      </w:pPr>
    </w:p>
    <w:p>
      <w:pPr>
        <w:ind w:left="540" w:firstLine="454"/>
        <w:spacing w:after="0" w:line="268" w:lineRule="auto"/>
        <w:tabs>
          <w:tab w:leader="none" w:pos="1411" w:val="left"/>
        </w:tabs>
        <w:numPr>
          <w:ilvl w:val="3"/>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PROHIBITION ON REPRICING. </w:t>
      </w:r>
      <w:r>
        <w:rPr>
          <w:rFonts w:ascii="Arial" w:cs="Arial" w:eastAsia="Arial" w:hAnsi="Arial"/>
          <w:sz w:val="18"/>
          <w:szCs w:val="18"/>
          <w:color w:val="auto"/>
        </w:rPr>
        <w:t>Except as otherwise provided in Section 15.1, the base price of a SAR may not be reduced,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by cancellation and regrant or otherwise, without the prior approval of the shareholders of the Company.</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EXERCISE TERM.  </w:t>
      </w:r>
      <w:r>
        <w:rPr>
          <w:rFonts w:ascii="Arial" w:cs="Arial" w:eastAsia="Arial" w:hAnsi="Arial"/>
          <w:sz w:val="18"/>
          <w:szCs w:val="18"/>
          <w:color w:val="auto"/>
        </w:rPr>
        <w:t>No SAR granted under the Plan shall be exercisable for more than six years from the Grant Date.</w:t>
      </w:r>
    </w:p>
    <w:p>
      <w:pPr>
        <w:spacing w:after="0" w:line="225" w:lineRule="exact"/>
        <w:rPr>
          <w:rFonts w:ascii="Arial" w:cs="Arial" w:eastAsia="Arial" w:hAnsi="Arial"/>
          <w:sz w:val="18"/>
          <w:szCs w:val="18"/>
          <w:color w:val="auto"/>
        </w:rPr>
      </w:pPr>
    </w:p>
    <w:p>
      <w:pPr>
        <w:ind w:left="540" w:firstLine="400"/>
        <w:spacing w:after="0" w:line="268" w:lineRule="auto"/>
        <w:tabs>
          <w:tab w:leader="none" w:pos="133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NO DEFERRAL FEATURE. </w:t>
      </w:r>
      <w:r>
        <w:rPr>
          <w:rFonts w:ascii="Arial" w:cs="Arial" w:eastAsia="Arial" w:hAnsi="Arial"/>
          <w:sz w:val="18"/>
          <w:szCs w:val="18"/>
          <w:color w:val="auto"/>
        </w:rPr>
        <w:t>No SAR shall provide for any feature for the deferral of compensation other than the deferral of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until the exercise or disposition of the SAR.</w:t>
      </w:r>
    </w:p>
    <w:p>
      <w:pPr>
        <w:spacing w:after="0" w:line="185" w:lineRule="exact"/>
        <w:rPr>
          <w:rFonts w:ascii="Arial" w:cs="Arial" w:eastAsia="Arial" w:hAnsi="Arial"/>
          <w:sz w:val="18"/>
          <w:szCs w:val="18"/>
          <w:color w:val="auto"/>
        </w:rPr>
      </w:pPr>
    </w:p>
    <w:p>
      <w:pPr>
        <w:jc w:val="both"/>
        <w:ind w:left="540" w:firstLine="467"/>
        <w:spacing w:after="0" w:line="306" w:lineRule="auto"/>
        <w:tabs>
          <w:tab w:leader="none" w:pos="1424" w:val="left"/>
        </w:tabs>
        <w:numPr>
          <w:ilvl w:val="3"/>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OTHER TERMS. </w:t>
      </w:r>
      <w:r>
        <w:rPr>
          <w:rFonts w:ascii="Arial" w:cs="Arial" w:eastAsia="Arial" w:hAnsi="Arial"/>
          <w:sz w:val="16"/>
          <w:szCs w:val="16"/>
          <w:color w:val="auto"/>
        </w:rPr>
        <w:t>All awards of Stock Appreciation Rights shall be evidenced by an Award Certificate. Subject to the limitations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SHARES</w:t>
      </w:r>
    </w:p>
    <w:p>
      <w:pPr>
        <w:spacing w:after="0" w:line="21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PERFORMANCE SHARES.</w:t>
      </w:r>
      <w:r>
        <w:rPr>
          <w:rFonts w:ascii="Arial" w:cs="Arial" w:eastAsia="Arial" w:hAnsi="Arial"/>
          <w:sz w:val="18"/>
          <w:szCs w:val="18"/>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9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jc w:val="both"/>
        <w:spacing w:after="0" w:line="294" w:lineRule="auto"/>
        <w:rPr>
          <w:sz w:val="20"/>
          <w:szCs w:val="20"/>
          <w:color w:val="auto"/>
        </w:rPr>
      </w:pPr>
      <w:r>
        <w:rPr>
          <w:rFonts w:ascii="Arial" w:cs="Arial" w:eastAsia="Arial" w:hAnsi="Arial"/>
          <w:sz w:val="16"/>
          <w:szCs w:val="16"/>
          <w:color w:val="auto"/>
        </w:rPr>
        <w:t>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70"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97" w:lineRule="exact"/>
        <w:rPr>
          <w:sz w:val="20"/>
          <w:szCs w:val="20"/>
          <w:color w:val="auto"/>
        </w:rPr>
      </w:pPr>
    </w:p>
    <w:p>
      <w:pPr>
        <w:jc w:val="both"/>
        <w:ind w:firstLine="459"/>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jc w:val="both"/>
        <w:ind w:firstLine="513"/>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98"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DEFERRED STOCK UNITS</w:t>
      </w:r>
    </w:p>
    <w:p>
      <w:pPr>
        <w:spacing w:after="0" w:line="2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EQUIVALENTS</w:t>
      </w:r>
    </w:p>
    <w:p>
      <w:pPr>
        <w:spacing w:after="0" w:line="21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OF DIVIDEND EQUIVALENTS.</w:t>
      </w:r>
      <w:r>
        <w:rPr>
          <w:rFonts w:ascii="Arial" w:cs="Arial" w:eastAsia="Arial" w:hAnsi="Arial"/>
          <w:sz w:val="16"/>
          <w:szCs w:val="16"/>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w:t>
      </w:r>
    </w:p>
    <w:p>
      <w:pPr>
        <w:spacing w:after="0" w:line="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Certificate, Dividend Equivalents will be paid or distributed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OR OTHER STOCK-BASED AWARDS</w:t>
      </w:r>
    </w:p>
    <w:p>
      <w:pPr>
        <w:spacing w:after="0" w:line="219"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i w:val="1"/>
          <w:iCs w:val="1"/>
          <w:color w:val="auto"/>
        </w:rPr>
        <w:t>GRANT OF STOCK OR OTHER STOCK-BASED AWARDS.</w:t>
      </w:r>
      <w:r>
        <w:rPr>
          <w:rFonts w:ascii="Arial" w:cs="Arial" w:eastAsia="Arial" w:hAnsi="Arial"/>
          <w:sz w:val="16"/>
          <w:szCs w:val="16"/>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both"/>
        <w:spacing w:after="0" w:line="268" w:lineRule="auto"/>
        <w:rPr>
          <w:sz w:val="20"/>
          <w:szCs w:val="20"/>
          <w:color w:val="auto"/>
        </w:rPr>
      </w:pPr>
      <w:r>
        <w:rPr>
          <w:rFonts w:ascii="Arial" w:cs="Arial" w:eastAsia="Arial" w:hAnsi="Arial"/>
          <w:sz w:val="18"/>
          <w:szCs w:val="18"/>
          <w:color w:val="auto"/>
        </w:rPr>
        <w:t>value of Shares or the value of securities of or the performance of specified Parents or Subsidiaries. The Committee shall determine the terms and conditions of such Awards.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PROVISIONS APPLICABLE TO AWARDS</w:t>
      </w:r>
    </w:p>
    <w:p>
      <w:pPr>
        <w:spacing w:after="0" w:line="219"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9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39"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7"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LIMITS ON TRANSFER.</w:t>
      </w:r>
      <w:r>
        <w:rPr>
          <w:rFonts w:ascii="Arial" w:cs="Arial" w:eastAsia="Arial" w:hAnsi="Arial"/>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2"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both"/>
        <w:ind w:firstLine="513"/>
        <w:spacing w:after="0" w:line="289"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172" w:lineRule="exact"/>
        <w:rPr>
          <w:sz w:val="20"/>
          <w:szCs w:val="20"/>
          <w:color w:val="auto"/>
        </w:rPr>
      </w:pPr>
    </w:p>
    <w:p>
      <w:pPr>
        <w:jc w:val="both"/>
        <w:ind w:firstLine="365"/>
        <w:spacing w:after="0" w:line="288"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i w:val="1"/>
          <w:iCs w:val="1"/>
          <w:color w:val="auto"/>
        </w:rPr>
        <w:t>ACCELERATION UPON DEATH OR DISABILITY.</w:t>
      </w:r>
      <w:r>
        <w:rPr>
          <w:rFonts w:ascii="Arial" w:cs="Arial" w:eastAsia="Arial" w:hAnsi="Arial"/>
          <w:sz w:val="16"/>
          <w:szCs w:val="16"/>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174"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ACCELERATION FOR ANY OTHER REASON.</w:t>
      </w:r>
      <w:r>
        <w:rPr>
          <w:rFonts w:ascii="Arial" w:cs="Arial" w:eastAsia="Arial" w:hAnsi="Arial"/>
          <w:sz w:val="16"/>
          <w:szCs w:val="16"/>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78"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i w:val="1"/>
          <w:iCs w:val="1"/>
          <w:color w:val="auto"/>
        </w:rPr>
        <w:t>EFFECT OF ACCELERATION.</w:t>
      </w:r>
      <w:r>
        <w:rPr>
          <w:rFonts w:ascii="Arial" w:cs="Arial" w:eastAsia="Arial" w:hAnsi="Arial"/>
          <w:sz w:val="18"/>
          <w:szCs w:val="18"/>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jc w:val="both"/>
        <w:spacing w:after="0" w:line="323" w:lineRule="auto"/>
        <w:rPr>
          <w:sz w:val="20"/>
          <w:szCs w:val="20"/>
          <w:color w:val="auto"/>
        </w:rPr>
      </w:pPr>
      <w:r>
        <w:rPr>
          <w:rFonts w:ascii="Arial" w:cs="Arial" w:eastAsia="Arial" w:hAnsi="Arial"/>
          <w:sz w:val="15"/>
          <w:szCs w:val="15"/>
          <w:color w:val="auto"/>
        </w:rPr>
        <w:t>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52"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25" w:lineRule="exact"/>
        <w:rPr>
          <w:sz w:val="20"/>
          <w:szCs w:val="20"/>
          <w:color w:val="auto"/>
        </w:rPr>
      </w:pPr>
    </w:p>
    <w:p>
      <w:pPr>
        <w:jc w:val="both"/>
        <w:ind w:left="540" w:firstLine="417"/>
        <w:spacing w:after="0" w:line="259" w:lineRule="auto"/>
        <w:tabs>
          <w:tab w:leader="none" w:pos="12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94" w:lineRule="exact"/>
        <w:rPr>
          <w:rFonts w:ascii="Arial" w:cs="Arial" w:eastAsia="Arial" w:hAnsi="Arial"/>
          <w:sz w:val="18"/>
          <w:szCs w:val="18"/>
          <w:color w:val="auto"/>
        </w:rPr>
      </w:pPr>
    </w:p>
    <w:p>
      <w:pPr>
        <w:jc w:val="both"/>
        <w:ind w:left="540" w:firstLine="613"/>
        <w:spacing w:after="0" w:line="254" w:lineRule="auto"/>
        <w:tabs>
          <w:tab w:leader="none" w:pos="1573" w:val="left"/>
        </w:tabs>
        <w:numPr>
          <w:ilvl w:val="1"/>
          <w:numId w:val="71"/>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12" w:lineRule="exact"/>
        <w:rPr>
          <w:sz w:val="20"/>
          <w:szCs w:val="20"/>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620" w:hanging="532"/>
        <w:spacing w:after="0" w:line="268"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38" w:lineRule="exact"/>
        <w:rPr>
          <w:rFonts w:ascii="Arial" w:cs="Arial" w:eastAsia="Arial" w:hAnsi="Arial"/>
          <w:sz w:val="18"/>
          <w:szCs w:val="18"/>
          <w:color w:val="auto"/>
        </w:rPr>
      </w:pPr>
    </w:p>
    <w:p>
      <w:pPr>
        <w:ind w:left="1620" w:hanging="532"/>
        <w:spacing w:after="0" w:line="332"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39" w:lineRule="exact"/>
        <w:rPr>
          <w:sz w:val="20"/>
          <w:szCs w:val="20"/>
          <w:color w:val="auto"/>
        </w:rPr>
      </w:pPr>
    </w:p>
    <w:p>
      <w:pPr>
        <w:ind w:left="540" w:firstLine="527"/>
        <w:spacing w:after="0" w:line="268" w:lineRule="auto"/>
        <w:rPr>
          <w:sz w:val="20"/>
          <w:szCs w:val="20"/>
          <w:color w:val="auto"/>
        </w:rPr>
      </w:pPr>
      <w:r>
        <w:rPr>
          <w:rFonts w:ascii="Arial" w:cs="Arial" w:eastAsia="Arial" w:hAnsi="Arial"/>
          <w:sz w:val="18"/>
          <w:szCs w:val="18"/>
          <w:color w:val="auto"/>
        </w:rPr>
        <w:t>Performance goals with respect to the foregoing Qualified Business Criteria may be specified in absolute terms (including completion of pre-established projects, such as the introduction of specified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7" w:lineRule="exact"/>
        <w:rPr>
          <w:sz w:val="20"/>
          <w:szCs w:val="20"/>
          <w:color w:val="auto"/>
        </w:rPr>
      </w:pPr>
    </w:p>
    <w:p>
      <w:pPr>
        <w:jc w:val="both"/>
        <w:ind w:firstLine="464"/>
        <w:spacing w:after="0" w:line="288" w:lineRule="auto"/>
        <w:tabs>
          <w:tab w:leader="none" w:pos="821" w:val="left"/>
        </w:tabs>
        <w:numPr>
          <w:ilvl w:val="2"/>
          <w:numId w:val="73"/>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173" w:lineRule="exact"/>
        <w:rPr>
          <w:rFonts w:ascii="Arial" w:cs="Arial" w:eastAsia="Arial" w:hAnsi="Arial"/>
          <w:sz w:val="16"/>
          <w:szCs w:val="16"/>
          <w:color w:val="auto"/>
        </w:rPr>
      </w:pPr>
    </w:p>
    <w:p>
      <w:pPr>
        <w:jc w:val="both"/>
        <w:ind w:firstLine="385"/>
        <w:spacing w:after="0" w:line="289" w:lineRule="auto"/>
        <w:tabs>
          <w:tab w:leader="none" w:pos="719"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2" w:lineRule="exact"/>
        <w:rPr>
          <w:rFonts w:ascii="Arial" w:cs="Arial" w:eastAsia="Arial" w:hAnsi="Arial"/>
          <w:sz w:val="16"/>
          <w:szCs w:val="16"/>
          <w:color w:val="auto"/>
        </w:rPr>
      </w:pPr>
    </w:p>
    <w:p>
      <w:pPr>
        <w:jc w:val="both"/>
        <w:ind w:firstLine="367"/>
        <w:spacing w:after="0" w:line="286" w:lineRule="auto"/>
        <w:tabs>
          <w:tab w:leader="none" w:pos="6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61" w:name="page62"/>
    <w:bookmarkEnd w:id="61"/>
    <w:p>
      <w:pPr>
        <w:ind w:left="540" w:firstLine="386"/>
        <w:spacing w:after="0" w:line="268" w:lineRule="auto"/>
        <w:tabs>
          <w:tab w:leader="none" w:pos="1283"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85" w:lineRule="exact"/>
        <w:rPr>
          <w:rFonts w:ascii="Arial" w:cs="Arial" w:eastAsia="Arial" w:hAnsi="Arial"/>
          <w:sz w:val="18"/>
          <w:szCs w:val="18"/>
          <w:color w:val="auto"/>
        </w:rPr>
      </w:pPr>
    </w:p>
    <w:p>
      <w:pPr>
        <w:jc w:val="both"/>
        <w:ind w:left="540" w:firstLine="359"/>
        <w:spacing w:after="0" w:line="283" w:lineRule="auto"/>
        <w:tabs>
          <w:tab w:leader="none" w:pos="12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w:t>
      </w:r>
    </w:p>
    <w:p>
      <w:pPr>
        <w:spacing w:after="0" w:line="2" w:lineRule="exact"/>
        <w:rPr>
          <w:rFonts w:ascii="Arial" w:cs="Arial" w:eastAsia="Arial" w:hAnsi="Arial"/>
          <w:sz w:val="16"/>
          <w:szCs w:val="16"/>
          <w:color w:val="auto"/>
        </w:rPr>
      </w:pPr>
    </w:p>
    <w:p>
      <w:pPr>
        <w:jc w:val="both"/>
        <w:ind w:left="540" w:firstLine="8"/>
        <w:spacing w:after="0" w:line="255" w:lineRule="auto"/>
        <w:tabs>
          <w:tab w:leader="none" w:pos="8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8" w:lineRule="exact"/>
        <w:rPr>
          <w:sz w:val="20"/>
          <w:szCs w:val="20"/>
          <w:color w:val="auto"/>
        </w:rPr>
      </w:pPr>
    </w:p>
    <w:p>
      <w:pPr>
        <w:jc w:val="both"/>
        <w:ind w:firstLine="419"/>
        <w:spacing w:after="0" w:line="290"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72"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0"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CAPITAL STRUCTURE</w:t>
      </w:r>
    </w:p>
    <w:p>
      <w:pPr>
        <w:spacing w:after="0" w:line="219" w:lineRule="exact"/>
        <w:rPr>
          <w:sz w:val="20"/>
          <w:szCs w:val="20"/>
          <w:color w:val="auto"/>
        </w:rPr>
      </w:pPr>
    </w:p>
    <w:p>
      <w:pPr>
        <w:jc w:val="both"/>
        <w:ind w:firstLine="419"/>
        <w:spacing w:after="0" w:line="29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MANDATORY ADJUSTMENTS.</w:t>
      </w:r>
      <w:r>
        <w:rPr>
          <w:rFonts w:ascii="Arial" w:cs="Arial" w:eastAsia="Arial" w:hAnsi="Arial"/>
          <w:sz w:val="16"/>
          <w:szCs w:val="16"/>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8"/>
          <w:szCs w:val="18"/>
          <w:color w:val="auto"/>
        </w:rPr>
        <w:t>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201" w:lineRule="exact"/>
        <w:rPr>
          <w:sz w:val="20"/>
          <w:szCs w:val="20"/>
          <w:color w:val="auto"/>
        </w:rPr>
      </w:pPr>
    </w:p>
    <w:p>
      <w:pPr>
        <w:jc w:val="both"/>
        <w:ind w:firstLine="540"/>
        <w:spacing w:after="0" w:line="288"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9"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w:t>
      </w:r>
    </w:p>
    <w:p>
      <w:pPr>
        <w:spacing w:after="0" w:line="172"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86" w:lineRule="exact"/>
        <w:rPr>
          <w:sz w:val="20"/>
          <w:szCs w:val="20"/>
          <w:color w:val="auto"/>
        </w:rPr>
      </w:pPr>
    </w:p>
    <w:p>
      <w:pPr>
        <w:ind w:left="540" w:firstLine="512"/>
        <w:spacing w:after="0" w:line="370" w:lineRule="auto"/>
        <w:tabs>
          <w:tab w:leader="none" w:pos="1428" w:val="left"/>
        </w:tabs>
        <w:numPr>
          <w:ilvl w:val="0"/>
          <w:numId w:val="78"/>
        </w:numPr>
        <w:rPr>
          <w:rFonts w:ascii="Arial" w:cs="Arial" w:eastAsia="Arial" w:hAnsi="Arial"/>
          <w:sz w:val="15"/>
          <w:szCs w:val="15"/>
          <w:color w:val="auto"/>
        </w:rPr>
      </w:pPr>
      <w:r>
        <w:rPr>
          <w:rFonts w:ascii="Arial" w:cs="Arial" w:eastAsia="Arial" w:hAnsi="Arial"/>
          <w:sz w:val="15"/>
          <w:szCs w:val="15"/>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ind w:left="540"/>
        <w:spacing w:after="0" w:line="332" w:lineRule="auto"/>
        <w:rPr>
          <w:sz w:val="20"/>
          <w:szCs w:val="20"/>
          <w:color w:val="auto"/>
        </w:rPr>
      </w:pPr>
      <w:r>
        <w:rPr>
          <w:rFonts w:ascii="Arial" w:cs="Arial" w:eastAsia="Arial" w:hAnsi="Arial"/>
          <w:sz w:val="16"/>
          <w:szCs w:val="16"/>
          <w:color w:val="auto"/>
        </w:rPr>
        <w:t>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39" w:lineRule="exact"/>
        <w:rPr>
          <w:sz w:val="20"/>
          <w:szCs w:val="20"/>
          <w:color w:val="auto"/>
        </w:rPr>
      </w:pPr>
    </w:p>
    <w:p>
      <w:pPr>
        <w:ind w:left="1240" w:hanging="341"/>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540" w:firstLine="375"/>
        <w:spacing w:after="0" w:line="268" w:lineRule="auto"/>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85" w:lineRule="exact"/>
        <w:rPr>
          <w:rFonts w:ascii="Arial" w:cs="Arial" w:eastAsia="Arial" w:hAnsi="Arial"/>
          <w:sz w:val="18"/>
          <w:szCs w:val="18"/>
          <w:color w:val="auto"/>
        </w:rPr>
      </w:pPr>
    </w:p>
    <w:p>
      <w:pPr>
        <w:jc w:val="both"/>
        <w:ind w:left="540" w:firstLine="373"/>
        <w:spacing w:after="0" w:line="294" w:lineRule="auto"/>
        <w:tabs>
          <w:tab w:leader="none" w:pos="12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70"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COMPLIANCE AMENDMENTS.</w:t>
      </w:r>
      <w:r>
        <w:rPr>
          <w:rFonts w:ascii="Arial" w:cs="Arial" w:eastAsia="Arial" w:hAnsi="Arial"/>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9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86"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SPECIAL PROVISIONS RELATED TO SECTION 409A OF THE CODE.</w:t>
      </w:r>
    </w:p>
    <w:p>
      <w:pPr>
        <w:spacing w:after="0" w:line="225" w:lineRule="exact"/>
        <w:rPr>
          <w:sz w:val="20"/>
          <w:szCs w:val="20"/>
          <w:color w:val="auto"/>
        </w:rPr>
      </w:pPr>
    </w:p>
    <w:p>
      <w:pPr>
        <w:jc w:val="both"/>
        <w:ind w:left="540" w:firstLine="401"/>
        <w:spacing w:after="0" w:line="283" w:lineRule="auto"/>
        <w:tabs>
          <w:tab w:leader="none" w:pos="1275" w:val="left"/>
        </w:tabs>
        <w:numPr>
          <w:ilvl w:val="1"/>
          <w:numId w:val="80"/>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w:t>
      </w:r>
    </w:p>
    <w:p>
      <w:pPr>
        <w:spacing w:after="0" w:line="1" w:lineRule="exact"/>
        <w:rPr>
          <w:rFonts w:ascii="Arial" w:cs="Arial" w:eastAsia="Arial" w:hAnsi="Arial"/>
          <w:sz w:val="16"/>
          <w:szCs w:val="16"/>
          <w:color w:val="auto"/>
        </w:rPr>
      </w:pPr>
    </w:p>
    <w:p>
      <w:pPr>
        <w:ind w:left="540" w:firstLine="8"/>
        <w:spacing w:after="0" w:line="261" w:lineRule="auto"/>
        <w:tabs>
          <w:tab w:leader="none" w:pos="8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of any Award upon a Change in Control,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both"/>
        <w:ind w:left="540"/>
        <w:spacing w:after="0" w:line="259" w:lineRule="auto"/>
        <w:rPr>
          <w:sz w:val="20"/>
          <w:szCs w:val="20"/>
          <w:color w:val="auto"/>
        </w:rPr>
      </w:pPr>
      <w:r>
        <w:rPr>
          <w:rFonts w:ascii="Arial" w:cs="Arial" w:eastAsia="Arial" w:hAnsi="Arial"/>
          <w:sz w:val="18"/>
          <w:szCs w:val="18"/>
          <w:color w:val="auto"/>
        </w:rPr>
        <w:t>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194" w:lineRule="exact"/>
        <w:rPr>
          <w:sz w:val="20"/>
          <w:szCs w:val="20"/>
          <w:color w:val="auto"/>
        </w:rPr>
      </w:pPr>
    </w:p>
    <w:p>
      <w:pPr>
        <w:jc w:val="both"/>
        <w:ind w:left="540" w:firstLine="467"/>
        <w:spacing w:after="0" w:line="306" w:lineRule="auto"/>
        <w:tabs>
          <w:tab w:leader="none" w:pos="1376"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160" w:lineRule="exact"/>
        <w:rPr>
          <w:rFonts w:ascii="Arial" w:cs="Arial" w:eastAsia="Arial" w:hAnsi="Arial"/>
          <w:sz w:val="16"/>
          <w:szCs w:val="16"/>
          <w:color w:val="auto"/>
        </w:rPr>
      </w:pPr>
    </w:p>
    <w:p>
      <w:pPr>
        <w:jc w:val="both"/>
        <w:ind w:left="540" w:firstLine="451"/>
        <w:spacing w:after="0" w:line="255" w:lineRule="auto"/>
        <w:tabs>
          <w:tab w:leader="none" w:pos="13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6" w:lineRule="exact"/>
        <w:rPr>
          <w:rFonts w:ascii="Arial" w:cs="Arial" w:eastAsia="Arial" w:hAnsi="Arial"/>
          <w:sz w:val="18"/>
          <w:szCs w:val="18"/>
          <w:color w:val="auto"/>
        </w:rPr>
      </w:pPr>
    </w:p>
    <w:p>
      <w:pPr>
        <w:jc w:val="both"/>
        <w:ind w:left="1080" w:firstLine="441"/>
        <w:spacing w:after="0" w:line="259" w:lineRule="auto"/>
        <w:tabs>
          <w:tab w:leader="none" w:pos="1895" w:val="left"/>
        </w:tabs>
        <w:numPr>
          <w:ilvl w:val="2"/>
          <w:numId w:val="83"/>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4" w:lineRule="exact"/>
        <w:rPr>
          <w:rFonts w:ascii="Arial" w:cs="Arial" w:eastAsia="Arial" w:hAnsi="Arial"/>
          <w:sz w:val="18"/>
          <w:szCs w:val="18"/>
          <w:color w:val="auto"/>
        </w:rPr>
      </w:pPr>
    </w:p>
    <w:p>
      <w:pPr>
        <w:jc w:val="both"/>
        <w:ind w:left="1080" w:firstLine="471"/>
        <w:spacing w:after="0" w:line="294" w:lineRule="auto"/>
        <w:tabs>
          <w:tab w:leader="none" w:pos="1931" w:val="left"/>
        </w:tabs>
        <w:numPr>
          <w:ilvl w:val="3"/>
          <w:numId w:val="83"/>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0"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auto"/>
        </w:rPr>
        <w:t xml:space="preserve">For purposes of this Plan, the term "Specified Employee" has the meaning given such term in Code Section 409A and the final regulations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as permitted in such final regulations, the Company's Specified Employees and its application of the six-month delay rule of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67"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i w:val="1"/>
          <w:iCs w:val="1"/>
          <w:color w:val="auto"/>
        </w:rPr>
        <w:t>WITHHOLDING.</w:t>
      </w:r>
      <w:r>
        <w:rPr>
          <w:rFonts w:ascii="Arial" w:cs="Arial" w:eastAsia="Arial" w:hAnsi="Arial"/>
          <w:sz w:val="16"/>
          <w:szCs w:val="16"/>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72" w:lineRule="exact"/>
        <w:rPr>
          <w:sz w:val="20"/>
          <w:szCs w:val="20"/>
          <w:color w:val="auto"/>
        </w:rPr>
      </w:pPr>
    </w:p>
    <w:p>
      <w:pPr>
        <w:jc w:val="both"/>
        <w:ind w:firstLine="378"/>
        <w:spacing w:after="0" w:line="332"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jc w:val="both"/>
        <w:spacing w:after="0" w:line="298" w:lineRule="auto"/>
        <w:rPr>
          <w:sz w:val="20"/>
          <w:szCs w:val="20"/>
          <w:color w:val="auto"/>
        </w:rPr>
      </w:pPr>
      <w:r>
        <w:rPr>
          <w:rFonts w:ascii="Arial" w:cs="Arial" w:eastAsia="Arial" w:hAnsi="Arial"/>
          <w:sz w:val="16"/>
          <w:szCs w:val="16"/>
          <w:color w:val="auto"/>
        </w:rPr>
        <w:t>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67"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1" w:lineRule="exact"/>
        <w:rPr>
          <w:sz w:val="20"/>
          <w:szCs w:val="20"/>
          <w:color w:val="auto"/>
        </w:rPr>
      </w:pPr>
    </w:p>
    <w:p>
      <w:pPr>
        <w:jc w:val="both"/>
        <w:ind w:firstLine="392"/>
        <w:spacing w:after="0" w:line="33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39" w:lineRule="exact"/>
        <w:rPr>
          <w:sz w:val="20"/>
          <w:szCs w:val="20"/>
          <w:color w:val="auto"/>
        </w:rPr>
      </w:pPr>
    </w:p>
    <w:p>
      <w:pPr>
        <w:ind w:left="360"/>
        <w:spacing w:after="0"/>
        <w:tabs>
          <w:tab w:leader="none" w:pos="860" w:val="left"/>
          <w:tab w:leader="none" w:pos="19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i w:val="1"/>
          <w:iCs w:val="1"/>
          <w:color w:val="auto"/>
        </w:rPr>
        <w:t>EXPENSES.</w:t>
      </w:r>
      <w:r>
        <w:rPr>
          <w:sz w:val="20"/>
          <w:szCs w:val="20"/>
          <w:color w:val="auto"/>
        </w:rPr>
        <w:tab/>
      </w:r>
      <w:r>
        <w:rPr>
          <w:rFonts w:ascii="Arial" w:cs="Arial" w:eastAsia="Arial" w:hAnsi="Arial"/>
          <w:sz w:val="15"/>
          <w:szCs w:val="15"/>
          <w:color w:val="auto"/>
        </w:rPr>
        <w:t>The expenses of administering the Plan shall be borne by the Company and its Affiliates.</w:t>
      </w:r>
    </w:p>
    <w:p>
      <w:pPr>
        <w:spacing w:after="0" w:line="225"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8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25" w:lineRule="exact"/>
        <w:rPr>
          <w:sz w:val="20"/>
          <w:szCs w:val="20"/>
          <w:color w:val="auto"/>
        </w:rPr>
      </w:pPr>
    </w:p>
    <w:p>
      <w:pPr>
        <w:jc w:val="both"/>
        <w:ind w:left="540" w:firstLine="428"/>
        <w:spacing w:after="0" w:line="255" w:lineRule="auto"/>
        <w:tabs>
          <w:tab w:leader="none" w:pos="13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96" w:lineRule="exact"/>
        <w:rPr>
          <w:rFonts w:ascii="Arial" w:cs="Arial" w:eastAsia="Arial" w:hAnsi="Arial"/>
          <w:sz w:val="18"/>
          <w:szCs w:val="18"/>
          <w:color w:val="auto"/>
        </w:rPr>
      </w:pPr>
    </w:p>
    <w:p>
      <w:pPr>
        <w:jc w:val="both"/>
        <w:ind w:left="540" w:firstLine="376"/>
        <w:spacing w:after="0" w:line="289" w:lineRule="auto"/>
        <w:tabs>
          <w:tab w:leader="none" w:pos="125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ind w:left="540"/>
        <w:spacing w:after="0" w:line="268" w:lineRule="auto"/>
        <w:rPr>
          <w:sz w:val="20"/>
          <w:szCs w:val="20"/>
          <w:color w:val="auto"/>
        </w:rPr>
      </w:pPr>
      <w:r>
        <w:rPr>
          <w:rFonts w:ascii="Arial" w:cs="Arial" w:eastAsia="Arial" w:hAnsi="Arial"/>
          <w:sz w:val="18"/>
          <w:szCs w:val="18"/>
          <w:color w:val="auto"/>
        </w:rPr>
        <w:t>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86"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7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 xml:space="preserve">17.16.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32"/>
          <w:szCs w:val="32"/>
          <w:b w:val="1"/>
          <w:bCs w:val="1"/>
          <w:color w:val="auto"/>
        </w:rPr>
        <w:t>Directions to the</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30"/>
          <w:szCs w:val="30"/>
          <w:b w:val="1"/>
          <w:bCs w:val="1"/>
          <w:color w:val="auto"/>
        </w:rPr>
        <w:t>2008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153035</wp:posOffset>
            </wp:positionV>
            <wp:extent cx="5514340" cy="4116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434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To be held at</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Micron's Headquarters</w:t>
      </w:r>
    </w:p>
    <w:p>
      <w:pPr>
        <w:jc w:val="center"/>
        <w:ind w:right="-20"/>
        <w:spacing w:after="0" w:line="237" w:lineRule="auto"/>
        <w:rPr>
          <w:sz w:val="20"/>
          <w:szCs w:val="20"/>
          <w:color w:val="auto"/>
        </w:rPr>
      </w:pPr>
      <w:r>
        <w:rPr>
          <w:rFonts w:ascii="Arial" w:cs="Arial" w:eastAsia="Arial" w:hAnsi="Arial"/>
          <w:sz w:val="32"/>
          <w:szCs w:val="32"/>
          <w:b w:val="1"/>
          <w:bCs w:val="1"/>
          <w:color w:val="auto"/>
        </w:rPr>
        <w:t>8000 S. Federal Way, Boise, ID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Thursday, December 11, 2008,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158115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136525</wp:posOffset>
            </wp:positionV>
            <wp:extent cx="3417570" cy="3854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17570" cy="3854450"/>
                    </a:xfrm>
                    <a:prstGeom prst="rect">
                      <a:avLst/>
                    </a:prstGeom>
                    <a:noFill/>
                  </pic:spPr>
                </pic:pic>
              </a:graphicData>
            </a:graphic>
          </wp:anchor>
        </w:drawing>
        <w:t>Annual Meeting of Shareholders of Micron Technology, Inc.</w:t>
      </w:r>
    </w:p>
    <w:p>
      <w:pPr>
        <w:spacing w:after="0" w:line="80"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Date:</w:t>
        <w:tab/>
        <w:t>Thursday, December 11, 2008</w:t>
      </w:r>
    </w:p>
    <w:p>
      <w:pPr>
        <w:spacing w:after="0" w:line="221" w:lineRule="auto"/>
        <w:tabs>
          <w:tab w:leader="none" w:pos="460" w:val="left"/>
        </w:tabs>
        <w:rPr>
          <w:sz w:val="20"/>
          <w:szCs w:val="20"/>
          <w:color w:val="auto"/>
        </w:rPr>
      </w:pPr>
      <w:r>
        <w:rPr>
          <w:rFonts w:ascii="Arial" w:cs="Arial" w:eastAsia="Arial" w:hAnsi="Arial"/>
          <w:sz w:val="14"/>
          <w:szCs w:val="14"/>
          <w:color w:val="auto"/>
        </w:rPr>
        <w:t>Place:</w:t>
        <w:tab/>
        <w:t>Company Headquarters, 8000 South Federal Way, Boise Idaho 87316-9632</w:t>
      </w:r>
    </w:p>
    <w:p>
      <w:pPr>
        <w:spacing w:after="0" w:line="221" w:lineRule="auto"/>
        <w:tabs>
          <w:tab w:leader="none" w:pos="460" w:val="left"/>
        </w:tabs>
        <w:rPr>
          <w:sz w:val="20"/>
          <w:szCs w:val="20"/>
          <w:color w:val="auto"/>
        </w:rPr>
      </w:pPr>
      <w:r>
        <w:rPr>
          <w:rFonts w:ascii="Arial" w:cs="Arial" w:eastAsia="Arial" w:hAnsi="Arial"/>
          <w:sz w:val="14"/>
          <w:szCs w:val="14"/>
          <w:color w:val="auto"/>
        </w:rPr>
        <w:t>Time:</w:t>
        <w:tab/>
        <w:t>9:00 am, Mountain Standard Time</w:t>
      </w:r>
    </w:p>
    <w:p>
      <w:pPr>
        <w:ind w:left="480"/>
        <w:spacing w:after="0"/>
        <w:rPr>
          <w:sz w:val="20"/>
          <w:szCs w:val="20"/>
          <w:color w:val="auto"/>
        </w:rPr>
      </w:pPr>
      <w:r>
        <w:rPr>
          <w:rFonts w:ascii="Arial" w:cs="Arial" w:eastAsia="Arial" w:hAnsi="Arial"/>
          <w:sz w:val="14"/>
          <w:szCs w:val="14"/>
          <w:color w:val="auto"/>
        </w:rPr>
        <w:t>See Voting Instruction Number (3) On Reverse Side.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Please make your marks like this: x Use dark black pencil or pen only</w:t>
      </w:r>
    </w:p>
    <w:p>
      <w:pPr>
        <w:spacing w:after="0"/>
        <w:rPr>
          <w:sz w:val="20"/>
          <w:szCs w:val="20"/>
          <w:color w:val="auto"/>
        </w:rPr>
      </w:pPr>
      <w:r>
        <w:rPr>
          <w:rFonts w:ascii="Arial" w:cs="Arial" w:eastAsia="Arial" w:hAnsi="Arial"/>
          <w:sz w:val="13"/>
          <w:szCs w:val="13"/>
          <w:b w:val="1"/>
          <w:bCs w:val="1"/>
          <w:color w:val="auto"/>
        </w:rPr>
        <w:t>THE BOARD OF DIRECTORS RECOMMENDS A VOTE “FOR” ALL PROPOSALS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1. To elect directors to serve for the</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Directors</w:t>
            </w:r>
          </w:p>
        </w:tc>
        <w:tc>
          <w:tcPr>
            <w:tcW w:w="0" w:type="dxa"/>
            <w:vAlign w:val="bottom"/>
          </w:tcPr>
          <w:p>
            <w:pPr>
              <w:spacing w:after="0"/>
              <w:rPr>
                <w:sz w:val="1"/>
                <w:szCs w:val="1"/>
                <w:color w:val="auto"/>
              </w:rPr>
            </w:pPr>
          </w:p>
        </w:tc>
      </w:tr>
      <w:tr>
        <w:trPr>
          <w:trHeight w:val="148"/>
        </w:trPr>
        <w:tc>
          <w:tcPr>
            <w:tcW w:w="3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Vote</w:t>
            </w: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4"/>
              </w:rPr>
              <w:t>Recommend</w:t>
            </w:r>
          </w:p>
        </w:tc>
        <w:tc>
          <w:tcPr>
            <w:tcW w:w="0" w:type="dxa"/>
            <w:vAlign w:val="bottom"/>
          </w:tcPr>
          <w:p>
            <w:pPr>
              <w:spacing w:after="0"/>
              <w:rPr>
                <w:sz w:val="1"/>
                <w:szCs w:val="1"/>
                <w:color w:val="auto"/>
              </w:rPr>
            </w:pPr>
          </w:p>
        </w:tc>
      </w:tr>
      <w:tr>
        <w:trPr>
          <w:trHeight w:val="149"/>
        </w:trPr>
        <w:tc>
          <w:tcPr>
            <w:tcW w:w="3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ensuing year and until their succesors</w:t>
            </w: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w w:val="91"/>
              </w:rPr>
              <w:t>For AgainstWithheld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are elected and qualified:</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(01)Teruaki Aoki</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4"/>
        </w:trPr>
        <w:tc>
          <w:tcPr>
            <w:tcW w:w="420" w:type="dxa"/>
            <w:vAlign w:val="bottom"/>
          </w:tcPr>
          <w:p>
            <w:pPr>
              <w:ind w:left="160"/>
              <w:spacing w:after="0"/>
              <w:rPr>
                <w:sz w:val="20"/>
                <w:szCs w:val="20"/>
                <w:color w:val="auto"/>
              </w:rPr>
            </w:pPr>
            <w:r>
              <w:rPr>
                <w:rFonts w:ascii="Arial" w:cs="Arial" w:eastAsia="Arial" w:hAnsi="Arial"/>
                <w:sz w:val="14"/>
                <w:szCs w:val="14"/>
                <w:color w:val="auto"/>
                <w:w w:val="96"/>
              </w:rPr>
              <w:t>(02)</w:t>
            </w:r>
          </w:p>
        </w:tc>
        <w:tc>
          <w:tcPr>
            <w:tcW w:w="3000" w:type="dxa"/>
            <w:vAlign w:val="bottom"/>
          </w:tcPr>
          <w:p>
            <w:pPr>
              <w:ind w:left="20"/>
              <w:spacing w:after="0"/>
              <w:rPr>
                <w:sz w:val="20"/>
                <w:szCs w:val="20"/>
                <w:color w:val="auto"/>
              </w:rPr>
            </w:pPr>
            <w:r>
              <w:rPr>
                <w:rFonts w:ascii="Arial" w:cs="Arial" w:eastAsia="Arial" w:hAnsi="Arial"/>
                <w:sz w:val="14"/>
                <w:szCs w:val="14"/>
                <w:color w:val="auto"/>
              </w:rPr>
              <w:t>Steven R. Appleton</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4"/>
        </w:trPr>
        <w:tc>
          <w:tcPr>
            <w:tcW w:w="420" w:type="dxa"/>
            <w:vAlign w:val="bottom"/>
          </w:tcPr>
          <w:p>
            <w:pPr>
              <w:ind w:left="160"/>
              <w:spacing w:after="0"/>
              <w:rPr>
                <w:sz w:val="20"/>
                <w:szCs w:val="20"/>
                <w:color w:val="auto"/>
              </w:rPr>
            </w:pPr>
            <w:r>
              <w:rPr>
                <w:rFonts w:ascii="Arial" w:cs="Arial" w:eastAsia="Arial" w:hAnsi="Arial"/>
                <w:sz w:val="14"/>
                <w:szCs w:val="14"/>
                <w:color w:val="auto"/>
                <w:w w:val="96"/>
              </w:rPr>
              <w:t>(03)</w:t>
            </w:r>
          </w:p>
        </w:tc>
        <w:tc>
          <w:tcPr>
            <w:tcW w:w="3000" w:type="dxa"/>
            <w:vAlign w:val="bottom"/>
          </w:tcPr>
          <w:p>
            <w:pPr>
              <w:ind w:left="20"/>
              <w:spacing w:after="0"/>
              <w:rPr>
                <w:sz w:val="20"/>
                <w:szCs w:val="20"/>
                <w:color w:val="auto"/>
              </w:rPr>
            </w:pPr>
            <w:r>
              <w:rPr>
                <w:rFonts w:ascii="Arial" w:cs="Arial" w:eastAsia="Arial" w:hAnsi="Arial"/>
                <w:sz w:val="14"/>
                <w:szCs w:val="14"/>
                <w:color w:val="auto"/>
              </w:rPr>
              <w:t>James W. Bagley</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4"/>
        </w:trPr>
        <w:tc>
          <w:tcPr>
            <w:tcW w:w="420" w:type="dxa"/>
            <w:vAlign w:val="bottom"/>
          </w:tcPr>
          <w:p>
            <w:pPr>
              <w:ind w:left="160"/>
              <w:spacing w:after="0"/>
              <w:rPr>
                <w:sz w:val="20"/>
                <w:szCs w:val="20"/>
                <w:color w:val="auto"/>
              </w:rPr>
            </w:pPr>
            <w:r>
              <w:rPr>
                <w:rFonts w:ascii="Arial" w:cs="Arial" w:eastAsia="Arial" w:hAnsi="Arial"/>
                <w:sz w:val="14"/>
                <w:szCs w:val="14"/>
                <w:color w:val="auto"/>
                <w:w w:val="96"/>
              </w:rPr>
              <w:t>(04)</w:t>
            </w:r>
          </w:p>
        </w:tc>
        <w:tc>
          <w:tcPr>
            <w:tcW w:w="3000" w:type="dxa"/>
            <w:vAlign w:val="bottom"/>
          </w:tcPr>
          <w:p>
            <w:pPr>
              <w:ind w:left="20"/>
              <w:spacing w:after="0"/>
              <w:rPr>
                <w:sz w:val="20"/>
                <w:szCs w:val="20"/>
                <w:color w:val="auto"/>
              </w:rPr>
            </w:pPr>
            <w:r>
              <w:rPr>
                <w:rFonts w:ascii="Arial" w:cs="Arial" w:eastAsia="Arial" w:hAnsi="Arial"/>
                <w:sz w:val="14"/>
                <w:szCs w:val="14"/>
                <w:color w:val="auto"/>
              </w:rPr>
              <w:t>Robert L. Bailey</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4"/>
        </w:trPr>
        <w:tc>
          <w:tcPr>
            <w:tcW w:w="420" w:type="dxa"/>
            <w:vAlign w:val="bottom"/>
          </w:tcPr>
          <w:p>
            <w:pPr>
              <w:ind w:left="160"/>
              <w:spacing w:after="0"/>
              <w:rPr>
                <w:sz w:val="20"/>
                <w:szCs w:val="20"/>
                <w:color w:val="auto"/>
              </w:rPr>
            </w:pPr>
            <w:r>
              <w:rPr>
                <w:rFonts w:ascii="Arial" w:cs="Arial" w:eastAsia="Arial" w:hAnsi="Arial"/>
                <w:sz w:val="14"/>
                <w:szCs w:val="14"/>
                <w:color w:val="auto"/>
                <w:w w:val="96"/>
              </w:rPr>
              <w:t>(05)</w:t>
            </w:r>
          </w:p>
        </w:tc>
        <w:tc>
          <w:tcPr>
            <w:tcW w:w="3000" w:type="dxa"/>
            <w:vAlign w:val="bottom"/>
          </w:tcPr>
          <w:p>
            <w:pPr>
              <w:ind w:left="20"/>
              <w:spacing w:after="0"/>
              <w:rPr>
                <w:sz w:val="20"/>
                <w:szCs w:val="20"/>
                <w:color w:val="auto"/>
              </w:rPr>
            </w:pPr>
            <w:r>
              <w:rPr>
                <w:rFonts w:ascii="Arial" w:cs="Arial" w:eastAsia="Arial" w:hAnsi="Arial"/>
                <w:sz w:val="14"/>
                <w:szCs w:val="14"/>
                <w:color w:val="auto"/>
              </w:rPr>
              <w:t>Mercedes Johnson</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4"/>
        </w:trPr>
        <w:tc>
          <w:tcPr>
            <w:tcW w:w="420" w:type="dxa"/>
            <w:vAlign w:val="bottom"/>
          </w:tcPr>
          <w:p>
            <w:pPr>
              <w:ind w:left="160"/>
              <w:spacing w:after="0"/>
              <w:rPr>
                <w:sz w:val="20"/>
                <w:szCs w:val="20"/>
                <w:color w:val="auto"/>
              </w:rPr>
            </w:pPr>
            <w:r>
              <w:rPr>
                <w:rFonts w:ascii="Arial" w:cs="Arial" w:eastAsia="Arial" w:hAnsi="Arial"/>
                <w:sz w:val="14"/>
                <w:szCs w:val="14"/>
                <w:color w:val="auto"/>
                <w:w w:val="96"/>
              </w:rPr>
              <w:t>(06)</w:t>
            </w:r>
          </w:p>
        </w:tc>
        <w:tc>
          <w:tcPr>
            <w:tcW w:w="3000" w:type="dxa"/>
            <w:vAlign w:val="bottom"/>
          </w:tcPr>
          <w:p>
            <w:pPr>
              <w:ind w:left="20"/>
              <w:spacing w:after="0"/>
              <w:rPr>
                <w:sz w:val="20"/>
                <w:szCs w:val="20"/>
                <w:color w:val="auto"/>
              </w:rPr>
            </w:pPr>
            <w:r>
              <w:rPr>
                <w:rFonts w:ascii="Arial" w:cs="Arial" w:eastAsia="Arial" w:hAnsi="Arial"/>
                <w:sz w:val="14"/>
                <w:szCs w:val="14"/>
                <w:color w:val="auto"/>
              </w:rPr>
              <w:t>Lawrence N. Mondry</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4"/>
        </w:trPr>
        <w:tc>
          <w:tcPr>
            <w:tcW w:w="420" w:type="dxa"/>
            <w:vAlign w:val="bottom"/>
          </w:tcPr>
          <w:p>
            <w:pPr>
              <w:ind w:left="160"/>
              <w:spacing w:after="0"/>
              <w:rPr>
                <w:sz w:val="20"/>
                <w:szCs w:val="20"/>
                <w:color w:val="auto"/>
              </w:rPr>
            </w:pPr>
            <w:r>
              <w:rPr>
                <w:rFonts w:ascii="Arial" w:cs="Arial" w:eastAsia="Arial" w:hAnsi="Arial"/>
                <w:sz w:val="14"/>
                <w:szCs w:val="14"/>
                <w:color w:val="auto"/>
                <w:w w:val="96"/>
              </w:rPr>
              <w:t>(07)</w:t>
            </w:r>
          </w:p>
        </w:tc>
        <w:tc>
          <w:tcPr>
            <w:tcW w:w="3000" w:type="dxa"/>
            <w:vAlign w:val="bottom"/>
          </w:tcPr>
          <w:p>
            <w:pPr>
              <w:ind w:left="20"/>
              <w:spacing w:after="0"/>
              <w:rPr>
                <w:sz w:val="20"/>
                <w:szCs w:val="20"/>
                <w:color w:val="auto"/>
              </w:rPr>
            </w:pPr>
            <w:r>
              <w:rPr>
                <w:rFonts w:ascii="Arial" w:cs="Arial" w:eastAsia="Arial" w:hAnsi="Arial"/>
                <w:sz w:val="14"/>
                <w:szCs w:val="14"/>
                <w:color w:val="auto"/>
              </w:rPr>
              <w:t>Robert E. Switz</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282"/>
        </w:trPr>
        <w:tc>
          <w:tcPr>
            <w:tcW w:w="3420" w:type="dxa"/>
            <w:vAlign w:val="bottom"/>
            <w:gridSpan w:val="2"/>
          </w:tcPr>
          <w:p>
            <w:pPr>
              <w:spacing w:after="0"/>
              <w:rPr>
                <w:sz w:val="20"/>
                <w:szCs w:val="20"/>
                <w:color w:val="auto"/>
              </w:rPr>
            </w:pPr>
            <w:r>
              <w:rPr>
                <w:rFonts w:ascii="Arial" w:cs="Arial" w:eastAsia="Arial" w:hAnsi="Arial"/>
                <w:sz w:val="14"/>
                <w:szCs w:val="14"/>
                <w:color w:val="auto"/>
                <w:w w:val="94"/>
              </w:rPr>
              <w:t>2. Proposal by the Company to approve an amendment to</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16"/>
        </w:trPr>
        <w:tc>
          <w:tcPr>
            <w:tcW w:w="3420" w:type="dxa"/>
            <w:vAlign w:val="bottom"/>
            <w:gridSpan w:val="2"/>
          </w:tcPr>
          <w:p>
            <w:pPr>
              <w:ind w:left="160"/>
              <w:spacing w:after="0" w:line="116" w:lineRule="exact"/>
              <w:rPr>
                <w:sz w:val="20"/>
                <w:szCs w:val="20"/>
                <w:color w:val="auto"/>
              </w:rPr>
            </w:pPr>
            <w:r>
              <w:rPr>
                <w:rFonts w:ascii="Arial" w:cs="Arial" w:eastAsia="Arial" w:hAnsi="Arial"/>
                <w:sz w:val="13"/>
                <w:szCs w:val="13"/>
                <w:color w:val="auto"/>
              </w:rPr>
              <w:t>the Company’s 2007 Equity Incentive Plan to increase</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4"/>
              </w:rPr>
              <w:t>the number of shares reserved for issuance thereunder</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by 10,000,000</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3420" w:type="dxa"/>
            <w:vAlign w:val="bottom"/>
            <w:gridSpan w:val="2"/>
          </w:tcPr>
          <w:p>
            <w:pPr>
              <w:spacing w:after="0"/>
              <w:rPr>
                <w:sz w:val="20"/>
                <w:szCs w:val="20"/>
                <w:color w:val="auto"/>
              </w:rPr>
            </w:pPr>
            <w:r>
              <w:rPr>
                <w:rFonts w:ascii="Arial" w:cs="Arial" w:eastAsia="Arial" w:hAnsi="Arial"/>
                <w:sz w:val="14"/>
                <w:szCs w:val="14"/>
                <w:color w:val="auto"/>
                <w:w w:val="98"/>
              </w:rPr>
              <w:t>3. Proposal by the Company to ratify the appointment of</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360" w:type="dxa"/>
            <w:vAlign w:val="bottom"/>
          </w:tcPr>
          <w:p>
            <w:pPr>
              <w:ind w:left="140"/>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-2087880</wp:posOffset>
            </wp:positionV>
            <wp:extent cx="7747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000000"/>
                        </a:clrFrom>
                        <a:clrTo>
                          <a:srgbClr val="000000">
                            <a:alpha val="0"/>
                          </a:srgbClr>
                        </a:clrTo>
                      </a:clrChange>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-2087880</wp:posOffset>
            </wp:positionV>
            <wp:extent cx="7747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7470" cy="94615"/>
                    </a:xfrm>
                    <a:prstGeom prst="rect">
                      <a:avLst/>
                    </a:prstGeom>
                    <a:noFill/>
                  </pic:spPr>
                </pic:pic>
              </a:graphicData>
            </a:graphic>
          </wp:anchor>
        </w:drawing>
      </w:r>
    </w:p>
    <w:p>
      <w:pPr>
        <w:ind w:left="160" w:right="2260"/>
        <w:spacing w:after="0" w:line="232" w:lineRule="auto"/>
        <w:rPr>
          <w:sz w:val="20"/>
          <w:szCs w:val="20"/>
          <w:color w:val="auto"/>
        </w:rPr>
      </w:pPr>
      <w:r>
        <w:rPr>
          <w:rFonts w:ascii="Arial" w:cs="Arial" w:eastAsia="Arial" w:hAnsi="Arial"/>
          <w:sz w:val="14"/>
          <w:szCs w:val="14"/>
          <w:color w:val="auto"/>
        </w:rPr>
        <w:t>PricewaterhouseCoopers LLP as the Company’s Independent Registered Public Accounting Firm for the fiscal year ending September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417570" cy="1693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17570"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Control Number</w:t>
      </w:r>
    </w:p>
    <w:tbl>
      <w:tblPr>
        <w:tblLayout w:type="fixed"/>
        <w:tblInd w:w="280" w:type="dxa"/>
        <w:tblCellMar>
          <w:top w:w="0" w:type="dxa"/>
          <w:left w:w="0" w:type="dxa"/>
          <w:bottom w:w="0" w:type="dxa"/>
          <w:right w:w="0" w:type="dxa"/>
        </w:tblCellMar>
      </w:tblPr>
      <w:tr>
        <w:trPr>
          <w:trHeight w:val="137"/>
        </w:trPr>
        <w:tc>
          <w:tcPr>
            <w:tcW w:w="316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To attend the meeting and vote your</w:t>
            </w: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shares in person please mark this box.</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51"/>
        </w:trPr>
        <w:tc>
          <w:tcPr>
            <w:tcW w:w="31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Authorized Signatures - This section must be</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w w:val="99"/>
              </w:rPr>
              <w:t>completed for your instructions to be executed.</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220"/>
              <w:spacing w:after="0"/>
              <w:rPr>
                <w:sz w:val="20"/>
                <w:szCs w:val="20"/>
                <w:color w:val="auto"/>
              </w:rPr>
            </w:pPr>
            <w:r>
              <w:rPr>
                <w:rFonts w:ascii="Arial" w:cs="Arial" w:eastAsia="Arial" w:hAnsi="Arial"/>
                <w:sz w:val="14"/>
                <w:szCs w:val="14"/>
                <w:color w:val="auto"/>
              </w:rPr>
              <w:t>Please Sign</w:t>
            </w:r>
          </w:p>
        </w:tc>
        <w:tc>
          <w:tcPr>
            <w:tcW w:w="180" w:type="dxa"/>
            <w:vAlign w:val="bottom"/>
          </w:tcPr>
          <w:p>
            <w:pPr>
              <w:spacing w:after="0"/>
              <w:rPr>
                <w:sz w:val="15"/>
                <w:szCs w:val="15"/>
                <w:color w:val="auto"/>
              </w:rPr>
            </w:pPr>
          </w:p>
        </w:tc>
        <w:tc>
          <w:tcPr>
            <w:tcW w:w="1460" w:type="dxa"/>
            <w:vAlign w:val="bottom"/>
          </w:tcPr>
          <w:p>
            <w:pPr>
              <w:ind w:left="400"/>
              <w:spacing w:after="0"/>
              <w:rPr>
                <w:sz w:val="20"/>
                <w:szCs w:val="20"/>
                <w:color w:val="auto"/>
              </w:rPr>
            </w:pPr>
            <w:r>
              <w:rPr>
                <w:rFonts w:ascii="Arial" w:cs="Arial" w:eastAsia="Arial" w:hAnsi="Arial"/>
                <w:sz w:val="14"/>
                <w:szCs w:val="14"/>
                <w:color w:val="auto"/>
              </w:rPr>
              <w:t>Please Date</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tcPr>
          <w:p>
            <w:pPr>
              <w:ind w:left="1220"/>
              <w:spacing w:after="0"/>
              <w:rPr>
                <w:sz w:val="20"/>
                <w:szCs w:val="20"/>
                <w:color w:val="auto"/>
              </w:rPr>
            </w:pPr>
            <w:r>
              <w:rPr>
                <w:rFonts w:ascii="Arial" w:cs="Arial" w:eastAsia="Arial" w:hAnsi="Arial"/>
                <w:sz w:val="14"/>
                <w:szCs w:val="14"/>
                <w:color w:val="auto"/>
              </w:rPr>
              <w:t>Please Sign</w:t>
            </w:r>
          </w:p>
        </w:tc>
        <w:tc>
          <w:tcPr>
            <w:tcW w:w="180" w:type="dxa"/>
            <w:vAlign w:val="bottom"/>
          </w:tcPr>
          <w:p>
            <w:pPr>
              <w:spacing w:after="0"/>
              <w:rPr>
                <w:sz w:val="15"/>
                <w:szCs w:val="15"/>
                <w:color w:val="auto"/>
              </w:rPr>
            </w:pPr>
          </w:p>
        </w:tc>
        <w:tc>
          <w:tcPr>
            <w:tcW w:w="1460" w:type="dxa"/>
            <w:vAlign w:val="bottom"/>
          </w:tcPr>
          <w:p>
            <w:pPr>
              <w:ind w:left="400"/>
              <w:spacing w:after="0"/>
              <w:rPr>
                <w:sz w:val="20"/>
                <w:szCs w:val="20"/>
                <w:color w:val="auto"/>
              </w:rPr>
            </w:pPr>
            <w:r>
              <w:rPr>
                <w:rFonts w:ascii="Arial" w:cs="Arial" w:eastAsia="Arial" w:hAnsi="Arial"/>
                <w:sz w:val="14"/>
                <w:szCs w:val="14"/>
                <w:color w:val="auto"/>
              </w:rPr>
              <w:t>Please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18034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000000"/>
                        </a:clrFrom>
                        <a:clrTo>
                          <a:srgbClr val="000000">
                            <a:alpha val="0"/>
                          </a:srgbClr>
                        </a:clrTo>
                      </a:clrChange>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18034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-818515</wp:posOffset>
            </wp:positionV>
            <wp:extent cx="18034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000000"/>
                        </a:clrFrom>
                        <a:clrTo>
                          <a:srgbClr val="000000">
                            <a:alpha val="0"/>
                          </a:srgbClr>
                        </a:clrTo>
                      </a:clrChange>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-818515</wp:posOffset>
            </wp:positionV>
            <wp:extent cx="18034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41" w:lineRule="exact"/>
        <w:rPr>
          <w:sz w:val="20"/>
          <w:szCs w:val="20"/>
          <w:color w:val="auto"/>
        </w:rPr>
      </w:pPr>
    </w:p>
    <w:p>
      <w:pPr>
        <w:jc w:val="center"/>
        <w:ind w:right="260"/>
        <w:spacing w:after="0" w:line="254" w:lineRule="auto"/>
        <w:rPr>
          <w:sz w:val="20"/>
          <w:szCs w:val="20"/>
          <w:color w:val="auto"/>
        </w:rPr>
      </w:pPr>
      <w:r>
        <w:rPr>
          <w:sz w:val="1"/>
          <w:szCs w:val="1"/>
          <w:color w:val="auto"/>
        </w:rPr>
        <w:drawing>
          <wp:inline distT="0" distB="0" distL="0" distR="0">
            <wp:extent cx="120015" cy="1117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r>
        <w:rPr>
          <w:rFonts w:ascii="Arial" w:cs="Arial" w:eastAsia="Arial" w:hAnsi="Arial"/>
          <w:sz w:val="14"/>
          <w:szCs w:val="14"/>
          <w:color w:val="auto"/>
        </w:rPr>
        <w:t xml:space="preserve"> Please separate carefully at the perforation and return just this portion in the envelope provided. </w:t>
      </w:r>
      <w:r>
        <w:rPr>
          <w:sz w:val="1"/>
          <w:szCs w:val="1"/>
          <w:color w:val="auto"/>
        </w:rPr>
        <w:drawing>
          <wp:inline distT="0" distB="0" distL="0" distR="0">
            <wp:extent cx="120015" cy="1117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Revocable Proxy – Micron Technology, Inc.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 of Micron Technology, Inc.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-568325</wp:posOffset>
            </wp:positionV>
            <wp:extent cx="1200785" cy="368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785" cy="36893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held</w:t>
      </w:r>
    </w:p>
    <w:p>
      <w:pPr>
        <w:jc w:val="center"/>
        <w:spacing w:after="0" w:line="237" w:lineRule="auto"/>
        <w:rPr>
          <w:sz w:val="20"/>
          <w:szCs w:val="20"/>
          <w:color w:val="auto"/>
        </w:rPr>
      </w:pPr>
      <w:r>
        <w:rPr>
          <w:rFonts w:ascii="Arial" w:cs="Arial" w:eastAsia="Arial" w:hAnsi="Arial"/>
          <w:sz w:val="19"/>
          <w:szCs w:val="19"/>
          <w:b w:val="1"/>
          <w:bCs w:val="1"/>
          <w:color w:val="auto"/>
        </w:rPr>
        <w:t>Thursday, December 11, 2008</w:t>
      </w:r>
    </w:p>
    <w:p>
      <w:pPr>
        <w:jc w:val="center"/>
        <w:spacing w:after="0"/>
        <w:rPr>
          <w:sz w:val="20"/>
          <w:szCs w:val="20"/>
          <w:color w:val="auto"/>
        </w:rPr>
      </w:pPr>
      <w:r>
        <w:rPr>
          <w:rFonts w:ascii="Arial" w:cs="Arial" w:eastAsia="Arial" w:hAnsi="Arial"/>
          <w:sz w:val="19"/>
          <w:szCs w:val="19"/>
          <w:b w:val="1"/>
          <w:bCs w:val="1"/>
          <w:color w:val="auto"/>
        </w:rPr>
        <w:t>For Holders as of October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62865</wp:posOffset>
            </wp:positionV>
            <wp:extent cx="240030" cy="2489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131445</wp:posOffset>
            </wp:positionV>
            <wp:extent cx="22288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2885" cy="18034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INTERNET</w:t>
            </w:r>
          </w:p>
        </w:tc>
        <w:tc>
          <w:tcPr>
            <w:tcW w:w="18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TELEPHONE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Go To</w:t>
            </w:r>
          </w:p>
        </w:tc>
        <w:tc>
          <w:tcPr>
            <w:tcW w:w="28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1-866-586-3108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200" w:type="dxa"/>
            <w:vAlign w:val="bottom"/>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www.proxypush.com/mu</w:t>
            </w:r>
          </w:p>
        </w:tc>
        <w:tc>
          <w:tcPr>
            <w:tcW w:w="29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 xml:space="preserve">OR </w:t>
            </w:r>
            <w:r>
              <w:rPr>
                <w:rFonts w:ascii="Arial" w:cs="Arial" w:eastAsia="Arial" w:hAnsi="Arial"/>
                <w:sz w:val="14"/>
                <w:szCs w:val="14"/>
                <w:color w:val="auto"/>
              </w:rPr>
              <w:t>· Use any touch-tone telephone.</w:t>
            </w:r>
          </w:p>
        </w:tc>
        <w:tc>
          <w:tcPr>
            <w:tcW w:w="0" w:type="dxa"/>
            <w:vAlign w:val="bottom"/>
          </w:tcPr>
          <w:p>
            <w:pPr>
              <w:spacing w:after="0"/>
              <w:rPr>
                <w:sz w:val="1"/>
                <w:szCs w:val="1"/>
                <w:color w:val="auto"/>
              </w:rPr>
            </w:pPr>
          </w:p>
        </w:tc>
      </w:tr>
      <w:tr>
        <w:trPr>
          <w:trHeight w:val="145"/>
        </w:trPr>
        <w:tc>
          <w:tcPr>
            <w:tcW w:w="2200" w:type="dxa"/>
            <w:vAlign w:val="bottom"/>
            <w:gridSpan w:val="2"/>
          </w:tcPr>
          <w:p>
            <w:pPr>
              <w:spacing w:after="0" w:line="145" w:lineRule="exact"/>
              <w:rPr>
                <w:sz w:val="20"/>
                <w:szCs w:val="20"/>
                <w:color w:val="auto"/>
              </w:rPr>
            </w:pPr>
            <w:r>
              <w:rPr>
                <w:rFonts w:ascii="Arial" w:cs="Arial" w:eastAsia="Arial" w:hAnsi="Arial"/>
                <w:sz w:val="14"/>
                <w:szCs w:val="14"/>
                <w:color w:val="auto"/>
              </w:rPr>
              <w:t>· Cast your vote online.</w:t>
            </w:r>
          </w:p>
        </w:tc>
        <w:tc>
          <w:tcPr>
            <w:tcW w:w="2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Have your Voting Instruction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940" w:type="dxa"/>
            <w:vAlign w:val="bottom"/>
            <w:gridSpan w:val="3"/>
          </w:tcPr>
          <w:p>
            <w:pPr>
              <w:ind w:left="540"/>
              <w:spacing w:after="0" w:line="153" w:lineRule="exact"/>
              <w:rPr>
                <w:sz w:val="20"/>
                <w:szCs w:val="20"/>
                <w:color w:val="auto"/>
              </w:rPr>
            </w:pPr>
            <w:r>
              <w:rPr>
                <w:rFonts w:ascii="Arial" w:cs="Arial" w:eastAsia="Arial" w:hAnsi="Arial"/>
                <w:sz w:val="14"/>
                <w:szCs w:val="14"/>
                <w:b w:val="1"/>
                <w:bCs w:val="1"/>
                <w:color w:val="auto"/>
              </w:rPr>
              <w:t>Form ready.</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40" w:type="dxa"/>
            <w:vAlign w:val="bottom"/>
            <w:gridSpan w:val="3"/>
          </w:tcPr>
          <w:p>
            <w:pPr>
              <w:ind w:left="540"/>
              <w:spacing w:after="0"/>
              <w:rPr>
                <w:sz w:val="20"/>
                <w:szCs w:val="20"/>
                <w:color w:val="auto"/>
              </w:rPr>
            </w:pPr>
            <w:r>
              <w:rPr>
                <w:rFonts w:ascii="Arial" w:cs="Arial" w:eastAsia="Arial" w:hAnsi="Arial"/>
                <w:sz w:val="14"/>
                <w:szCs w:val="14"/>
                <w:color w:val="auto"/>
                <w:w w:val="93"/>
              </w:rPr>
              <w:t>· Follow the simple recorded instructions.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85090</wp:posOffset>
            </wp:positionV>
            <wp:extent cx="20574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180340"/>
                    </a:xfrm>
                    <a:prstGeom prst="rect">
                      <a:avLst/>
                    </a:prstGeom>
                    <a:noFill/>
                  </pic:spPr>
                </pic:pic>
              </a:graphicData>
            </a:graphic>
          </wp:anchor>
        </w:drawing>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MAIL</w:t>
            </w:r>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7"/>
        </w:trPr>
        <w:tc>
          <w:tcPr>
            <w:tcW w:w="680" w:type="dxa"/>
            <w:vAlign w:val="bottom"/>
          </w:tcPr>
          <w:p>
            <w:pPr>
              <w:spacing w:after="0"/>
              <w:rPr>
                <w:sz w:val="20"/>
                <w:szCs w:val="20"/>
                <w:color w:val="auto"/>
              </w:rPr>
            </w:pPr>
            <w:r>
              <w:rPr>
                <w:rFonts w:ascii="Arial" w:cs="Arial" w:eastAsia="Arial" w:hAnsi="Arial"/>
                <w:sz w:val="18"/>
                <w:szCs w:val="18"/>
                <w:b w:val="1"/>
                <w:bCs w:val="1"/>
                <w:color w:val="auto"/>
              </w:rPr>
              <w:t>OR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940" w:type="dxa"/>
            <w:vAlign w:val="bottom"/>
            <w:gridSpan w:val="3"/>
          </w:tcPr>
          <w:p>
            <w:pPr>
              <w:ind w:left="40"/>
              <w:spacing w:after="0"/>
              <w:rPr>
                <w:sz w:val="20"/>
                <w:szCs w:val="20"/>
                <w:color w:val="auto"/>
              </w:rPr>
            </w:pPr>
            <w:r>
              <w:rPr>
                <w:rFonts w:ascii="Arial" w:cs="Arial" w:eastAsia="Arial" w:hAnsi="Arial"/>
                <w:sz w:val="14"/>
                <w:szCs w:val="14"/>
                <w:color w:val="auto"/>
                <w:w w:val="93"/>
              </w:rPr>
              <w:t>Mark, sign and date your Voting Instruction Form.</w:t>
            </w:r>
          </w:p>
        </w:tc>
      </w:tr>
      <w:tr>
        <w:trPr>
          <w:trHeight w:val="137"/>
        </w:trPr>
        <w:tc>
          <w:tcPr>
            <w:tcW w:w="6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2940" w:type="dxa"/>
            <w:vAlign w:val="bottom"/>
            <w:gridSpan w:val="3"/>
          </w:tcPr>
          <w:p>
            <w:pPr>
              <w:ind w:left="40"/>
              <w:spacing w:after="0" w:line="137" w:lineRule="exact"/>
              <w:rPr>
                <w:sz w:val="20"/>
                <w:szCs w:val="20"/>
                <w:color w:val="auto"/>
              </w:rPr>
            </w:pPr>
            <w:r>
              <w:rPr>
                <w:rFonts w:ascii="Arial" w:cs="Arial" w:eastAsia="Arial" w:hAnsi="Arial"/>
                <w:sz w:val="14"/>
                <w:szCs w:val="14"/>
                <w:color w:val="auto"/>
              </w:rPr>
              <w:t>Detach your Voting Instruction Form.</w:t>
            </w:r>
          </w:p>
        </w:tc>
      </w:tr>
      <w:tr>
        <w:trPr>
          <w:trHeight w:val="149"/>
        </w:trPr>
        <w:tc>
          <w:tcPr>
            <w:tcW w:w="6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9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Return your Voting Instruction Form in the</w:t>
            </w:r>
          </w:p>
        </w:tc>
      </w:tr>
      <w:tr>
        <w:trPr>
          <w:trHeight w:val="182"/>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40" w:type="dxa"/>
            <w:vAlign w:val="bottom"/>
            <w:gridSpan w:val="3"/>
          </w:tcPr>
          <w:p>
            <w:pPr>
              <w:ind w:left="40"/>
              <w:spacing w:after="0"/>
              <w:rPr>
                <w:sz w:val="20"/>
                <w:szCs w:val="20"/>
                <w:color w:val="auto"/>
              </w:rPr>
            </w:pPr>
            <w:r>
              <w:rPr>
                <w:rFonts w:ascii="Arial" w:cs="Arial" w:eastAsia="Arial" w:hAnsi="Arial"/>
                <w:sz w:val="14"/>
                <w:szCs w:val="14"/>
                <w:color w:val="auto"/>
              </w:rPr>
              <w:t>postage-paid envelope provided.</w:t>
            </w:r>
          </w:p>
        </w:tc>
      </w:tr>
    </w:tbl>
    <w:p>
      <w:pPr>
        <w:spacing w:after="0" w:line="70" w:lineRule="exact"/>
        <w:rPr>
          <w:sz w:val="20"/>
          <w:szCs w:val="20"/>
          <w:color w:val="auto"/>
        </w:rPr>
      </w:pPr>
    </w:p>
    <w:p>
      <w:pPr>
        <w:jc w:val="both"/>
        <w:ind w:left="340" w:right="20"/>
        <w:spacing w:after="0" w:line="278" w:lineRule="auto"/>
        <w:rPr>
          <w:sz w:val="20"/>
          <w:szCs w:val="20"/>
          <w:color w:val="auto"/>
        </w:rPr>
      </w:pPr>
      <w:r>
        <w:rPr>
          <w:rFonts w:ascii="Arial" w:cs="Arial" w:eastAsia="Arial" w:hAnsi="Arial"/>
          <w:sz w:val="16"/>
          <w:szCs w:val="16"/>
          <w:color w:val="auto"/>
        </w:rPr>
        <w:t xml:space="preserve">Go Green! Sign up for electronic delivery to save paper and eliminate clutter from your mailbox. Simply go to: </w:t>
      </w:r>
      <w:r>
        <w:rPr>
          <w:rFonts w:ascii="Arial" w:cs="Arial" w:eastAsia="Arial" w:hAnsi="Arial"/>
          <w:sz w:val="16"/>
          <w:szCs w:val="16"/>
          <w:u w:val="single" w:color="auto"/>
          <w:color w:val="auto"/>
        </w:rPr>
        <w:t>https://www.proxypush.com/mu</w:t>
      </w:r>
      <w:r>
        <w:rPr>
          <w:rFonts w:ascii="Arial" w:cs="Arial" w:eastAsia="Arial" w:hAnsi="Arial"/>
          <w:sz w:val="16"/>
          <w:szCs w:val="16"/>
          <w:color w:val="auto"/>
        </w:rPr>
        <w:t xml:space="preserve"> to receive documents via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-399415</wp:posOffset>
            </wp:positionV>
            <wp:extent cx="22288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885" cy="20574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All votes must be received by 5:00 pm, Eastern Time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December 10, 2008.</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PROXY TABULATOR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6350</wp:posOffset>
            </wp:positionV>
            <wp:extent cx="1235075" cy="386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5075" cy="38608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P.O. BOX 8016</w:t>
      </w:r>
    </w:p>
    <w:p>
      <w:pPr>
        <w:ind w:left="3100"/>
        <w:spacing w:after="0" w:line="233" w:lineRule="auto"/>
        <w:rPr>
          <w:sz w:val="20"/>
          <w:szCs w:val="20"/>
          <w:color w:val="auto"/>
        </w:rPr>
      </w:pPr>
      <w:r>
        <w:rPr>
          <w:rFonts w:ascii="Arial" w:cs="Arial" w:eastAsia="Arial" w:hAnsi="Arial"/>
          <w:sz w:val="14"/>
          <w:szCs w:val="14"/>
          <w:color w:val="auto"/>
        </w:rPr>
        <w:t>CARY, NC 27512-9903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100330</wp:posOffset>
            </wp:positionV>
            <wp:extent cx="15430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100330</wp:posOffset>
            </wp:positionV>
            <wp:extent cx="14605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 </w:t>
      </w:r>
      <w:r>
        <w:rPr>
          <w:rFonts w:ascii="Arial" w:cs="Arial" w:eastAsia="Arial" w:hAnsi="Arial"/>
          <w:sz w:val="18"/>
          <w:szCs w:val="18"/>
          <w:color w:val="auto"/>
        </w:rPr>
        <w:t>68382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962304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ControlNumber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96520</wp:posOffset>
            </wp:positionV>
            <wp:extent cx="15430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96520</wp:posOffset>
            </wp:positionV>
            <wp:extent cx="14605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Copyright © 2008 Mediant Communications LLC. All Rights Reserved</w:t>
      </w:r>
    </w:p>
    <w:p>
      <w:pPr>
        <w:spacing w:after="0" w:line="665" w:lineRule="exact"/>
        <w:rPr>
          <w:sz w:val="20"/>
          <w:szCs w:val="20"/>
          <w:color w:val="auto"/>
        </w:rPr>
      </w:pPr>
    </w:p>
    <w:p>
      <w:pPr>
        <w:sectPr>
          <w:pgSz w:w="11900" w:h="16838" w:orient="portrait"/>
          <w:cols w:equalWidth="0" w:num="2">
            <w:col w:w="5640" w:space="420"/>
            <w:col w:w="5360"/>
          </w:cols>
          <w:pgMar w:left="240" w:top="941" w:right="239" w:bottom="0" w:gutter="0" w:footer="0" w:header="0"/>
        </w:sectPr>
      </w:pPr>
    </w:p>
    <w:p>
      <w:pPr>
        <w:spacing w:after="0" w:line="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undersigned shareholder(s) of Micron Technology, Inc., a Delaware corporation, hereby acknowledge(s) receipt of the Notice of 2008 Annual Meeting of Shareholders and Proxy Statement, each dated October 28, 2008, and hereby appoints Steven R. Appleton and D. Mark Durcan, and each of them, proxies and attorneys-in-fact, with full power to each of substitution, on behalf and in the name of the undersigned, to represent the undersigned at the 2008 Annual Meeting of Shareholders of Micron Technology, Inc., to be held December 11, 2008, at 9:00 a.m., Mountain Standard Time, at the </w:t>
      </w:r>
      <w:r>
        <w:rPr>
          <w:rFonts w:ascii="Arial" w:cs="Arial" w:eastAsia="Arial" w:hAnsi="Arial"/>
          <w:sz w:val="18"/>
          <w:szCs w:val="18"/>
          <w:b w:val="1"/>
          <w:bCs w:val="1"/>
          <w:color w:val="auto"/>
        </w:rPr>
        <w:t>Company’s</w:t>
      </w:r>
      <w:r>
        <w:rPr>
          <w:rFonts w:ascii="Arial" w:cs="Arial" w:eastAsia="Arial" w:hAnsi="Arial"/>
          <w:sz w:val="18"/>
          <w:szCs w:val="18"/>
          <w:color w:val="auto"/>
        </w:rPr>
        <w:t xml:space="preserve"> </w:t>
      </w:r>
      <w:r>
        <w:rPr>
          <w:rFonts w:ascii="Arial" w:cs="Arial" w:eastAsia="Arial" w:hAnsi="Arial"/>
          <w:sz w:val="18"/>
          <w:szCs w:val="18"/>
          <w:b w:val="1"/>
          <w:bCs w:val="1"/>
          <w:color w:val="auto"/>
        </w:rPr>
        <w:t>headquarters located at 8000 South Federal Way, Boise, Idaho 83716-9632</w:t>
      </w:r>
      <w:r>
        <w:rPr>
          <w:rFonts w:ascii="Arial" w:cs="Arial" w:eastAsia="Arial" w:hAnsi="Arial"/>
          <w:sz w:val="18"/>
          <w:szCs w:val="18"/>
          <w:color w:val="auto"/>
        </w:rPr>
        <w:t>, and at any adjournment or adjournments thereof, and to vote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cumulatively, if required) all shares of Common Stock which the undersigned would be entitled to vote if then and there personally present, on the matters set forth: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proxy is revocable and will be voted as directed, but if no instructions are specified, this proxy will be voted “</w:t>
      </w:r>
      <w:r>
        <w:rPr>
          <w:rFonts w:ascii="Arial" w:cs="Arial" w:eastAsia="Arial" w:hAnsi="Arial"/>
          <w:sz w:val="18"/>
          <w:szCs w:val="18"/>
          <w:b w:val="1"/>
          <w:bCs w:val="1"/>
          <w:color w:val="auto"/>
        </w:rPr>
        <w:t>FOR</w:t>
      </w:r>
      <w:r>
        <w:rPr>
          <w:rFonts w:ascii="Arial" w:cs="Arial" w:eastAsia="Arial" w:hAnsi="Arial"/>
          <w:sz w:val="18"/>
          <w:szCs w:val="18"/>
          <w:color w:val="auto"/>
        </w:rPr>
        <w:t>” Proposals 1, 2, and 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PROXY TABULATOR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8016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CARY, NC 27512-9903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2008 Annual Meeting of Shareholders December 11, 2008</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INFORMATION CONCERNING SOLICITATION AND VOTING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2—APPROVAL OF AN AMENDMENT TO THE 2007 EQUITY INCENTIVE PLAN</w:t>
        </w:r>
      </w:hyperlink>
    </w:p>
    <w:p>
      <w:pPr>
        <w:sectPr>
          <w:pgSz w:w="11900" w:h="16838" w:orient="portrait"/>
          <w:cols w:equalWidth="0" w:num="1">
            <w:col w:w="11420"/>
          </w:cols>
          <w:pgMar w:left="240" w:top="941" w:right="239" w:bottom="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3—RATIFICATION OF PRICEWATERHOUSECOOPERS LLP</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PRINCIPAL SHAREHOLDERS</w:t>
        </w:r>
      </w:hyperlink>
    </w:p>
    <w:p>
      <w:pPr>
        <w:spacing w:after="0" w:line="9" w:lineRule="exact"/>
        <w:rPr>
          <w:sz w:val="20"/>
          <w:szCs w:val="20"/>
          <w:color w:val="auto"/>
        </w:rPr>
      </w:pPr>
    </w:p>
    <w:p>
      <w:pPr>
        <w:ind w:right="1519"/>
        <w:spacing w:after="0" w:line="250"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EXECUTIVE COMPENSATION AND RELATED INFORMATION COMPENSATION DISCUSSION AND ANALYSIS</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COMPENSATION COMMITTEE REPORT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FISCAL 2008 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GRANTS OF PLAN-BASED AWARDS IN FISCAL 2008</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OUTSTANDING EQUITY AWARDS AT 2008 FISCAL YEAR-END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OPTION EXERCISES AND STOCK VESTED</w:t>
        </w:r>
      </w:hyperlink>
    </w:p>
    <w:p>
      <w:pPr>
        <w:spacing w:after="0" w:line="9" w:lineRule="exact"/>
        <w:rPr>
          <w:sz w:val="20"/>
          <w:szCs w:val="20"/>
          <w:color w:val="auto"/>
        </w:rPr>
      </w:pPr>
    </w:p>
    <w:p>
      <w:pPr>
        <w:ind w:right="4359"/>
        <w:spacing w:after="0" w:line="250"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POTENTIAL PAYMENTS UPON TERMINATION OR CHANGE IN CONTROL</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EQUITY COMPENSATION PLAN INFORMATION</w:t>
        </w:r>
      </w:hyperlink>
    </w:p>
    <w:p>
      <w:pPr>
        <w:spacing w:after="0" w:line="1" w:lineRule="exact"/>
        <w:rPr>
          <w:sz w:val="20"/>
          <w:szCs w:val="20"/>
          <w:color w:val="auto"/>
        </w:rPr>
      </w:pPr>
    </w:p>
    <w:p>
      <w:pPr>
        <w:ind w:right="4659"/>
        <w:spacing w:after="0" w:line="281"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CERTAIN RELATIONSHIPS AND RELATED TRANSACTIONS</w:t>
        </w:r>
      </w:hyperlink>
      <w:r>
        <w:rPr>
          <w:rFonts w:ascii="Arial" w:cs="Arial" w:eastAsia="Arial" w:hAnsi="Arial"/>
          <w:sz w:val="16"/>
          <w:szCs w:val="16"/>
          <w:u w:val="single" w:color="auto"/>
          <w:color w:val="0000EE"/>
        </w:rPr>
        <w:t xml:space="preserve"> </w:t>
      </w:r>
      <w:hyperlink w:anchor="page45">
        <w:r>
          <w:rPr>
            <w:rFonts w:ascii="Arial" w:cs="Arial" w:eastAsia="Arial" w:hAnsi="Arial"/>
            <w:sz w:val="16"/>
            <w:szCs w:val="16"/>
            <w:u w:val="single" w:color="auto"/>
            <w:color w:val="0000EE"/>
          </w:rPr>
          <w:t>SECTION 16(A) BENEFICIAL OWNERSHIP REPORTING COMPLIANCE</w:t>
        </w:r>
      </w:hyperlink>
      <w:r>
        <w:rPr>
          <w:rFonts w:ascii="Arial" w:cs="Arial" w:eastAsia="Arial" w:hAnsi="Arial"/>
          <w:sz w:val="16"/>
          <w:szCs w:val="16"/>
          <w:u w:val="single" w:color="auto"/>
          <w:color w:val="0000EE"/>
        </w:rPr>
        <w:t xml:space="preserve"> </w:t>
      </w:r>
      <w:hyperlink w:anchor="page45">
        <w:r>
          <w:rPr>
            <w:rFonts w:ascii="Arial" w:cs="Arial" w:eastAsia="Arial" w:hAnsi="Arial"/>
            <w:sz w:val="16"/>
            <w:szCs w:val="16"/>
            <w:u w:val="single" w:color="auto"/>
            <w:color w:val="0000EE"/>
          </w:rPr>
          <w:t>NOTICE OF ELECTRONIC AVAILABILITY OF PROXY MATERIALS</w:t>
        </w:r>
      </w:hyperlink>
      <w:r>
        <w:rPr>
          <w:rFonts w:ascii="Arial" w:cs="Arial" w:eastAsia="Arial" w:hAnsi="Arial"/>
          <w:sz w:val="16"/>
          <w:szCs w:val="16"/>
          <w:u w:val="single" w:color="auto"/>
          <w:color w:val="0000EE"/>
        </w:rPr>
        <w:t xml:space="preserve"> </w:t>
      </w:r>
      <w:hyperlink w:anchor="page46">
        <w:r>
          <w:rPr>
            <w:rFonts w:ascii="Arial" w:cs="Arial" w:eastAsia="Arial" w:hAnsi="Arial"/>
            <w:sz w:val="16"/>
            <w:szCs w:val="16"/>
            <w:u w:val="single" w:color="auto"/>
            <w:color w:val="0000EE"/>
          </w:rPr>
          <w:t>HOUSEHOLDING OF PROXY STATEMENTS AND ANNUAL REPORTS</w:t>
        </w:r>
      </w:hyperlink>
    </w:p>
    <w:p>
      <w:pPr>
        <w:spacing w:after="0" w:line="3"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DEADLINE FOR RECEIPT OF SHAREHOLDER PROPOSALS FOR 2009 ANNUAL MEETING</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APPENDIX A</w:t>
        </w:r>
      </w:hyperlink>
    </w:p>
    <w:p>
      <w:pPr>
        <w:spacing w:after="0" w:line="22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MICRON TECHNOLOGY, INC. 2007 EQUITY INCENTIVE PLAN</w:t>
        </w:r>
      </w:hyperlink>
    </w:p>
    <w:p>
      <w:pPr>
        <w:spacing w:after="0" w:line="1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ARTICLE 5 SHARES SUBJECT TO THE PLAN</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ARTICLE 6 ELIGIBILITY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ARTICLE 7 STOCK OPTIONS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8 STOCK APPRECIATION RIGHTS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9 PERFORMANCE SHARES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ARTICLE 10 RESTRICTED STOCK AND RESTRICTED STOCK UNIT AWARDS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ARTICLE 11 DEFERRED STOCK UNITS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ARTICLE 12 DIVIDEND EQUIVALENTS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ARTICLE 13 STOCK OR OTHER STOCK-BASED AWARDS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ARTICLE 14 PROVISIONS APPLICABLE TO AWARDS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ARTICLE 15 CHANGES IN CAPITAL STRUCTURE</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ARTICLE 16 AMENDMENT, MODIFICATION AND TERMINATION</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ARTICLE 17 GENERAL PROVISIONS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o"/>
      <w:numFmt w:val="bullet"/>
      <w:start w:val="1"/>
    </w:lvl>
    <w:lvl w:ilvl="1">
      <w:lvlJc w:val="left"/>
      <w:lvlText w:val="(%2)"/>
      <w:numFmt w:val="decimal"/>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1"/>
    </w:lvl>
    <w:lvl w:ilvl="1">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lowerRoman"/>
      <w:start w:val="2"/>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3"/>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7"/>
    </w:lvl>
  </w:abstractNum>
  <w:abstractNum w:abstractNumId="22">
    <w:nsid w:val="374A3FE6"/>
    <w:multiLevelType w:val="hybridMultilevel"/>
    <w:lvl w:ilvl="0">
      <w:lvlJc w:val="left"/>
      <w:lvlText w:val="(%1)"/>
      <w:numFmt w:val="decimal"/>
    </w:lvl>
    <w:lvl w:ilvl="1">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lvl w:ilvl="1">
      <w:lvlJc w:val="left"/>
      <w:lvlText w:val="•"/>
      <w:numFmt w:val="bullet"/>
      <w:start w:val="1"/>
    </w:lvl>
  </w:abstractNum>
  <w:abstractNum w:abstractNumId="27">
    <w:nsid w:val="39386575"/>
    <w:multiLevelType w:val="hybridMultilevel"/>
    <w:lvl w:ilvl="0">
      <w:lvlJc w:val="left"/>
      <w:lvlText w:val="(%1)"/>
      <w:numFmt w:val="decimal"/>
      <w:start w:val="3"/>
    </w:lvl>
    <w:lvl w:ilvl="1">
      <w:lvlJc w:val="left"/>
      <w:lvlText w:val="•"/>
      <w:numFmt w:val="bullet"/>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8"/>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6"/>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decimal"/>
      <w:start w:val="1"/>
    </w:lvl>
    <w:lvl w:ilvl="1">
      <w:lvlJc w:val="left"/>
      <w:lvlText w:val="(%2)"/>
      <w:numFmt w:val="lowerLetter"/>
      <w:start w:val="1"/>
    </w:lvl>
  </w:abstractNum>
  <w:abstractNum w:abstractNumId="37">
    <w:nsid w:val="3F6AB60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
    </w:lvl>
    <w:lvl w:ilvl="3">
      <w:lvlJc w:val="left"/>
      <w:lvlText w:val="(%4)"/>
      <w:numFmt w:val="lowerLetter"/>
      <w:start w:val="3"/>
    </w:lvl>
    <w:lvl w:ilvl="4">
      <w:lvlJc w:val="left"/>
      <w:lvlText w:val="%5"/>
      <w:numFmt w:val="lowerLetter"/>
      <w:start w:val="1"/>
    </w:lvl>
  </w:abstractNum>
  <w:abstractNum w:abstractNumId="38">
    <w:nsid w:val="61574095"/>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39">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3"/>
    </w:lvl>
  </w:abstractNum>
  <w:abstractNum w:abstractNumId="40">
    <w:nsid w:val="77AE35E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Roman"/>
      <w:start w:val="1"/>
    </w:lvl>
  </w:abstractNum>
  <w:abstractNum w:abstractNumId="41">
    <w:nsid w:val="579BE4F1"/>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42">
    <w:nsid w:val="310C50B3"/>
    <w:multiLevelType w:val="hybridMultilevel"/>
    <w:lvl w:ilvl="0">
      <w:lvlJc w:val="left"/>
      <w:lvlText w:val="(%1)"/>
      <w:numFmt w:val="lowerLetter"/>
      <w:start w:val="7"/>
    </w:lvl>
    <w:lvl w:ilvl="1">
      <w:lvlJc w:val="left"/>
      <w:lvlText w:val="(%2)"/>
      <w:numFmt w:val="lowerLetter"/>
      <w:start w:val="9"/>
    </w:lvl>
  </w:abstractNum>
  <w:abstractNum w:abstractNumId="43">
    <w:nsid w:val="5FF87E05"/>
    <w:multiLevelType w:val="hybridMultilevel"/>
    <w:lvl w:ilvl="0">
      <w:lvlJc w:val="left"/>
      <w:lvlText w:val="(%1)"/>
      <w:numFmt w:val="lowerLetter"/>
      <w:start w:val="10"/>
    </w:lvl>
    <w:lvl w:ilvl="1">
      <w:lvlJc w:val="left"/>
      <w:lvlText w:val="(%2)"/>
      <w:numFmt w:val="lowerLetter"/>
      <w:start w:val="11"/>
    </w:lvl>
  </w:abstractNum>
  <w:abstractNum w:abstractNumId="44">
    <w:nsid w:val="2F305DEF"/>
    <w:multiLevelType w:val="hybridMultilevel"/>
    <w:lvl w:ilvl="0">
      <w:lvlJc w:val="left"/>
      <w:lvlText w:val="(%1)"/>
      <w:numFmt w:val="lowerLetter"/>
      <w:start w:val="12"/>
    </w:lvl>
    <w:lvl w:ilvl="1">
      <w:lvlJc w:val="left"/>
      <w:lvlText w:val="(%2)"/>
      <w:numFmt w:val="lowerLetter"/>
      <w:start w:val="15"/>
    </w:lvl>
    <w:lvl w:ilvl="2">
      <w:lvlJc w:val="left"/>
      <w:lvlText w:val="(%3)"/>
      <w:numFmt w:val="lowerLetter"/>
      <w:start w:val="16"/>
    </w:lvl>
  </w:abstractNum>
  <w:abstractNum w:abstractNumId="45">
    <w:nsid w:val="25A70BF7"/>
    <w:multiLevelType w:val="hybridMultilevel"/>
    <w:lvl w:ilvl="0">
      <w:lvlJc w:val="left"/>
      <w:lvlText w:val="(%1)"/>
      <w:numFmt w:val="lowerLetter"/>
      <w:start w:val="18"/>
    </w:lvl>
    <w:lvl w:ilvl="1">
      <w:lvlJc w:val="left"/>
      <w:lvlText w:val="%2"/>
      <w:numFmt w:val="lowerLetter"/>
      <w:start w:val="1"/>
    </w:lvl>
    <w:lvl w:ilvl="2">
      <w:lvlJc w:val="left"/>
      <w:lvlText w:val="(%3)"/>
      <w:numFmt w:val="lowerLetter"/>
      <w:start w:val="19"/>
    </w:lvl>
    <w:lvl w:ilvl="3">
      <w:lvlJc w:val="left"/>
      <w:lvlText w:val="%4"/>
      <w:numFmt w:val="lowerLetter"/>
      <w:start w:val="1"/>
    </w:lvl>
    <w:lvl w:ilvl="4">
      <w:lvlJc w:val="left"/>
      <w:lvlText w:val="(%5)"/>
      <w:numFmt w:val="lowerLetter"/>
      <w:start w:val="19"/>
    </w:lvl>
    <w:lvl w:ilvl="5">
      <w:lvlJc w:val="left"/>
      <w:lvlText w:val="%6"/>
      <w:numFmt w:val="lowerLetter"/>
      <w:start w:val="1"/>
    </w:lvl>
    <w:lvl w:ilvl="6">
      <w:lvlJc w:val="left"/>
      <w:lvlText w:val="%7"/>
      <w:numFmt w:val="lowerLetter"/>
      <w:start w:val="1"/>
    </w:lvl>
  </w:abstractNum>
  <w:abstractNum w:abstractNumId="46">
    <w:nsid w:val="1DBABF0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3"/>
    </w:lvl>
    <w:lvl w:ilvl="5">
      <w:lvlJc w:val="left"/>
      <w:lvlText w:val="%6"/>
      <w:numFmt w:val="lowerLetter"/>
      <w:start w:val="1"/>
    </w:lvl>
    <w:lvl w:ilvl="6">
      <w:lvlJc w:val="left"/>
      <w:lvlText w:val="%7"/>
      <w:numFmt w:val="lowerLetter"/>
      <w:start w:val="1"/>
    </w:lvl>
  </w:abstractNum>
  <w:abstractNum w:abstractNumId="47">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4"/>
    </w:lvl>
    <w:lvl w:ilvl="4">
      <w:lvlJc w:val="left"/>
      <w:lvlText w:val="%5"/>
      <w:numFmt w:val="lowerLetter"/>
      <w:start w:val="1"/>
    </w:lvl>
    <w:lvl w:ilvl="5">
      <w:lvlJc w:val="left"/>
      <w:lvlText w:val="%6"/>
      <w:numFmt w:val="lowerLetter"/>
      <w:start w:val="1"/>
    </w:lvl>
    <w:lvl w:ilvl="6">
      <w:lvlJc w:val="left"/>
      <w:lvlText w:val="(%7)"/>
      <w:numFmt w:val="lowerLetter"/>
      <w:start w:val="25"/>
    </w:lvl>
  </w:abstractNum>
  <w:abstractNum w:abstractNumId="48">
    <w:nsid w:val="1F48EA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6"/>
    </w:lvl>
    <w:lvl w:ilvl="3">
      <w:lvlJc w:val="left"/>
      <w:lvlText w:val="%4"/>
      <w:numFmt w:val="lowerLetter"/>
      <w:start w:val="1"/>
    </w:lvl>
    <w:lvl w:ilvl="4">
      <w:lvlJc w:val="left"/>
      <w:lvlText w:val="%5"/>
      <w:numFmt w:val="lowerLetter"/>
      <w:start w:val="1"/>
    </w:lvl>
    <w:lvl w:ilvl="5">
      <w:lvlJc w:val="left"/>
      <w:lvlText w:val="(%6)"/>
      <w:numFmt w:val="lowerLetter"/>
      <w:start w:val="27"/>
    </w:lvl>
    <w:lvl w:ilvl="6">
      <w:lvlJc w:val="left"/>
      <w:lvlText w:val="%7"/>
      <w:numFmt w:val="lowerLetter"/>
      <w:start w:val="1"/>
    </w:lvl>
  </w:abstractNum>
  <w:abstractNum w:abstractNumId="49">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8"/>
    </w:lvl>
  </w:abstractNum>
  <w:abstractNum w:abstractNumId="50">
    <w:nsid w:val="5DB70AE5"/>
    <w:multiLevelType w:val="hybridMultilevel"/>
    <w:lvl w:ilvl="0">
      <w:lvlJc w:val="left"/>
      <w:lvlText w:val="(%1)"/>
      <w:numFmt w:val="lowerLetter"/>
      <w:start w:val="29"/>
    </w:lvl>
    <w:lvl w:ilvl="1">
      <w:lvlJc w:val="left"/>
      <w:lvlText w:val="(%2)"/>
      <w:numFmt w:val="lowerLetter"/>
      <w:start w:val="30"/>
    </w:lvl>
    <w:lvl w:ilvl="2">
      <w:lvlJc w:val="left"/>
      <w:lvlText w:val="(%3)"/>
      <w:numFmt w:val="lowerLetter"/>
      <w:start w:val="30"/>
    </w:lvl>
    <w:lvl w:ilvl="3">
      <w:lvlJc w:val="left"/>
      <w:lvlText w:val="%4"/>
      <w:numFmt w:val="lowerLetter"/>
      <w:start w:val="1"/>
    </w:lvl>
  </w:abstractNum>
  <w:abstractNum w:abstractNumId="51">
    <w:nsid w:val="100F8FCA"/>
    <w:multiLevelType w:val="hybridMultilevel"/>
    <w:lvl w:ilvl="0">
      <w:lvlJc w:val="left"/>
      <w:lvlText w:val="(%1)"/>
      <w:numFmt w:val="lowerLetter"/>
      <w:start w:val="32"/>
    </w:lvl>
    <w:lvl w:ilvl="1">
      <w:lvlJc w:val="left"/>
      <w:lvlText w:val="(%2)"/>
      <w:numFmt w:val="lowerLetter"/>
      <w:start w:val="33"/>
    </w:lvl>
    <w:lvl w:ilvl="2">
      <w:lvlJc w:val="left"/>
      <w:lvlText w:val="(%3)"/>
      <w:numFmt w:val="lowerLetter"/>
      <w:start w:val="34"/>
    </w:lvl>
  </w:abstractNum>
  <w:abstractNum w:abstractNumId="52">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53">
    <w:nsid w:val="15014ACB"/>
    <w:multiLevelType w:val="hybridMultilevel"/>
    <w:lvl w:ilvl="0">
      <w:lvlJc w:val="left"/>
      <w:lvlText w:val="%1"/>
      <w:numFmt w:val="lowerLetter"/>
      <w:start w:val="1"/>
    </w:lvl>
    <w:lvl w:ilvl="1">
      <w:lvlJc w:val="left"/>
      <w:lvlText w:val="(%2)"/>
      <w:numFmt w:val="lowerLetter"/>
      <w:start w:val="36"/>
    </w:lvl>
    <w:lvl w:ilvl="2">
      <w:lvlJc w:val="left"/>
      <w:lvlText w:val="%3"/>
      <w:numFmt w:val="lowerLetter"/>
      <w:start w:val="1"/>
    </w:lvl>
    <w:lvl w:ilvl="3">
      <w:lvlJc w:val="left"/>
      <w:lvlText w:val="(%4)"/>
      <w:numFmt w:val="lowerLetter"/>
      <w:start w:val="37"/>
    </w:lvl>
  </w:abstractNum>
  <w:abstractNum w:abstractNumId="54">
    <w:nsid w:val="5F5E7FD0"/>
    <w:multiLevelType w:val="hybridMultilevel"/>
    <w:lvl w:ilvl="0">
      <w:lvlJc w:val="left"/>
      <w:lvlText w:val="(%1)"/>
      <w:numFmt w:val="lowerLetter"/>
      <w:start w:val="38"/>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5">
    <w:nsid w:val="98A3148"/>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5"/>
    </w:lvl>
  </w:abstractNum>
  <w:abstractNum w:abstractNumId="56">
    <w:nsid w:val="799D0247"/>
    <w:multiLevelType w:val="hybridMultilevel"/>
    <w:lvl w:ilvl="0">
      <w:lvlJc w:val="left"/>
      <w:lvlText w:val="%1"/>
      <w:numFmt w:val="lowerLetter"/>
      <w:start w:val="1"/>
    </w:lvl>
    <w:lvl w:ilvl="1">
      <w:lvlJc w:val="left"/>
      <w:lvlText w:val="(%2)"/>
      <w:numFmt w:val="lowerLetter"/>
      <w:start w:val="7"/>
    </w:lvl>
  </w:abstractNum>
  <w:abstractNum w:abstractNumId="57">
    <w:nsid w:val="6B94764"/>
    <w:multiLevelType w:val="hybridMultilevel"/>
    <w:lvl w:ilvl="0">
      <w:lvlJc w:val="left"/>
      <w:lvlText w:val="(%1)"/>
      <w:numFmt w:val="lowerLetter"/>
      <w:start w:val="8"/>
    </w:lvl>
    <w:lvl w:ilvl="1">
      <w:lvlJc w:val="left"/>
      <w:lvlText w:val="%2"/>
      <w:numFmt w:val="lowerLetter"/>
      <w:start w:val="1"/>
    </w:lvl>
  </w:abstractNum>
  <w:abstractNum w:abstractNumId="58">
    <w:nsid w:val="42C296BD"/>
    <w:multiLevelType w:val="hybridMultilevel"/>
    <w:lvl w:ilvl="0">
      <w:lvlJc w:val="left"/>
      <w:lvlText w:val="%1"/>
      <w:numFmt w:val="lowerLetter"/>
      <w:start w:val="1"/>
    </w:lvl>
    <w:lvl w:ilvl="1">
      <w:lvlJc w:val="left"/>
      <w:lvlText w:val="(%2)"/>
      <w:numFmt w:val="lowerLetter"/>
      <w:start w:val="11"/>
    </w:lvl>
  </w:abstractNum>
  <w:abstractNum w:abstractNumId="59">
    <w:nsid w:val="168E121F"/>
    <w:multiLevelType w:val="hybridMultilevel"/>
    <w:lvl w:ilvl="0">
      <w:lvlJc w:val="left"/>
      <w:lvlText w:val="(%1)"/>
      <w:numFmt w:val="lowerLetter"/>
      <w:start w:val="12"/>
    </w:lvl>
    <w:lvl w:ilvl="1">
      <w:lvlJc w:val="left"/>
      <w:lvlText w:val="%2"/>
      <w:numFmt w:val="lowerLetter"/>
      <w:start w:val="1"/>
    </w:lvl>
  </w:abstractNum>
  <w:abstractNum w:abstractNumId="60">
    <w:nsid w:val="1EBA5D23"/>
    <w:multiLevelType w:val="hybridMultilevel"/>
    <w:lvl w:ilvl="0">
      <w:lvlJc w:val="left"/>
      <w:lvlText w:val="(%1)"/>
      <w:numFmt w:val="lowerLetter"/>
      <w:start w:val="13"/>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3">
    <w:nsid w:val="540A471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64">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5">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abstractNum>
  <w:abstractNum w:abstractNumId="66">
    <w:nsid w:val="613EFDC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1"/>
    </w:lvl>
    <w:lvl w:ilvl="4">
      <w:lvlJc w:val="left"/>
      <w:lvlText w:val="%5"/>
      <w:numFmt w:val="lowerLetter"/>
      <w:start w:val="1"/>
    </w:lvl>
  </w:abstractNum>
  <w:abstractNum w:abstractNumId="67">
    <w:nsid w:val="BF72B14"/>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lvl w:ilvl="3">
      <w:lvlJc w:val="left"/>
      <w:lvlText w:val="%4"/>
      <w:numFmt w:val="lowerLetter"/>
      <w:start w:val="1"/>
    </w:lvl>
    <w:lvl w:ilvl="4">
      <w:lvlJc w:val="left"/>
      <w:lvlText w:val="(%5)"/>
      <w:numFmt w:val="lowerLetter"/>
      <w:start w:val="6"/>
    </w:lvl>
  </w:abstractNum>
  <w:abstractNum w:abstractNumId="68">
    <w:nsid w:val="11447B7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2"/>
    </w:lvl>
  </w:abstractNum>
  <w:abstractNum w:abstractNumId="69">
    <w:nsid w:val="42963E5A"/>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lvl w:ilvl="3">
      <w:lvlJc w:val="left"/>
      <w:lvlText w:val="(%4)"/>
      <w:numFmt w:val="lowerLetter"/>
      <w:start w:val="5"/>
    </w:lvl>
    <w:lvl w:ilvl="4">
      <w:lvlJc w:val="left"/>
      <w:lvlText w:val="%5"/>
      <w:numFmt w:val="decimal"/>
      <w:start w:val="1"/>
    </w:lvl>
    <w:lvl w:ilvl="5">
      <w:lvlJc w:val="left"/>
      <w:lvlText w:val="%6"/>
      <w:numFmt w:val="decimal"/>
      <w:start w:val="1"/>
    </w:lvl>
  </w:abstractNum>
  <w:abstractNum w:abstractNumId="70">
    <w:nsid w:val="A0382C5"/>
    <w:multiLevelType w:val="hybridMultilevel"/>
    <w:lvl w:ilvl="0">
      <w:lvlJc w:val="left"/>
      <w:lvlText w:val="(%1)"/>
      <w:numFmt w:val="lowerLetter"/>
      <w:start w:val="1"/>
    </w:lvl>
    <w:lvl w:ilvl="1">
      <w:lvlJc w:val="left"/>
      <w:lvlText w:val="(%2)"/>
      <w:numFmt w:val="lowerLetter"/>
      <w:start w:val="2"/>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73">
    <w:nsid w:val="3B0FD37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74">
    <w:nsid w:val="68EB2F63"/>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75">
    <w:nsid w:val="4962813B"/>
    <w:multiLevelType w:val="hybridMultilevel"/>
    <w:lvl w:ilvl="0">
      <w:lvlJc w:val="left"/>
      <w:lvlText w:val="%1"/>
      <w:numFmt w:val="lowerLetter"/>
      <w:start w:val="1"/>
    </w:lvl>
    <w:lvl w:ilvl="1">
      <w:lvlJc w:val="left"/>
      <w:lvlText w:val="(%2)"/>
      <w:numFmt w:val="lowerLetter"/>
      <w:start w:val="6"/>
    </w:lvl>
  </w:abstractNum>
  <w:abstractNum w:abstractNumId="76">
    <w:nsid w:val="60B6DF70"/>
    <w:multiLevelType w:val="hybridMultilevel"/>
    <w:lvl w:ilvl="0">
      <w:lvlJc w:val="left"/>
      <w:lvlText w:val="(%1)"/>
      <w:numFmt w:val="lowerLetter"/>
      <w:start w:val="35"/>
    </w:lvl>
    <w:lvl w:ilvl="1">
      <w:lvlJc w:val="left"/>
      <w:lvlText w:val="%2"/>
      <w:numFmt w:val="lowerLetter"/>
      <w:start w:val="1"/>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lowerLetter"/>
      <w:start w:val="2"/>
    </w:lvl>
    <w:lvl w:ilvl="1">
      <w:lvlJc w:val="left"/>
      <w:lvlText w:val="(%2)"/>
      <w:numFmt w:val="lowerLetter"/>
      <w:start w:val="4"/>
    </w:lvl>
  </w:abstractNum>
  <w:abstractNum w:abstractNumId="79">
    <w:nsid w:val="7FFFCA11"/>
    <w:multiLevelType w:val="hybridMultilevel"/>
    <w:lvl w:ilvl="0">
      <w:lvlJc w:val="left"/>
      <w:lvlText w:val="%1"/>
      <w:numFmt w:val="lowerLetter"/>
      <w:start w:val="1"/>
    </w:lvl>
    <w:lvl w:ilvl="1">
      <w:lvlJc w:val="left"/>
      <w:lvlText w:val="(%2)"/>
      <w:numFmt w:val="lowerLetter"/>
      <w:start w:val="1"/>
    </w:lvl>
  </w:abstractNum>
  <w:abstractNum w:abstractNumId="80">
    <w:nsid w:val="1A27709E"/>
    <w:multiLevelType w:val="hybridMultilevel"/>
    <w:lvl w:ilvl="0">
      <w:lvlJc w:val="left"/>
      <w:lvlText w:val="(%1)"/>
      <w:numFmt w:val="lowerLetter"/>
      <w:start w:val="35"/>
    </w:lvl>
    <w:lvl w:ilvl="1">
      <w:lvlJc w:val="left"/>
      <w:lvlText w:val="%2"/>
      <w:numFmt w:val="lowerLetter"/>
      <w:start w:val="1"/>
    </w:lvl>
  </w:abstractNum>
  <w:abstractNum w:abstractNumId="81">
    <w:nsid w:val="71EA110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82">
    <w:nsid w:val="100F59D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83">
    <w:nsid w:val="7FB7E0AA"/>
    <w:multiLevelType w:val="hybridMultilevel"/>
    <w:lvl w:ilvl="0">
      <w:lvlJc w:val="left"/>
      <w:lvlText w:val="%1"/>
      <w:numFmt w:val="lowerLetter"/>
      <w:start w:val="1"/>
    </w:lvl>
    <w:lvl w:ilvl="1">
      <w:lvlJc w:val="left"/>
      <w:lvlText w:val="(%2)"/>
      <w:numFmt w:val="lowerLetter"/>
      <w:start w:val="1"/>
    </w:lvl>
  </w:abstractNum>
  <w:abstractNum w:abstractNumId="84">
    <w:nsid w:val="6EB5BD4"/>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2019-12-13T13:16:24Z</dcterms:created>
  <dcterms:modified xsi:type="dcterms:W3CDTF">2019-12-13T13:16:24Z</dcterms:modified>
</cp:coreProperties>
</file>