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-224790</wp:posOffset>
            </wp:positionV>
            <wp:extent cx="126365" cy="126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2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5207635</wp:posOffset>
            </wp:positionH>
            <wp:positionV relativeFrom="paragraph">
              <wp:posOffset>-604520</wp:posOffset>
            </wp:positionV>
            <wp:extent cx="57150" cy="617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3920490</wp:posOffset>
            </wp:positionH>
            <wp:positionV relativeFrom="paragraph">
              <wp:posOffset>-604520</wp:posOffset>
            </wp:positionV>
            <wp:extent cx="57150" cy="6178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-1701800</wp:posOffset>
            </wp:positionH>
            <wp:positionV relativeFrom="paragraph">
              <wp:posOffset>18415</wp:posOffset>
            </wp:positionV>
            <wp:extent cx="6998335" cy="69665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6966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80"/>
            <w:col w:w="8420"/>
          </w:cols>
          <w:pgMar w:left="460" w:top="220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Zinsner David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20" w:hanging="5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 &amp; Chief Financial Officer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40" w:space="695"/>
            <w:col w:w="3345"/>
          </w:cols>
          <w:pgMar w:left="460" w:top="220" w:right="359" w:bottom="0" w:gutter="0" w:footer="0" w:header="0"/>
          <w:type w:val="continuous"/>
        </w:sectPr>
      </w:pPr>
    </w:p>
    <w:p>
      <w:pPr>
        <w:spacing w:after="0" w:line="9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BOISE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83716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7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10/07/2021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4,349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112,976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10/13/2021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F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15,852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66.72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97,124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10/13/2021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F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"/>
              <w:spacing w:after="0" w:line="2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w w:val="75"/>
                <w:vertAlign w:val="subscript"/>
              </w:rPr>
              <w:t>420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75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66.72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96,704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10/13/2021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36,088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132,792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10/13/2021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"/>
              <w:spacing w:after="0" w:line="2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w w:val="75"/>
                <w:vertAlign w:val="subscript"/>
              </w:rPr>
              <w:t>956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75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133,748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10/13/2021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52,458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186,206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40,819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footnote.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13,115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13,115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13,115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13,115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13,115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13,115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22,026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(7)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22,026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22,026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956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8,220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8,220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(9)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(9)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36,088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10,311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10,311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-2981325</wp:posOffset>
            </wp:positionV>
            <wp:extent cx="28575" cy="29870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98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Withholding of shares of common stock to satisfy tax withholding obligations in connection with the vesting of performance restricted stock units awarded under the Issuer's 2004 Equity Incentive Plan.</w:t>
      </w:r>
    </w:p>
    <w:p>
      <w:pPr>
        <w:spacing w:after="0" w:line="4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hanging="3"/>
        <w:spacing w:after="0" w:line="254" w:lineRule="auto"/>
        <w:tabs>
          <w:tab w:leader="none" w:pos="16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Compensation Committee certified achievement of the pre-established performance goals at a level resulting in a vest of 100% of the total target shares under the performance-based restricted stock units previously awarded on October 16, 2019. As reported at grant, the performance-based restricted stock unit could result in a payout that varies based on actual achievement of the goals, subject to a 200% aggregate limit on the payout of target shares.</w:t>
      </w:r>
    </w:p>
    <w:p>
      <w:pPr>
        <w:spacing w:after="0" w:line="2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Awards vest in 33 1/3% increments annually on the anniversary of the grant.</w:t>
      </w:r>
    </w:p>
    <w:p>
      <w:pPr>
        <w:spacing w:after="0" w:line="4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held in a Trust for the benefit of the reporting person and his family, with the reporting person as a co-trustee with his spouse.</w:t>
      </w:r>
    </w:p>
    <w:p>
      <w:pPr>
        <w:spacing w:after="0" w:line="4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60" w:hanging="3"/>
        <w:spacing w:after="0" w:line="288" w:lineRule="auto"/>
        <w:tabs>
          <w:tab w:leader="none" w:pos="164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Each performance-based restricted stock unit represents the right to receive, following vesting, a percentage of one share of common stock which percentage varies based upon the achievement of pre-established performance metrics related to Data Center NAND delivery and solutions over a 3-year period beginning September 3, 2021 and ending on August 29, 2024 (subject to a 200% aggregate limit on the total target shares that may be received under the performance-based restricted stock units awarded on October 13, 2021), and certification of such performance by the Compensation Committee.</w:t>
      </w:r>
    </w:p>
    <w:p>
      <w:pPr>
        <w:spacing w:after="0" w:line="4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300" w:hanging="3"/>
        <w:spacing w:after="0" w:line="288" w:lineRule="auto"/>
        <w:tabs>
          <w:tab w:leader="none" w:pos="164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Each performance-based restricted stock unit represents the right to receive, following vesting, a percentage of one share of common stock which percentage varies based upon the achievement of pre-established performance metrics related to High Value NAND delivery and solutions over a 3-year period beginning September 3, 2021 and ending on August 29, 2024 (subject to a 200% aggregate limit on the total target shares that may be received under the performance-based restricted stock units awarded on October 13, 2021), and certification of such performance by the Compensation Committee.</w:t>
      </w:r>
    </w:p>
    <w:p>
      <w:pPr>
        <w:spacing w:after="0" w:line="4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200" w:hanging="3"/>
        <w:spacing w:after="0" w:line="254" w:lineRule="auto"/>
        <w:tabs>
          <w:tab w:leader="none" w:pos="16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represents the right to receive, following vesting, a percentage of one share of common stock which percentage varies based upon the achievement of pre-established performance metrics related to relative total shareholder return over a 3-year period beginning September 3, 2021 and ending on August 29, 2024 (subject to a 200% aggregate limit on the total target shares that may be received under the performance-based restricted stock units awarded on October 13, 2021), and certification of such performance by the Compensation Committee.</w:t>
      </w:r>
    </w:p>
    <w:p>
      <w:pPr>
        <w:spacing w:after="0" w:line="2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jc w:val="both"/>
        <w:ind w:left="40" w:right="200" w:hanging="3"/>
        <w:spacing w:after="0" w:line="254" w:lineRule="auto"/>
        <w:tabs>
          <w:tab w:leader="none" w:pos="16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metrics related to relative total shareholder return over a 3-year performance period beginning August 30, 2019 and ending on September 1, 2022 (subject to a 200% aggregate limit on the total target shares that may be received under the performance-based restricted stock units awarded on October 16, 2019), and certification of such performance by the Compensation Committee.</w:t>
      </w:r>
    </w:p>
    <w:p>
      <w:pPr>
        <w:spacing w:after="0" w:line="2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jc w:val="both"/>
        <w:ind w:left="40" w:right="240" w:hanging="3"/>
        <w:spacing w:after="0" w:line="254" w:lineRule="auto"/>
        <w:tabs>
          <w:tab w:leader="none" w:pos="16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metrics related to NAND over a 3-year performance period beginning August 30, 2019 and ending on September 1, 2022 (subject to a 200% aggregate limit on the total target shares that may be received under the performance-based restricted stock units awarded on October 16, 2019), and certification of such performance by the Compensation Committee.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6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Rob Beard, Attorney-in-fact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10/15/2021</w:t>
            </w:r>
          </w:p>
        </w:tc>
      </w:tr>
      <w:tr>
        <w:trPr>
          <w:trHeight w:val="21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3" w:right="2779" w:hanging="3"/>
        <w:spacing w:after="0" w:line="322" w:lineRule="auto"/>
        <w:tabs>
          <w:tab w:leader="none" w:pos="13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3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62"/>
      </w:cols>
      <w:pgMar w:left="497" w:top="11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30891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2021-10-18T05:12:49Z</dcterms:created>
  <dcterms:modified xsi:type="dcterms:W3CDTF">2021-10-18T05:12:49Z</dcterms:modified>
</cp:coreProperties>
</file>