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929640</wp:posOffset>
            </wp:positionH>
            <wp:positionV relativeFrom="page">
              <wp:posOffset>612140</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February 3, 2016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40005</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5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1-10658</w:t>
            </w:r>
          </w:p>
        </w:tc>
        <w:tc>
          <w:tcPr>
            <w:tcW w:w="3020" w:type="dxa"/>
            <w:vAlign w:val="bottom"/>
          </w:tcPr>
          <w:p>
            <w:pPr>
              <w:jc w:val="right"/>
              <w:ind w:right="9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64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589280</wp:posOffset>
            </wp:positionV>
            <wp:extent cx="5702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606425</wp:posOffset>
            </wp:positionV>
            <wp:extent cx="5702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firstLine="392"/>
        <w:spacing w:after="0" w:line="257" w:lineRule="auto"/>
        <w:rPr>
          <w:sz w:val="20"/>
          <w:szCs w:val="20"/>
          <w:color w:val="auto"/>
        </w:rPr>
      </w:pPr>
      <w:r>
        <w:rPr>
          <w:rFonts w:ascii="Arial" w:cs="Arial" w:eastAsia="Arial" w:hAnsi="Arial"/>
          <w:sz w:val="18"/>
          <w:szCs w:val="18"/>
          <w:color w:val="auto"/>
        </w:rPr>
        <w:t>On December 14, 2015, Micron Technology, Inc. (“Micron”) filed a Form 8-K to report that, on December 14, 2015, Micron entered into a Memorandum of Understanding on Technology Transfer (the “Technology Transfer MOU”) with Nanya Technology Corporation (“NTC”), pursuant to which Micron and NTC agreed to use their reasonable best efforts to enter into, within 60 days following execution of the Technology Transfer MOU, definitive agreements with respect to the potential transfer of certain technology from Micron to NTC. Micron is filing this Form 8-K to report that, on February 3, 2016, Micron and NTC entered into such definitive technology transfer agreements.</w:t>
      </w:r>
    </w:p>
    <w:p>
      <w:pPr>
        <w:spacing w:after="0" w:line="346"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firstLine="392"/>
        <w:spacing w:after="0" w:line="269" w:lineRule="auto"/>
        <w:rPr>
          <w:sz w:val="20"/>
          <w:szCs w:val="20"/>
          <w:color w:val="auto"/>
        </w:rPr>
      </w:pPr>
      <w:r>
        <w:rPr>
          <w:rFonts w:ascii="Arial" w:cs="Arial" w:eastAsia="Arial" w:hAnsi="Arial"/>
          <w:sz w:val="17"/>
          <w:szCs w:val="17"/>
          <w:color w:val="auto"/>
        </w:rPr>
        <w:t>On February 3, 2016, Micron and NTC entered into the following definitive technology transfer agreements (the “Definitive Technology Transfer Agreements”): (1) a Technology Transfer and License Option Agreement for 1X Process Node, pursuant to which NTC has the right but not the obligation to require Micron to transfer to NTC certain technology and deliverables developed by Micron relating to the next DRAM process node generation after the 20nm process node (the “1X Process Node”) for NTC’s use in the manufacture of DRAM products, whereupon NTC would pay royalties to Micron for a license granted to NTC in connection with the transferred technology and Micron would receive an equity stake in Nanya upon the achievement of certain milestones; and (2) a Technology Transfer and License Option Agreement for 1Y Process Node, pursuant to which NTC has the right but not the obligation to require Micron to transfer to NTC certain technology and deliverables developed by Micron relating to the next DRAM process node generation after the 1X Process Node for NTC’s use in the manufacture of DRAM products, whereupon NTC would pay royalties to Micron for a license granted to NTC in connection with the transferred technology and Micron would receive an equity stake in Nanya upon the achievement of certain milestones. In addition, certain existing arrangements between Micron and NTC relating to intellectual property rights were amended in order to reflect the existence of the Definitive Technology Transfer Agreements.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3160" w:type="dxa"/>
            <w:vAlign w:val="bottom"/>
          </w:tcPr>
          <w:p>
            <w:pPr>
              <w:spacing w:after="0"/>
              <w:rPr>
                <w:sz w:val="20"/>
                <w:szCs w:val="20"/>
                <w:color w:val="auto"/>
              </w:rPr>
            </w:pPr>
            <w:r>
              <w:rPr>
                <w:rFonts w:ascii="Arial" w:cs="Arial" w:eastAsia="Arial" w:hAnsi="Arial"/>
                <w:sz w:val="18"/>
                <w:szCs w:val="18"/>
                <w:color w:val="auto"/>
              </w:rPr>
              <w:t>Date:   February 3, 2016</w:t>
            </w:r>
          </w:p>
        </w:tc>
        <w:tc>
          <w:tcPr>
            <w:tcW w:w="2060" w:type="dxa"/>
            <w:vAlign w:val="bottom"/>
          </w:tcPr>
          <w:p>
            <w:pPr>
              <w:ind w:left="1340"/>
              <w:spacing w:after="0"/>
              <w:rPr>
                <w:sz w:val="20"/>
                <w:szCs w:val="20"/>
                <w:color w:val="auto"/>
              </w:rPr>
            </w:pPr>
            <w:r>
              <w:rPr>
                <w:rFonts w:ascii="Arial" w:cs="Arial" w:eastAsia="Arial" w:hAnsi="Arial"/>
                <w:sz w:val="18"/>
                <w:szCs w:val="18"/>
                <w:color w:val="auto"/>
              </w:rPr>
              <w:t>By:</w:t>
            </w: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56"/>
        </w:trPr>
        <w:tc>
          <w:tcPr>
            <w:tcW w:w="3160" w:type="dxa"/>
            <w:vAlign w:val="bottom"/>
          </w:tcPr>
          <w:p>
            <w:pPr>
              <w:spacing w:after="0"/>
              <w:rPr>
                <w:sz w:val="22"/>
                <w:szCs w:val="22"/>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r>
        <w:trPr>
          <w:trHeight w:val="486"/>
        </w:trPr>
        <w:tc>
          <w:tcPr>
            <w:tcW w:w="3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0660"/>
      </w:cols>
      <w:pgMar w:left="240" w:top="58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2019-12-05T16:39:33Z</dcterms:created>
  <dcterms:modified xsi:type="dcterms:W3CDTF">2019-12-05T16:39:33Z</dcterms:modified>
</cp:coreProperties>
</file>