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SWAN ROBERT HOLMES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8000 S. FEDERAL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MICRON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Restricted Stock Units are granted in lieu of cash retainer and vest 100% on grant date of award. Pursuant to a deferral election by the Reporting Person, delivery of shares will occur within 15 days after separation from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Mai Lan Bui,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8363" TargetMode="External"/><Relationship Id="rId5" Type="http://schemas.openxmlformats.org/officeDocument/2006/relationships/hyperlink" Target="http://www.sec.gov/cgi-bin/browse-edgar?action=getcompany&amp;CIK=0000723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3273</Characters>
  <CharactersWithSpaces>3810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