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 SCOTT 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vests 25% on July 15, 2024, and 6.25% of the total restricted stock award vests quarterly thereafter.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 Lan Bui, Attorney-in-fact 07/18/2023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904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2023-07-18T16:15:40Z</dcterms:created>
  <dcterms:modified xsi:type="dcterms:W3CDTF">2023-07-18T16:15:40Z</dcterms:modified>
</cp:coreProperties>
</file>