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20" w:right="2099" w:hanging="4213"/>
        <w:spacing w:after="0" w:line="290" w:lineRule="auto"/>
        <w:rPr>
          <w:sz w:val="20"/>
          <w:szCs w:val="20"/>
          <w:color w:val="auto"/>
        </w:rPr>
      </w:pPr>
      <w:r>
        <w:rPr>
          <w:rFonts w:ascii="Courier New" w:cs="Courier New" w:eastAsia="Courier New" w:hAnsi="Courier New"/>
          <w:sz w:val="16"/>
          <w:szCs w:val="16"/>
          <w:color w:val="auto"/>
        </w:rPr>
        <w:t>As filed with the Securities and Exchange Commission on July 9, 1999 Registration no. 333-________________</w:t>
      </w:r>
    </w:p>
    <w:p>
      <w:pPr>
        <w:spacing w:after="0" w:line="16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S-8</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55" w:right="1440" w:bottom="1440" w:gutter="0" w:footer="0" w:header="0"/>
        </w:sectPr>
      </w:pP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75-1618004</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5600" w:space="720"/>
            <w:col w:w="3899"/>
          </w:cols>
          <w:pgMar w:left="240" w:top="655" w:right="1440" w:bottom="1440" w:gutter="0" w:footer="0" w:header="0"/>
          <w:type w:val="continuous"/>
        </w:sectPr>
      </w:pPr>
    </w:p>
    <w:p>
      <w:pPr>
        <w:spacing w:after="0" w:line="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8000 South Federal Way</w:t>
      </w:r>
    </w:p>
    <w:p>
      <w:pPr>
        <w:ind w:left="1280"/>
        <w:spacing w:after="0" w:line="238" w:lineRule="auto"/>
        <w:rPr>
          <w:sz w:val="20"/>
          <w:szCs w:val="20"/>
          <w:color w:val="auto"/>
        </w:rPr>
      </w:pPr>
      <w:r>
        <w:rPr>
          <w:rFonts w:ascii="Courier New" w:cs="Courier New" w:eastAsia="Courier New" w:hAnsi="Courier New"/>
          <w:sz w:val="18"/>
          <w:szCs w:val="18"/>
          <w:color w:val="auto"/>
        </w:rPr>
        <w:t>Boise, Idaho</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83716-9632</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5920" w:space="720"/>
            <w:col w:w="3579"/>
          </w:cols>
          <w:pgMar w:left="240" w:top="655" w:right="1440" w:bottom="1440" w:gutter="0" w:footer="0" w:header="0"/>
          <w:type w:val="continuous"/>
        </w:sectPr>
      </w:pP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type w:val="continuous"/>
        </w:sectPr>
      </w:pPr>
    </w:p>
    <w:p>
      <w:pPr>
        <w:spacing w:after="0" w:line="218"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8"/>
          <w:szCs w:val="18"/>
          <w:color w:val="auto"/>
        </w:rPr>
        <w:t>Micron Technology, Inc. MQD Stock Bonus Plan</w:t>
      </w:r>
    </w:p>
    <w:p>
      <w:pPr>
        <w:spacing w:after="0" w:line="201"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8"/>
          <w:szCs w:val="18"/>
          <w:color w:val="auto"/>
        </w:rPr>
        <w:t>----------------------</w:t>
      </w:r>
    </w:p>
    <w:p>
      <w:pPr>
        <w:jc w:val="center"/>
        <w:ind w:right="2179"/>
        <w:spacing w:after="0" w:line="238" w:lineRule="auto"/>
        <w:rPr>
          <w:sz w:val="20"/>
          <w:szCs w:val="20"/>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Steven R. Appleton</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Chairman of the Board, Chief Executive Officer and President</w:t>
      </w:r>
    </w:p>
    <w:p>
      <w:pPr>
        <w:spacing w:after="0" w:line="1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Micron Technology, Inc.</w:t>
      </w:r>
    </w:p>
    <w:p>
      <w:pPr>
        <w:ind w:left="2860"/>
        <w:spacing w:after="0" w:line="238" w:lineRule="auto"/>
        <w:rPr>
          <w:sz w:val="20"/>
          <w:szCs w:val="20"/>
          <w:color w:val="auto"/>
        </w:rPr>
      </w:pPr>
      <w:r>
        <w:rPr>
          <w:rFonts w:ascii="Courier New" w:cs="Courier New" w:eastAsia="Courier New" w:hAnsi="Courier New"/>
          <w:sz w:val="18"/>
          <w:szCs w:val="18"/>
          <w:color w:val="auto"/>
        </w:rPr>
        <w:t>8000 South Federal Way</w:t>
      </w:r>
    </w:p>
    <w:p>
      <w:pPr>
        <w:ind w:left="2860"/>
        <w:spacing w:after="0"/>
        <w:rPr>
          <w:sz w:val="20"/>
          <w:szCs w:val="20"/>
          <w:color w:val="auto"/>
        </w:rPr>
      </w:pPr>
      <w:r>
        <w:rPr>
          <w:rFonts w:ascii="Courier New" w:cs="Courier New" w:eastAsia="Courier New" w:hAnsi="Courier New"/>
          <w:sz w:val="18"/>
          <w:szCs w:val="18"/>
          <w:color w:val="auto"/>
        </w:rPr>
        <w:t>Boise, Idaho 83716-9632</w:t>
      </w:r>
    </w:p>
    <w:p>
      <w:pPr>
        <w:ind w:left="2000"/>
        <w:spacing w:after="0" w:line="237"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8"/>
          <w:szCs w:val="18"/>
          <w:color w:val="auto"/>
        </w:rPr>
        <w:t>208-368-4000</w:t>
      </w:r>
    </w:p>
    <w:p>
      <w:pPr>
        <w:spacing w:after="0" w:line="4"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6"/>
          <w:szCs w:val="16"/>
          <w:color w:val="auto"/>
        </w:rPr>
        <w:t>(Telephone number, including area code, of agent for service)</w:t>
      </w:r>
    </w:p>
    <w:p>
      <w:pPr>
        <w:spacing w:after="0" w:line="218"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ectPr>
          <w:pgSz w:w="11900" w:h="16838" w:orient="portrait"/>
          <w:cols w:equalWidth="0" w:num="1">
            <w:col w:w="10219"/>
          </w:cols>
          <w:pgMar w:left="240" w:top="655" w:right="1440" w:bottom="144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Title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to be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Amount</w:t>
      </w:r>
    </w:p>
    <w:p>
      <w:pPr>
        <w:ind w:left="300"/>
        <w:spacing w:after="0" w:line="238" w:lineRule="auto"/>
        <w:rPr>
          <w:sz w:val="20"/>
          <w:szCs w:val="20"/>
          <w:color w:val="auto"/>
        </w:rPr>
      </w:pPr>
      <w:r>
        <w:rPr>
          <w:rFonts w:ascii="Courier New" w:cs="Courier New" w:eastAsia="Courier New" w:hAnsi="Courier New"/>
          <w:sz w:val="18"/>
          <w:szCs w:val="18"/>
          <w:color w:val="auto"/>
        </w:rPr>
        <w:t>to be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registered</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Proposed</w:t>
      </w:r>
    </w:p>
    <w:p>
      <w:pPr>
        <w:ind w:left="220"/>
        <w:spacing w:after="0" w:line="238" w:lineRule="auto"/>
        <w:rPr>
          <w:sz w:val="20"/>
          <w:szCs w:val="20"/>
          <w:color w:val="auto"/>
        </w:rPr>
      </w:pPr>
      <w:r>
        <w:rPr>
          <w:rFonts w:ascii="Courier New" w:cs="Courier New" w:eastAsia="Courier New" w:hAnsi="Courier New"/>
          <w:sz w:val="18"/>
          <w:szCs w:val="18"/>
          <w:color w:val="auto"/>
        </w:rPr>
        <w:t>maximum</w:t>
      </w:r>
    </w:p>
    <w:p>
      <w:pPr>
        <w:ind w:left="220"/>
        <w:spacing w:after="0"/>
        <w:rPr>
          <w:sz w:val="20"/>
          <w:szCs w:val="20"/>
          <w:color w:val="auto"/>
        </w:rPr>
      </w:pPr>
      <w:r>
        <w:rPr>
          <w:rFonts w:ascii="Courier New" w:cs="Courier New" w:eastAsia="Courier New" w:hAnsi="Courier New"/>
          <w:sz w:val="18"/>
          <w:szCs w:val="18"/>
          <w:color w:val="auto"/>
        </w:rPr>
        <w:t>offering</w:t>
      </w:r>
    </w:p>
    <w:p>
      <w:pPr>
        <w:ind w:left="320"/>
        <w:spacing w:after="0" w:line="237" w:lineRule="auto"/>
        <w:rPr>
          <w:sz w:val="20"/>
          <w:szCs w:val="20"/>
          <w:color w:val="auto"/>
        </w:rPr>
      </w:pPr>
      <w:r>
        <w:rPr>
          <w:rFonts w:ascii="Courier New" w:cs="Courier New" w:eastAsia="Courier New" w:hAnsi="Courier New"/>
          <w:sz w:val="18"/>
          <w:szCs w:val="18"/>
          <w:color w:val="auto"/>
        </w:rPr>
        <w:t>price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per share(1)</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Proposed</w:t>
      </w:r>
    </w:p>
    <w:p>
      <w:pPr>
        <w:spacing w:after="0" w:line="238" w:lineRule="auto"/>
        <w:rPr>
          <w:sz w:val="20"/>
          <w:szCs w:val="20"/>
          <w:color w:val="auto"/>
        </w:rPr>
      </w:pPr>
      <w:r>
        <w:rPr>
          <w:rFonts w:ascii="Courier New" w:cs="Courier New" w:eastAsia="Courier New" w:hAnsi="Courier New"/>
          <w:sz w:val="18"/>
          <w:szCs w:val="18"/>
          <w:color w:val="auto"/>
        </w:rPr>
        <w:t>maximum</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aggregate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offering</w:t>
      </w:r>
    </w:p>
    <w:p>
      <w:pPr>
        <w:spacing w:after="0" w:line="238" w:lineRule="auto"/>
        <w:rPr>
          <w:sz w:val="20"/>
          <w:szCs w:val="20"/>
          <w:color w:val="auto"/>
        </w:rPr>
      </w:pPr>
      <w:r>
        <w:rPr>
          <w:rFonts w:ascii="Courier New" w:cs="Courier New" w:eastAsia="Courier New" w:hAnsi="Courier New"/>
          <w:sz w:val="18"/>
          <w:szCs w:val="18"/>
          <w:color w:val="auto"/>
        </w:rPr>
        <w:t>price(1)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Amount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fee(2)</w:t>
      </w:r>
    </w:p>
    <w:p>
      <w:pPr>
        <w:spacing w:after="0" w:line="200" w:lineRule="exact"/>
        <w:rPr>
          <w:sz w:val="24"/>
          <w:szCs w:val="24"/>
          <w:color w:val="auto"/>
        </w:rPr>
      </w:pPr>
    </w:p>
    <w:p>
      <w:pPr>
        <w:sectPr>
          <w:pgSz w:w="11900" w:h="16838" w:orient="portrait"/>
          <w:cols w:equalWidth="0" w:num="5">
            <w:col w:w="1060" w:space="640"/>
            <w:col w:w="1040" w:space="320"/>
            <w:col w:w="1260" w:space="420"/>
            <w:col w:w="960" w:space="620"/>
            <w:col w:w="3899"/>
          </w:cols>
          <w:pgMar w:left="240" w:top="655" w:right="1440" w:bottom="1440" w:gutter="0" w:footer="0" w:header="0"/>
          <w:type w:val="continuous"/>
        </w:sectPr>
      </w:pP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 par value</w:t>
      </w:r>
    </w:p>
    <w:p>
      <w:pPr>
        <w:sectPr>
          <w:pgSz w:w="11900" w:h="16838" w:orient="portrait"/>
          <w:cols w:equalWidth="0" w:num="1">
            <w:col w:w="10219"/>
          </w:cols>
          <w:pgMar w:left="240" w:top="655" w:right="1440" w:bottom="1440" w:gutter="0" w:footer="0" w:header="0"/>
          <w:type w:val="continuous"/>
        </w:sectPr>
      </w:pPr>
    </w:p>
    <w:p>
      <w:pPr>
        <w:spacing w:after="0" w:line="2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per Share</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70,645</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$41.96875</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$2,964,882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$824</w:t>
      </w:r>
    </w:p>
    <w:p>
      <w:pPr>
        <w:spacing w:after="0" w:line="200" w:lineRule="exact"/>
        <w:rPr>
          <w:sz w:val="24"/>
          <w:szCs w:val="24"/>
          <w:color w:val="auto"/>
        </w:rPr>
      </w:pPr>
    </w:p>
    <w:p>
      <w:pPr>
        <w:sectPr>
          <w:pgSz w:w="11900" w:h="16838" w:orient="portrait"/>
          <w:cols w:equalWidth="0" w:num="5">
            <w:col w:w="1280" w:space="720"/>
            <w:col w:w="640" w:space="520"/>
            <w:col w:w="960" w:space="620"/>
            <w:col w:w="1280" w:space="720"/>
            <w:col w:w="3479"/>
          </w:cols>
          <w:pgMar w:left="240" w:top="655" w:right="1440" w:bottom="1440" w:gutter="0" w:footer="0" w:header="0"/>
          <w:type w:val="continuous"/>
        </w:sectPr>
      </w:pPr>
    </w:p>
    <w:p>
      <w:pPr>
        <w:spacing w:after="0" w:line="7" w:lineRule="exact"/>
        <w:rPr>
          <w:sz w:val="24"/>
          <w:szCs w:val="24"/>
          <w:color w:val="auto"/>
        </w:rPr>
      </w:pPr>
    </w:p>
    <w:p>
      <w:pPr>
        <w:ind w:left="540" w:right="1779" w:hanging="532"/>
        <w:spacing w:after="0" w:line="275"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in accordance with Rules 457(c) and 457(h) of Regulation C solely for the purpose of calculating the registration fee on the basis of $41.96875 per share, average of the high and low price of the Registrant's Common Stock as reported on the New York Stock Exchange on July 1, 1999.</w:t>
      </w:r>
    </w:p>
    <w:p>
      <w:pPr>
        <w:sectPr>
          <w:pgSz w:w="11900" w:h="16838" w:orient="portrait"/>
          <w:cols w:equalWidth="0" w:num="1">
            <w:col w:w="10219"/>
          </w:cols>
          <w:pgMar w:left="240" w:top="655" w:right="1440"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There are hereby incorporated by reference in this Registration Statement the following documents and information heretofore filed with the Securities and Exchange Commission:</w:t>
      </w:r>
    </w:p>
    <w:p>
      <w:pPr>
        <w:spacing w:after="0" w:line="209" w:lineRule="exact"/>
        <w:rPr>
          <w:sz w:val="20"/>
          <w:szCs w:val="20"/>
          <w:color w:val="auto"/>
        </w:rPr>
      </w:pPr>
    </w:p>
    <w:p>
      <w:pPr>
        <w:ind w:right="2099" w:firstLine="535"/>
        <w:spacing w:after="0" w:line="236"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latest Annual Report on Form 10-K for the year ended September 3, 1998, filed pursuant to Section 13(a) of the Securities Exchange Act of 1934, as amended (the "1934 Act") (File No. 1-10658).</w:t>
      </w:r>
    </w:p>
    <w:p>
      <w:pPr>
        <w:spacing w:after="0" w:line="208" w:lineRule="exact"/>
        <w:rPr>
          <w:rFonts w:ascii="Courier New" w:cs="Courier New" w:eastAsia="Courier New" w:hAnsi="Courier New"/>
          <w:sz w:val="18"/>
          <w:szCs w:val="18"/>
          <w:color w:val="auto"/>
        </w:rPr>
      </w:pPr>
    </w:p>
    <w:p>
      <w:pPr>
        <w:ind w:right="1999" w:firstLine="535"/>
        <w:spacing w:after="0" w:line="268" w:lineRule="auto"/>
        <w:tabs>
          <w:tab w:leader="none" w:pos="105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latest Quarterly Report on Form 10-Q for the quarter ended March 4, 1999, filed pursuant to Section 13(a) of the 1934 Act (File No.</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1-10658).</w:t>
      </w:r>
    </w:p>
    <w:p>
      <w:pPr>
        <w:spacing w:after="0" w:line="207" w:lineRule="exact"/>
        <w:rPr>
          <w:rFonts w:ascii="Courier New" w:cs="Courier New" w:eastAsia="Courier New" w:hAnsi="Courier New"/>
          <w:sz w:val="16"/>
          <w:szCs w:val="16"/>
          <w:color w:val="auto"/>
        </w:rPr>
      </w:pPr>
    </w:p>
    <w:p>
      <w:pPr>
        <w:ind w:right="1779" w:firstLine="535"/>
        <w:spacing w:after="0" w:line="237"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contained in the Company's Registration Statement on Form 8-A, filed November 9, 1990 pursuant to Section 12(b) of the 1934 Act (File No. 1-10658), including any amendment or report filed with the Securities and Exchange Commission for the purpose of updating such description.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reports and other documents filed by the Company pursuant to Sections 13(a), 13(c), 14 and 15(d) of the 1934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145 of the Delaware General Corporation Law authorizes a court to award, or a corporation's Board of Directors or stockholders to grant, indemnification to directors and officers in terms sufficiently broad to permit such indemnification under certain circumstances for liabilities (including reimbursement for expenses incurred) arising under the Securities Act of 1933, as amended (the "Securities Act") and for liabilities arising from other state and federal causes of action. Section 11 of the Company's Certificate of Incorporation and Article VII of the Company's Bylaws provide for the mandatory indemnification of its officers, directors, employees and agents to the extent permitted by Delaware General Corporation Law. The Company has entered into agreements with its officers, directors and certain key employees implementing such indemnification.</w:t>
      </w:r>
    </w:p>
    <w:p>
      <w:pPr>
        <w:sectPr>
          <w:pgSz w:w="11900" w:h="16838" w:orient="portrait"/>
          <w:cols w:equalWidth="0" w:num="1">
            <w:col w:w="10219"/>
          </w:cols>
          <w:pgMar w:left="240" w:top="717" w:right="1440" w:bottom="1440" w:gutter="0" w:footer="0" w:header="0"/>
        </w:sectPr>
      </w:pPr>
    </w:p>
    <w:bookmarkStart w:id="2" w:name="page3"/>
    <w:bookmarkEnd w:id="2"/>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Exhibit</w:t>
      </w:r>
    </w:p>
    <w:p>
      <w:pPr>
        <w:ind w:left="220"/>
        <w:spacing w:after="0" w:line="238" w:lineRule="auto"/>
        <w:rPr>
          <w:sz w:val="20"/>
          <w:szCs w:val="20"/>
          <w:color w:val="auto"/>
        </w:rPr>
      </w:pPr>
      <w:r>
        <w:rPr>
          <w:rFonts w:ascii="Courier New" w:cs="Courier New" w:eastAsia="Courier New" w:hAnsi="Courier New"/>
          <w:sz w:val="18"/>
          <w:szCs w:val="18"/>
          <w:color w:val="auto"/>
        </w:rPr>
        <w:t>Number</w:t>
      </w:r>
    </w:p>
    <w:p>
      <w:pPr>
        <w:ind w:left="2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4.8</w:t>
      </w:r>
      <w:r>
        <w:rPr>
          <w:sz w:val="20"/>
          <w:szCs w:val="20"/>
          <w:color w:val="auto"/>
        </w:rPr>
        <w:tab/>
      </w:r>
      <w:r>
        <w:rPr>
          <w:rFonts w:ascii="Courier New" w:cs="Courier New" w:eastAsia="Courier New" w:hAnsi="Courier New"/>
          <w:sz w:val="16"/>
          <w:szCs w:val="16"/>
          <w:color w:val="auto"/>
        </w:rPr>
        <w:t>Micron Technology, Inc. MQD Stock Bonus Plan</w:t>
      </w:r>
    </w:p>
    <w:p>
      <w:pPr>
        <w:spacing w:after="0" w:line="201"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Counsel.</w:t>
      </w:r>
    </w:p>
    <w:p>
      <w:pPr>
        <w:spacing w:after="0" w:line="201"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Independent Accountants.</w:t>
      </w:r>
    </w:p>
    <w:p>
      <w:pPr>
        <w:spacing w:after="0" w:line="201"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Counsel (contained in Exhibit 5.1).</w:t>
      </w:r>
    </w:p>
    <w:p>
      <w:pPr>
        <w:spacing w:after="0" w:line="201"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 of Attorney (included on signature page).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right="1879" w:firstLine="535"/>
        <w:spacing w:after="0" w:line="237"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 in the Registration Statement.</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jc w:val="both"/>
        <w:ind w:right="1779" w:firstLine="535"/>
        <w:spacing w:after="0" w:line="236"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779" w:firstLine="535"/>
        <w:spacing w:after="0" w:line="237" w:lineRule="auto"/>
        <w:tabs>
          <w:tab w:leader="none" w:pos="105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the purpose of determining any liability under the Securities Act, each filing of the Registrant's annual report pursuant to Section 13(a) or Section 15(d) of the 1934 Act (and, where applicable, each filing of an employee benefit plan's annual report pursuant to Section 15(d) of the 1934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0219"/>
          </w:cols>
          <w:pgMar w:left="240" w:top="717" w:right="1440" w:bottom="1440" w:gutter="0" w:footer="0" w:header="0"/>
        </w:sectPr>
      </w:pPr>
    </w:p>
    <w:bookmarkStart w:id="3" w:name="page4"/>
    <w:bookmarkEnd w:id="3"/>
    <w:p>
      <w:pPr>
        <w:ind w:right="1779" w:firstLine="535"/>
        <w:spacing w:after="0" w:line="238"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Boise, State of Idaho, on this 9th day of July, 1999.</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Wilbur G. Stover, Jr.</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Wilbur G. Stover, Jr.</w:t>
      </w:r>
    </w:p>
    <w:p>
      <w:pPr>
        <w:ind w:left="4640"/>
        <w:spacing w:after="0" w:line="237" w:lineRule="auto"/>
        <w:rPr>
          <w:sz w:val="20"/>
          <w:szCs w:val="20"/>
          <w:color w:val="auto"/>
        </w:rPr>
      </w:pPr>
      <w:r>
        <w:rPr>
          <w:rFonts w:ascii="Courier New" w:cs="Courier New" w:eastAsia="Courier New" w:hAnsi="Courier New"/>
          <w:sz w:val="18"/>
          <w:szCs w:val="18"/>
          <w:color w:val="auto"/>
        </w:rPr>
        <w:t>Vice President of Finance,</w:t>
      </w:r>
    </w:p>
    <w:p>
      <w:pPr>
        <w:ind w:left="4640"/>
        <w:spacing w:after="0" w:line="238" w:lineRule="auto"/>
        <w:rPr>
          <w:sz w:val="20"/>
          <w:szCs w:val="20"/>
          <w:color w:val="auto"/>
        </w:rPr>
      </w:pPr>
      <w:r>
        <w:rPr>
          <w:rFonts w:ascii="Courier New" w:cs="Courier New" w:eastAsia="Courier New" w:hAnsi="Courier New"/>
          <w:sz w:val="18"/>
          <w:szCs w:val="18"/>
          <w:color w:val="auto"/>
        </w:rPr>
        <w:t>and Chief Financial Officer</w:t>
      </w:r>
    </w:p>
    <w:p>
      <w:pPr>
        <w:sectPr>
          <w:pgSz w:w="11900" w:h="16838" w:orient="portrait"/>
          <w:cols w:equalWidth="0" w:num="1">
            <w:col w:w="10219"/>
          </w:cols>
          <w:pgMar w:left="240" w:top="723" w:right="1440" w:bottom="1440" w:gutter="0" w:footer="0" w:header="0"/>
        </w:sectPr>
      </w:pPr>
    </w:p>
    <w:bookmarkStart w:id="4" w:name="page5"/>
    <w:bookmarkEnd w:id="4"/>
    <w:p>
      <w:pPr>
        <w:ind w:left="3280"/>
        <w:spacing w:after="0"/>
        <w:rPr>
          <w:sz w:val="20"/>
          <w:szCs w:val="20"/>
          <w:color w:val="auto"/>
        </w:rPr>
      </w:pPr>
      <w:r>
        <w:rPr>
          <w:rFonts w:ascii="Courier New" w:cs="Courier New" w:eastAsia="Courier New" w:hAnsi="Courier New"/>
          <w:sz w:val="18"/>
          <w:szCs w:val="18"/>
          <w:color w:val="auto"/>
        </w:rPr>
        <w:t>POWER OF ATTORNEY</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KNOW ALL PERSONS BY THESE PRESENTS, that each person whose signature appears below constitutes and appoints Steven R. Appleton and Wilbur G. Stover, Jr., jointly and severally, his attorneys-in-fact, each with the power of substitution, for him in any and all capacities, to sign any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214"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as amended, this Registration Statement has been signed by the following persons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800" w:type="dxa"/>
            <w:vAlign w:val="bottom"/>
          </w:tcPr>
          <w:p>
            <w:pPr>
              <w:ind w:left="1480"/>
              <w:spacing w:after="0"/>
              <w:rPr>
                <w:sz w:val="20"/>
                <w:szCs w:val="20"/>
                <w:color w:val="auto"/>
              </w:rPr>
            </w:pPr>
            <w:r>
              <w:rPr>
                <w:rFonts w:ascii="Courier New" w:cs="Courier New" w:eastAsia="Courier New" w:hAnsi="Courier New"/>
                <w:sz w:val="18"/>
                <w:szCs w:val="18"/>
                <w:color w:val="auto"/>
              </w:rPr>
              <w:t>Title</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7"/>
              </w:rPr>
              <w:t>Date</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00" w:type="dxa"/>
            <w:vAlign w:val="bottom"/>
          </w:tcPr>
          <w:p>
            <w:pPr>
              <w:ind w:left="16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/s/ Steven R. Appleton</w:t>
            </w:r>
          </w:p>
        </w:tc>
        <w:tc>
          <w:tcPr>
            <w:tcW w:w="3800" w:type="dxa"/>
            <w:vAlign w:val="bottom"/>
          </w:tcPr>
          <w:p>
            <w:pPr>
              <w:spacing w:after="0"/>
              <w:rPr>
                <w:sz w:val="20"/>
                <w:szCs w:val="20"/>
                <w:color w:val="auto"/>
              </w:rPr>
            </w:pPr>
            <w:r>
              <w:rPr>
                <w:rFonts w:ascii="Courier New" w:cs="Courier New" w:eastAsia="Courier New" w:hAnsi="Courier New"/>
                <w:sz w:val="18"/>
                <w:szCs w:val="18"/>
                <w:color w:val="auto"/>
              </w:rPr>
              <w:t>Chairman of the Board, Chief</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7"/>
              </w:rPr>
              <w:t>July 9, 1999</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Executive Officer and President</w:t>
            </w:r>
          </w:p>
        </w:tc>
        <w:tc>
          <w:tcPr>
            <w:tcW w:w="12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Steven R. Appleton</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260" w:type="dxa"/>
            <w:vAlign w:val="bottom"/>
          </w:tcPr>
          <w:p>
            <w:pPr>
              <w:spacing w:after="0"/>
              <w:rPr>
                <w:sz w:val="17"/>
                <w:szCs w:val="17"/>
                <w:color w:val="auto"/>
              </w:rPr>
            </w:pPr>
          </w:p>
        </w:tc>
      </w:tr>
      <w:tr>
        <w:trPr>
          <w:trHeight w:val="608"/>
        </w:trPr>
        <w:tc>
          <w:tcPr>
            <w:tcW w:w="3060" w:type="dxa"/>
            <w:vAlign w:val="bottom"/>
          </w:tcPr>
          <w:p>
            <w:pPr>
              <w:spacing w:after="0"/>
              <w:rPr>
                <w:sz w:val="20"/>
                <w:szCs w:val="20"/>
                <w:color w:val="auto"/>
              </w:rPr>
            </w:pPr>
            <w:r>
              <w:rPr>
                <w:rFonts w:ascii="Courier New" w:cs="Courier New" w:eastAsia="Courier New" w:hAnsi="Courier New"/>
                <w:sz w:val="18"/>
                <w:szCs w:val="18"/>
                <w:color w:val="auto"/>
              </w:rPr>
              <w:t>/s/ Wilbur G. Stover, Jr.</w:t>
            </w:r>
          </w:p>
        </w:tc>
        <w:tc>
          <w:tcPr>
            <w:tcW w:w="3800" w:type="dxa"/>
            <w:vAlign w:val="bottom"/>
          </w:tcPr>
          <w:p>
            <w:pPr>
              <w:spacing w:after="0"/>
              <w:rPr>
                <w:sz w:val="20"/>
                <w:szCs w:val="20"/>
                <w:color w:val="auto"/>
              </w:rPr>
            </w:pPr>
            <w:r>
              <w:rPr>
                <w:rFonts w:ascii="Courier New" w:cs="Courier New" w:eastAsia="Courier New" w:hAnsi="Courier New"/>
                <w:sz w:val="18"/>
                <w:szCs w:val="18"/>
                <w:color w:val="auto"/>
              </w:rPr>
              <w:t>Vice President of Finance and</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7"/>
              </w:rPr>
              <w:t>July 9, 1999</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Chief Financial Officer (Principal</w:t>
            </w:r>
          </w:p>
        </w:tc>
        <w:tc>
          <w:tcPr>
            <w:tcW w:w="12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Wilbur G. Stover, Jr.</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and Accounting Officer)</w:t>
            </w:r>
          </w:p>
        </w:tc>
        <w:tc>
          <w:tcPr>
            <w:tcW w:w="1260" w:type="dxa"/>
            <w:vAlign w:val="bottom"/>
          </w:tcPr>
          <w:p>
            <w:pPr>
              <w:spacing w:after="0"/>
              <w:rPr>
                <w:sz w:val="17"/>
                <w:szCs w:val="17"/>
                <w:color w:val="auto"/>
              </w:rPr>
            </w:pPr>
          </w:p>
        </w:tc>
      </w:tr>
      <w:tr>
        <w:trPr>
          <w:trHeight w:val="608"/>
        </w:trPr>
        <w:tc>
          <w:tcPr>
            <w:tcW w:w="3060" w:type="dxa"/>
            <w:vAlign w:val="bottom"/>
          </w:tcPr>
          <w:p>
            <w:pPr>
              <w:spacing w:after="0"/>
              <w:rPr>
                <w:sz w:val="20"/>
                <w:szCs w:val="20"/>
                <w:color w:val="auto"/>
              </w:rPr>
            </w:pPr>
            <w:r>
              <w:rPr>
                <w:rFonts w:ascii="Courier New" w:cs="Courier New" w:eastAsia="Courier New" w:hAnsi="Courier New"/>
                <w:sz w:val="18"/>
                <w:szCs w:val="18"/>
                <w:color w:val="auto"/>
              </w:rPr>
              <w:t>/s/ James W. Bagley</w:t>
            </w:r>
          </w:p>
        </w:tc>
        <w:tc>
          <w:tcPr>
            <w:tcW w:w="380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7"/>
              </w:rPr>
              <w:t>July 9, 1999</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8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W. Bagley</w:t>
            </w:r>
          </w:p>
        </w:tc>
        <w:tc>
          <w:tcPr>
            <w:tcW w:w="380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201" w:lineRule="exact"/>
        <w:rPr>
          <w:sz w:val="20"/>
          <w:szCs w:val="20"/>
          <w:color w:val="auto"/>
        </w:rPr>
      </w:pPr>
    </w:p>
    <w:p>
      <w:pPr>
        <w:spacing w:after="0"/>
        <w:tabs>
          <w:tab w:leader="none" w:pos="3040" w:val="left"/>
          <w:tab w:leader="none" w:pos="6840" w:val="left"/>
        </w:tabs>
        <w:rPr>
          <w:sz w:val="20"/>
          <w:szCs w:val="20"/>
          <w:color w:val="auto"/>
        </w:rPr>
      </w:pPr>
      <w:r>
        <w:rPr>
          <w:rFonts w:ascii="Courier New" w:cs="Courier New" w:eastAsia="Courier New" w:hAnsi="Courier New"/>
          <w:sz w:val="18"/>
          <w:szCs w:val="18"/>
          <w:color w:val="auto"/>
        </w:rPr>
        <w:t>/s/ Robert A. Lothrop</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9, 1999</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A. Lothrop</w:t>
      </w:r>
    </w:p>
    <w:p>
      <w:pPr>
        <w:spacing w:after="0" w:line="202" w:lineRule="exact"/>
        <w:rPr>
          <w:sz w:val="20"/>
          <w:szCs w:val="20"/>
          <w:color w:val="auto"/>
        </w:rPr>
      </w:pPr>
    </w:p>
    <w:p>
      <w:pPr>
        <w:spacing w:after="0"/>
        <w:tabs>
          <w:tab w:leader="none" w:pos="3040" w:val="left"/>
          <w:tab w:leader="none" w:pos="6840" w:val="left"/>
        </w:tabs>
        <w:rPr>
          <w:sz w:val="20"/>
          <w:szCs w:val="20"/>
          <w:color w:val="auto"/>
        </w:rPr>
      </w:pPr>
      <w:r>
        <w:rPr>
          <w:rFonts w:ascii="Courier New" w:cs="Courier New" w:eastAsia="Courier New" w:hAnsi="Courier New"/>
          <w:sz w:val="18"/>
          <w:szCs w:val="18"/>
          <w:color w:val="auto"/>
        </w:rPr>
        <w:t>/s/ Thomas T. Nicholson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9, 1999</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Thomas T. Nicholson</w:t>
      </w:r>
    </w:p>
    <w:p>
      <w:pPr>
        <w:spacing w:after="0" w:line="202" w:lineRule="exact"/>
        <w:rPr>
          <w:sz w:val="20"/>
          <w:szCs w:val="20"/>
          <w:color w:val="auto"/>
        </w:rPr>
      </w:pPr>
    </w:p>
    <w:p>
      <w:pPr>
        <w:spacing w:after="0"/>
        <w:tabs>
          <w:tab w:leader="none" w:pos="3040" w:val="left"/>
          <w:tab w:leader="none" w:pos="6840" w:val="left"/>
        </w:tabs>
        <w:rPr>
          <w:sz w:val="20"/>
          <w:szCs w:val="20"/>
          <w:color w:val="auto"/>
        </w:rPr>
      </w:pPr>
      <w:r>
        <w:rPr>
          <w:rFonts w:ascii="Courier New" w:cs="Courier New" w:eastAsia="Courier New" w:hAnsi="Courier New"/>
          <w:sz w:val="18"/>
          <w:szCs w:val="18"/>
          <w:color w:val="auto"/>
        </w:rPr>
        <w:t>/s/ Don J. Simplot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9, 1999</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Don J. Simplot</w:t>
      </w:r>
    </w:p>
    <w:p>
      <w:pPr>
        <w:spacing w:after="0" w:line="202" w:lineRule="exact"/>
        <w:rPr>
          <w:sz w:val="20"/>
          <w:szCs w:val="20"/>
          <w:color w:val="auto"/>
        </w:rPr>
      </w:pPr>
    </w:p>
    <w:p>
      <w:pPr>
        <w:spacing w:after="0"/>
        <w:tabs>
          <w:tab w:leader="none" w:pos="3040" w:val="left"/>
          <w:tab w:leader="none" w:pos="6840" w:val="left"/>
        </w:tabs>
        <w:rPr>
          <w:sz w:val="20"/>
          <w:szCs w:val="20"/>
          <w:color w:val="auto"/>
        </w:rPr>
      </w:pPr>
      <w:r>
        <w:rPr>
          <w:rFonts w:ascii="Courier New" w:cs="Courier New" w:eastAsia="Courier New" w:hAnsi="Courier New"/>
          <w:sz w:val="18"/>
          <w:szCs w:val="18"/>
          <w:color w:val="auto"/>
        </w:rPr>
        <w:t>/s/ Gordon C. Smith</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9, 1999</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Gordon C. Smith</w:t>
      </w:r>
    </w:p>
    <w:p>
      <w:pPr>
        <w:spacing w:after="0" w:line="202" w:lineRule="exact"/>
        <w:rPr>
          <w:sz w:val="20"/>
          <w:szCs w:val="20"/>
          <w:color w:val="auto"/>
        </w:rPr>
      </w:pPr>
    </w:p>
    <w:p>
      <w:pPr>
        <w:spacing w:after="0"/>
        <w:tabs>
          <w:tab w:leader="none" w:pos="3040" w:val="left"/>
          <w:tab w:leader="none" w:pos="6840" w:val="left"/>
        </w:tabs>
        <w:rPr>
          <w:sz w:val="20"/>
          <w:szCs w:val="20"/>
          <w:color w:val="auto"/>
        </w:rPr>
      </w:pPr>
      <w:r>
        <w:rPr>
          <w:rFonts w:ascii="Courier New" w:cs="Courier New" w:eastAsia="Courier New" w:hAnsi="Courier New"/>
          <w:sz w:val="18"/>
          <w:szCs w:val="18"/>
          <w:color w:val="auto"/>
        </w:rPr>
        <w:t>/s/ William P. Weber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9, 1999</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William P. Weber</w:t>
      </w:r>
    </w:p>
    <w:p>
      <w:pPr>
        <w:sectPr>
          <w:pgSz w:w="11900" w:h="16838" w:orient="portrait"/>
          <w:cols w:equalWidth="0" w:num="1">
            <w:col w:w="10219"/>
          </w:cols>
          <w:pgMar w:left="240" w:top="7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5280" w:type="dxa"/>
            <w:vAlign w:val="bottom"/>
          </w:tcPr>
          <w:p>
            <w:pPr>
              <w:ind w:left="2320"/>
              <w:spacing w:after="0"/>
              <w:rPr>
                <w:sz w:val="20"/>
                <w:szCs w:val="20"/>
                <w:color w:val="auto"/>
              </w:rPr>
            </w:pPr>
            <w:r>
              <w:rPr>
                <w:rFonts w:ascii="Courier New" w:cs="Courier New" w:eastAsia="Courier New" w:hAnsi="Courier New"/>
                <w:sz w:val="18"/>
                <w:szCs w:val="18"/>
                <w:color w:val="auto"/>
              </w:rPr>
              <w:t>EXHIBIT INDEX</w:t>
            </w:r>
          </w:p>
        </w:tc>
      </w:tr>
      <w:tr>
        <w:trPr>
          <w:trHeight w:val="608"/>
        </w:trPr>
        <w:tc>
          <w:tcPr>
            <w:tcW w:w="11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5280" w:type="dxa"/>
            <w:vAlign w:val="bottom"/>
          </w:tcPr>
          <w:p>
            <w:pPr>
              <w:spacing w:after="0"/>
              <w:rPr>
                <w:sz w:val="24"/>
                <w:szCs w:val="24"/>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52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4.8</w:t>
            </w:r>
          </w:p>
        </w:tc>
        <w:tc>
          <w:tcPr>
            <w:tcW w:w="5280" w:type="dxa"/>
            <w:vAlign w:val="bottom"/>
          </w:tcPr>
          <w:p>
            <w:pPr>
              <w:ind w:left="320"/>
              <w:spacing w:after="0"/>
              <w:rPr>
                <w:sz w:val="20"/>
                <w:szCs w:val="20"/>
                <w:color w:val="auto"/>
              </w:rPr>
            </w:pPr>
            <w:r>
              <w:rPr>
                <w:rFonts w:ascii="Courier New" w:cs="Courier New" w:eastAsia="Courier New" w:hAnsi="Courier New"/>
                <w:sz w:val="18"/>
                <w:szCs w:val="18"/>
                <w:color w:val="auto"/>
              </w:rPr>
              <w:t>Micron Technology, Inc. MQD Stock Bonus Plan.</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5280" w:type="dxa"/>
            <w:vAlign w:val="bottom"/>
          </w:tcPr>
          <w:p>
            <w:pPr>
              <w:ind w:left="320"/>
              <w:spacing w:after="0"/>
              <w:rPr>
                <w:sz w:val="20"/>
                <w:szCs w:val="20"/>
                <w:color w:val="auto"/>
              </w:rPr>
            </w:pPr>
            <w:r>
              <w:rPr>
                <w:rFonts w:ascii="Courier New" w:cs="Courier New" w:eastAsia="Courier New" w:hAnsi="Courier New"/>
                <w:sz w:val="18"/>
                <w:szCs w:val="18"/>
                <w:color w:val="auto"/>
              </w:rPr>
              <w:t>Opinion of Counsel.</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5280" w:type="dxa"/>
            <w:vAlign w:val="bottom"/>
          </w:tcPr>
          <w:p>
            <w:pPr>
              <w:ind w:left="320"/>
              <w:spacing w:after="0"/>
              <w:rPr>
                <w:sz w:val="20"/>
                <w:szCs w:val="20"/>
                <w:color w:val="auto"/>
              </w:rPr>
            </w:pPr>
            <w:r>
              <w:rPr>
                <w:rFonts w:ascii="Courier New" w:cs="Courier New" w:eastAsia="Courier New" w:hAnsi="Courier New"/>
                <w:sz w:val="18"/>
                <w:szCs w:val="18"/>
                <w:color w:val="auto"/>
              </w:rPr>
              <w:t>Consent of Independent Accountants.</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5280" w:type="dxa"/>
            <w:vAlign w:val="bottom"/>
          </w:tcPr>
          <w:p>
            <w:pPr>
              <w:ind w:left="320"/>
              <w:spacing w:after="0"/>
              <w:rPr>
                <w:sz w:val="20"/>
                <w:szCs w:val="20"/>
                <w:color w:val="auto"/>
              </w:rPr>
            </w:pPr>
            <w:r>
              <w:rPr>
                <w:rFonts w:ascii="Courier New" w:cs="Courier New" w:eastAsia="Courier New" w:hAnsi="Courier New"/>
                <w:sz w:val="18"/>
                <w:szCs w:val="18"/>
                <w:color w:val="auto"/>
                <w:w w:val="99"/>
              </w:rPr>
              <w:t>Consent of Counsel (contained in Exhibit 5.1).</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24.1</w:t>
            </w:r>
          </w:p>
        </w:tc>
        <w:tc>
          <w:tcPr>
            <w:tcW w:w="5280" w:type="dxa"/>
            <w:vAlign w:val="bottom"/>
          </w:tcPr>
          <w:p>
            <w:pPr>
              <w:ind w:left="320"/>
              <w:spacing w:after="0"/>
              <w:rPr>
                <w:sz w:val="20"/>
                <w:szCs w:val="20"/>
                <w:color w:val="auto"/>
              </w:rPr>
            </w:pPr>
            <w:r>
              <w:rPr>
                <w:rFonts w:ascii="Courier New" w:cs="Courier New" w:eastAsia="Courier New" w:hAnsi="Courier New"/>
                <w:sz w:val="18"/>
                <w:szCs w:val="18"/>
                <w:color w:val="auto"/>
                <w:w w:val="97"/>
              </w:rPr>
              <w:t>Power of Attorney (included on signature page).</w:t>
            </w:r>
          </w:p>
        </w:tc>
      </w:tr>
    </w:tbl>
    <w:p>
      <w:pPr>
        <w:sectPr>
          <w:pgSz w:w="11900" w:h="16838" w:orient="portrait"/>
          <w:cols w:equalWidth="0" w:num="1">
            <w:col w:w="10219"/>
          </w:cols>
          <w:pgMar w:left="240" w:top="717"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4.8</w:t>
      </w:r>
    </w:p>
    <w:p>
      <w:pPr>
        <w:ind w:left="2960"/>
        <w:spacing w:after="0" w:line="238" w:lineRule="auto"/>
        <w:rPr>
          <w:sz w:val="20"/>
          <w:szCs w:val="20"/>
          <w:color w:val="auto"/>
        </w:rPr>
      </w:pPr>
      <w:r>
        <w:rPr>
          <w:rFonts w:ascii="Courier New" w:cs="Courier New" w:eastAsia="Courier New" w:hAnsi="Courier New"/>
          <w:sz w:val="18"/>
          <w:szCs w:val="18"/>
          <w:color w:val="auto"/>
        </w:rPr>
        <w:t>Micron Technology, Inc.</w:t>
      </w:r>
    </w:p>
    <w:p>
      <w:pPr>
        <w:ind w:left="3160"/>
        <w:spacing w:after="0"/>
        <w:rPr>
          <w:sz w:val="20"/>
          <w:szCs w:val="20"/>
          <w:color w:val="auto"/>
        </w:rPr>
      </w:pPr>
      <w:r>
        <w:rPr>
          <w:rFonts w:ascii="Courier New" w:cs="Courier New" w:eastAsia="Courier New" w:hAnsi="Courier New"/>
          <w:sz w:val="18"/>
          <w:szCs w:val="18"/>
          <w:color w:val="auto"/>
        </w:rPr>
        <w:t>MQD Stock Bonus Plan</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connection with the merger of Micron Quantum Devices, Inc. ("MQD") into Micron Technology, Inc. ("MTI") on February 18, 1998 (the "Merger"), the Board of Directors of MTI (the "Board") approved a $3.75 million Flash Product Group Incentive Program for key employees of MQD. As part of that program, the Board agreed to issue 55% of the aggregate program amount in the form of MTI Common Stock. This "MQD Stock Bonus Plan" (the "Plan") sets forth the guidelines for issuing such stock.</w:t>
      </w:r>
    </w:p>
    <w:p>
      <w:pPr>
        <w:spacing w:after="0" w:line="211" w:lineRule="exact"/>
        <w:rPr>
          <w:sz w:val="20"/>
          <w:szCs w:val="20"/>
          <w:color w:val="auto"/>
        </w:rPr>
      </w:pPr>
    </w:p>
    <w:p>
      <w:pPr>
        <w:ind w:left="1060" w:right="2519" w:hanging="525"/>
        <w:spacing w:after="0" w:line="235"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purpose of the Plan is to retain key personnel from MQD and thereby promote the success of MTI.</w:t>
      </w:r>
    </w:p>
    <w:p>
      <w:pPr>
        <w:spacing w:after="0" w:line="208" w:lineRule="exact"/>
        <w:rPr>
          <w:rFonts w:ascii="Courier New" w:cs="Courier New" w:eastAsia="Courier New" w:hAnsi="Courier New"/>
          <w:sz w:val="18"/>
          <w:szCs w:val="18"/>
          <w:color w:val="auto"/>
        </w:rPr>
      </w:pPr>
    </w:p>
    <w:p>
      <w:pPr>
        <w:ind w:left="1060" w:right="1999" w:hanging="525"/>
        <w:spacing w:after="0" w:line="237"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70,645 shares of MTI Common Stock, $0.10 par value, are reserved for issuance under this Plan. The number of shares reserved for issuance under this Plan, as well as the number of shares which may be earned by each Eligible Employee, shall be proportionately adjusted in the event of a stock split, reverse stock split, stock dividend or similar transaction in which there is an increase or decrease in the number of issued shares of MTI Common Stock without receipt of consideration by MTI.</w:t>
      </w:r>
    </w:p>
    <w:p>
      <w:pPr>
        <w:spacing w:after="0" w:line="212" w:lineRule="exact"/>
        <w:rPr>
          <w:rFonts w:ascii="Courier New" w:cs="Courier New" w:eastAsia="Courier New" w:hAnsi="Courier New"/>
          <w:sz w:val="18"/>
          <w:szCs w:val="18"/>
          <w:color w:val="auto"/>
        </w:rPr>
      </w:pPr>
    </w:p>
    <w:p>
      <w:pPr>
        <w:ind w:left="1060" w:right="2319" w:hanging="525"/>
        <w:spacing w:after="0" w:line="237"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individuals who have been identified by the Board and who were employees of MQD prior to the Merger and are currently employees of MTI are eligible to participate in this Plan. These employees are collectively referred to herein as the "Eligible Employees."</w:t>
      </w:r>
    </w:p>
    <w:p>
      <w:pPr>
        <w:spacing w:after="0" w:line="208" w:lineRule="exact"/>
        <w:rPr>
          <w:rFonts w:ascii="Courier New" w:cs="Courier New" w:eastAsia="Courier New" w:hAnsi="Courier New"/>
          <w:sz w:val="18"/>
          <w:szCs w:val="18"/>
          <w:color w:val="auto"/>
        </w:rPr>
      </w:pPr>
    </w:p>
    <w:p>
      <w:pPr>
        <w:ind w:left="1060" w:right="2099" w:hanging="525"/>
        <w:spacing w:after="0" w:line="271" w:lineRule="auto"/>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awards pursuant to the Plan are contingent upon the achievement of various milestone goals established by the Vice President of Flash Memory Products and the Chief Executive Officer of MTI. Such milestones and the pay-out dates related thereto, as well as the specific terms of each award made pursuant to this Plan shall be delivered to each Eligible Employee in the form of a memo from the Vice President of Flash Memory Products of MTI.</w:t>
      </w:r>
    </w:p>
    <w:p>
      <w:pPr>
        <w:spacing w:after="0" w:line="187" w:lineRule="exact"/>
        <w:rPr>
          <w:rFonts w:ascii="Courier New" w:cs="Courier New" w:eastAsia="Courier New" w:hAnsi="Courier New"/>
          <w:sz w:val="16"/>
          <w:szCs w:val="16"/>
          <w:color w:val="auto"/>
        </w:rPr>
      </w:pPr>
    </w:p>
    <w:p>
      <w:pPr>
        <w:ind w:left="1060" w:right="1999" w:hanging="525"/>
        <w:spacing w:after="0" w:line="237"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Employees must be employed by MTI on an actual pay-out date to receive shares granted pursuant to the Plan. In the event that an eligible employee is not employed by MTI on a pay-out date, the shares to which he or she was otherwise entitled to may be reallocated by Vice President of Flash Memory Products and the Chief Executive Officer of MTI to the other Eligible Employees as the Board shall determine in its absolute discretion.</w:t>
      </w:r>
    </w:p>
    <w:p>
      <w:pPr>
        <w:spacing w:after="0" w:line="211" w:lineRule="exact"/>
        <w:rPr>
          <w:rFonts w:ascii="Courier New" w:cs="Courier New" w:eastAsia="Courier New" w:hAnsi="Courier New"/>
          <w:sz w:val="18"/>
          <w:szCs w:val="18"/>
          <w:color w:val="auto"/>
        </w:rPr>
      </w:pPr>
    </w:p>
    <w:p>
      <w:pPr>
        <w:ind w:left="1060" w:right="1999" w:hanging="525"/>
        <w:spacing w:after="0" w:line="237"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shares of MTI Common Stock are issued to an Eligible Employee (as evidenced by the appropriate entry on the books of the Company or of a duly authorized transfer agent of the Company), no right to vote or receive dividends or any other rights as a shareholder shall exist with respect to such shares. Once shares of MTI Common Stock are issued to an Eligible Employee, he or she shall have all the rights of a shareholder of the Company. No adjustment shall be made for a dividend or other right for which the record date is prior to the date of such issuance, except as provided in Section 2 above.</w:t>
      </w:r>
    </w:p>
    <w:p>
      <w:pPr>
        <w:sectPr>
          <w:pgSz w:w="11900" w:h="16838" w:orient="portrait"/>
          <w:cols w:equalWidth="0" w:num="1">
            <w:col w:w="10219"/>
          </w:cols>
          <w:pgMar w:left="240" w:top="541" w:right="1440" w:bottom="1440" w:gutter="0" w:footer="0" w:header="0"/>
        </w:sectPr>
      </w:pPr>
    </w:p>
    <w:bookmarkStart w:id="7" w:name="page8"/>
    <w:bookmarkEnd w:id="7"/>
    <w:p>
      <w:pPr>
        <w:ind w:left="525" w:right="1999" w:hanging="525"/>
        <w:spacing w:after="0" w:line="237" w:lineRule="auto"/>
        <w:tabs>
          <w:tab w:leader="none" w:pos="52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merger of MTI with or into another corporation, or the sale of substantially all of MTI's assets, each Eligible Employee's rights to acquire shares of MTI Common Stock hereunder shall be assumed or an equivalent right substituted by the successor corporation or its parent or subsidiary corporation.</w:t>
      </w:r>
    </w:p>
    <w:p>
      <w:pPr>
        <w:spacing w:after="0" w:line="208" w:lineRule="exact"/>
        <w:rPr>
          <w:rFonts w:ascii="Courier New" w:cs="Courier New" w:eastAsia="Courier New" w:hAnsi="Courier New"/>
          <w:sz w:val="18"/>
          <w:szCs w:val="18"/>
          <w:color w:val="auto"/>
        </w:rPr>
      </w:pPr>
    </w:p>
    <w:p>
      <w:pPr>
        <w:ind w:left="525" w:right="1999" w:hanging="525"/>
        <w:spacing w:after="0" w:line="237" w:lineRule="auto"/>
        <w:tabs>
          <w:tab w:leader="none" w:pos="52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shares pursuant to the Plan is subject to the profitability of MTI in the fiscal quarter ended immediately prior to the scheduled pay-out date. In the event that shares are not issued because of a lack of profitability, then the actual pay-out date will be following the first profitable quarter which ends after the initially scheduled pay-out date.</w:t>
      </w:r>
    </w:p>
    <w:p>
      <w:pPr>
        <w:spacing w:after="0" w:line="209" w:lineRule="exact"/>
        <w:rPr>
          <w:rFonts w:ascii="Courier New" w:cs="Courier New" w:eastAsia="Courier New" w:hAnsi="Courier New"/>
          <w:sz w:val="18"/>
          <w:szCs w:val="18"/>
          <w:color w:val="auto"/>
        </w:rPr>
      </w:pPr>
    </w:p>
    <w:p>
      <w:pPr>
        <w:ind w:left="525" w:right="1999" w:hanging="525"/>
        <w:spacing w:after="0" w:line="237" w:lineRule="auto"/>
        <w:tabs>
          <w:tab w:leader="none" w:pos="52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shall be administered by the Board or a committee thereof. The Board shall have the sole authority and discretion to interpret the provisions of the Plan and to make all determinations necessary or advisable to administer the Plan. The Board's decisions, determinations and interpretations regarding the Plan shall be final and binding upon all Eligible Employees.</w:t>
      </w:r>
    </w:p>
    <w:p>
      <w:pPr>
        <w:spacing w:after="0" w:line="209" w:lineRule="exact"/>
        <w:rPr>
          <w:rFonts w:ascii="Courier New" w:cs="Courier New" w:eastAsia="Courier New" w:hAnsi="Courier New"/>
          <w:sz w:val="18"/>
          <w:szCs w:val="18"/>
          <w:color w:val="auto"/>
        </w:rPr>
      </w:pPr>
    </w:p>
    <w:p>
      <w:pPr>
        <w:ind w:left="525" w:right="1999" w:hanging="525"/>
        <w:spacing w:after="0" w:line="237" w:lineRule="auto"/>
        <w:tabs>
          <w:tab w:leader="none" w:pos="52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granted to Eligible Employees hereunder to acquire shares of MTI Common Stock may not be sold, pledged, assigned, hypothecated, transferred, or disposed of in any manner, other than by will or by the laws of descent or distribution.</w:t>
      </w:r>
    </w:p>
    <w:p>
      <w:pPr>
        <w:spacing w:after="0" w:line="207" w:lineRule="exact"/>
        <w:rPr>
          <w:rFonts w:ascii="Courier New" w:cs="Courier New" w:eastAsia="Courier New" w:hAnsi="Courier New"/>
          <w:sz w:val="18"/>
          <w:szCs w:val="18"/>
          <w:color w:val="auto"/>
        </w:rPr>
      </w:pPr>
    </w:p>
    <w:p>
      <w:pPr>
        <w:ind w:left="525" w:right="2419" w:hanging="525"/>
        <w:spacing w:after="0" w:line="235" w:lineRule="auto"/>
        <w:tabs>
          <w:tab w:leader="none" w:pos="52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is subject to change or cancellation at any time by the Board.</w:t>
      </w:r>
    </w:p>
    <w:p>
      <w:pPr>
        <w:spacing w:after="0" w:line="208" w:lineRule="exact"/>
        <w:rPr>
          <w:rFonts w:ascii="Courier New" w:cs="Courier New" w:eastAsia="Courier New" w:hAnsi="Courier New"/>
          <w:sz w:val="18"/>
          <w:szCs w:val="18"/>
          <w:color w:val="auto"/>
        </w:rPr>
      </w:pPr>
    </w:p>
    <w:p>
      <w:pPr>
        <w:ind w:left="525" w:right="2099" w:hanging="525"/>
        <w:spacing w:after="0" w:line="237" w:lineRule="auto"/>
        <w:tabs>
          <w:tab w:leader="none" w:pos="52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shall not be issued pursuant to the Plan unless the issuance and delivery of such shares complies with all applicable laws and the requirements of any stock exchange or quotation system upon which the Shares may be listed or quoted.</w:t>
      </w:r>
    </w:p>
    <w:p>
      <w:pPr>
        <w:sectPr>
          <w:pgSz w:w="11900" w:h="16838" w:orient="portrait"/>
          <w:cols w:equalWidth="0" w:num="1">
            <w:col w:w="9684"/>
          </w:cols>
          <w:pgMar w:left="775" w:top="723"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650 PAGE MILL ROAD</w:t>
      </w:r>
    </w:p>
    <w:p>
      <w:pPr>
        <w:ind w:left="2320"/>
        <w:spacing w:after="0" w:line="238" w:lineRule="auto"/>
        <w:rPr>
          <w:sz w:val="20"/>
          <w:szCs w:val="20"/>
          <w:color w:val="auto"/>
        </w:rPr>
      </w:pPr>
      <w:r>
        <w:rPr>
          <w:rFonts w:ascii="Courier New" w:cs="Courier New" w:eastAsia="Courier New" w:hAnsi="Courier New"/>
          <w:sz w:val="18"/>
          <w:szCs w:val="18"/>
          <w:color w:val="auto"/>
        </w:rPr>
        <w:t>PALO ALTO, CALIFORNIA 94304-1050</w:t>
      </w:r>
    </w:p>
    <w:p>
      <w:pPr>
        <w:ind w:left="1580"/>
        <w:spacing w:after="0"/>
        <w:tabs>
          <w:tab w:leader="none" w:pos="4200" w:val="left"/>
        </w:tabs>
        <w:rPr>
          <w:sz w:val="20"/>
          <w:szCs w:val="20"/>
          <w:color w:val="auto"/>
        </w:rPr>
      </w:pPr>
      <w:r>
        <w:rPr>
          <w:rFonts w:ascii="Courier New" w:cs="Courier New" w:eastAsia="Courier New" w:hAnsi="Courier New"/>
          <w:sz w:val="18"/>
          <w:szCs w:val="18"/>
          <w:color w:val="auto"/>
        </w:rPr>
        <w:t>TELEPHONE 650-493-9300</w:t>
      </w:r>
      <w:r>
        <w:rPr>
          <w:sz w:val="20"/>
          <w:szCs w:val="20"/>
          <w:color w:val="auto"/>
        </w:rPr>
        <w:tab/>
      </w:r>
      <w:r>
        <w:rPr>
          <w:rFonts w:ascii="Courier New" w:cs="Courier New" w:eastAsia="Courier New" w:hAnsi="Courier New"/>
          <w:sz w:val="16"/>
          <w:szCs w:val="16"/>
          <w:color w:val="auto"/>
        </w:rPr>
        <w:t>FACSIMILE 650-493-6811</w:t>
      </w:r>
    </w:p>
    <w:p>
      <w:pPr>
        <w:ind w:left="3380"/>
        <w:spacing w:after="0" w:line="237" w:lineRule="auto"/>
        <w:rPr>
          <w:sz w:val="20"/>
          <w:szCs w:val="20"/>
          <w:color w:val="auto"/>
        </w:rPr>
      </w:pPr>
      <w:r>
        <w:rPr>
          <w:rFonts w:ascii="Courier New" w:cs="Courier New" w:eastAsia="Courier New" w:hAnsi="Courier New"/>
          <w:sz w:val="18"/>
          <w:szCs w:val="18"/>
          <w:color w:val="auto"/>
        </w:rPr>
        <w:t>WWW.WSGR.COM</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July 8, 1999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8000 South Federal Way</w:t>
      </w:r>
    </w:p>
    <w:p>
      <w:pPr>
        <w:spacing w:after="0"/>
        <w:tabs>
          <w:tab w:leader="none" w:pos="114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83707-0006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We have examined the Registration Statement on Form S-8 to be filed by you with the Securities Exchange Commission on or about July 9, 1999 (the "Registration Statement") in connection with the registration under the Securities Act of 1933, as amended, of 70,645 shares of your Common Stock reserved for issuance under the Micron Technology, Inc. MQD Stock Bonus Plan (the "Plan"). As your legal counsel, we have examined the proceedings taken and are familiar with the proceedings proposed to be taken by you in connection with the sale and issuance of said shares.</w:t>
      </w:r>
    </w:p>
    <w:p>
      <w:pPr>
        <w:spacing w:after="0" w:line="212"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It is our opinion that, upon completion of the proceedings being taken, or contemplated by us as your counsel to be taken by you, prior to issuance of the shares pursuant to the Registration Statement, including the Prospectus constituting part of and incorporated by reference into the Registration Statement, and upon completion of the proceedings being taken in order to permit such transactions to be carried out in accordance with the securities laws of the various states where required, the shares, when issued and sold in the manner referred to in the Plan and the agreements which accompany the Plan, and in accordance with the Company's Certificate of Incorporation, will be legally and validly issued, fully paid and nonassessable.</w:t>
      </w:r>
    </w:p>
    <w:p>
      <w:pPr>
        <w:spacing w:after="0" w:line="18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consent to the use of this opinion as an exhibit to the Registration Statement and further consent to the use of our name wherever appearing in the Registration Statement, including the Prospectus constituting a part thereof, and amendment thereto.</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WILSON SONSINI GOODRICH &amp; ROSATI</w:t>
      </w:r>
    </w:p>
    <w:p>
      <w:pPr>
        <w:ind w:left="4120"/>
        <w:spacing w:after="0" w:line="238" w:lineRule="auto"/>
        <w:rPr>
          <w:sz w:val="20"/>
          <w:szCs w:val="20"/>
          <w:color w:val="auto"/>
        </w:rPr>
      </w:pPr>
      <w:r>
        <w:rPr>
          <w:rFonts w:ascii="Courier New" w:cs="Courier New" w:eastAsia="Courier New" w:hAnsi="Courier New"/>
          <w:sz w:val="18"/>
          <w:szCs w:val="18"/>
          <w:color w:val="auto"/>
        </w:rPr>
        <w:t>Professional Corporation</w:t>
      </w:r>
    </w:p>
    <w:p>
      <w:pPr>
        <w:sectPr>
          <w:pgSz w:w="11900" w:h="16838" w:orient="portrait"/>
          <w:cols w:equalWidth="0" w:num="1">
            <w:col w:w="10219"/>
          </w:cols>
          <w:pgMar w:left="240" w:top="541"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CONSENT OF INDEPENDENT ACCOUNTANTS</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this Registration Statement on Form S-8 of our report dated September 28, 1998, except the Subsequent Event Note which is as of October 19, 1998, relating to the financial statements, and financial statement schedule, which appear in the 1998 Annual Report on Form 10-K (File No. 1-01658) of Micron Technology, Inc., as of September 3, 1998 and August 28, 1997 and for each of the three years in the period ended September 3, 1998.</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38" w:lineRule="auto"/>
        <w:rPr>
          <w:sz w:val="20"/>
          <w:szCs w:val="20"/>
          <w:color w:val="auto"/>
        </w:rPr>
      </w:pPr>
      <w:r>
        <w:rPr>
          <w:rFonts w:ascii="Courier New" w:cs="Courier New" w:eastAsia="Courier New" w:hAnsi="Courier New"/>
          <w:sz w:val="18"/>
          <w:szCs w:val="18"/>
          <w:color w:val="auto"/>
        </w:rPr>
        <w:t>Boise, Idaho</w:t>
      </w:r>
    </w:p>
    <w:p>
      <w:pPr>
        <w:spacing w:after="0"/>
        <w:rPr>
          <w:sz w:val="20"/>
          <w:szCs w:val="20"/>
          <w:color w:val="auto"/>
        </w:rPr>
      </w:pPr>
      <w:r>
        <w:rPr>
          <w:rFonts w:ascii="Courier New" w:cs="Courier New" w:eastAsia="Courier New" w:hAnsi="Courier New"/>
          <w:sz w:val="18"/>
          <w:szCs w:val="18"/>
          <w:color w:val="auto"/>
        </w:rPr>
        <w:t>July 7, 1999</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lowerLetter"/>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Letter"/>
      <w:start w:val="2"/>
    </w:lvl>
  </w:abstractNum>
  <w:abstractNum w:abstractNumId="5">
    <w:nsid w:val="12200854"/>
    <w:multiLevelType w:val="hybridMultilevel"/>
    <w:lvl w:ilvl="0">
      <w:lvlJc w:val="left"/>
      <w:lvlText w:val="(%1)"/>
      <w:numFmt w:val="lowerLetter"/>
      <w:start w:val="3"/>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2020-02-22T15:17:58Z</dcterms:created>
  <dcterms:modified xsi:type="dcterms:W3CDTF">2020-02-22T15:17:58Z</dcterms:modified>
</cp:coreProperties>
</file>