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4,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212" w:gutter="0" w:footer="0" w:header="0"/>
        </w:sectPr>
      </w:pPr>
    </w:p>
    <w:p>
      <w:pPr>
        <w:spacing w:after="0" w:line="20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40" w:space="720"/>
            <w:col w:w="2640" w:space="720"/>
            <w:col w:w="3200"/>
          </w:cols>
          <w:pgMar w:left="240" w:top="530" w:right="239" w:bottom="212" w:gutter="0" w:footer="0" w:header="0"/>
          <w:type w:val="continuous"/>
        </w:sectPr>
      </w:pP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30" w:right="239" w:bottom="212"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Disclosure of Results of Operations and Financial Condition.</w:t>
      </w:r>
    </w:p>
    <w:p>
      <w:pPr>
        <w:spacing w:after="0" w:line="283" w:lineRule="exact"/>
        <w:rPr>
          <w:sz w:val="24"/>
          <w:szCs w:val="24"/>
          <w:color w:val="auto"/>
        </w:rPr>
      </w:pPr>
    </w:p>
    <w:p>
      <w:pPr>
        <w:ind w:right="20" w:firstLine="972"/>
        <w:spacing w:after="0" w:line="277" w:lineRule="auto"/>
        <w:rPr>
          <w:sz w:val="20"/>
          <w:szCs w:val="20"/>
          <w:color w:val="auto"/>
        </w:rPr>
      </w:pPr>
      <w:r>
        <w:rPr>
          <w:rFonts w:ascii="Arial" w:cs="Arial" w:eastAsia="Arial" w:hAnsi="Arial"/>
          <w:sz w:val="18"/>
          <w:szCs w:val="18"/>
          <w:color w:val="auto"/>
        </w:rPr>
        <w:t>On April 4, 2007, Micron Technology, Inc. announced its financial results for the quarter ended March 1, 2007. The full text of the press release issued in connection with the announcement is attached as Exhibit 99.1 to this Current Report on Form 8-K.</w:t>
      </w:r>
    </w:p>
    <w:p>
      <w:pPr>
        <w:spacing w:after="0" w:line="166" w:lineRule="exact"/>
        <w:rPr>
          <w:sz w:val="24"/>
          <w:szCs w:val="24"/>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40" w:type="dxa"/>
            <w:vAlign w:val="bottom"/>
            <w:gridSpan w:val="2"/>
          </w:tcPr>
          <w:p>
            <w:pPr>
              <w:ind w:left="8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40" w:type="dxa"/>
            <w:vAlign w:val="bottom"/>
            <w:gridSpan w:val="2"/>
          </w:tcPr>
          <w:p>
            <w:pPr>
              <w:ind w:left="80"/>
              <w:spacing w:after="0"/>
              <w:rPr>
                <w:sz w:val="20"/>
                <w:szCs w:val="20"/>
                <w:color w:val="auto"/>
              </w:rPr>
            </w:pPr>
            <w:r>
              <w:rPr>
                <w:rFonts w:ascii="Arial" w:cs="Arial" w:eastAsia="Arial" w:hAnsi="Arial"/>
                <w:sz w:val="18"/>
                <w:szCs w:val="18"/>
                <w:color w:val="auto"/>
              </w:rPr>
              <w:t>The following exhibits are filed herewith:</w:t>
            </w:r>
          </w:p>
        </w:tc>
      </w:tr>
      <w:tr>
        <w:trPr>
          <w:trHeight w:val="405"/>
        </w:trPr>
        <w:tc>
          <w:tcPr>
            <w:tcW w:w="11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5"/>
              </w:rPr>
              <w:t>Exhibit No.</w:t>
            </w:r>
          </w:p>
        </w:tc>
        <w:tc>
          <w:tcPr>
            <w:tcW w:w="300" w:type="dxa"/>
            <w:vAlign w:val="bottom"/>
          </w:tcPr>
          <w:p>
            <w:pPr>
              <w:spacing w:after="0"/>
              <w:rPr>
                <w:sz w:val="24"/>
                <w:szCs w:val="24"/>
                <w:color w:val="auto"/>
              </w:rPr>
            </w:pPr>
          </w:p>
        </w:tc>
        <w:tc>
          <w:tcPr>
            <w:tcW w:w="9940" w:type="dxa"/>
            <w:vAlign w:val="bottom"/>
          </w:tcPr>
          <w:p>
            <w:pPr>
              <w:jc w:val="right"/>
              <w:ind w:right="4539"/>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9940" w:type="dxa"/>
            <w:vAlign w:val="bottom"/>
            <w:tcBorders>
              <w:top w:val="single" w:sz="8" w:color="auto"/>
            </w:tcBorders>
          </w:tcPr>
          <w:p>
            <w:pPr>
              <w:jc w:val="right"/>
              <w:ind w:right="7139"/>
              <w:spacing w:after="0"/>
              <w:rPr>
                <w:sz w:val="20"/>
                <w:szCs w:val="20"/>
                <w:color w:val="auto"/>
              </w:rPr>
            </w:pPr>
            <w:r>
              <w:rPr>
                <w:rFonts w:ascii="Arial" w:cs="Arial" w:eastAsia="Arial" w:hAnsi="Arial"/>
                <w:sz w:val="18"/>
                <w:szCs w:val="18"/>
                <w:color w:val="auto"/>
                <w:w w:val="88"/>
              </w:rPr>
              <w:t>Press Release issued on April 4, 2007</w:t>
            </w:r>
          </w:p>
        </w:tc>
      </w:tr>
      <w:tr>
        <w:trPr>
          <w:trHeight w:val="85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4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p>
      <w:pPr>
        <w:ind w:left="662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20"/>
          </w:cols>
          <w:pgMar w:left="240" w:top="530" w:right="239" w:bottom="21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April 4, 2007</w:t>
            </w:r>
          </w:p>
        </w:tc>
        <w:tc>
          <w:tcPr>
            <w:tcW w:w="3800" w:type="dxa"/>
            <w:vAlign w:val="bottom"/>
          </w:tcPr>
          <w:p>
            <w:pPr>
              <w:ind w:left="308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 G. Stover, Jr.</w:t>
            </w:r>
          </w:p>
        </w:tc>
      </w:tr>
      <w:tr>
        <w:trPr>
          <w:trHeight w:val="195"/>
        </w:trPr>
        <w:tc>
          <w:tcPr>
            <w:tcW w:w="3540" w:type="dxa"/>
            <w:vAlign w:val="bottom"/>
          </w:tcPr>
          <w:p>
            <w:pPr>
              <w:spacing w:after="0"/>
              <w:rPr>
                <w:sz w:val="16"/>
                <w:szCs w:val="16"/>
                <w:color w:val="auto"/>
              </w:rPr>
            </w:pPr>
          </w:p>
        </w:tc>
        <w:tc>
          <w:tcPr>
            <w:tcW w:w="3800" w:type="dxa"/>
            <w:vAlign w:val="bottom"/>
          </w:tcPr>
          <w:p>
            <w:pPr>
              <w:ind w:left="308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r>
      <w:tr>
        <w:trPr>
          <w:trHeight w:val="216"/>
        </w:trPr>
        <w:tc>
          <w:tcPr>
            <w:tcW w:w="3540" w:type="dxa"/>
            <w:vAlign w:val="bottom"/>
          </w:tcPr>
          <w:p>
            <w:pPr>
              <w:spacing w:after="0"/>
              <w:rPr>
                <w:sz w:val="18"/>
                <w:szCs w:val="18"/>
                <w:color w:val="auto"/>
              </w:rPr>
            </w:pPr>
          </w:p>
        </w:tc>
        <w:tc>
          <w:tcPr>
            <w:tcW w:w="3800" w:type="dxa"/>
            <w:vAlign w:val="bottom"/>
          </w:tcPr>
          <w:p>
            <w:pPr>
              <w:ind w:left="3080"/>
              <w:spacing w:after="0"/>
              <w:rPr>
                <w:sz w:val="20"/>
                <w:szCs w:val="20"/>
                <w:color w:val="auto"/>
              </w:rPr>
            </w:pPr>
            <w:r>
              <w:rPr>
                <w:rFonts w:ascii="Arial" w:cs="Arial" w:eastAsia="Arial" w:hAnsi="Arial"/>
                <w:sz w:val="18"/>
                <w:szCs w:val="18"/>
                <w:color w:val="auto"/>
              </w:rPr>
              <w:t>Title:</w:t>
            </w:r>
          </w:p>
        </w:tc>
        <w:tc>
          <w:tcPr>
            <w:tcW w:w="4080" w:type="dxa"/>
            <w:vAlign w:val="bottom"/>
          </w:tcPr>
          <w:p>
            <w:pPr>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35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3540" w:type="dxa"/>
            <w:vAlign w:val="bottom"/>
          </w:tcPr>
          <w:p>
            <w:pPr>
              <w:spacing w:after="0"/>
              <w:rPr>
                <w:sz w:val="24"/>
                <w:szCs w:val="24"/>
                <w:color w:val="auto"/>
              </w:rPr>
            </w:pPr>
          </w:p>
        </w:tc>
        <w:tc>
          <w:tcPr>
            <w:tcW w:w="3800" w:type="dxa"/>
            <w:vAlign w:val="bottom"/>
          </w:tcPr>
          <w:p>
            <w:pPr>
              <w:jc w:val="right"/>
              <w:ind w:right="1490"/>
              <w:spacing w:after="0"/>
              <w:rPr>
                <w:sz w:val="20"/>
                <w:szCs w:val="20"/>
                <w:color w:val="auto"/>
              </w:rPr>
            </w:pPr>
            <w:r>
              <w:rPr>
                <w:rFonts w:ascii="Arial" w:cs="Arial" w:eastAsia="Arial" w:hAnsi="Arial"/>
                <w:sz w:val="18"/>
                <w:szCs w:val="18"/>
                <w:color w:val="auto"/>
              </w:rPr>
              <w:t>3</w:t>
            </w:r>
          </w:p>
        </w:tc>
        <w:tc>
          <w:tcPr>
            <w:tcW w:w="4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 DATED APRIL 4, 2007</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0420" w:type="dxa"/>
            <w:vAlign w:val="bottom"/>
          </w:tcPr>
          <w:p>
            <w:pPr>
              <w:jc w:val="right"/>
              <w:ind w:right="477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10420" w:type="dxa"/>
            <w:vAlign w:val="bottom"/>
            <w:tcBorders>
              <w:top w:val="single" w:sz="8" w:color="auto"/>
            </w:tcBorders>
          </w:tcPr>
          <w:p>
            <w:pPr>
              <w:jc w:val="right"/>
              <w:ind w:right="7619"/>
              <w:spacing w:after="0"/>
              <w:rPr>
                <w:sz w:val="20"/>
                <w:szCs w:val="20"/>
                <w:color w:val="auto"/>
              </w:rPr>
            </w:pPr>
            <w:r>
              <w:rPr>
                <w:rFonts w:ascii="Arial" w:cs="Arial" w:eastAsia="Arial" w:hAnsi="Arial"/>
                <w:sz w:val="18"/>
                <w:szCs w:val="18"/>
                <w:color w:val="auto"/>
                <w:w w:val="88"/>
              </w:rPr>
              <w:t>Press Release issued on April 4, 2007</w:t>
            </w:r>
          </w:p>
        </w:tc>
        <w:tc>
          <w:tcPr>
            <w:tcW w:w="40" w:type="dxa"/>
            <w:vAlign w:val="bottom"/>
          </w:tcPr>
          <w:p>
            <w:pPr>
              <w:spacing w:after="0"/>
              <w:rPr>
                <w:sz w:val="19"/>
                <w:szCs w:val="19"/>
                <w:color w:val="auto"/>
              </w:rPr>
            </w:pPr>
          </w:p>
        </w:tc>
      </w:tr>
      <w:tr>
        <w:trPr>
          <w:trHeight w:val="85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8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460" w:type="dxa"/>
            <w:vAlign w:val="bottom"/>
          </w:tcPr>
          <w:p>
            <w:pPr>
              <w:spacing w:after="0"/>
              <w:rPr>
                <w:sz w:val="20"/>
                <w:szCs w:val="20"/>
                <w:color w:val="auto"/>
              </w:rPr>
            </w:pP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Contacts:</w:t>
            </w:r>
          </w:p>
        </w:tc>
        <w:tc>
          <w:tcPr>
            <w:tcW w:w="2500" w:type="dxa"/>
            <w:vAlign w:val="bottom"/>
          </w:tcPr>
          <w:p>
            <w:pPr>
              <w:ind w:left="200"/>
              <w:spacing w:after="0"/>
              <w:rPr>
                <w:sz w:val="20"/>
                <w:szCs w:val="20"/>
                <w:color w:val="auto"/>
              </w:rPr>
            </w:pPr>
            <w:r>
              <w:rPr>
                <w:rFonts w:ascii="Arial" w:cs="Arial" w:eastAsia="Arial" w:hAnsi="Arial"/>
                <w:sz w:val="18"/>
                <w:szCs w:val="18"/>
                <w:color w:val="auto"/>
              </w:rPr>
              <w:t>Kipp A. Bedard</w:t>
            </w:r>
          </w:p>
        </w:tc>
        <w:tc>
          <w:tcPr>
            <w:tcW w:w="2460" w:type="dxa"/>
            <w:vAlign w:val="bottom"/>
          </w:tcPr>
          <w:p>
            <w:pPr>
              <w:ind w:left="680"/>
              <w:spacing w:after="0"/>
              <w:rPr>
                <w:sz w:val="20"/>
                <w:szCs w:val="20"/>
                <w:color w:val="auto"/>
              </w:rPr>
            </w:pPr>
            <w:r>
              <w:rPr>
                <w:rFonts w:ascii="Arial" w:cs="Arial" w:eastAsia="Arial" w:hAnsi="Arial"/>
                <w:sz w:val="18"/>
                <w:szCs w:val="18"/>
                <w:color w:val="auto"/>
              </w:rPr>
              <w:t>Daniel Francisco</w:t>
            </w:r>
          </w:p>
        </w:tc>
      </w:tr>
      <w:tr>
        <w:trPr>
          <w:trHeight w:val="216"/>
        </w:trPr>
        <w:tc>
          <w:tcPr>
            <w:tcW w:w="90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Investor Relations</w:t>
            </w:r>
          </w:p>
        </w:tc>
        <w:tc>
          <w:tcPr>
            <w:tcW w:w="2460" w:type="dxa"/>
            <w:vAlign w:val="bottom"/>
          </w:tcPr>
          <w:p>
            <w:pPr>
              <w:ind w:left="680"/>
              <w:spacing w:after="0"/>
              <w:rPr>
                <w:sz w:val="20"/>
                <w:szCs w:val="20"/>
                <w:color w:val="auto"/>
              </w:rPr>
            </w:pPr>
            <w:r>
              <w:rPr>
                <w:rFonts w:ascii="Arial" w:cs="Arial" w:eastAsia="Arial" w:hAnsi="Arial"/>
                <w:sz w:val="18"/>
                <w:szCs w:val="18"/>
                <w:color w:val="auto"/>
              </w:rPr>
              <w:t>Media Relations</w:t>
            </w:r>
          </w:p>
        </w:tc>
      </w:tr>
      <w:tr>
        <w:trPr>
          <w:trHeight w:val="216"/>
        </w:trPr>
        <w:tc>
          <w:tcPr>
            <w:tcW w:w="90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kbedard@micron.com</w:t>
            </w:r>
          </w:p>
        </w:tc>
        <w:tc>
          <w:tcPr>
            <w:tcW w:w="2460" w:type="dxa"/>
            <w:vAlign w:val="bottom"/>
          </w:tcPr>
          <w:p>
            <w:pPr>
              <w:ind w:left="68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900" w:type="dxa"/>
            <w:vAlign w:val="bottom"/>
          </w:tcPr>
          <w:p>
            <w:pPr>
              <w:spacing w:after="0"/>
              <w:rPr>
                <w:sz w:val="20"/>
                <w:szCs w:val="20"/>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(208) 368-4400</w:t>
            </w:r>
          </w:p>
        </w:tc>
        <w:tc>
          <w:tcPr>
            <w:tcW w:w="2460" w:type="dxa"/>
            <w:vAlign w:val="bottom"/>
          </w:tcPr>
          <w:p>
            <w:pPr>
              <w:ind w:left="68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OF FISCAL 2007</w:t>
      </w:r>
    </w:p>
    <w:p>
      <w:pPr>
        <w:spacing w:after="0" w:line="207"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BOISE, Idaho</w:t>
      </w:r>
      <w:r>
        <w:rPr>
          <w:rFonts w:ascii="Arial" w:cs="Arial" w:eastAsia="Arial" w:hAnsi="Arial"/>
          <w:sz w:val="17"/>
          <w:szCs w:val="17"/>
          <w:color w:val="auto"/>
        </w:rPr>
        <w:t>, April 4, 2007 – Micron Technology, Inc., (NYSE: MU) today announced financial results for its second quarter and first six months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2007, which ended March 1. For the first six months of fiscal 2007, the Company earned net income of $63 million ($0.08 per diluted share) on net sales of $2.96 billion. For the second quarter, the Company incurred a net loss of $52 million ($0.07 per diluted share) on net sales of $1.43 billion.</w:t>
      </w:r>
    </w:p>
    <w:p>
      <w:pPr>
        <w:spacing w:after="0" w:line="1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Megabit sales of memory products increased approximately 35 percent in the second quarter of fiscal 2007 compared to the first quarter. During the second quarter, the Company increased its production of DRAM and NAND flash memory products by 15 percent and 60 percent, respectively, resulting from improved DRAM manufacturing efficiencies and the ramp of NAND production in Virginia. Memory production slightly outpaced memory sales in the second quarter, leading to a higher level of finished goods inventories. As a result of the higher levels of production, the Company’s per megabit manufacturing costs for DRAM and NAND flash memory products decreased approximately 15 percent and 25 percent, respectively, in the second quarter compared to the first.</w:t>
      </w:r>
    </w:p>
    <w:p>
      <w:pPr>
        <w:spacing w:after="0" w:line="193" w:lineRule="exact"/>
        <w:rPr>
          <w:sz w:val="20"/>
          <w:szCs w:val="20"/>
          <w:color w:val="auto"/>
        </w:rPr>
      </w:pPr>
    </w:p>
    <w:p>
      <w:pPr>
        <w:ind w:right="600" w:firstLine="648"/>
        <w:spacing w:after="0" w:line="312" w:lineRule="auto"/>
        <w:rPr>
          <w:sz w:val="20"/>
          <w:szCs w:val="20"/>
          <w:color w:val="auto"/>
        </w:rPr>
      </w:pPr>
      <w:r>
        <w:rPr>
          <w:rFonts w:ascii="Arial" w:cs="Arial" w:eastAsia="Arial" w:hAnsi="Arial"/>
          <w:sz w:val="16"/>
          <w:szCs w:val="16"/>
          <w:color w:val="auto"/>
        </w:rPr>
        <w:t>“We are pleased with the ramp of our NAND flash production at our Virginia and Utah facilities,” said Micron Chief Operating Officer Mark Durcan. “Both operations are executing well and proving the production worthiness of our advanced NAND technology. Additionally, our TECH Semiconductor joint venture fab in Singapore is progressing ahead of schedule on its 300 mm conversion and ramp of advanced DRAM devices.”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Market conditions in the second quarter of fiscal 2007 for the Company’s memory products led to significant declines in average selling prices for much of the Company’s product portfolio. Decreases in the Company’s costs of NAND flash memory products were eclipsed by a nearly 30 percent reduction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average selling prices in the second quarter. Cost decreases for DRAM products approximated the decreases in average selling prices, resulting in relatively stable gross margins for DRAM products when comparing the second and first quarters of fiscal 2007. The Company’s sales of CMOS image sensors in the second quarter decreased from the first quarter due to weakness in the mobile handset market, increased competition and shifts in market mix towards lower value VGA-based camera phones.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Steve Appleton, Micron Chairman, CEO and President, commented, “Notwithstanding current, challenging market conditions, the size of the markets for our semiconductor products continues to grow at an impressive rate. Our broad product portfolio, coupled with our expanded capacity, leaves us well positioned to leverage our investments in technology.”</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In the second quarter, the Company received proceeds of $309 million from incremental equipment financing and capital contributions from joint venture partners of $259 million. The Company ended the second quarter with $2.2 billion in consolidated cash and short-term investments. Subsequent to quarter end on March 30, 2007, the Company acquired the ownership interest in TECH Semiconductor previously held by the Singapore Economic Development Board with the resulting ownership interest held by the Company increasing to 73 percent.</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Company will host a conference call today at 2:30 p.m. MDT to discuss its financial results. The call, audio and slides will be available online at www.micron.com. A webcast replay will be available on the Company’s Web site until April 4, 2008. A taped audio replay of the conference call will also be available at (973) 341-3080 (conference number: 8533070) beginning at 5:30 p.m. MDT today and continuing until 5:30 p.m. MDT on April 11, 2007.</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visit www.micron.com.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2nd Qtr.</w:t>
            </w: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1st Qtr.</w:t>
            </w:r>
          </w:p>
        </w:tc>
        <w:tc>
          <w:tcPr>
            <w:tcW w:w="1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2nd Qtr.</w:t>
            </w:r>
          </w:p>
        </w:tc>
        <w:tc>
          <w:tcPr>
            <w:tcW w:w="36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gridSpan w:val="2"/>
            <w:vMerge w:val="restart"/>
          </w:tcPr>
          <w:p>
            <w:pPr>
              <w:jc w:val="center"/>
              <w:ind w:right="160"/>
              <w:spacing w:after="0" w:line="145" w:lineRule="exact"/>
              <w:rPr>
                <w:sz w:val="20"/>
                <w:szCs w:val="20"/>
                <w:color w:val="auto"/>
              </w:rPr>
            </w:pPr>
            <w:r>
              <w:rPr>
                <w:rFonts w:ascii="Arial" w:cs="Arial" w:eastAsia="Arial" w:hAnsi="Arial"/>
                <w:sz w:val="14"/>
                <w:szCs w:val="14"/>
                <w:b w:val="1"/>
                <w:bCs w:val="1"/>
                <w:color w:val="auto"/>
                <w:w w:val="99"/>
              </w:rPr>
              <w:t>Mar. 1,</w:t>
            </w: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w w:val="93"/>
              </w:rPr>
              <w:t>Nov. 30,</w:t>
            </w:r>
          </w:p>
        </w:tc>
        <w:tc>
          <w:tcPr>
            <w:tcW w:w="100" w:type="dxa"/>
            <w:vAlign w:val="bottom"/>
          </w:tcPr>
          <w:p>
            <w:pPr>
              <w:spacing w:after="0" w:line="20" w:lineRule="exact"/>
              <w:rPr>
                <w:sz w:val="1"/>
                <w:szCs w:val="1"/>
                <w:color w:val="auto"/>
              </w:rPr>
            </w:pPr>
          </w:p>
        </w:tc>
        <w:tc>
          <w:tcPr>
            <w:tcW w:w="1120" w:type="dxa"/>
            <w:vAlign w:val="bottom"/>
            <w:gridSpan w:val="2"/>
            <w:vMerge w:val="restart"/>
          </w:tcPr>
          <w:p>
            <w:pPr>
              <w:jc w:val="center"/>
              <w:ind w:right="440"/>
              <w:spacing w:after="0" w:line="145" w:lineRule="exact"/>
              <w:rPr>
                <w:sz w:val="20"/>
                <w:szCs w:val="20"/>
                <w:color w:val="auto"/>
              </w:rPr>
            </w:pPr>
            <w:r>
              <w:rPr>
                <w:rFonts w:ascii="Arial" w:cs="Arial" w:eastAsia="Arial" w:hAnsi="Arial"/>
                <w:sz w:val="14"/>
                <w:szCs w:val="14"/>
                <w:b w:val="1"/>
                <w:bCs w:val="1"/>
                <w:color w:val="auto"/>
                <w:w w:val="98"/>
              </w:rPr>
              <w:t>Mar.2,</w:t>
            </w:r>
          </w:p>
        </w:tc>
        <w:tc>
          <w:tcPr>
            <w:tcW w:w="3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tcPr>
          <w:p>
            <w:pPr>
              <w:jc w:val="right"/>
              <w:ind w:right="400"/>
              <w:spacing w:after="0" w:line="102" w:lineRule="exact"/>
              <w:rPr>
                <w:sz w:val="20"/>
                <w:szCs w:val="20"/>
                <w:color w:val="auto"/>
              </w:rPr>
            </w:pPr>
            <w:r>
              <w:rPr>
                <w:rFonts w:ascii="Arial" w:cs="Arial" w:eastAsia="Arial" w:hAnsi="Arial"/>
                <w:sz w:val="11"/>
                <w:szCs w:val="11"/>
                <w:b w:val="1"/>
                <w:bCs w:val="1"/>
                <w:color w:val="auto"/>
              </w:rPr>
              <w:t>Mar. 1,</w:t>
            </w:r>
          </w:p>
        </w:tc>
        <w:tc>
          <w:tcPr>
            <w:tcW w:w="660" w:type="dxa"/>
            <w:vAlign w:val="bottom"/>
          </w:tcPr>
          <w:p>
            <w:pPr>
              <w:jc w:val="right"/>
              <w:ind w:right="36"/>
              <w:spacing w:after="0" w:line="102" w:lineRule="exact"/>
              <w:rPr>
                <w:sz w:val="20"/>
                <w:szCs w:val="20"/>
                <w:color w:val="auto"/>
              </w:rPr>
            </w:pPr>
            <w:r>
              <w:rPr>
                <w:rFonts w:ascii="Arial" w:cs="Arial" w:eastAsia="Arial" w:hAnsi="Arial"/>
                <w:sz w:val="11"/>
                <w:szCs w:val="11"/>
                <w:b w:val="1"/>
                <w:bCs w:val="1"/>
                <w:color w:val="auto"/>
              </w:rPr>
              <w:t>Mar. 2,</w:t>
            </w: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2006</w:t>
            </w:r>
          </w:p>
        </w:tc>
        <w:tc>
          <w:tcPr>
            <w:tcW w:w="160" w:type="dxa"/>
            <w:vAlign w:val="bottom"/>
          </w:tcPr>
          <w:p>
            <w:pPr>
              <w:spacing w:after="0"/>
              <w:rPr>
                <w:sz w:val="14"/>
                <w:szCs w:val="14"/>
                <w:color w:val="auto"/>
              </w:rPr>
            </w:pPr>
          </w:p>
        </w:tc>
        <w:tc>
          <w:tcPr>
            <w:tcW w:w="7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04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1,427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1,225</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2,957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2,587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goods sold</w:t>
            </w:r>
          </w:p>
        </w:tc>
        <w:tc>
          <w:tcPr>
            <w:tcW w:w="700" w:type="dxa"/>
            <w:vAlign w:val="bottom"/>
          </w:tcPr>
          <w:p>
            <w:pPr>
              <w:jc w:val="right"/>
              <w:spacing w:after="0"/>
              <w:rPr>
                <w:sz w:val="20"/>
                <w:szCs w:val="20"/>
                <w:color w:val="auto"/>
              </w:rPr>
            </w:pPr>
            <w:r>
              <w:rPr>
                <w:rFonts w:ascii="Arial" w:cs="Arial" w:eastAsia="Arial" w:hAnsi="Arial"/>
                <w:sz w:val="18"/>
                <w:szCs w:val="18"/>
                <w:color w:val="auto"/>
              </w:rPr>
              <w:t>1,070</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2,158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(219)</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tax (provision) (2)</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714.6</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776.3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710.6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SUMMARY,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ind w:right="13"/>
              <w:spacing w:after="0" w:line="102" w:lineRule="exact"/>
              <w:rPr>
                <w:sz w:val="20"/>
                <w:szCs w:val="20"/>
                <w:color w:val="auto"/>
              </w:rPr>
            </w:pPr>
            <w:r>
              <w:rPr>
                <w:rFonts w:ascii="Arial" w:cs="Arial" w:eastAsia="Arial" w:hAnsi="Arial"/>
                <w:sz w:val="11"/>
                <w:szCs w:val="11"/>
                <w:b w:val="1"/>
                <w:bCs w:val="1"/>
                <w:color w:val="auto"/>
              </w:rPr>
              <w:t>Mar. 1,</w:t>
            </w:r>
          </w:p>
        </w:tc>
        <w:tc>
          <w:tcPr>
            <w:tcW w:w="280" w:type="dxa"/>
            <w:vAlign w:val="bottom"/>
          </w:tcPr>
          <w:p>
            <w:pPr>
              <w:spacing w:after="0"/>
              <w:rPr>
                <w:sz w:val="8"/>
                <w:szCs w:val="8"/>
                <w:color w:val="auto"/>
              </w:rPr>
            </w:pPr>
          </w:p>
        </w:tc>
        <w:tc>
          <w:tcPr>
            <w:tcW w:w="92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rPr>
              <w:t>Nov. 30,</w:t>
            </w:r>
          </w:p>
        </w:tc>
        <w:tc>
          <w:tcPr>
            <w:tcW w:w="660" w:type="dxa"/>
            <w:vAlign w:val="bottom"/>
            <w:gridSpan w:val="2"/>
          </w:tcPr>
          <w:p>
            <w:pPr>
              <w:jc w:val="right"/>
              <w:ind w:right="13"/>
              <w:spacing w:after="0" w:line="102" w:lineRule="exact"/>
              <w:rPr>
                <w:sz w:val="20"/>
                <w:szCs w:val="20"/>
                <w:color w:val="auto"/>
              </w:rPr>
            </w:pPr>
            <w:r>
              <w:rPr>
                <w:rFonts w:ascii="Arial" w:cs="Arial" w:eastAsia="Arial" w:hAnsi="Arial"/>
                <w:sz w:val="11"/>
                <w:szCs w:val="11"/>
                <w:b w:val="1"/>
                <w:bCs w:val="1"/>
                <w:color w:val="auto"/>
              </w:rPr>
              <w:t>Aug. 31,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Receivables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current 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Long-term debt (3)</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 (4)</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8,249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8,279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2"/>
          </w:tcPr>
          <w:p>
            <w:pPr>
              <w:jc w:val="center"/>
              <w:ind w:right="380"/>
              <w:spacing w:after="0" w:line="102" w:lineRule="exact"/>
              <w:rPr>
                <w:sz w:val="20"/>
                <w:szCs w:val="20"/>
                <w:color w:val="auto"/>
              </w:rPr>
            </w:pPr>
            <w:r>
              <w:rPr>
                <w:rFonts w:ascii="Arial" w:cs="Arial" w:eastAsia="Arial" w:hAnsi="Arial"/>
                <w:sz w:val="11"/>
                <w:szCs w:val="11"/>
                <w:b w:val="1"/>
                <w:bCs w:val="1"/>
                <w:color w:val="auto"/>
              </w:rPr>
              <w:t>Mar. 1,</w:t>
            </w: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ind w:right="33"/>
              <w:spacing w:after="0" w:line="102" w:lineRule="exact"/>
              <w:rPr>
                <w:sz w:val="20"/>
                <w:szCs w:val="20"/>
                <w:color w:val="auto"/>
              </w:rPr>
            </w:pPr>
            <w:r>
              <w:rPr>
                <w:rFonts w:ascii="Arial" w:cs="Arial" w:eastAsia="Arial" w:hAnsi="Arial"/>
                <w:sz w:val="11"/>
                <w:szCs w:val="11"/>
                <w:b w:val="1"/>
                <w:bCs w:val="1"/>
                <w:color w:val="auto"/>
              </w:rPr>
              <w:t>Mar.2,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from joint venture partners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 w:hanging="352"/>
        <w:spacing w:after="0" w:line="255"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expense for the first six months of 2007 includes $10 million from gains on disposals of semiconductor equipment. Other operating income for the first quarter of fiscal 2007 includes a gain of $30 million from the sale of certain intellectual property to Toshiba Corporation. Other operating expense in the first quarter of fiscal 2007 includes net losses of $8 million from changes in currency exchange rates. Other operating income for the second quarter of 2006 includes $230 million of net proceeds from Intel Corporation for the sale of the Company’s existing NAND Flash memory designs and certain related technology and the Company’s acquisition of a perpetual, paid-up license to use and modify such designs. Other operating expense for the second quarter and first six months of 2006 includes $9 million and $9 million, respectively, from losses net of gains on write-downs and disposals of semiconductor equipment.</w:t>
      </w:r>
    </w:p>
    <w:p>
      <w:pPr>
        <w:spacing w:after="0" w:line="189" w:lineRule="exact"/>
        <w:rPr>
          <w:rFonts w:ascii="Arial" w:cs="Arial" w:eastAsia="Arial" w:hAnsi="Arial"/>
          <w:sz w:val="18"/>
          <w:szCs w:val="18"/>
          <w:color w:val="auto"/>
        </w:rPr>
      </w:pPr>
    </w:p>
    <w:p>
      <w:pPr>
        <w:ind w:left="360" w:right="180" w:hanging="352"/>
        <w:spacing w:after="0" w:line="277"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2007 and 2006 primarily reflect taxes on the Company’s non-U.S. operations and U.S. alternative minimum tax. The Company has a valuation allowance for its net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right="100"/>
        <w:spacing w:after="0" w:line="257" w:lineRule="auto"/>
        <w:rPr>
          <w:sz w:val="20"/>
          <w:szCs w:val="20"/>
          <w:color w:val="auto"/>
        </w:rPr>
      </w:pPr>
      <w:r>
        <w:rPr>
          <w:rFonts w:ascii="Arial" w:cs="Arial" w:eastAsia="Arial" w:hAnsi="Arial"/>
          <w:sz w:val="18"/>
          <w:szCs w:val="18"/>
          <w:color w:val="auto"/>
        </w:rPr>
        <w:t>associated with its U.S. operations. The provision for taxes on U.S. operations in 2007 and 2006 was substantially offset by reductions in the valuation allowance. As of March 1, 2007, the Company had aggregate U.S. tax net operating loss carryforwards of $1.5 billion and unused U.S. tax credit carryforwards of $191 million. The Company also has unused state tax net operating loss carryforwards of $1.4 billion and unused state tax credits of $169 million. Substantially all of the net operating loss carryforwards expire in 2022 to 2025 and substantially all of the tax credit carryforwards expire in 2013 to 2026.</w:t>
      </w:r>
    </w:p>
    <w:p>
      <w:pPr>
        <w:spacing w:after="0" w:line="188" w:lineRule="exact"/>
        <w:rPr>
          <w:sz w:val="20"/>
          <w:szCs w:val="20"/>
          <w:color w:val="auto"/>
        </w:rPr>
      </w:pPr>
    </w:p>
    <w:p>
      <w:pPr>
        <w:ind w:left="360" w:right="560" w:hanging="352"/>
        <w:spacing w:after="0" w:line="277" w:lineRule="auto"/>
        <w:tabs>
          <w:tab w:leader="none" w:pos="38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second quarter of fiscal 2007, the Company received $309 million in proceeds from equipment financing arrangements payable in periodic installments over the next five years.</w:t>
      </w:r>
    </w:p>
    <w:p>
      <w:pPr>
        <w:sectPr>
          <w:pgSz w:w="11900" w:h="16838" w:orient="portrait"/>
          <w:cols w:equalWidth="0" w:num="1">
            <w:col w:w="11420"/>
          </w:cols>
          <w:pgMar w:left="240" w:top="120" w:right="239" w:bottom="0" w:gutter="0" w:footer="0" w:header="0"/>
        </w:sectPr>
      </w:pPr>
    </w:p>
    <w:bookmarkStart w:id="4" w:name="page5"/>
    <w:bookmarkEnd w:id="4"/>
    <w:p>
      <w:pPr>
        <w:ind w:left="352" w:hanging="352"/>
        <w:spacing w:after="0" w:line="264" w:lineRule="auto"/>
        <w:tabs>
          <w:tab w:leader="none" w:pos="377"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to second quarter end, effective March 30, 2007, the Company acquired all of the shares of TECH Semiconductor Singapore Pte. Ltd. (“TECH”) common stock held by the Singapore Economic Development Board for approximately $290 million payable over nine months. As a result of the acquisition, the Company’s ownership interest in TECH increased from 43% to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756920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12"/>
      </w:cols>
      <w:pgMar w:left="248"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2019-12-13T13:00:44Z</dcterms:created>
  <dcterms:modified xsi:type="dcterms:W3CDTF">2019-12-13T13:00:44Z</dcterms:modified>
</cp:coreProperties>
</file>