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16,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20" w:space="720"/>
            <w:col w:w="294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340"/>
        <w:spacing w:after="0" w:line="297" w:lineRule="auto"/>
        <w:rPr>
          <w:sz w:val="20"/>
          <w:szCs w:val="20"/>
          <w:color w:val="auto"/>
        </w:rPr>
      </w:pPr>
      <w:r>
        <w:rPr>
          <w:rFonts w:ascii="Arial" w:cs="Arial" w:eastAsia="Arial" w:hAnsi="Arial"/>
          <w:sz w:val="16"/>
          <w:szCs w:val="16"/>
          <w:color w:val="auto"/>
        </w:rPr>
        <w:t>On October 16, 2017, J.P. Morgan Securities LLC, as underwriter (the “Underwriter”), of Micron Technology, Inc.’s (“Micron”) previously consummated public offering of Micron’s common stock, par value $0.10 per share (the “Common Stock”), notified Micron of the Underwriter’s exercise in full of its option to purchase approximately an additional 4.4 million shares of Common Stock (the “Option Shares”). The Option Shares were sold pursuant to a Registration Statement on Form S-3 (File No. 333-220882) (the “Registration Statement”) and a related prospectus, including the related prospectus supplement, filed with the Securities and Exchange Commission (the “Offering”). On October 19, 2017, Micron issued the Option Shares.</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 connection with the Offering, the legal opinion as to the legality of the Common Stock sold is being filed as Exhibit 5.1 to this Current Report on Form 8-K and is incorporated by reference herein.</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following exhibits are filed herewith:</w:t>
      </w:r>
    </w:p>
    <w:p>
      <w:pPr>
        <w:sectPr>
          <w:pgSz w:w="11900" w:h="16838" w:orient="portrait"/>
          <w:cols w:equalWidth="0" w:num="1">
            <w:col w:w="11420"/>
          </w:cols>
          <w:pgMar w:left="240" w:top="544"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
          </w:tcPr>
          <w:p>
            <w:pPr>
              <w:ind w:left="45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5.1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Opinion of Wilson Sonsini Goodrich &amp; Rosati, Professional Corporation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580" w:type="dxa"/>
            <w:vAlign w:val="bottom"/>
            <w:gridSpan w:val="3"/>
          </w:tcPr>
          <w:p>
            <w:pPr>
              <w:jc w:val="center"/>
              <w:ind w:left="3430"/>
              <w:spacing w:after="0"/>
              <w:rPr>
                <w:sz w:val="20"/>
                <w:szCs w:val="20"/>
                <w:color w:val="auto"/>
              </w:rPr>
            </w:pPr>
            <w:r>
              <w:rPr>
                <w:rFonts w:ascii="Arial" w:cs="Arial" w:eastAsia="Arial" w:hAnsi="Arial"/>
                <w:sz w:val="18"/>
                <w:szCs w:val="18"/>
                <w:color w:val="auto"/>
                <w:w w:val="99"/>
              </w:rPr>
              <w:t>3</w:t>
            </w:r>
          </w:p>
        </w:tc>
        <w:tc>
          <w:tcPr>
            <w:tcW w:w="1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5.1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Opinion of Wilson Sonsini Goodrich &amp; Rosati, Professional Corporation</w:t>
              </w:r>
            </w:hyperlink>
          </w:p>
        </w:tc>
        <w:tc>
          <w:tcPr>
            <w:tcW w:w="4680" w:type="dxa"/>
            <w:vAlign w:val="bottom"/>
            <w:tcBorders>
              <w:top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Consent of Wilson Sonsini Goodrich &amp; Rosati, Professional Corporation (included in Exhibit 5.1)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5220" w:type="dxa"/>
            <w:vAlign w:val="bottom"/>
            <w:tcBorders>
              <w:top w:val="single" w:sz="8" w:color="0000EE"/>
            </w:tcBorders>
          </w:tcPr>
          <w:p>
            <w:pPr>
              <w:jc w:val="center"/>
              <w:ind w:left="3076"/>
              <w:spacing w:after="0"/>
              <w:rPr>
                <w:sz w:val="20"/>
                <w:szCs w:val="20"/>
                <w:color w:val="auto"/>
              </w:rPr>
            </w:pPr>
            <w:r>
              <w:rPr>
                <w:rFonts w:ascii="Arial" w:cs="Arial" w:eastAsia="Arial" w:hAnsi="Arial"/>
                <w:sz w:val="18"/>
                <w:szCs w:val="18"/>
                <w:color w:val="auto"/>
                <w:w w:val="99"/>
              </w:rPr>
              <w:t>4</w:t>
            </w:r>
          </w:p>
        </w:tc>
        <w:tc>
          <w:tcPr>
            <w:tcW w:w="180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October 19, 2017</w:t>
            </w:r>
          </w:p>
        </w:tc>
        <w:tc>
          <w:tcPr>
            <w:tcW w:w="272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Ernest E. Maddock</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72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Ernest E. Maddock</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720" w:type="dxa"/>
            <w:vAlign w:val="bottom"/>
          </w:tcPr>
          <w:p>
            <w:pPr>
              <w:ind w:left="20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720" w:type="dxa"/>
            <w:vAlign w:val="bottom"/>
          </w:tcPr>
          <w:p>
            <w:pPr>
              <w:ind w:left="1980"/>
              <w:spacing w:after="0"/>
              <w:rPr>
                <w:sz w:val="20"/>
                <w:szCs w:val="20"/>
                <w:color w:val="auto"/>
              </w:rPr>
            </w:pPr>
            <w:r>
              <w:rPr>
                <w:rFonts w:ascii="Arial" w:cs="Arial" w:eastAsia="Arial" w:hAnsi="Arial"/>
                <w:sz w:val="18"/>
                <w:szCs w:val="18"/>
                <w:color w:val="auto"/>
              </w:rPr>
              <w:t>5</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4"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0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40" w:firstLine="648"/>
        <w:spacing w:after="0" w:line="289" w:lineRule="auto"/>
        <w:rPr>
          <w:sz w:val="20"/>
          <w:szCs w:val="20"/>
          <w:color w:val="auto"/>
        </w:rPr>
      </w:pPr>
      <w:r>
        <w:rPr>
          <w:rFonts w:ascii="Arial" w:cs="Arial" w:eastAsia="Arial" w:hAnsi="Arial"/>
          <w:sz w:val="16"/>
          <w:szCs w:val="16"/>
          <w:color w:val="auto"/>
        </w:rPr>
        <w:t>We have acted as special counsel to 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October 10, 2017 of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that is automatically effective under the Act pursuant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Rule 462(e) promulgated thereunder. The Registration Statement relates to, among other things, the proposed issuance and sale, from time to time,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of shares of the Company’s common stock, par value $0.10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the common stock purchase rights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Rights</w:t>
      </w:r>
      <w:r>
        <w:rPr>
          <w:rFonts w:ascii="Arial" w:cs="Arial" w:eastAsia="Arial" w:hAnsi="Arial"/>
          <w:sz w:val="16"/>
          <w:szCs w:val="16"/>
          <w:color w:val="auto"/>
        </w:rPr>
        <w:t>”) attached thereto issued pursuant to that certain Section 382 Rights Agreement, dated as of July 20, 2016 (the “</w:t>
      </w:r>
      <w:r>
        <w:rPr>
          <w:rFonts w:ascii="Arial" w:cs="Arial" w:eastAsia="Arial" w:hAnsi="Arial"/>
          <w:sz w:val="16"/>
          <w:szCs w:val="16"/>
          <w:b w:val="1"/>
          <w:bCs w:val="1"/>
          <w:color w:val="auto"/>
        </w:rPr>
        <w:t>Rights Agreement</w:t>
      </w:r>
      <w:r>
        <w:rPr>
          <w:rFonts w:ascii="Arial" w:cs="Arial" w:eastAsia="Arial" w:hAnsi="Arial"/>
          <w:sz w:val="16"/>
          <w:szCs w:val="16"/>
          <w:color w:val="auto"/>
        </w:rPr>
        <w:t>”),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Wells Fargo Bank, National Association, as rights agent (the “</w:t>
      </w:r>
      <w:r>
        <w:rPr>
          <w:rFonts w:ascii="Arial" w:cs="Arial" w:eastAsia="Arial" w:hAnsi="Arial"/>
          <w:sz w:val="16"/>
          <w:szCs w:val="16"/>
          <w:b w:val="1"/>
          <w:bCs w:val="1"/>
          <w:color w:val="auto"/>
        </w:rPr>
        <w:t>Rights Agent</w:t>
      </w:r>
      <w:r>
        <w:rPr>
          <w:rFonts w:ascii="Arial" w:cs="Arial" w:eastAsia="Arial" w:hAnsi="Arial"/>
          <w:sz w:val="16"/>
          <w:szCs w:val="16"/>
          <w:color w:val="auto"/>
        </w:rPr>
        <w:t>”), with an indeterminate amount as may at various times be issued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indeterminate prices, in reliance on Rule 456(b) and Rule 457(r) under the Act. The Common Stock are to be sold from time to time as set forth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the prospectus contained therein, and the supplements to the prospectus.</w:t>
      </w:r>
    </w:p>
    <w:p>
      <w:pPr>
        <w:spacing w:after="0" w:line="207"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Pursuant to the Registration Statement, the Company has issued and sold 4,390,244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and, together with the Rights attached thereto, the “</w:t>
      </w:r>
      <w:r>
        <w:rPr>
          <w:rFonts w:ascii="Arial" w:cs="Arial" w:eastAsia="Arial" w:hAnsi="Arial"/>
          <w:sz w:val="18"/>
          <w:szCs w:val="18"/>
          <w:b w:val="1"/>
          <w:bCs w:val="1"/>
          <w:color w:val="auto"/>
        </w:rPr>
        <w:t>Securities</w:t>
      </w:r>
      <w:r>
        <w:rPr>
          <w:rFonts w:ascii="Arial" w:cs="Arial" w:eastAsia="Arial" w:hAnsi="Arial"/>
          <w:sz w:val="18"/>
          <w:szCs w:val="18"/>
          <w:color w:val="auto"/>
        </w:rPr>
        <w:t>”), all of which will be sold pursuant to that certain Underwriting Agreement, dated October 11, 2017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between the Company and J.P. Morgan Securities LLC.</w:t>
      </w:r>
    </w:p>
    <w:p>
      <w:pPr>
        <w:spacing w:after="0" w:line="18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have examined the Registration Statement, together with the exhibits thereto and the documents incorporated by reference therein; the prospectus, dated October 10, 2017, together with the documents incorporated by reference therein, filed with the Registration Statement (the “</w:t>
      </w:r>
      <w:r>
        <w:rPr>
          <w:rFonts w:ascii="Arial" w:cs="Arial" w:eastAsia="Arial" w:hAnsi="Arial"/>
          <w:sz w:val="17"/>
          <w:szCs w:val="17"/>
          <w:b w:val="1"/>
          <w:bCs w:val="1"/>
          <w:color w:val="auto"/>
        </w:rPr>
        <w:t>Prospectus</w:t>
      </w:r>
      <w:r>
        <w:rPr>
          <w:rFonts w:ascii="Arial" w:cs="Arial" w:eastAsia="Arial" w:hAnsi="Arial"/>
          <w:sz w:val="17"/>
          <w:szCs w:val="17"/>
          <w:color w:val="auto"/>
        </w:rPr>
        <w:t>”); the preliminary prospectus supplement, dated October 10, 2017, in the form filed with the Commission pursuant to Rule 424(b) of the Securities Act relating to the offering of the Shares; and the final prospectus supplement, dated October 11, 2017, in the form filed with the Commission pursuant to Rule 424(b) of the Securities Act relating to the offering of the Shares (together with the Prospectus,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and (v) the legal capacity of all natural persons. As to any facts material to the opinions expressed herein that were not independently established or verified, we have relied upon oral or written statements and representations of officers and other representatives of the Company. In rendering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opinion, we have also assumed that the Rights Agreement has been duly authorized, executed and delivered by the Rights Agent and that the members of the Board of Directors of the Company (or a duly authorized committee thereof) (the “</w:t>
      </w:r>
      <w:r>
        <w:rPr>
          <w:rFonts w:ascii="Arial" w:cs="Arial" w:eastAsia="Arial" w:hAnsi="Arial"/>
          <w:sz w:val="17"/>
          <w:szCs w:val="17"/>
          <w:b w:val="1"/>
          <w:bCs w:val="1"/>
          <w:color w:val="auto"/>
        </w:rPr>
        <w:t>Board</w:t>
      </w:r>
      <w:r>
        <w:rPr>
          <w:rFonts w:ascii="Arial" w:cs="Arial" w:eastAsia="Arial" w:hAnsi="Arial"/>
          <w:sz w:val="17"/>
          <w:szCs w:val="17"/>
          <w:color w:val="auto"/>
        </w:rPr>
        <w:t>”) have acted in a manner consistent with their fiduciary duties as required under applicable law in adopting the Rights Agreement. This opinion does not address the determination a court of competent jurisdiction may make regarding whether the Board may be required to redeem or terminate, or take other action with respect to, the Rights in the future based on the facts and circumstances existing at that time. It should be understood that our opinion addresses the Rights and Rights Agreement in their entirety and not any particular provision of the Rights or the Rights Agreement and that it is not settled whether the invalidity of any particular provision of a tax benefit preservation plan or purchase rights issued thereunder would result in invalidating in their entirety such rights.</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express no opinion herein as to the laws of any state or jurisdiction, other than the Federal laws of the United States of America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225" w:lineRule="exact"/>
        <w:rPr>
          <w:sz w:val="20"/>
          <w:szCs w:val="20"/>
          <w:color w:val="auto"/>
        </w:rPr>
      </w:pPr>
    </w:p>
    <w:p>
      <w:pPr>
        <w:ind w:left="980" w:right="14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Shares, when issued, delivered and paid for in accordance with the terms of the Underwriting Agreement, will be validly issued, fully paid and nonassessable.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Rights attached to the Shares constitute valid and legally binding obligations of the Company, enforceable in accordance with their terms.</w:t>
      </w:r>
    </w:p>
    <w:p>
      <w:pPr>
        <w:spacing w:after="0" w:line="24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121" w:right="239" w:bottom="0" w:gutter="0" w:footer="0" w:header="0"/>
        </w:sectPr>
      </w:pPr>
    </w:p>
    <w:bookmarkStart w:id="3" w:name="page4"/>
    <w:bookmarkEnd w:id="3"/>
    <w:p>
      <w:pPr>
        <w:ind w:left="4520"/>
        <w:spacing w:after="0"/>
        <w:rPr>
          <w:sz w:val="20"/>
          <w:szCs w:val="20"/>
          <w:color w:val="auto"/>
        </w:rPr>
      </w:pPr>
      <w:r>
        <w:rPr>
          <w:rFonts w:ascii="Arial" w:cs="Arial" w:eastAsia="Arial" w:hAnsi="Arial"/>
          <w:sz w:val="17"/>
          <w:szCs w:val="17"/>
          <w:color w:val="auto"/>
        </w:rPr>
        <w:t>WILSON SONSINI GOODRICH &amp; ROSATI</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Wilson Sonsini Goodrich &amp; Rosati, P.C.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2019-12-29T04:12:02Z</dcterms:created>
  <dcterms:modified xsi:type="dcterms:W3CDTF">2019-12-29T04:12:02Z</dcterms:modified>
</cp:coreProperties>
</file>