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22, 2004</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20" w:type="dxa"/>
            <w:vAlign w:val="bottom"/>
            <w:gridSpan w:val="2"/>
          </w:tcPr>
          <w:p>
            <w:pPr>
              <w:jc w:val="right"/>
              <w:ind w:right="1240"/>
              <w:spacing w:after="0"/>
              <w:rPr>
                <w:sz w:val="20"/>
                <w:szCs w:val="20"/>
                <w:color w:val="auto"/>
              </w:rPr>
            </w:pPr>
            <w:r>
              <w:rPr>
                <w:rFonts w:ascii="Arial" w:cs="Arial" w:eastAsia="Arial" w:hAnsi="Arial"/>
                <w:sz w:val="18"/>
                <w:szCs w:val="18"/>
                <w:b w:val="1"/>
                <w:bCs w:val="1"/>
                <w:color w:val="auto"/>
                <w:w w:val="88"/>
              </w:rPr>
              <w:t>001-10658</w:t>
            </w:r>
          </w:p>
        </w:tc>
        <w:tc>
          <w:tcPr>
            <w:tcW w:w="324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1"/>
              </w:rPr>
              <w:t>75-1618004</w:t>
            </w:r>
          </w:p>
        </w:tc>
      </w:tr>
      <w:tr>
        <w:trPr>
          <w:trHeight w:val="20"/>
        </w:trPr>
        <w:tc>
          <w:tcPr>
            <w:tcW w:w="1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3820" w:type="dxa"/>
            <w:vAlign w:val="bottom"/>
            <w:gridSpan w:val="3"/>
          </w:tcPr>
          <w:p>
            <w:pPr>
              <w:jc w:val="center"/>
              <w:ind w:right="640"/>
              <w:spacing w:after="0"/>
              <w:rPr>
                <w:sz w:val="20"/>
                <w:szCs w:val="20"/>
                <w:color w:val="auto"/>
              </w:rPr>
            </w:pPr>
            <w:r>
              <w:rPr>
                <w:rFonts w:ascii="Arial" w:cs="Arial" w:eastAsia="Arial" w:hAnsi="Arial"/>
                <w:sz w:val="18"/>
                <w:szCs w:val="18"/>
                <w:color w:val="auto"/>
                <w:w w:val="93"/>
              </w:rPr>
              <w:t>(State or other jurisdiction of incorporation)</w:t>
            </w:r>
          </w:p>
        </w:tc>
        <w:tc>
          <w:tcPr>
            <w:tcW w:w="3260" w:type="dxa"/>
            <w:vAlign w:val="bottom"/>
            <w:gridSpan w:val="3"/>
          </w:tcPr>
          <w:p>
            <w:pPr>
              <w:jc w:val="center"/>
              <w:spacing w:after="0"/>
              <w:rPr>
                <w:sz w:val="20"/>
                <w:szCs w:val="20"/>
                <w:color w:val="auto"/>
              </w:rPr>
            </w:pPr>
            <w:r>
              <w:rPr>
                <w:rFonts w:ascii="Arial" w:cs="Arial" w:eastAsia="Arial" w:hAnsi="Arial"/>
                <w:sz w:val="18"/>
                <w:szCs w:val="18"/>
                <w:color w:val="auto"/>
                <w:w w:val="93"/>
              </w:rPr>
              <w:t>(Commission File Number)</w:t>
            </w:r>
          </w:p>
        </w:tc>
        <w:tc>
          <w:tcPr>
            <w:tcW w:w="3240" w:type="dxa"/>
            <w:vAlign w:val="bottom"/>
            <w:gridSpan w:val="3"/>
          </w:tcPr>
          <w:p>
            <w:pPr>
              <w:jc w:val="center"/>
              <w:ind w:left="53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82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9"/>
              </w:rPr>
              <w:t>8000 South Federal Way</w:t>
            </w: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0"/>
        </w:trPr>
        <w:tc>
          <w:tcPr>
            <w:tcW w:w="382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7"/>
              </w:rPr>
              <w:t>Boise, Idaho</w:t>
            </w: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4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1"/>
              </w:rPr>
              <w:t>83716-9632</w:t>
            </w:r>
          </w:p>
        </w:tc>
      </w:tr>
      <w:tr>
        <w:trPr>
          <w:trHeight w:val="230"/>
        </w:trPr>
        <w:tc>
          <w:tcPr>
            <w:tcW w:w="3820" w:type="dxa"/>
            <w:vAlign w:val="bottom"/>
            <w:gridSpan w:val="3"/>
          </w:tcPr>
          <w:p>
            <w:pPr>
              <w:jc w:val="center"/>
              <w:ind w:right="640"/>
              <w:spacing w:after="0"/>
              <w:rPr>
                <w:sz w:val="20"/>
                <w:szCs w:val="20"/>
                <w:color w:val="auto"/>
              </w:rPr>
            </w:pPr>
            <w:r>
              <w:rPr>
                <w:rFonts w:ascii="Arial" w:cs="Arial" w:eastAsia="Arial" w:hAnsi="Arial"/>
                <w:sz w:val="18"/>
                <w:szCs w:val="18"/>
                <w:color w:val="auto"/>
                <w:w w:val="92"/>
              </w:rPr>
              <w:t>(Address of principal executive offices)</w:t>
            </w: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760" w:type="dxa"/>
            <w:vAlign w:val="bottom"/>
            <w:gridSpan w:val="2"/>
          </w:tcPr>
          <w:p>
            <w:pPr>
              <w:jc w:val="center"/>
              <w:ind w:right="880"/>
              <w:spacing w:after="0"/>
              <w:rPr>
                <w:sz w:val="20"/>
                <w:szCs w:val="20"/>
                <w:color w:val="auto"/>
              </w:rPr>
            </w:pPr>
            <w:r>
              <w:rPr>
                <w:rFonts w:ascii="Arial" w:cs="Arial" w:eastAsia="Arial" w:hAnsi="Arial"/>
                <w:sz w:val="18"/>
                <w:szCs w:val="18"/>
                <w:color w:val="auto"/>
                <w:w w:val="94"/>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-676910</wp:posOffset>
            </wp:positionV>
            <wp:extent cx="4763"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4823460</wp:posOffset>
            </wp:positionH>
            <wp:positionV relativeFrom="paragraph">
              <wp:posOffset>-676910</wp:posOffset>
            </wp:positionV>
            <wp:extent cx="4763"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17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587375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Disclosure of Results of Operations and Financial Condition.</w:t>
      </w:r>
    </w:p>
    <w:p>
      <w:pPr>
        <w:spacing w:after="0" w:line="229" w:lineRule="exact"/>
        <w:rPr>
          <w:sz w:val="24"/>
          <w:szCs w:val="24"/>
          <w:color w:val="auto"/>
        </w:rPr>
      </w:pPr>
    </w:p>
    <w:p>
      <w:pPr>
        <w:ind w:right="40" w:firstLine="1080"/>
        <w:spacing w:after="0" w:line="277" w:lineRule="auto"/>
        <w:rPr>
          <w:sz w:val="20"/>
          <w:szCs w:val="20"/>
          <w:color w:val="auto"/>
        </w:rPr>
      </w:pPr>
      <w:r>
        <w:rPr>
          <w:rFonts w:ascii="Arial" w:cs="Arial" w:eastAsia="Arial" w:hAnsi="Arial"/>
          <w:sz w:val="18"/>
          <w:szCs w:val="18"/>
          <w:color w:val="auto"/>
        </w:rPr>
        <w:t>On December 22, 2004, Micron Technology, Inc. announced its financial results for the quarter ended December 2, 2004. The full text of the press release issued in connection with the announcement is attached as Exhibit 99.1 to this Current Report on Form 8-K.</w:t>
      </w:r>
    </w:p>
    <w:p>
      <w:pPr>
        <w:spacing w:after="0" w:line="166"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(c)</w:t>
            </w:r>
          </w:p>
        </w:tc>
        <w:tc>
          <w:tcPr>
            <w:tcW w:w="4000" w:type="dxa"/>
            <w:vAlign w:val="bottom"/>
            <w:gridSpan w:val="3"/>
          </w:tcPr>
          <w:p>
            <w:pPr>
              <w:ind w:left="40"/>
              <w:spacing w:after="0"/>
              <w:rPr>
                <w:sz w:val="20"/>
                <w:szCs w:val="20"/>
                <w:color w:val="auto"/>
              </w:rPr>
            </w:pPr>
            <w:r>
              <w:rPr>
                <w:rFonts w:ascii="Arial" w:cs="Arial" w:eastAsia="Arial" w:hAnsi="Arial"/>
                <w:sz w:val="18"/>
                <w:szCs w:val="18"/>
                <w:color w:val="auto"/>
              </w:rPr>
              <w:t>Exhibits.</w:t>
            </w:r>
          </w:p>
        </w:tc>
      </w:tr>
      <w:tr>
        <w:trPr>
          <w:trHeight w:val="432"/>
        </w:trPr>
        <w:tc>
          <w:tcPr>
            <w:tcW w:w="700" w:type="dxa"/>
            <w:vAlign w:val="bottom"/>
          </w:tcPr>
          <w:p>
            <w:pPr>
              <w:spacing w:after="0"/>
              <w:rPr>
                <w:sz w:val="24"/>
                <w:szCs w:val="24"/>
                <w:color w:val="auto"/>
              </w:rPr>
            </w:pPr>
          </w:p>
        </w:tc>
        <w:tc>
          <w:tcPr>
            <w:tcW w:w="4620" w:type="dxa"/>
            <w:vAlign w:val="bottom"/>
            <w:gridSpan w:val="4"/>
          </w:tcPr>
          <w:p>
            <w:pPr>
              <w:ind w:left="360"/>
              <w:spacing w:after="0"/>
              <w:rPr>
                <w:sz w:val="20"/>
                <w:szCs w:val="20"/>
                <w:color w:val="auto"/>
              </w:rPr>
            </w:pPr>
            <w:r>
              <w:rPr>
                <w:rFonts w:ascii="Arial" w:cs="Arial" w:eastAsia="Arial" w:hAnsi="Arial"/>
                <w:sz w:val="18"/>
                <w:szCs w:val="18"/>
                <w:color w:val="auto"/>
              </w:rPr>
              <w:t>The following exhibits are filed herewith:</w:t>
            </w:r>
          </w:p>
        </w:tc>
      </w:tr>
      <w:tr>
        <w:trPr>
          <w:trHeight w:val="351"/>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4000" w:type="dxa"/>
            <w:vAlign w:val="bottom"/>
            <w:gridSpan w:val="3"/>
          </w:tcPr>
          <w:p>
            <w:pPr>
              <w:ind w:left="8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426"/>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w w:val="86"/>
              </w:rPr>
              <w:t>Press Release issued on December 22, 2004.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1170940</wp:posOffset>
            </wp:positionH>
            <wp:positionV relativeFrom="paragraph">
              <wp:posOffset>-265430</wp:posOffset>
            </wp:positionV>
            <wp:extent cx="4763"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39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4"/>
          <w:szCs w:val="24"/>
          <w:color w:val="auto"/>
        </w:rPr>
      </w:pPr>
    </w:p>
    <w:p>
      <w:pPr>
        <w:ind w:left="6700"/>
        <w:spacing w:after="0"/>
        <w:rPr>
          <w:sz w:val="20"/>
          <w:szCs w:val="20"/>
          <w:color w:val="auto"/>
        </w:rPr>
      </w:pPr>
      <w:r>
        <w:rPr>
          <w:rFonts w:ascii="Arial" w:cs="Arial" w:eastAsia="Arial" w:hAnsi="Arial"/>
          <w:sz w:val="18"/>
          <w:szCs w:val="18"/>
          <w:b w:val="1"/>
          <w:bCs w:val="1"/>
          <w:color w:val="auto"/>
        </w:rPr>
        <w:t>MICRON TECHNOLOGY, INC.</w:t>
      </w:r>
    </w:p>
    <w:p>
      <w:pPr>
        <w:spacing w:after="0" w:line="229" w:lineRule="exact"/>
        <w:rPr>
          <w:sz w:val="24"/>
          <w:szCs w:val="24"/>
          <w:color w:val="auto"/>
        </w:rPr>
      </w:pPr>
    </w:p>
    <w:p>
      <w:pPr>
        <w:ind w:left="20"/>
        <w:spacing w:after="0"/>
        <w:tabs>
          <w:tab w:leader="none" w:pos="6680" w:val="left"/>
          <w:tab w:leader="none" w:pos="7500" w:val="left"/>
        </w:tabs>
        <w:rPr>
          <w:sz w:val="20"/>
          <w:szCs w:val="20"/>
          <w:color w:val="auto"/>
        </w:rPr>
      </w:pPr>
      <w:r>
        <w:rPr>
          <w:rFonts w:ascii="Arial" w:cs="Arial" w:eastAsia="Arial" w:hAnsi="Arial"/>
          <w:sz w:val="18"/>
          <w:szCs w:val="18"/>
          <w:color w:val="auto"/>
        </w:rPr>
        <w:t>Date: December 22,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 G. Stover,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4773295</wp:posOffset>
            </wp:positionH>
            <wp:positionV relativeFrom="paragraph">
              <wp:posOffset>14605</wp:posOffset>
            </wp:positionV>
            <wp:extent cx="24784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ectPr>
          <w:pgSz w:w="11900" w:h="16860" w:orient="portrait"/>
          <w:cols w:equalWidth="0" w:num="1">
            <w:col w:w="11300"/>
          </w:cols>
          <w:pgMar w:left="240" w:top="733" w:right="359" w:bottom="0" w:gutter="0" w:footer="0" w:header="0"/>
        </w:sectPr>
      </w:pPr>
    </w:p>
    <w:bookmarkStart w:id="1" w:name="page2"/>
    <w:bookmarkEnd w:id="1"/>
    <w:p>
      <w:pPr>
        <w:ind w:left="6700"/>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 G. Stover, Jr.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of Finance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ectPr>
          <w:pgSz w:w="11900" w:h="16838" w:orient="portrait"/>
          <w:cols w:equalWidth="0" w:num="2">
            <w:col w:w="7180" w:space="340"/>
            <w:col w:w="3920"/>
          </w:cols>
          <w:pgMar w:left="240" w:top="125"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CURRENT REPORT ON FORM 8-K DATED DECEMBER 22, 2004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8760" w:type="dxa"/>
            <w:vAlign w:val="bottom"/>
          </w:tcPr>
          <w:p>
            <w:pPr>
              <w:jc w:val="right"/>
              <w:ind w:right="3936"/>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r>
      <w:tr>
        <w:trPr>
          <w:trHeight w:val="426"/>
        </w:trPr>
        <w:tc>
          <w:tcPr>
            <w:tcW w:w="1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840" w:type="dxa"/>
            <w:vAlign w:val="bottom"/>
          </w:tcPr>
          <w:p>
            <w:pPr>
              <w:spacing w:after="0"/>
              <w:rPr>
                <w:sz w:val="24"/>
                <w:szCs w:val="24"/>
                <w:color w:val="auto"/>
              </w:rPr>
            </w:pPr>
          </w:p>
        </w:tc>
        <w:tc>
          <w:tcPr>
            <w:tcW w:w="8760" w:type="dxa"/>
            <w:vAlign w:val="bottom"/>
            <w:tcBorders>
              <w:top w:val="single" w:sz="8" w:color="auto"/>
            </w:tcBorders>
          </w:tcPr>
          <w:p>
            <w:pPr>
              <w:jc w:val="right"/>
              <w:ind w:right="5436"/>
              <w:spacing w:after="0"/>
              <w:rPr>
                <w:sz w:val="20"/>
                <w:szCs w:val="20"/>
                <w:color w:val="auto"/>
              </w:rPr>
            </w:pPr>
            <w:r>
              <w:rPr>
                <w:rFonts w:ascii="Arial" w:cs="Arial" w:eastAsia="Arial" w:hAnsi="Arial"/>
                <w:sz w:val="18"/>
                <w:szCs w:val="18"/>
                <w:color w:val="auto"/>
                <w:w w:val="87"/>
              </w:rPr>
              <w:t>Press Release issued on December 22, 2004.</w:t>
            </w:r>
          </w:p>
        </w:tc>
        <w:tc>
          <w:tcPr>
            <w:tcW w:w="20" w:type="dxa"/>
            <w:vAlign w:val="bottom"/>
          </w:tcPr>
          <w:p>
            <w:pPr>
              <w:spacing w:after="0"/>
              <w:rPr>
                <w:sz w:val="24"/>
                <w:szCs w:val="24"/>
                <w:color w:val="auto"/>
              </w:rPr>
            </w:pPr>
          </w:p>
        </w:tc>
      </w:tr>
      <w:tr>
        <w:trPr>
          <w:trHeight w:val="648"/>
        </w:trPr>
        <w:tc>
          <w:tcPr>
            <w:tcW w:w="1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760" w:type="dxa"/>
            <w:vAlign w:val="bottom"/>
          </w:tcPr>
          <w:p>
            <w:pPr>
              <w:jc w:val="right"/>
              <w:ind w:right="5576"/>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r>
      <w:tr>
        <w:trPr>
          <w:trHeight w:val="105"/>
        </w:trPr>
        <w:tc>
          <w:tcPr>
            <w:tcW w:w="18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7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2" w:name="page3"/>
    <w:bookmarkEnd w:id="2"/>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240" w:type="dxa"/>
            <w:vAlign w:val="bottom"/>
          </w:tcPr>
          <w:p>
            <w:pPr>
              <w:spacing w:after="0"/>
              <w:rPr>
                <w:sz w:val="20"/>
                <w:szCs w:val="20"/>
                <w:color w:val="auto"/>
              </w:rPr>
            </w:pPr>
          </w:p>
        </w:tc>
      </w:tr>
      <w:tr>
        <w:trPr>
          <w:trHeight w:val="634"/>
        </w:trPr>
        <w:tc>
          <w:tcPr>
            <w:tcW w:w="1060" w:type="dxa"/>
            <w:vAlign w:val="bottom"/>
          </w:tcPr>
          <w:p>
            <w:pPr>
              <w:ind w:left="20"/>
              <w:spacing w:after="0"/>
              <w:rPr>
                <w:sz w:val="20"/>
                <w:szCs w:val="20"/>
                <w:color w:val="auto"/>
              </w:rPr>
            </w:pPr>
            <w:r>
              <w:rPr>
                <w:rFonts w:ascii="Arial" w:cs="Arial" w:eastAsia="Arial" w:hAnsi="Arial"/>
                <w:sz w:val="18"/>
                <w:szCs w:val="18"/>
                <w:color w:val="auto"/>
              </w:rPr>
              <w:t>Contacts:</w:t>
            </w:r>
          </w:p>
        </w:tc>
        <w:tc>
          <w:tcPr>
            <w:tcW w:w="2560" w:type="dxa"/>
            <w:vAlign w:val="bottom"/>
          </w:tcPr>
          <w:p>
            <w:pPr>
              <w:ind w:left="360"/>
              <w:spacing w:after="0"/>
              <w:rPr>
                <w:sz w:val="20"/>
                <w:szCs w:val="20"/>
                <w:color w:val="auto"/>
              </w:rPr>
            </w:pPr>
            <w:r>
              <w:rPr>
                <w:rFonts w:ascii="Arial" w:cs="Arial" w:eastAsia="Arial" w:hAnsi="Arial"/>
                <w:sz w:val="18"/>
                <w:szCs w:val="18"/>
                <w:color w:val="auto"/>
              </w:rPr>
              <w:t>Kipp A. Bedard</w:t>
            </w:r>
          </w:p>
        </w:tc>
        <w:tc>
          <w:tcPr>
            <w:tcW w:w="2240" w:type="dxa"/>
            <w:vAlign w:val="bottom"/>
          </w:tcPr>
          <w:p>
            <w:pPr>
              <w:ind w:left="600"/>
              <w:spacing w:after="0"/>
              <w:rPr>
                <w:sz w:val="20"/>
                <w:szCs w:val="20"/>
                <w:color w:val="auto"/>
              </w:rPr>
            </w:pPr>
            <w:r>
              <w:rPr>
                <w:rFonts w:ascii="Arial" w:cs="Arial" w:eastAsia="Arial" w:hAnsi="Arial"/>
                <w:sz w:val="18"/>
                <w:szCs w:val="18"/>
                <w:color w:val="auto"/>
              </w:rPr>
              <w:t>David T. Parker</w:t>
            </w:r>
          </w:p>
        </w:tc>
      </w:tr>
      <w:tr>
        <w:trPr>
          <w:trHeight w:val="216"/>
        </w:trPr>
        <w:tc>
          <w:tcPr>
            <w:tcW w:w="1060" w:type="dxa"/>
            <w:vAlign w:val="bottom"/>
          </w:tcPr>
          <w:p>
            <w:pPr>
              <w:spacing w:after="0"/>
              <w:rPr>
                <w:sz w:val="18"/>
                <w:szCs w:val="18"/>
                <w:color w:val="auto"/>
              </w:rPr>
            </w:pPr>
          </w:p>
        </w:tc>
        <w:tc>
          <w:tcPr>
            <w:tcW w:w="2560" w:type="dxa"/>
            <w:vAlign w:val="bottom"/>
          </w:tcPr>
          <w:p>
            <w:pPr>
              <w:ind w:left="360"/>
              <w:spacing w:after="0"/>
              <w:rPr>
                <w:sz w:val="20"/>
                <w:szCs w:val="20"/>
                <w:color w:val="auto"/>
              </w:rPr>
            </w:pPr>
            <w:r>
              <w:rPr>
                <w:rFonts w:ascii="Arial" w:cs="Arial" w:eastAsia="Arial" w:hAnsi="Arial"/>
                <w:sz w:val="18"/>
                <w:szCs w:val="18"/>
                <w:color w:val="auto"/>
              </w:rPr>
              <w:t>Investor Relations</w:t>
            </w:r>
          </w:p>
        </w:tc>
        <w:tc>
          <w:tcPr>
            <w:tcW w:w="2240" w:type="dxa"/>
            <w:vAlign w:val="bottom"/>
          </w:tcPr>
          <w:p>
            <w:pPr>
              <w:ind w:left="600"/>
              <w:spacing w:after="0"/>
              <w:rPr>
                <w:sz w:val="20"/>
                <w:szCs w:val="20"/>
                <w:color w:val="auto"/>
              </w:rPr>
            </w:pPr>
            <w:r>
              <w:rPr>
                <w:rFonts w:ascii="Arial" w:cs="Arial" w:eastAsia="Arial" w:hAnsi="Arial"/>
                <w:sz w:val="18"/>
                <w:szCs w:val="18"/>
                <w:color w:val="auto"/>
              </w:rPr>
              <w:t>Media Relations</w:t>
            </w:r>
          </w:p>
        </w:tc>
      </w:tr>
      <w:tr>
        <w:trPr>
          <w:trHeight w:val="216"/>
        </w:trPr>
        <w:tc>
          <w:tcPr>
            <w:tcW w:w="1060" w:type="dxa"/>
            <w:vAlign w:val="bottom"/>
          </w:tcPr>
          <w:p>
            <w:pPr>
              <w:spacing w:after="0"/>
              <w:rPr>
                <w:sz w:val="18"/>
                <w:szCs w:val="18"/>
                <w:color w:val="auto"/>
              </w:rPr>
            </w:pPr>
          </w:p>
        </w:tc>
        <w:tc>
          <w:tcPr>
            <w:tcW w:w="2560" w:type="dxa"/>
            <w:vAlign w:val="bottom"/>
          </w:tcPr>
          <w:p>
            <w:pPr>
              <w:ind w:left="360"/>
              <w:spacing w:after="0"/>
              <w:rPr>
                <w:sz w:val="20"/>
                <w:szCs w:val="20"/>
                <w:color w:val="auto"/>
              </w:rPr>
            </w:pPr>
            <w:r>
              <w:rPr>
                <w:rFonts w:ascii="Arial" w:cs="Arial" w:eastAsia="Arial" w:hAnsi="Arial"/>
                <w:sz w:val="18"/>
                <w:szCs w:val="18"/>
                <w:color w:val="auto"/>
              </w:rPr>
              <w:t>kbedard@micron.com</w:t>
            </w:r>
          </w:p>
        </w:tc>
        <w:tc>
          <w:tcPr>
            <w:tcW w:w="2240" w:type="dxa"/>
            <w:vAlign w:val="bottom"/>
          </w:tcPr>
          <w:p>
            <w:pPr>
              <w:ind w:left="600"/>
              <w:spacing w:after="0"/>
              <w:rPr>
                <w:sz w:val="20"/>
                <w:szCs w:val="20"/>
                <w:color w:val="auto"/>
              </w:rPr>
            </w:pPr>
            <w:r>
              <w:rPr>
                <w:rFonts w:ascii="Arial" w:cs="Arial" w:eastAsia="Arial" w:hAnsi="Arial"/>
                <w:sz w:val="18"/>
                <w:szCs w:val="18"/>
                <w:color w:val="auto"/>
                <w:w w:val="91"/>
              </w:rPr>
              <w:t>dtparker@micron.com</w:t>
            </w:r>
          </w:p>
        </w:tc>
      </w:tr>
      <w:tr>
        <w:trPr>
          <w:trHeight w:val="216"/>
        </w:trPr>
        <w:tc>
          <w:tcPr>
            <w:tcW w:w="1060" w:type="dxa"/>
            <w:vAlign w:val="bottom"/>
          </w:tcPr>
          <w:p>
            <w:pPr>
              <w:spacing w:after="0"/>
              <w:rPr>
                <w:sz w:val="18"/>
                <w:szCs w:val="18"/>
                <w:color w:val="auto"/>
              </w:rPr>
            </w:pPr>
          </w:p>
        </w:tc>
        <w:tc>
          <w:tcPr>
            <w:tcW w:w="2560" w:type="dxa"/>
            <w:vAlign w:val="bottom"/>
          </w:tcPr>
          <w:p>
            <w:pPr>
              <w:ind w:left="360"/>
              <w:spacing w:after="0"/>
              <w:rPr>
                <w:sz w:val="20"/>
                <w:szCs w:val="20"/>
                <w:color w:val="auto"/>
              </w:rPr>
            </w:pPr>
            <w:r>
              <w:rPr>
                <w:rFonts w:ascii="Arial" w:cs="Arial" w:eastAsia="Arial" w:hAnsi="Arial"/>
                <w:sz w:val="18"/>
                <w:szCs w:val="18"/>
                <w:color w:val="auto"/>
              </w:rPr>
              <w:t>(208) 368-4400</w:t>
            </w:r>
          </w:p>
        </w:tc>
        <w:tc>
          <w:tcPr>
            <w:tcW w:w="2240" w:type="dxa"/>
            <w:vAlign w:val="bottom"/>
          </w:tcPr>
          <w:p>
            <w:pPr>
              <w:ind w:left="600"/>
              <w:spacing w:after="0"/>
              <w:rPr>
                <w:sz w:val="20"/>
                <w:szCs w:val="20"/>
                <w:color w:val="auto"/>
              </w:rPr>
            </w:pPr>
            <w:r>
              <w:rPr>
                <w:rFonts w:ascii="Arial" w:cs="Arial" w:eastAsia="Arial" w:hAnsi="Arial"/>
                <w:sz w:val="18"/>
                <w:szCs w:val="18"/>
                <w:color w:val="auto"/>
              </w:rPr>
              <w:t>(208) 368-4400</w:t>
            </w:r>
          </w:p>
        </w:tc>
      </w:tr>
      <w:tr>
        <w:trPr>
          <w:trHeight w:val="230"/>
        </w:trPr>
        <w:tc>
          <w:tcPr>
            <w:tcW w:w="1060" w:type="dxa"/>
            <w:vAlign w:val="bottom"/>
          </w:tcPr>
          <w:p>
            <w:pPr>
              <w:spacing w:after="0"/>
              <w:rPr>
                <w:sz w:val="20"/>
                <w:szCs w:val="20"/>
                <w:color w:val="auto"/>
              </w:rPr>
            </w:pPr>
          </w:p>
        </w:tc>
        <w:tc>
          <w:tcPr>
            <w:tcW w:w="2560" w:type="dxa"/>
            <w:vAlign w:val="bottom"/>
          </w:tcPr>
          <w:p>
            <w:pPr>
              <w:ind w:left="360"/>
              <w:spacing w:after="0"/>
              <w:rPr>
                <w:sz w:val="20"/>
                <w:szCs w:val="20"/>
                <w:color w:val="auto"/>
              </w:rPr>
            </w:pPr>
            <w:r>
              <w:rPr>
                <w:rFonts w:ascii="Arial" w:cs="Arial" w:eastAsia="Arial" w:hAnsi="Arial"/>
                <w:sz w:val="18"/>
                <w:szCs w:val="18"/>
                <w:color w:val="auto"/>
              </w:rPr>
              <w:t>Investor Relations</w:t>
            </w:r>
          </w:p>
        </w:tc>
        <w:tc>
          <w:tcPr>
            <w:tcW w:w="2240" w:type="dxa"/>
            <w:vAlign w:val="bottom"/>
          </w:tcPr>
          <w:p>
            <w:pPr>
              <w:ind w:left="600"/>
              <w:spacing w:after="0"/>
              <w:rPr>
                <w:sz w:val="20"/>
                <w:szCs w:val="20"/>
                <w:color w:val="auto"/>
              </w:rPr>
            </w:pPr>
            <w:r>
              <w:rPr>
                <w:rFonts w:ascii="Arial" w:cs="Arial" w:eastAsia="Arial" w:hAnsi="Arial"/>
                <w:sz w:val="18"/>
                <w:szCs w:val="18"/>
                <w:color w:val="auto"/>
              </w:rPr>
              <w:t>Media Relations</w:t>
            </w:r>
          </w:p>
        </w:tc>
      </w:tr>
    </w:tbl>
    <w:p>
      <w:pPr>
        <w:spacing w:after="0" w:line="20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Web site URL http://www.micron.com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MICRON TECHNOLOGY, INC., REPORTS RESULTS FOR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FIRST QUARTER OF FISCAL 2005</w:t>
      </w:r>
    </w:p>
    <w:p>
      <w:pPr>
        <w:spacing w:after="0" w:line="200" w:lineRule="exact"/>
        <w:rPr>
          <w:sz w:val="20"/>
          <w:szCs w:val="20"/>
          <w:color w:val="auto"/>
        </w:rPr>
      </w:pPr>
    </w:p>
    <w:p>
      <w:pPr>
        <w:spacing w:after="0" w:line="22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Boise, Idaho, December 22, 2004 — Micron Technology, Inc., (NYSE: MU) today announced results of operations for its first quarter of fiscal 2005, which ended December 2, 2004. For the first quarter of fiscal 2005, the Company earned operating income of $175 million and net income of $155 million, or $0.23 per diluted share, on net sales of $1,260 million. These quarterly results compare to net income of $94 million, or $0.14 per diluted share, on net sales of $1,189 million for the fourth quarter of fiscal 2004.</w:t>
      </w:r>
    </w:p>
    <w:p>
      <w:pPr>
        <w:spacing w:after="0" w:line="18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Net sales for the first quarter of fiscal 2005 were 6% higher than for the fourth quarter of fiscal 2004 primarily reflecting a higher level of megabit shipments of semiconductor memory products. The Company’s average selling price for semiconductor memory products in the Company’s first quarter of fiscal 2005 approximated the average price level in the immediately preceding quarter.</w:t>
      </w:r>
    </w:p>
    <w:p>
      <w:pPr>
        <w:spacing w:after="0" w:line="18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Megabit production slightly outpaced sales volume in the first quarter of fiscal 2005 primarily due to the Company's product mix. In preparation for the unfolding market transition to DDR2 DRAM, the Company dedicated additional wafer production to this higher performance architecture. The Company also dedicated wafer production to synchronous DRAM, which as been one of the strongest margin products, but which came under some competitive pressure in the first quarter of fiscal 2005.</w:t>
      </w:r>
    </w:p>
    <w:p>
      <w:pPr>
        <w:spacing w:after="0" w:line="187"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Research and development expense declined to $148 million in the first quarter of fiscal 2005 from $199 million in the fourth quarter of fiscal 2004 primarily as a result of the qualification for sale of devices previously under development at the Company’s wafer fabrication plant in Manassas, Virginia. Costs associated with these qualified devices are reflected in inventory and cost of goods sold while production costs incurred prior to qualification were included in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Steve Appleton, CEO and President, commenting on the strength of the first quarter said, “I am pleased with our performance in executing our goals this past quarter which resulted in a quarter-over-quarter 65% improvement in net income. Our manufacturing efficiency in our core DRAM products continues to improve, our CMOS image sensors are receiving customer accolades and design wins in the marketplace, our advanced pseudo-static RAM leads the industry both in performance and market share and our 2 gigabit NAND Flash product has qualified and begun shipping to customers. Our portfolio of products and enhanced manufacturing efficiency position us well for the future.”</w:t>
      </w:r>
    </w:p>
    <w:p>
      <w:pPr>
        <w:spacing w:after="0" w:line="188"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Company’s capital expenditures for fiscal 2005 are estimated at $1.5 billion, almost one third of which was expended in the first quarter of fiscal 2005. As of the end of the first quarter, the Company had cash and short-term investments of $1.1 billion.</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Company will host a conference call today at 3:30 p.m. MST to discuss its financial results. The conference call, audio and slides, will be available online at www.micron.com. A Webcast replay will be available on the Company’s web site until December 22, 2005. A taped audio replay of the conference call will also be available at (973) 341-3080 (confirmation code: 5510813) beginning at 5:30 p.m. MST today and continuing until 5:30 p.m. MST on December 30, 2004.</w:t>
      </w:r>
    </w:p>
    <w:p>
      <w:pPr>
        <w:spacing w:after="0" w:line="187"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DRAMs,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its web site at www.micron.com.</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SUMMARY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020" w:type="dxa"/>
            <w:vAlign w:val="bottom"/>
          </w:tcPr>
          <w:p>
            <w:pPr>
              <w:jc w:val="center"/>
              <w:ind w:left="484"/>
              <w:spacing w:after="0"/>
              <w:rPr>
                <w:sz w:val="20"/>
                <w:szCs w:val="20"/>
                <w:color w:val="auto"/>
              </w:rPr>
            </w:pPr>
            <w:r>
              <w:rPr>
                <w:rFonts w:ascii="Arial" w:cs="Arial" w:eastAsia="Arial" w:hAnsi="Arial"/>
                <w:sz w:val="14"/>
                <w:szCs w:val="14"/>
                <w:b w:val="1"/>
                <w:bCs w:val="1"/>
                <w:color w:val="auto"/>
                <w:w w:val="93"/>
              </w:rPr>
              <w:t>1st Qtr.</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6"/>
              </w:rPr>
              <w:t>4th Qtr.</w:t>
            </w:r>
          </w:p>
        </w:tc>
        <w:tc>
          <w:tcPr>
            <w:tcW w:w="320" w:type="dxa"/>
            <w:vAlign w:val="bottom"/>
          </w:tcPr>
          <w:p>
            <w:pPr>
              <w:spacing w:after="0"/>
              <w:rPr>
                <w:sz w:val="14"/>
                <w:szCs w:val="14"/>
                <w:color w:val="auto"/>
              </w:rPr>
            </w:pPr>
          </w:p>
        </w:tc>
        <w:tc>
          <w:tcPr>
            <w:tcW w:w="16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1st Qtr.</w:t>
            </w:r>
          </w:p>
        </w:tc>
      </w:tr>
      <w:tr>
        <w:trPr>
          <w:trHeight w:val="149"/>
        </w:trPr>
        <w:tc>
          <w:tcPr>
            <w:tcW w:w="5640" w:type="dxa"/>
            <w:vAlign w:val="bottom"/>
          </w:tcPr>
          <w:p>
            <w:pPr>
              <w:spacing w:after="0"/>
              <w:rPr>
                <w:sz w:val="12"/>
                <w:szCs w:val="12"/>
                <w:color w:val="auto"/>
              </w:rPr>
            </w:pPr>
          </w:p>
        </w:tc>
        <w:tc>
          <w:tcPr>
            <w:tcW w:w="1020" w:type="dxa"/>
            <w:vAlign w:val="bottom"/>
          </w:tcPr>
          <w:p>
            <w:pPr>
              <w:jc w:val="center"/>
              <w:ind w:left="484"/>
              <w:spacing w:after="0" w:line="149" w:lineRule="exact"/>
              <w:rPr>
                <w:sz w:val="20"/>
                <w:szCs w:val="20"/>
                <w:color w:val="auto"/>
              </w:rPr>
            </w:pPr>
            <w:r>
              <w:rPr>
                <w:rFonts w:ascii="Arial" w:cs="Arial" w:eastAsia="Arial" w:hAnsi="Arial"/>
                <w:sz w:val="14"/>
                <w:szCs w:val="14"/>
                <w:b w:val="1"/>
                <w:bCs w:val="1"/>
                <w:color w:val="auto"/>
                <w:w w:val="92"/>
              </w:rPr>
              <w:t>Dec. 2,</w:t>
            </w: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Sep. 2,</w:t>
            </w:r>
          </w:p>
        </w:tc>
        <w:tc>
          <w:tcPr>
            <w:tcW w:w="320" w:type="dxa"/>
            <w:vAlign w:val="bottom"/>
          </w:tcPr>
          <w:p>
            <w:pPr>
              <w:spacing w:after="0"/>
              <w:rPr>
                <w:sz w:val="12"/>
                <w:szCs w:val="12"/>
                <w:color w:val="auto"/>
              </w:rPr>
            </w:pP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Dec. 4,</w:t>
            </w:r>
          </w:p>
        </w:tc>
      </w:tr>
      <w:tr>
        <w:trPr>
          <w:trHeight w:val="171"/>
        </w:trPr>
        <w:tc>
          <w:tcPr>
            <w:tcW w:w="56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ind w:left="484"/>
              <w:spacing w:after="0"/>
              <w:rPr>
                <w:sz w:val="20"/>
                <w:szCs w:val="20"/>
                <w:color w:val="auto"/>
              </w:rPr>
            </w:pPr>
            <w:r>
              <w:rPr>
                <w:rFonts w:ascii="Arial" w:cs="Arial" w:eastAsia="Arial" w:hAnsi="Arial"/>
                <w:sz w:val="14"/>
                <w:szCs w:val="14"/>
                <w:b w:val="1"/>
                <w:bCs w:val="1"/>
                <w:color w:val="auto"/>
                <w:w w:val="96"/>
              </w:rPr>
              <w:t>2004</w:t>
            </w: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89"/>
              </w:rPr>
              <w:t>2004</w:t>
            </w: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89"/>
              </w:rPr>
              <w:t>2003</w:t>
            </w:r>
          </w:p>
        </w:tc>
        <w:tc>
          <w:tcPr>
            <w:tcW w:w="360" w:type="dxa"/>
            <w:vAlign w:val="bottom"/>
            <w:tcBorders>
              <w:bottom w:val="single" w:sz="8" w:color="CCEEFF"/>
            </w:tcBorders>
          </w:tcPr>
          <w:p>
            <w:pPr>
              <w:spacing w:after="0"/>
              <w:rPr>
                <w:sz w:val="14"/>
                <w:szCs w:val="14"/>
                <w:color w:val="auto"/>
              </w:rPr>
            </w:pPr>
          </w:p>
        </w:tc>
      </w:tr>
      <w:tr>
        <w:trPr>
          <w:trHeight w:val="210"/>
        </w:trPr>
        <w:tc>
          <w:tcPr>
            <w:tcW w:w="5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020" w:type="dxa"/>
            <w:vAlign w:val="bottom"/>
          </w:tcPr>
          <w:p>
            <w:pPr>
              <w:jc w:val="right"/>
              <w:ind w:right="84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6"/>
              </w:rPr>
              <w:t>1,260.3</w:t>
            </w:r>
          </w:p>
        </w:tc>
        <w:tc>
          <w:tcPr>
            <w:tcW w:w="3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1,189.2</w:t>
            </w:r>
          </w:p>
        </w:tc>
        <w:tc>
          <w:tcPr>
            <w:tcW w:w="3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1,107.2</w:t>
            </w:r>
          </w:p>
        </w:tc>
        <w:tc>
          <w:tcPr>
            <w:tcW w:w="360" w:type="dxa"/>
            <w:vAlign w:val="bottom"/>
          </w:tcPr>
          <w:p>
            <w:pPr>
              <w:spacing w:after="0"/>
              <w:rPr>
                <w:sz w:val="18"/>
                <w:szCs w:val="18"/>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837.3</w:t>
            </w:r>
          </w:p>
        </w:tc>
        <w:tc>
          <w:tcPr>
            <w:tcW w:w="3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796.6</w:t>
            </w:r>
          </w:p>
        </w:tc>
        <w:tc>
          <w:tcPr>
            <w:tcW w:w="3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821.2</w:t>
            </w:r>
          </w:p>
        </w:tc>
        <w:tc>
          <w:tcPr>
            <w:tcW w:w="360" w:type="dxa"/>
            <w:vAlign w:val="bottom"/>
            <w:shd w:val="clear" w:color="auto" w:fill="CCEEFF"/>
          </w:tcPr>
          <w:p>
            <w:pPr>
              <w:spacing w:after="0"/>
              <w:rPr>
                <w:sz w:val="18"/>
                <w:szCs w:val="18"/>
                <w:color w:val="auto"/>
              </w:rPr>
            </w:pPr>
          </w:p>
        </w:tc>
      </w:tr>
    </w:tbl>
    <w:p>
      <w:pPr>
        <w:sectPr>
          <w:pgSz w:w="11900" w:h="16843" w:orient="portrait"/>
          <w:cols w:equalWidth="0" w:num="1">
            <w:col w:w="11420"/>
          </w:cols>
          <w:pgMar w:left="240" w:top="12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ind w:left="200"/>
              <w:spacing w:after="0"/>
              <w:rPr>
                <w:sz w:val="20"/>
                <w:szCs w:val="20"/>
                <w:color w:val="auto"/>
              </w:rPr>
            </w:pPr>
            <w:r>
              <w:rPr>
                <w:rFonts w:ascii="Arial" w:cs="Arial" w:eastAsia="Arial" w:hAnsi="Arial"/>
                <w:sz w:val="18"/>
                <w:szCs w:val="18"/>
                <w:color w:val="auto"/>
              </w:rPr>
              <w:t>Gross margin</w:t>
            </w: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423.0</w:t>
            </w: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392.6</w:t>
            </w: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286.0</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5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86.8</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74.7</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Restructure(1)</w:t>
            </w:r>
          </w:p>
        </w:tc>
        <w:tc>
          <w:tcPr>
            <w:tcW w:w="6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(1.5 )</w:t>
            </w:r>
          </w:p>
        </w:tc>
        <w:tc>
          <w:tcPr>
            <w:tcW w:w="6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(0.6 )</w:t>
            </w:r>
          </w:p>
        </w:tc>
        <w:tc>
          <w:tcPr>
            <w:tcW w:w="6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(21.1 )</w:t>
            </w:r>
          </w:p>
        </w:tc>
        <w:tc>
          <w:tcPr>
            <w:tcW w:w="20" w:type="dxa"/>
            <w:vAlign w:val="bottom"/>
          </w:tcPr>
          <w:p>
            <w:pPr>
              <w:spacing w:after="0"/>
              <w:rPr>
                <w:sz w:val="18"/>
                <w:szCs w:val="18"/>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(income) expense(2)</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(6.1 )</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6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6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3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3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6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(4.5 )</w:t>
            </w:r>
          </w:p>
        </w:tc>
        <w:tc>
          <w:tcPr>
            <w:tcW w:w="6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(5.0 )</w:t>
            </w:r>
          </w:p>
        </w:tc>
        <w:tc>
          <w:tcPr>
            <w:tcW w:w="6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(5.5 )</w:t>
            </w:r>
          </w:p>
        </w:tc>
        <w:tc>
          <w:tcPr>
            <w:tcW w:w="20" w:type="dxa"/>
            <w:vAlign w:val="bottom"/>
          </w:tcPr>
          <w:p>
            <w:pPr>
              <w:spacing w:after="0"/>
              <w:rPr>
                <w:sz w:val="18"/>
                <w:szCs w:val="18"/>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(expense)</w:t>
            </w:r>
          </w:p>
        </w:tc>
        <w:tc>
          <w:tcPr>
            <w:tcW w:w="6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(1.3 )</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Income tax provision(3)</w:t>
            </w:r>
          </w:p>
        </w:tc>
        <w:tc>
          <w:tcPr>
            <w:tcW w:w="6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(14.2 )</w:t>
            </w:r>
          </w:p>
        </w:tc>
        <w:tc>
          <w:tcPr>
            <w:tcW w:w="6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(27.8 )</w:t>
            </w:r>
          </w:p>
        </w:tc>
        <w:tc>
          <w:tcPr>
            <w:tcW w:w="6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(15.5 )</w:t>
            </w:r>
          </w:p>
        </w:tc>
        <w:tc>
          <w:tcPr>
            <w:tcW w:w="20" w:type="dxa"/>
            <w:vAlign w:val="bottom"/>
          </w:tcPr>
          <w:p>
            <w:pPr>
              <w:spacing w:after="0"/>
              <w:rPr>
                <w:sz w:val="18"/>
                <w:szCs w:val="18"/>
                <w:color w:val="auto"/>
              </w:rPr>
            </w:pPr>
          </w:p>
        </w:tc>
      </w:tr>
      <w:tr>
        <w:trPr>
          <w:trHeight w:val="217"/>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40" w:type="dxa"/>
            <w:vAlign w:val="bottom"/>
          </w:tcPr>
          <w:p>
            <w:pPr>
              <w:ind w:left="200"/>
              <w:spacing w:after="0"/>
              <w:rPr>
                <w:sz w:val="20"/>
                <w:szCs w:val="20"/>
                <w:color w:val="auto"/>
              </w:rPr>
            </w:pPr>
            <w:r>
              <w:rPr>
                <w:rFonts w:ascii="Arial" w:cs="Arial" w:eastAsia="Arial" w:hAnsi="Arial"/>
                <w:sz w:val="18"/>
                <w:szCs w:val="18"/>
                <w:color w:val="auto"/>
              </w:rPr>
              <w:t>Basic</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0.24</w:t>
            </w:r>
          </w:p>
        </w:tc>
        <w:tc>
          <w:tcPr>
            <w:tcW w:w="360" w:type="dxa"/>
            <w:vAlign w:val="bottom"/>
          </w:tcPr>
          <w:p>
            <w:pPr>
              <w:spacing w:after="0"/>
              <w:rPr>
                <w:sz w:val="18"/>
                <w:szCs w:val="18"/>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0.14</w:t>
            </w:r>
          </w:p>
        </w:tc>
        <w:tc>
          <w:tcPr>
            <w:tcW w:w="360" w:type="dxa"/>
            <w:vAlign w:val="bottom"/>
          </w:tcPr>
          <w:p>
            <w:pPr>
              <w:spacing w:after="0"/>
              <w:rPr>
                <w:sz w:val="18"/>
                <w:szCs w:val="18"/>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shares used in per share calculations:(4)</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40" w:type="dxa"/>
            <w:vAlign w:val="bottom"/>
          </w:tcPr>
          <w:p>
            <w:pPr>
              <w:ind w:left="200"/>
              <w:spacing w:after="0"/>
              <w:rPr>
                <w:sz w:val="20"/>
                <w:szCs w:val="20"/>
                <w:color w:val="auto"/>
              </w:rPr>
            </w:pPr>
            <w:r>
              <w:rPr>
                <w:rFonts w:ascii="Arial" w:cs="Arial" w:eastAsia="Arial" w:hAnsi="Arial"/>
                <w:sz w:val="18"/>
                <w:szCs w:val="18"/>
                <w:color w:val="auto"/>
              </w:rPr>
              <w:t>Basic</w:t>
            </w: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646.0</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645.1</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633.8</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w:t>
            </w: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307"/>
        </w:trPr>
        <w:tc>
          <w:tcPr>
            <w:tcW w:w="56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100" w:type="dxa"/>
            <w:vAlign w:val="bottom"/>
            <w:vMerge w:val="restart"/>
          </w:tcPr>
          <w:p>
            <w:pPr>
              <w:jc w:val="center"/>
              <w:ind w:left="522"/>
              <w:spacing w:after="0"/>
              <w:rPr>
                <w:sz w:val="20"/>
                <w:szCs w:val="20"/>
                <w:color w:val="auto"/>
              </w:rPr>
            </w:pPr>
            <w:r>
              <w:rPr>
                <w:rFonts w:ascii="Arial" w:cs="Arial" w:eastAsia="Arial" w:hAnsi="Arial"/>
                <w:sz w:val="14"/>
                <w:szCs w:val="14"/>
                <w:b w:val="1"/>
                <w:bCs w:val="1"/>
                <w:color w:val="auto"/>
                <w:w w:val="92"/>
              </w:rPr>
              <w:t>Dec. 2,</w:t>
            </w:r>
          </w:p>
        </w:tc>
        <w:tc>
          <w:tcPr>
            <w:tcW w:w="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7"/>
              </w:rPr>
              <w:t>As of</w:t>
            </w:r>
          </w:p>
        </w:tc>
        <w:tc>
          <w:tcPr>
            <w:tcW w:w="460" w:type="dxa"/>
            <w:vAlign w:val="bottom"/>
          </w:tcPr>
          <w:p>
            <w:pPr>
              <w:spacing w:after="0"/>
              <w:rPr>
                <w:sz w:val="16"/>
                <w:szCs w:val="16"/>
                <w:color w:val="auto"/>
              </w:rPr>
            </w:pPr>
          </w:p>
        </w:tc>
        <w:tc>
          <w:tcPr>
            <w:tcW w:w="162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w w:val="88"/>
              </w:rPr>
              <w:t>Sep. 2,</w:t>
            </w:r>
          </w:p>
        </w:tc>
        <w:tc>
          <w:tcPr>
            <w:tcW w:w="0" w:type="dxa"/>
            <w:vAlign w:val="bottom"/>
          </w:tcPr>
          <w:p>
            <w:pPr>
              <w:spacing w:after="0"/>
              <w:rPr>
                <w:sz w:val="1"/>
                <w:szCs w:val="1"/>
                <w:color w:val="auto"/>
              </w:rPr>
            </w:pPr>
          </w:p>
        </w:tc>
      </w:tr>
      <w:tr>
        <w:trPr>
          <w:trHeight w:val="111"/>
        </w:trPr>
        <w:tc>
          <w:tcPr>
            <w:tcW w:w="288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880" w:type="dxa"/>
            <w:vAlign w:val="bottom"/>
            <w:tcBorders>
              <w:bottom w:val="single" w:sz="8" w:color="CCEEFF"/>
            </w:tcBorders>
          </w:tcPr>
          <w:p>
            <w:pPr>
              <w:spacing w:after="0"/>
              <w:rPr>
                <w:sz w:val="14"/>
                <w:szCs w:val="14"/>
                <w:color w:val="auto"/>
              </w:rPr>
            </w:pPr>
          </w:p>
        </w:tc>
        <w:tc>
          <w:tcPr>
            <w:tcW w:w="43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ind w:left="502"/>
              <w:spacing w:after="0"/>
              <w:rPr>
                <w:sz w:val="20"/>
                <w:szCs w:val="20"/>
                <w:color w:val="auto"/>
              </w:rPr>
            </w:pPr>
            <w:r>
              <w:rPr>
                <w:rFonts w:ascii="Arial" w:cs="Arial" w:eastAsia="Arial" w:hAnsi="Arial"/>
                <w:sz w:val="14"/>
                <w:szCs w:val="14"/>
                <w:b w:val="1"/>
                <w:bCs w:val="1"/>
                <w:color w:val="auto"/>
                <w:w w:val="89"/>
              </w:rPr>
              <w:t>2004</w:t>
            </w: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73"/>
              <w:spacing w:after="0"/>
              <w:rPr>
                <w:sz w:val="20"/>
                <w:szCs w:val="20"/>
                <w:color w:val="auto"/>
              </w:rPr>
            </w:pPr>
            <w:r>
              <w:rPr>
                <w:rFonts w:ascii="Arial" w:cs="Arial" w:eastAsia="Arial" w:hAnsi="Arial"/>
                <w:sz w:val="14"/>
                <w:szCs w:val="14"/>
                <w:b w:val="1"/>
                <w:bCs w:val="1"/>
                <w:color w:val="auto"/>
                <w:w w:val="89"/>
              </w:rPr>
              <w:t>2004</w:t>
            </w:r>
          </w:p>
        </w:tc>
        <w:tc>
          <w:tcPr>
            <w:tcW w:w="4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short-term investments</w:t>
            </w:r>
          </w:p>
        </w:tc>
        <w:tc>
          <w:tcPr>
            <w:tcW w:w="1100" w:type="dxa"/>
            <w:vAlign w:val="bottom"/>
            <w:shd w:val="clear" w:color="auto" w:fill="CCEEFF"/>
          </w:tcPr>
          <w:p>
            <w:pPr>
              <w:jc w:val="right"/>
              <w:ind w:right="92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1,052.2</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ind w:left="20"/>
              <w:spacing w:after="0"/>
              <w:rPr>
                <w:sz w:val="20"/>
                <w:szCs w:val="20"/>
                <w:color w:val="auto"/>
              </w:rPr>
            </w:pPr>
            <w:r>
              <w:rPr>
                <w:rFonts w:ascii="Arial" w:cs="Arial" w:eastAsia="Arial" w:hAnsi="Arial"/>
                <w:sz w:val="18"/>
                <w:szCs w:val="18"/>
                <w:color w:val="auto"/>
              </w:rPr>
              <w:t>Receivables</w:t>
            </w: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860.8</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773.7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705.4</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2,689.6</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2,638.7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4,806.3</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4,712.7</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ind w:left="20"/>
              <w:spacing w:after="0"/>
              <w:rPr>
                <w:sz w:val="20"/>
                <w:szCs w:val="20"/>
                <w:color w:val="auto"/>
              </w:rPr>
            </w:pPr>
            <w:r>
              <w:rPr>
                <w:rFonts w:ascii="Arial" w:cs="Arial" w:eastAsia="Arial" w:hAnsi="Arial"/>
                <w:sz w:val="18"/>
                <w:szCs w:val="18"/>
                <w:color w:val="auto"/>
              </w:rPr>
              <w:t>Restricted cash</w:t>
            </w: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7,892.6</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ind w:left="20"/>
              <w:spacing w:after="0"/>
              <w:rPr>
                <w:sz w:val="20"/>
                <w:szCs w:val="20"/>
                <w:color w:val="auto"/>
              </w:rPr>
            </w:pPr>
            <w:r>
              <w:rPr>
                <w:rFonts w:ascii="Arial" w:cs="Arial" w:eastAsia="Arial" w:hAnsi="Arial"/>
                <w:sz w:val="18"/>
                <w:szCs w:val="18"/>
                <w:color w:val="auto"/>
              </w:rPr>
              <w:t>Current portion of long-term debt</w:t>
            </w: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258.7</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1,127.2</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972.1</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825.2</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1,027.9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Shareholders’ equity(4)</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5,779.4</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5,614.8</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50"/>
        </w:trPr>
        <w:tc>
          <w:tcPr>
            <w:tcW w:w="28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100" w:type="dxa"/>
            <w:vAlign w:val="bottom"/>
            <w:vMerge w:val="restart"/>
          </w:tcPr>
          <w:p>
            <w:pPr>
              <w:jc w:val="center"/>
              <w:ind w:left="522"/>
              <w:spacing w:after="0"/>
              <w:rPr>
                <w:sz w:val="20"/>
                <w:szCs w:val="20"/>
                <w:color w:val="auto"/>
              </w:rPr>
            </w:pPr>
            <w:r>
              <w:rPr>
                <w:rFonts w:ascii="Arial" w:cs="Arial" w:eastAsia="Arial" w:hAnsi="Arial"/>
                <w:sz w:val="14"/>
                <w:szCs w:val="14"/>
                <w:b w:val="1"/>
                <w:bCs w:val="1"/>
                <w:color w:val="auto"/>
                <w:w w:val="92"/>
              </w:rPr>
              <w:t>Dec. 2,</w:t>
            </w:r>
          </w:p>
        </w:tc>
        <w:tc>
          <w:tcPr>
            <w:tcW w:w="144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Quarter Ended</w:t>
            </w:r>
          </w:p>
        </w:tc>
        <w:tc>
          <w:tcPr>
            <w:tcW w:w="1620" w:type="dxa"/>
            <w:vAlign w:val="bottom"/>
            <w:gridSpan w:val="2"/>
            <w:vMerge w:val="restart"/>
          </w:tcPr>
          <w:p>
            <w:pPr>
              <w:jc w:val="center"/>
              <w:ind w:right="840"/>
              <w:spacing w:after="0"/>
              <w:rPr>
                <w:sz w:val="20"/>
                <w:szCs w:val="20"/>
                <w:color w:val="auto"/>
              </w:rPr>
            </w:pPr>
            <w:r>
              <w:rPr>
                <w:rFonts w:ascii="Arial" w:cs="Arial" w:eastAsia="Arial" w:hAnsi="Arial"/>
                <w:sz w:val="14"/>
                <w:szCs w:val="14"/>
                <w:b w:val="1"/>
                <w:bCs w:val="1"/>
                <w:color w:val="auto"/>
                <w:w w:val="92"/>
              </w:rPr>
              <w:t>Dec. 4,</w:t>
            </w:r>
          </w:p>
        </w:tc>
        <w:tc>
          <w:tcPr>
            <w:tcW w:w="0" w:type="dxa"/>
            <w:vAlign w:val="bottom"/>
          </w:tcPr>
          <w:p>
            <w:pPr>
              <w:spacing w:after="0"/>
              <w:rPr>
                <w:sz w:val="1"/>
                <w:szCs w:val="1"/>
                <w:color w:val="auto"/>
              </w:rPr>
            </w:pPr>
          </w:p>
        </w:tc>
      </w:tr>
      <w:tr>
        <w:trPr>
          <w:trHeight w:val="111"/>
        </w:trPr>
        <w:tc>
          <w:tcPr>
            <w:tcW w:w="288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880" w:type="dxa"/>
            <w:vAlign w:val="bottom"/>
            <w:tcBorders>
              <w:bottom w:val="single" w:sz="8" w:color="CCEEFF"/>
            </w:tcBorders>
          </w:tcPr>
          <w:p>
            <w:pPr>
              <w:spacing w:after="0"/>
              <w:rPr>
                <w:sz w:val="14"/>
                <w:szCs w:val="14"/>
                <w:color w:val="auto"/>
              </w:rPr>
            </w:pPr>
          </w:p>
        </w:tc>
        <w:tc>
          <w:tcPr>
            <w:tcW w:w="43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ind w:left="502"/>
              <w:spacing w:after="0"/>
              <w:rPr>
                <w:sz w:val="20"/>
                <w:szCs w:val="20"/>
                <w:color w:val="auto"/>
              </w:rPr>
            </w:pPr>
            <w:r>
              <w:rPr>
                <w:rFonts w:ascii="Arial" w:cs="Arial" w:eastAsia="Arial" w:hAnsi="Arial"/>
                <w:sz w:val="14"/>
                <w:szCs w:val="14"/>
                <w:b w:val="1"/>
                <w:bCs w:val="1"/>
                <w:color w:val="auto"/>
                <w:w w:val="89"/>
              </w:rPr>
              <w:t>2004</w:t>
            </w: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73"/>
              <w:spacing w:after="0"/>
              <w:rPr>
                <w:sz w:val="20"/>
                <w:szCs w:val="20"/>
                <w:color w:val="auto"/>
              </w:rPr>
            </w:pPr>
            <w:r>
              <w:rPr>
                <w:rFonts w:ascii="Arial" w:cs="Arial" w:eastAsia="Arial" w:hAnsi="Arial"/>
                <w:sz w:val="14"/>
                <w:szCs w:val="14"/>
                <w:b w:val="1"/>
                <w:bCs w:val="1"/>
                <w:color w:val="auto"/>
                <w:w w:val="89"/>
              </w:rPr>
              <w:t>2003</w:t>
            </w:r>
          </w:p>
        </w:tc>
        <w:tc>
          <w:tcPr>
            <w:tcW w:w="4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shd w:val="clear" w:color="auto" w:fill="CCEEFF"/>
          </w:tcPr>
          <w:p>
            <w:pPr>
              <w:jc w:val="right"/>
              <w:ind w:right="92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ind w:left="20"/>
              <w:spacing w:after="0"/>
              <w:rPr>
                <w:sz w:val="20"/>
                <w:szCs w:val="20"/>
                <w:color w:val="auto"/>
              </w:rPr>
            </w:pPr>
            <w:r>
              <w:rPr>
                <w:rFonts w:ascii="Arial" w:cs="Arial" w:eastAsia="Arial" w:hAnsi="Arial"/>
                <w:sz w:val="18"/>
                <w:szCs w:val="18"/>
                <w:color w:val="auto"/>
              </w:rPr>
              <w:t>Net cash used for investing activities</w:t>
            </w:r>
          </w:p>
        </w:tc>
        <w:tc>
          <w:tcPr>
            <w:tcW w:w="1100" w:type="dxa"/>
            <w:vAlign w:val="bottom"/>
          </w:tcPr>
          <w:p>
            <w:pPr>
              <w:spacing w:after="0"/>
              <w:rPr>
                <w:sz w:val="18"/>
                <w:szCs w:val="18"/>
                <w:color w:val="auto"/>
              </w:rPr>
            </w:pPr>
          </w:p>
        </w:tc>
        <w:tc>
          <w:tcPr>
            <w:tcW w:w="980" w:type="dxa"/>
            <w:vAlign w:val="bottom"/>
            <w:gridSpan w:val="2"/>
          </w:tcPr>
          <w:p>
            <w:pPr>
              <w:jc w:val="right"/>
              <w:ind w:right="248"/>
              <w:spacing w:after="0"/>
              <w:rPr>
                <w:sz w:val="20"/>
                <w:szCs w:val="20"/>
                <w:color w:val="auto"/>
              </w:rPr>
            </w:pPr>
            <w:r>
              <w:rPr>
                <w:rFonts w:ascii="Arial" w:cs="Arial" w:eastAsia="Arial" w:hAnsi="Arial"/>
                <w:sz w:val="18"/>
                <w:szCs w:val="18"/>
                <w:color w:val="auto"/>
              </w:rPr>
              <w:t>(350.1 )</w:t>
            </w:r>
          </w:p>
        </w:tc>
        <w:tc>
          <w:tcPr>
            <w:tcW w:w="46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(603.3 )</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(106.6 )</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100" w:type="dxa"/>
            <w:vAlign w:val="bottom"/>
          </w:tcPr>
          <w:p>
            <w:pPr>
              <w:spacing w:after="0"/>
              <w:rPr>
                <w:sz w:val="18"/>
                <w:szCs w:val="18"/>
                <w:color w:val="auto"/>
              </w:rPr>
            </w:pPr>
          </w:p>
        </w:tc>
        <w:tc>
          <w:tcPr>
            <w:tcW w:w="980" w:type="dxa"/>
            <w:vAlign w:val="bottom"/>
            <w:gridSpan w:val="2"/>
          </w:tcPr>
          <w:p>
            <w:pPr>
              <w:jc w:val="right"/>
              <w:ind w:right="248"/>
              <w:spacing w:after="0"/>
              <w:rPr>
                <w:sz w:val="20"/>
                <w:szCs w:val="20"/>
                <w:color w:val="auto"/>
              </w:rPr>
            </w:pPr>
            <w:r>
              <w:rPr>
                <w:rFonts w:ascii="Arial" w:cs="Arial" w:eastAsia="Arial" w:hAnsi="Arial"/>
                <w:sz w:val="18"/>
                <w:szCs w:val="18"/>
                <w:color w:val="auto"/>
              </w:rPr>
              <w:t>(359.4 )</w:t>
            </w:r>
          </w:p>
        </w:tc>
        <w:tc>
          <w:tcPr>
            <w:tcW w:w="46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(260.6 )</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1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(93.8 )</w:t>
            </w:r>
          </w:p>
        </w:tc>
        <w:tc>
          <w:tcPr>
            <w:tcW w:w="4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(92.5 )</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Noncash equipment acquisitions on contracts payable and capital leases</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88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Company’s fiscal year is the 52 or 53-week period ending on the Thursday closest to August 31. The Company’s fiscal 2004 contained 53 weeks and its first quarter of fiscal 2004 contained 14 weeks.</w:t>
      </w:r>
    </w:p>
    <w:p>
      <w:pPr>
        <w:spacing w:after="0" w:line="170" w:lineRule="exact"/>
        <w:rPr>
          <w:sz w:val="20"/>
          <w:szCs w:val="20"/>
          <w:color w:val="auto"/>
        </w:rPr>
      </w:pPr>
    </w:p>
    <w:p>
      <w:pPr>
        <w:ind w:left="340" w:right="80" w:hanging="332"/>
        <w:spacing w:after="0" w:line="259" w:lineRule="auto"/>
        <w:tabs>
          <w:tab w:leader="none" w:pos="361"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the second quarter of fiscal 2003, the Company announced a series of cost-reduction initiatives. The restructure plan included the shutdown of the Company’s 200mm production line in Virginia; the discontinuance of certain memory products, including SRAM and TCAM; and an approximate 10% reduction in the Company’s worldwide workforce. The credits to restructure in fiscal 2005 and 2004 primarily reflect sales of equipment associated with the Company’s 200mm production line in Virginia.</w:t>
      </w:r>
    </w:p>
    <w:p>
      <w:pPr>
        <w:spacing w:after="0" w:line="186" w:lineRule="exact"/>
        <w:rPr>
          <w:rFonts w:ascii="Arial" w:cs="Arial" w:eastAsia="Arial" w:hAnsi="Arial"/>
          <w:sz w:val="18"/>
          <w:szCs w:val="18"/>
          <w:color w:val="auto"/>
        </w:rPr>
      </w:pPr>
    </w:p>
    <w:p>
      <w:pPr>
        <w:ind w:left="340" w:right="40" w:hanging="332"/>
        <w:spacing w:after="0" w:line="259" w:lineRule="auto"/>
        <w:tabs>
          <w:tab w:leader="none" w:pos="361"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operating expense in the first quarter of fiscal 2005 includes net losses of $20 million from changes in currency exchange rates and is net of $12 million in receipts from the U.S. Government in connection with anti-dumping tariffs. Other operating expense in first quarter of fiscal 2004 includes net losses of $25 million from changes in currency exchange rates. Other operating income in the fourth quarter of fiscal 2004 includes $7 million from the Commonwealth of Virginia for meeting investment commitments at the Virginia wafer fab.</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2" w:lineRule="exact"/>
        <w:rPr>
          <w:rFonts w:ascii="Arial" w:cs="Arial" w:eastAsia="Arial" w:hAnsi="Arial"/>
          <w:sz w:val="18"/>
          <w:szCs w:val="18"/>
          <w:color w:val="auto"/>
        </w:rPr>
      </w:pPr>
    </w:p>
    <w:p>
      <w:pPr>
        <w:jc w:val="both"/>
        <w:ind w:left="340" w:right="120" w:hanging="332"/>
        <w:spacing w:after="0" w:line="286" w:lineRule="auto"/>
        <w:tabs>
          <w:tab w:leader="none" w:pos="361"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Income taxes for fiscal 2005 and 2004 primarily reflect taxes on the Company’s non-U.S. operations. U.S. operating results are not expected to reflect a significant income tax provision until such time as the Company utilizes a substantial portion of its U.S. net operating loss carryforwards and unused tax credits, as any such provision is substantially offset by a corresponding reduction in the deferred tax valuation allowance.</w:t>
      </w:r>
    </w:p>
    <w:p>
      <w:pPr>
        <w:spacing w:after="0" w:line="165" w:lineRule="exact"/>
        <w:rPr>
          <w:rFonts w:ascii="Arial" w:cs="Arial" w:eastAsia="Arial" w:hAnsi="Arial"/>
          <w:sz w:val="17"/>
          <w:szCs w:val="17"/>
          <w:color w:val="auto"/>
        </w:rPr>
      </w:pPr>
    </w:p>
    <w:p>
      <w:pPr>
        <w:ind w:left="340" w:right="60" w:hanging="332"/>
        <w:spacing w:after="0" w:line="342" w:lineRule="auto"/>
        <w:tabs>
          <w:tab w:leader="none" w:pos="361" w:val="left"/>
        </w:tabs>
        <w:numPr>
          <w:ilvl w:val="0"/>
          <w:numId w:val="1"/>
        </w:numPr>
        <w:rPr>
          <w:rFonts w:ascii="Arial" w:cs="Arial" w:eastAsia="Arial" w:hAnsi="Arial"/>
          <w:sz w:val="16"/>
          <w:szCs w:val="16"/>
          <w:color w:val="auto"/>
        </w:rPr>
      </w:pPr>
      <w:r>
        <w:rPr>
          <w:rFonts w:ascii="Arial" w:cs="Arial" w:eastAsia="Arial" w:hAnsi="Arial"/>
          <w:sz w:val="16"/>
          <w:szCs w:val="16"/>
          <w:color w:val="auto"/>
        </w:rPr>
        <w:t>On September 24, 2003, the Company received $450 million from Intel Corporation in exchange for the issuance of stock rights exchangeable into approximately 33.9 million shares of the Company’s common stock. In conjunction with the issuance of the stock rights, the Company agreed to achieve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-1242695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sectPr>
      </w:pPr>
    </w:p>
    <w:bookmarkStart w:id="4" w:name="page5"/>
    <w:bookmarkEnd w:id="4"/>
    <w:p>
      <w:pPr>
        <w:spacing w:after="0" w:line="257" w:lineRule="auto"/>
        <w:rPr>
          <w:sz w:val="20"/>
          <w:szCs w:val="20"/>
          <w:color w:val="auto"/>
        </w:rPr>
      </w:pPr>
      <w:r>
        <w:rPr>
          <w:rFonts w:ascii="Arial" w:cs="Arial" w:eastAsia="Arial" w:hAnsi="Arial"/>
          <w:sz w:val="18"/>
          <w:szCs w:val="18"/>
          <w:color w:val="auto"/>
        </w:rPr>
        <w:t>operational objectives through May 2005, including certain levels of DDR2 production and 300mm wafer processing capacity. In the event the Company fails to achieve certain 2005 milestones and the Company’s common stock price is then below Intel’s purchase price of $13.29, the Company could be obligated to pay Intel amounts not to exceed $135 million, a substantial portion of which is payable, at the Company’s election, in the Company’s common stock. The shares issuable pursuant to the stock rights are included in weighted average common shares outstanding in the computations of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194945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060"/>
      </w:cols>
      <w:pgMar w:left="58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2019-12-13T13:07:25Z</dcterms:created>
  <dcterms:modified xsi:type="dcterms:W3CDTF">2019-12-13T13:07:25Z</dcterms:modified>
</cp:coreProperties>
</file>