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55">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333-220882</w:t>
      </w:r>
    </w:p>
    <w:p>
      <w:pPr>
        <w:spacing w:after="0" w:line="213" w:lineRule="exact"/>
        <w:rPr>
          <w:sz w:val="24"/>
          <w:szCs w:val="24"/>
          <w:color w:val="auto"/>
        </w:rPr>
      </w:pPr>
    </w:p>
    <w:p>
      <w:pPr>
        <w:ind w:right="180"/>
        <w:spacing w:after="0" w:line="310" w:lineRule="auto"/>
        <w:rPr>
          <w:sz w:val="20"/>
          <w:szCs w:val="20"/>
          <w:color w:val="auto"/>
        </w:rPr>
      </w:pPr>
      <w:r>
        <w:rPr>
          <w:rFonts w:ascii="Arial" w:cs="Arial" w:eastAsia="Arial" w:hAnsi="Arial"/>
          <w:sz w:val="16"/>
          <w:szCs w:val="16"/>
          <w:b w:val="1"/>
          <w:bCs w:val="1"/>
          <w:color w:val="EF505F"/>
        </w:rPr>
        <w:t>This preliminary prospectus supplement is not complete and may be changed. A registration statement relating to these notes has been filed with the U.S. Securities and Exchange Commission and is effective. This preliminary prospectus supplement and the accompanying prospectus are not an offer to sell these notes and they are not soliciting an offer to buy these notes in any jurisdiction where the offer or sale is not permitted.</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EF505F"/>
        </w:rPr>
        <w:t>Subject to Completion, dated July 10,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10, 2017)</w:t>
      </w:r>
    </w:p>
    <w:p>
      <w:pPr>
        <w:spacing w:after="0" w:line="200" w:lineRule="exact"/>
        <w:rPr>
          <w:sz w:val="24"/>
          <w:szCs w:val="24"/>
          <w:color w:val="auto"/>
        </w:rPr>
      </w:pPr>
    </w:p>
    <w:p>
      <w:pPr>
        <w:ind w:left="5340"/>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2131695</wp:posOffset>
            </wp:positionH>
            <wp:positionV relativeFrom="paragraph">
              <wp:posOffset>148590</wp:posOffset>
            </wp:positionV>
            <wp:extent cx="2992755" cy="831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92755"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Micron Technology, Inc.</w:t>
      </w:r>
    </w:p>
    <w:p>
      <w:pPr>
        <w:spacing w:after="0" w:line="225" w:lineRule="exact"/>
        <w:rPr>
          <w:sz w:val="24"/>
          <w:szCs w:val="24"/>
          <w:color w:val="auto"/>
        </w:rPr>
      </w:pPr>
    </w:p>
    <w:p>
      <w:pPr>
        <w:ind w:left="5200" w:hanging="1185"/>
        <w:spacing w:after="0"/>
        <w:tabs>
          <w:tab w:leader="none" w:pos="52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Senior Notes due 20</w:t>
      </w:r>
    </w:p>
    <w:p>
      <w:pPr>
        <w:spacing w:after="0" w:line="14" w:lineRule="exact"/>
        <w:rPr>
          <w:sz w:val="24"/>
          <w:szCs w:val="24"/>
          <w:color w:val="auto"/>
        </w:rPr>
      </w:pPr>
    </w:p>
    <w:p>
      <w:pPr>
        <w:ind w:left="5140" w:hanging="1179"/>
        <w:spacing w:after="0"/>
        <w:tabs>
          <w:tab w:leader="none" w:pos="51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Senior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133350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685"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firstLine="395"/>
        <w:spacing w:after="0" w:line="254" w:lineRule="auto"/>
        <w:rPr>
          <w:sz w:val="20"/>
          <w:szCs w:val="20"/>
          <w:color w:val="auto"/>
        </w:rPr>
      </w:pPr>
      <w:r>
        <w:rPr>
          <w:rFonts w:ascii="Arial" w:cs="Arial" w:eastAsia="Arial" w:hAnsi="Arial"/>
          <w:sz w:val="18"/>
          <w:szCs w:val="18"/>
          <w:color w:val="auto"/>
        </w:rPr>
        <w:t>Micron Technology, Inc. is offering $ amount of % senior notes due 20 (the "20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firstLine="18"/>
        <w:spacing w:after="0" w:line="305" w:lineRule="auto"/>
        <w:rPr>
          <w:sz w:val="20"/>
          <w:szCs w:val="20"/>
          <w:color w:val="auto"/>
        </w:rPr>
      </w:pPr>
      <w:r>
        <w:rPr>
          <w:rFonts w:ascii="Arial" w:cs="Arial" w:eastAsia="Arial" w:hAnsi="Arial"/>
          <w:sz w:val="15"/>
          <w:szCs w:val="15"/>
          <w:color w:val="auto"/>
        </w:rPr>
        <w:t>aggregate principal amount of notes" and, together with the 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right="80" w:firstLine="25"/>
        <w:spacing w:after="0" w:line="286" w:lineRule="auto"/>
        <w:rPr>
          <w:sz w:val="20"/>
          <w:szCs w:val="20"/>
          <w:color w:val="auto"/>
        </w:rPr>
      </w:pPr>
      <w:r>
        <w:rPr>
          <w:rFonts w:ascii="Arial" w:cs="Arial" w:eastAsia="Arial" w:hAnsi="Arial"/>
          <w:sz w:val="16"/>
          <w:szCs w:val="16"/>
          <w:color w:val="auto"/>
        </w:rPr>
        <w:t>% senior notes due 20 (the "20 " notes) and $ aggregate principal notes, the "notes"). The 20 notes and the 20 notes are each referred to</w:t>
      </w:r>
    </w:p>
    <w:p>
      <w:pPr>
        <w:spacing w:after="0" w:line="1" w:lineRule="exact"/>
        <w:rPr>
          <w:sz w:val="24"/>
          <w:szCs w:val="24"/>
          <w:color w:val="auto"/>
        </w:rPr>
      </w:pPr>
    </w:p>
    <w:p>
      <w:pPr>
        <w:sectPr>
          <w:pgSz w:w="11900" w:h="16838" w:orient="portrait"/>
          <w:cols w:equalWidth="0" w:num="3">
            <w:col w:w="3360" w:space="180"/>
            <w:col w:w="2240" w:space="220"/>
            <w:col w:w="5420"/>
          </w:cols>
          <w:pgMar w:left="240" w:top="685" w:right="239" w:bottom="0" w:gutter="0" w:footer="0" w:header="0"/>
          <w:type w:val="continuous"/>
        </w:sectPr>
      </w:pPr>
    </w:p>
    <w:p>
      <w:pPr>
        <w:spacing w:after="0"/>
        <w:rPr>
          <w:sz w:val="20"/>
          <w:szCs w:val="20"/>
          <w:color w:val="auto"/>
        </w:rPr>
      </w:pPr>
      <w:r>
        <w:rPr>
          <w:rFonts w:ascii="Arial" w:cs="Arial" w:eastAsia="Arial" w:hAnsi="Arial"/>
          <w:sz w:val="15"/>
          <w:szCs w:val="15"/>
          <w:color w:val="auto"/>
        </w:rPr>
        <w:t>herein as a series of notes.</w:t>
      </w:r>
    </w:p>
    <w:p>
      <w:pPr>
        <w:sectPr>
          <w:pgSz w:w="11900" w:h="16838" w:orient="portrait"/>
          <w:cols w:equalWidth="0" w:num="1">
            <w:col w:w="11420"/>
          </w:cols>
          <w:pgMar w:left="240" w:top="685" w:right="239" w:bottom="0" w:gutter="0" w:footer="0" w:header="0"/>
          <w:type w:val="continuous"/>
        </w:sectPr>
      </w:pPr>
    </w:p>
    <w:p>
      <w:pPr>
        <w:spacing w:after="0" w:line="253" w:lineRule="exact"/>
        <w:rPr>
          <w:sz w:val="24"/>
          <w:szCs w:val="24"/>
          <w:color w:val="auto"/>
        </w:rPr>
      </w:pPr>
    </w:p>
    <w:p>
      <w:pPr>
        <w:ind w:firstLine="392"/>
        <w:spacing w:after="0" w:line="268" w:lineRule="auto"/>
        <w:rPr>
          <w:sz w:val="20"/>
          <w:szCs w:val="20"/>
          <w:color w:val="auto"/>
        </w:rPr>
      </w:pPr>
      <w:r>
        <w:rPr>
          <w:rFonts w:ascii="Arial" w:cs="Arial" w:eastAsia="Arial" w:hAnsi="Arial"/>
          <w:sz w:val="18"/>
          <w:szCs w:val="18"/>
          <w:color w:val="auto"/>
        </w:rPr>
        <w:t>The 20 notes will bear interest at the rate of % per year and the 20 semi-annually in arrears on and of each year, beginning</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rPr>
          <w:sz w:val="20"/>
          <w:szCs w:val="20"/>
          <w:color w:val="auto"/>
        </w:rPr>
      </w:pPr>
      <w:r>
        <w:rPr>
          <w:rFonts w:ascii="Arial" w:cs="Arial" w:eastAsia="Arial" w:hAnsi="Arial"/>
          <w:sz w:val="15"/>
          <w:szCs w:val="15"/>
          <w:color w:val="auto"/>
        </w:rPr>
        <w:t>notes will bear interest at the rate of</w:t>
      </w:r>
    </w:p>
    <w:p>
      <w:pPr>
        <w:spacing w:after="0" w:line="50"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2020.</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rPr>
          <w:sz w:val="20"/>
          <w:szCs w:val="20"/>
          <w:color w:val="auto"/>
        </w:rPr>
      </w:pPr>
      <w:r>
        <w:rPr>
          <w:rFonts w:ascii="Arial" w:cs="Arial" w:eastAsia="Arial" w:hAnsi="Arial"/>
          <w:sz w:val="15"/>
          <w:szCs w:val="15"/>
          <w:color w:val="auto"/>
        </w:rPr>
        <w:t>% per year. Interest will be payable</w:t>
      </w:r>
    </w:p>
    <w:p>
      <w:pPr>
        <w:spacing w:after="0" w:line="475" w:lineRule="exact"/>
        <w:rPr>
          <w:sz w:val="24"/>
          <w:szCs w:val="24"/>
          <w:color w:val="auto"/>
        </w:rPr>
      </w:pPr>
    </w:p>
    <w:p>
      <w:pPr>
        <w:sectPr>
          <w:pgSz w:w="11900" w:h="16838" w:orient="portrait"/>
          <w:cols w:equalWidth="0" w:num="3">
            <w:col w:w="5480" w:space="180"/>
            <w:col w:w="2520" w:space="340"/>
            <w:col w:w="2900"/>
          </w:cols>
          <w:pgMar w:left="240" w:top="685" w:right="239" w:bottom="0" w:gutter="0" w:footer="0" w:header="0"/>
          <w:type w:val="continuous"/>
        </w:sectPr>
      </w:pPr>
    </w:p>
    <w:p>
      <w:pPr>
        <w:ind w:left="400"/>
        <w:spacing w:after="0"/>
        <w:rPr>
          <w:sz w:val="20"/>
          <w:szCs w:val="20"/>
          <w:color w:val="auto"/>
        </w:rPr>
      </w:pPr>
      <w:r>
        <w:rPr>
          <w:rFonts w:ascii="Arial" w:cs="Arial" w:eastAsia="Arial" w:hAnsi="Arial"/>
          <w:sz w:val="16"/>
          <w:szCs w:val="16"/>
          <w:color w:val="auto"/>
        </w:rPr>
        <w:t>The 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notes will mature 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 20</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color w:val="auto"/>
        </w:rPr>
        <w:t>and the 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notes will mature 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 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w:t>
      </w:r>
    </w:p>
    <w:p>
      <w:pPr>
        <w:spacing w:after="0" w:line="222" w:lineRule="exact"/>
        <w:rPr>
          <w:sz w:val="24"/>
          <w:szCs w:val="24"/>
          <w:color w:val="auto"/>
        </w:rPr>
      </w:pPr>
    </w:p>
    <w:p>
      <w:pPr>
        <w:sectPr>
          <w:pgSz w:w="11900" w:h="16838" w:orient="portrait"/>
          <w:cols w:equalWidth="0" w:num="7">
            <w:col w:w="900" w:space="160"/>
            <w:col w:w="1440" w:space="700"/>
            <w:col w:w="280" w:space="160"/>
            <w:col w:w="740" w:space="180"/>
            <w:col w:w="1440" w:space="700"/>
            <w:col w:w="260" w:space="180"/>
            <w:col w:w="4280"/>
          </w:cols>
          <w:pgMar w:left="240" w:top="685" w:right="239" w:bottom="0" w:gutter="0" w:footer="0" w:header="0"/>
          <w:type w:val="continuous"/>
        </w:sectPr>
      </w:pPr>
    </w:p>
    <w:p>
      <w:pPr>
        <w:spacing w:after="0" w:line="48" w:lineRule="exact"/>
        <w:rPr>
          <w:sz w:val="24"/>
          <w:szCs w:val="24"/>
          <w:color w:val="auto"/>
        </w:rPr>
      </w:pPr>
    </w:p>
    <w:p>
      <w:pPr>
        <w:ind w:right="60" w:firstLine="392"/>
        <w:spacing w:after="0" w:line="305" w:lineRule="auto"/>
        <w:rPr>
          <w:sz w:val="20"/>
          <w:szCs w:val="20"/>
          <w:color w:val="auto"/>
        </w:rPr>
      </w:pPr>
      <w:r>
        <w:rPr>
          <w:rFonts w:ascii="Arial" w:cs="Arial" w:eastAsia="Arial" w:hAnsi="Arial"/>
          <w:sz w:val="15"/>
          <w:szCs w:val="15"/>
          <w:color w:val="auto"/>
        </w:rPr>
        <w:t>We may redeem some or all of the notes, at any time or from time to time, at a redemption price equal to the greater of (i) 100% of the principal amount of the notes to be redeemed and (ii) a make-whole amount (as described in the section entitled "Description of the Notes—Optional Redemption"), plus accrued and</w:t>
      </w:r>
    </w:p>
    <w:p>
      <w:pPr>
        <w:ind w:right="40"/>
        <w:spacing w:after="0" w:line="281" w:lineRule="auto"/>
        <w:rPr>
          <w:sz w:val="20"/>
          <w:szCs w:val="20"/>
          <w:color w:val="auto"/>
        </w:rPr>
      </w:pPr>
      <w:r>
        <w:rPr>
          <w:rFonts w:ascii="Arial" w:cs="Arial" w:eastAsia="Arial" w:hAnsi="Arial"/>
          <w:sz w:val="16"/>
          <w:szCs w:val="16"/>
          <w:color w:val="auto"/>
        </w:rPr>
        <w:t>unpaid interest thereon to, but excluding, the redemption date. In addition, we may redeem the 20 notes in whole or in part, at any time from or after , 20 , and the 20 notes in whole or in part, at any time from or after , 20 , at a redemption price equal to 100% of the principal amount of the notes to</w:t>
      </w:r>
    </w:p>
    <w:p>
      <w:pPr>
        <w:spacing w:after="0" w:line="1" w:lineRule="exact"/>
        <w:rPr>
          <w:sz w:val="24"/>
          <w:szCs w:val="24"/>
          <w:color w:val="auto"/>
        </w:rPr>
      </w:pPr>
    </w:p>
    <w:p>
      <w:pPr>
        <w:ind w:right="80"/>
        <w:spacing w:after="0" w:line="295" w:lineRule="auto"/>
        <w:rPr>
          <w:sz w:val="20"/>
          <w:szCs w:val="20"/>
          <w:color w:val="auto"/>
        </w:rPr>
      </w:pPr>
      <w:r>
        <w:rPr>
          <w:rFonts w:ascii="Arial" w:cs="Arial" w:eastAsia="Arial" w:hAnsi="Arial"/>
          <w:sz w:val="16"/>
          <w:szCs w:val="16"/>
          <w:color w:val="auto"/>
        </w:rPr>
        <w:t>be redeemed, plus accrued and unpaid interest thereon to, but excluding, the redemption date. See "Description of the Notes—Optional Redemption" in this prospectus supplement for more information. We will be required to make an offer to purchase each series of the notes, at a price equal to 101% of their principal amount, plus accrued and unpaid interest to, but excluding, the date of purchase, upon the occurrence of a Change of Control Triggering Event (as defined herein). See the section entitled "Description of the Notes—Repurchase of Notes Upon a Change of Control Triggering Event" for more information.</w:t>
      </w:r>
    </w:p>
    <w:p>
      <w:pPr>
        <w:spacing w:after="0" w:line="169" w:lineRule="exact"/>
        <w:rPr>
          <w:sz w:val="24"/>
          <w:szCs w:val="24"/>
          <w:color w:val="auto"/>
        </w:rPr>
      </w:pPr>
    </w:p>
    <w:p>
      <w:pPr>
        <w:ind w:firstLine="392"/>
        <w:spacing w:after="0" w:line="268" w:lineRule="auto"/>
        <w:rPr>
          <w:sz w:val="20"/>
          <w:szCs w:val="20"/>
          <w:color w:val="auto"/>
        </w:rPr>
      </w:pPr>
      <w:r>
        <w:rPr>
          <w:rFonts w:ascii="Arial" w:cs="Arial" w:eastAsia="Arial" w:hAnsi="Arial"/>
          <w:sz w:val="18"/>
          <w:szCs w:val="18"/>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123190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right="620" w:firstLine="395"/>
        <w:spacing w:after="0" w:line="275" w:lineRule="auto"/>
        <w:rPr>
          <w:sz w:val="20"/>
          <w:szCs w:val="20"/>
          <w:color w:val="auto"/>
        </w:rPr>
      </w:pPr>
      <w:r>
        <w:rPr>
          <w:rFonts w:ascii="Arial" w:cs="Arial" w:eastAsia="Arial" w:hAnsi="Arial"/>
          <w:sz w:val="18"/>
          <w:szCs w:val="18"/>
          <w:b w:val="1"/>
          <w:bCs w:val="1"/>
          <w:color w:val="auto"/>
        </w:rPr>
        <w:t>Investing in the notes involves risks. See "Risk Factors" beginning on page S-7 for a discussion of certain risks that should be considered in connection with an investment in the notes.</w:t>
      </w:r>
    </w:p>
    <w:p>
      <w:pPr>
        <w:spacing w:after="0" w:line="174" w:lineRule="exact"/>
        <w:rPr>
          <w:sz w:val="24"/>
          <w:szCs w:val="24"/>
          <w:color w:val="auto"/>
        </w:rPr>
      </w:pPr>
    </w:p>
    <w:p>
      <w:pPr>
        <w:ind w:right="40" w:firstLine="395"/>
        <w:spacing w:after="0" w:line="378" w:lineRule="auto"/>
        <w:rPr>
          <w:sz w:val="20"/>
          <w:szCs w:val="20"/>
          <w:color w:val="auto"/>
        </w:rPr>
      </w:pPr>
      <w:r>
        <w:rPr>
          <w:rFonts w:ascii="Arial" w:cs="Arial" w:eastAsia="Arial" w:hAnsi="Arial"/>
          <w:sz w:val="15"/>
          <w:szCs w:val="15"/>
          <w:b w:val="1"/>
          <w:b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75565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tbl>
      <w:tblPr>
        <w:tblLayout w:type="fixed"/>
        <w:tblInd w:w="1580" w:type="dxa"/>
        <w:tblCellMar>
          <w:top w:w="0" w:type="dxa"/>
          <w:left w:w="0" w:type="dxa"/>
          <w:bottom w:w="0" w:type="dxa"/>
          <w:right w:w="0" w:type="dxa"/>
        </w:tblCellMar>
      </w:tblPr>
      <w:tr>
        <w:trPr>
          <w:trHeight w:val="40"/>
        </w:trPr>
        <w:tc>
          <w:tcPr>
            <w:tcW w:w="2720" w:type="dxa"/>
            <w:vAlign w:val="bottom"/>
            <w:tcBorders>
              <w:top w:val="single" w:sz="8" w:color="auto"/>
              <w:bottom w:val="single" w:sz="8" w:color="auto"/>
            </w:tcBorders>
          </w:tcPr>
          <w:p>
            <w:pPr>
              <w:spacing w:after="0"/>
              <w:rPr>
                <w:sz w:val="3"/>
                <w:szCs w:val="3"/>
                <w:color w:val="auto"/>
              </w:rPr>
            </w:pPr>
          </w:p>
        </w:tc>
        <w:tc>
          <w:tcPr>
            <w:tcW w:w="272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r>
      <w:tr>
        <w:trPr>
          <w:trHeight w:val="116"/>
        </w:trPr>
        <w:tc>
          <w:tcPr>
            <w:tcW w:w="2720" w:type="dxa"/>
            <w:vAlign w:val="bottom"/>
          </w:tcPr>
          <w:p>
            <w:pPr>
              <w:spacing w:after="0"/>
              <w:rPr>
                <w:sz w:val="10"/>
                <w:szCs w:val="10"/>
                <w:color w:val="auto"/>
              </w:rPr>
            </w:pPr>
          </w:p>
        </w:tc>
        <w:tc>
          <w:tcPr>
            <w:tcW w:w="2720" w:type="dxa"/>
            <w:vAlign w:val="bottom"/>
          </w:tcPr>
          <w:p>
            <w:pPr>
              <w:jc w:val="center"/>
              <w:ind w:left="1144"/>
              <w:spacing w:after="0" w:line="117" w:lineRule="exact"/>
              <w:rPr>
                <w:sz w:val="20"/>
                <w:szCs w:val="20"/>
                <w:color w:val="auto"/>
              </w:rPr>
            </w:pPr>
            <w:r>
              <w:rPr>
                <w:rFonts w:ascii="Arial" w:cs="Arial" w:eastAsia="Arial" w:hAnsi="Arial"/>
                <w:sz w:val="12"/>
                <w:szCs w:val="12"/>
                <w:b w:val="1"/>
                <w:bCs w:val="1"/>
                <w:color w:val="auto"/>
              </w:rPr>
              <w:t>Public offering</w:t>
            </w:r>
          </w:p>
        </w:tc>
        <w:tc>
          <w:tcPr>
            <w:tcW w:w="1380" w:type="dxa"/>
            <w:vAlign w:val="bottom"/>
          </w:tcPr>
          <w:p>
            <w:pPr>
              <w:jc w:val="right"/>
              <w:ind w:right="204"/>
              <w:spacing w:after="0" w:line="117" w:lineRule="exact"/>
              <w:rPr>
                <w:sz w:val="20"/>
                <w:szCs w:val="20"/>
                <w:color w:val="auto"/>
              </w:rPr>
            </w:pPr>
            <w:r>
              <w:rPr>
                <w:rFonts w:ascii="Arial" w:cs="Arial" w:eastAsia="Arial" w:hAnsi="Arial"/>
                <w:sz w:val="12"/>
                <w:szCs w:val="12"/>
                <w:b w:val="1"/>
                <w:bCs w:val="1"/>
                <w:color w:val="auto"/>
              </w:rPr>
              <w:t>Underwriting</w:t>
            </w:r>
          </w:p>
        </w:tc>
        <w:tc>
          <w:tcPr>
            <w:tcW w:w="1440" w:type="dxa"/>
            <w:vAlign w:val="bottom"/>
          </w:tcPr>
          <w:p>
            <w:pPr>
              <w:jc w:val="center"/>
              <w:ind w:left="64"/>
              <w:spacing w:after="0" w:line="117" w:lineRule="exact"/>
              <w:rPr>
                <w:sz w:val="20"/>
                <w:szCs w:val="20"/>
                <w:color w:val="auto"/>
              </w:rPr>
            </w:pPr>
            <w:r>
              <w:rPr>
                <w:rFonts w:ascii="Arial" w:cs="Arial" w:eastAsia="Arial" w:hAnsi="Arial"/>
                <w:sz w:val="12"/>
                <w:szCs w:val="12"/>
                <w:b w:val="1"/>
                <w:bCs w:val="1"/>
                <w:color w:val="auto"/>
                <w:w w:val="96"/>
              </w:rPr>
              <w:t>Proceeds to us,</w:t>
            </w:r>
          </w:p>
        </w:tc>
      </w:tr>
      <w:tr>
        <w:trPr>
          <w:trHeight w:val="182"/>
        </w:trPr>
        <w:tc>
          <w:tcPr>
            <w:tcW w:w="27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jc w:val="center"/>
              <w:ind w:left="1144"/>
              <w:spacing w:after="0"/>
              <w:rPr>
                <w:sz w:val="20"/>
                <w:szCs w:val="20"/>
                <w:color w:val="auto"/>
              </w:rPr>
            </w:pPr>
            <w:r>
              <w:rPr>
                <w:rFonts w:ascii="Arial" w:cs="Arial" w:eastAsia="Arial" w:hAnsi="Arial"/>
                <w:sz w:val="14"/>
                <w:szCs w:val="14"/>
                <w:b w:val="1"/>
                <w:bCs w:val="1"/>
                <w:color w:val="auto"/>
                <w:w w:val="90"/>
              </w:rPr>
              <w:t>price(1)</w:t>
            </w:r>
          </w:p>
        </w:tc>
        <w:tc>
          <w:tcPr>
            <w:tcW w:w="138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discounts(2)</w:t>
            </w:r>
          </w:p>
        </w:tc>
        <w:tc>
          <w:tcPr>
            <w:tcW w:w="1440" w:type="dxa"/>
            <w:vAlign w:val="bottom"/>
            <w:tcBorders>
              <w:bottom w:val="single" w:sz="8" w:color="auto"/>
            </w:tcBorders>
          </w:tcPr>
          <w:p>
            <w:pPr>
              <w:jc w:val="center"/>
              <w:ind w:left="64"/>
              <w:spacing w:after="0"/>
              <w:rPr>
                <w:sz w:val="20"/>
                <w:szCs w:val="20"/>
                <w:color w:val="auto"/>
              </w:rPr>
            </w:pPr>
            <w:r>
              <w:rPr>
                <w:rFonts w:ascii="Arial" w:cs="Arial" w:eastAsia="Arial" w:hAnsi="Arial"/>
                <w:sz w:val="14"/>
                <w:szCs w:val="14"/>
                <w:b w:val="1"/>
                <w:bCs w:val="1"/>
                <w:color w:val="auto"/>
                <w:w w:val="83"/>
              </w:rPr>
              <w:t>before expenses(1)</w:t>
            </w: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Per 20  Note</w:t>
            </w:r>
          </w:p>
        </w:tc>
        <w:tc>
          <w:tcPr>
            <w:tcW w:w="2720" w:type="dxa"/>
            <w:vAlign w:val="bottom"/>
          </w:tcPr>
          <w:p>
            <w:pPr>
              <w:jc w:val="right"/>
              <w:ind w:right="324"/>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64"/>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44"/>
              <w:spacing w:after="0"/>
              <w:rPr>
                <w:sz w:val="20"/>
                <w:szCs w:val="20"/>
                <w:color w:val="auto"/>
              </w:rPr>
            </w:pPr>
            <w:r>
              <w:rPr>
                <w:rFonts w:ascii="Arial" w:cs="Arial" w:eastAsia="Arial" w:hAnsi="Arial"/>
                <w:sz w:val="18"/>
                <w:szCs w:val="18"/>
                <w:color w:val="auto"/>
              </w:rPr>
              <w:t>%</w:t>
            </w:r>
          </w:p>
        </w:tc>
      </w:tr>
      <w:tr>
        <w:trPr>
          <w:trHeight w:val="21"/>
        </w:trPr>
        <w:tc>
          <w:tcPr>
            <w:tcW w:w="272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20  Notes Total</w:t>
            </w:r>
          </w:p>
        </w:tc>
        <w:tc>
          <w:tcPr>
            <w:tcW w:w="2720" w:type="dxa"/>
            <w:vAlign w:val="bottom"/>
          </w:tcPr>
          <w:p>
            <w:pPr>
              <w:jc w:val="right"/>
              <w:ind w:right="884"/>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804"/>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84"/>
              <w:spacing w:after="0"/>
              <w:rPr>
                <w:sz w:val="20"/>
                <w:szCs w:val="20"/>
                <w:color w:val="auto"/>
              </w:rPr>
            </w:pPr>
            <w:r>
              <w:rPr>
                <w:rFonts w:ascii="Arial" w:cs="Arial" w:eastAsia="Arial" w:hAnsi="Arial"/>
                <w:sz w:val="18"/>
                <w:szCs w:val="18"/>
                <w:color w:val="auto"/>
              </w:rPr>
              <w:t>$</w:t>
            </w:r>
          </w:p>
        </w:tc>
      </w:tr>
      <w:tr>
        <w:trPr>
          <w:trHeight w:val="21"/>
        </w:trPr>
        <w:tc>
          <w:tcPr>
            <w:tcW w:w="272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85"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Per 20  Note</w:t>
            </w:r>
          </w:p>
        </w:tc>
        <w:tc>
          <w:tcPr>
            <w:tcW w:w="37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  Notes Total</w:t>
            </w:r>
          </w:p>
        </w:tc>
        <w:tc>
          <w:tcPr>
            <w:tcW w:w="376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Total</w:t>
            </w:r>
          </w:p>
        </w:tc>
        <w:tc>
          <w:tcPr>
            <w:tcW w:w="376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80" w:type="dxa"/>
            <w:vAlign w:val="bottom"/>
            <w:vMerge w:val="restart"/>
          </w:tcPr>
          <w:p>
            <w:pPr>
              <w:jc w:val="right"/>
              <w:ind w:right="72"/>
              <w:spacing w:after="0"/>
              <w:rPr>
                <w:sz w:val="20"/>
                <w:szCs w:val="20"/>
                <w:color w:val="auto"/>
              </w:rPr>
            </w:pPr>
            <w:r>
              <w:rPr>
                <w:rFonts w:ascii="Arial" w:cs="Arial" w:eastAsia="Arial" w:hAnsi="Arial"/>
                <w:sz w:val="18"/>
                <w:szCs w:val="18"/>
                <w:color w:val="auto"/>
                <w:w w:val="90"/>
              </w:rPr>
              <w:t>(1)</w:t>
            </w:r>
          </w:p>
        </w:tc>
        <w:tc>
          <w:tcPr>
            <w:tcW w:w="1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80" w:type="dxa"/>
            <w:vAlign w:val="bottom"/>
            <w:vMerge w:val="continue"/>
          </w:tcPr>
          <w:p>
            <w:pPr>
              <w:spacing w:after="0"/>
              <w:rPr>
                <w:sz w:val="24"/>
                <w:szCs w:val="24"/>
                <w:color w:val="auto"/>
              </w:rPr>
            </w:pP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Plus accrued interest, if any, from</w:t>
            </w:r>
          </w:p>
        </w:tc>
        <w:tc>
          <w:tcPr>
            <w:tcW w:w="3760" w:type="dxa"/>
            <w:vAlign w:val="bottom"/>
          </w:tcPr>
          <w:p>
            <w:pPr>
              <w:jc w:val="right"/>
              <w:ind w:right="2832"/>
              <w:spacing w:after="0"/>
              <w:rPr>
                <w:sz w:val="20"/>
                <w:szCs w:val="20"/>
                <w:color w:val="auto"/>
              </w:rPr>
            </w:pPr>
            <w:r>
              <w:rPr>
                <w:rFonts w:ascii="Arial" w:cs="Arial" w:eastAsia="Arial" w:hAnsi="Arial"/>
                <w:sz w:val="18"/>
                <w:szCs w:val="18"/>
                <w:color w:val="auto"/>
              </w:rPr>
              <w:t>, 2019.</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underwriters have agreed to reimburse us for certain expenses in connection with the offering. See "Underwriting."</w:t>
      </w:r>
    </w:p>
    <w:p>
      <w:pPr>
        <w:spacing w:after="0" w:line="225" w:lineRule="exact"/>
        <w:rPr>
          <w:sz w:val="20"/>
          <w:szCs w:val="20"/>
          <w:color w:val="auto"/>
        </w:rPr>
      </w:pPr>
    </w:p>
    <w:p>
      <w:pPr>
        <w:jc w:val="both"/>
        <w:ind w:right="200" w:firstLine="395"/>
        <w:spacing w:after="0" w:line="259" w:lineRule="auto"/>
        <w:rPr>
          <w:sz w:val="20"/>
          <w:szCs w:val="20"/>
          <w:color w:val="auto"/>
        </w:rPr>
      </w:pPr>
      <w:r>
        <w:rPr>
          <w:rFonts w:ascii="Arial" w:cs="Arial" w:eastAsia="Arial" w:hAnsi="Arial"/>
          <w:sz w:val="18"/>
          <w:szCs w:val="18"/>
          <w:color w:val="auto"/>
        </w:rPr>
        <w:t>Interest on the notes will accrue from , 2019. The notes will be issued in registered, book-entry form only without interest coupons, in minimum denominations of $2,000 and integral multiples of $1,000 in excess thereof. The notes will not be listed on any securities exchange. Currently there is no public market for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underwriters expect to deliver the notes to purchasers through the book-entry delivery system of The Depository Trust Company and its participants,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w w:val="94"/>
              </w:rPr>
              <w:t>including Euroclear Bank S.A./N.V. and Clearstream Banking, S.A. on or about</w:t>
            </w:r>
          </w:p>
        </w:tc>
        <w:tc>
          <w:tcPr>
            <w:tcW w:w="2000" w:type="dxa"/>
            <w:vAlign w:val="bottom"/>
          </w:tcPr>
          <w:p>
            <w:pPr>
              <w:jc w:val="right"/>
              <w:ind w:right="1072"/>
              <w:spacing w:after="0"/>
              <w:rPr>
                <w:sz w:val="20"/>
                <w:szCs w:val="20"/>
                <w:color w:val="auto"/>
              </w:rPr>
            </w:pPr>
            <w:r>
              <w:rPr>
                <w:rFonts w:ascii="Arial" w:cs="Arial" w:eastAsia="Arial" w:hAnsi="Arial"/>
                <w:sz w:val="18"/>
                <w:szCs w:val="18"/>
                <w:color w:val="auto"/>
              </w:rPr>
              <w:t>, 2019.</w:t>
            </w:r>
          </w:p>
        </w:tc>
        <w:tc>
          <w:tcPr>
            <w:tcW w:w="3460" w:type="dxa"/>
            <w:vAlign w:val="bottom"/>
          </w:tcPr>
          <w:p>
            <w:pPr>
              <w:spacing w:after="0"/>
              <w:rPr>
                <w:sz w:val="19"/>
                <w:szCs w:val="19"/>
                <w:color w:val="auto"/>
              </w:rPr>
            </w:pPr>
          </w:p>
        </w:tc>
      </w:tr>
      <w:tr>
        <w:trPr>
          <w:trHeight w:val="426"/>
        </w:trPr>
        <w:tc>
          <w:tcPr>
            <w:tcW w:w="3760" w:type="dxa"/>
            <w:vAlign w:val="bottom"/>
          </w:tcPr>
          <w:p>
            <w:pPr>
              <w:spacing w:after="0"/>
              <w:rPr>
                <w:sz w:val="24"/>
                <w:szCs w:val="24"/>
                <w:color w:val="auto"/>
              </w:rPr>
            </w:pPr>
          </w:p>
        </w:tc>
        <w:tc>
          <w:tcPr>
            <w:tcW w:w="4200" w:type="dxa"/>
            <w:vAlign w:val="bottom"/>
            <w:gridSpan w:val="2"/>
          </w:tcPr>
          <w:p>
            <w:pPr>
              <w:jc w:val="right"/>
              <w:ind w:right="1072"/>
              <w:spacing w:after="0"/>
              <w:rPr>
                <w:sz w:val="20"/>
                <w:szCs w:val="20"/>
                <w:color w:val="auto"/>
              </w:rPr>
            </w:pPr>
            <w:r>
              <w:rPr>
                <w:rFonts w:ascii="Arial" w:cs="Arial" w:eastAsia="Arial" w:hAnsi="Arial"/>
                <w:sz w:val="18"/>
                <w:szCs w:val="18"/>
                <w:i w:val="1"/>
                <w:iCs w:val="1"/>
                <w:color w:val="auto"/>
              </w:rPr>
              <w:t>Joint Book-Running Managers</w:t>
            </w:r>
          </w:p>
        </w:tc>
        <w:tc>
          <w:tcPr>
            <w:tcW w:w="3460" w:type="dxa"/>
            <w:vAlign w:val="bottom"/>
          </w:tcPr>
          <w:p>
            <w:pPr>
              <w:spacing w:after="0"/>
              <w:rPr>
                <w:sz w:val="24"/>
                <w:szCs w:val="24"/>
                <w:color w:val="auto"/>
              </w:rPr>
            </w:pPr>
          </w:p>
        </w:tc>
      </w:tr>
      <w:tr>
        <w:trPr>
          <w:trHeight w:val="506"/>
        </w:trPr>
        <w:tc>
          <w:tcPr>
            <w:tcW w:w="3760" w:type="dxa"/>
            <w:vAlign w:val="bottom"/>
          </w:tcPr>
          <w:p>
            <w:pPr>
              <w:spacing w:after="0"/>
              <w:rPr>
                <w:sz w:val="20"/>
                <w:szCs w:val="20"/>
                <w:color w:val="auto"/>
              </w:rPr>
            </w:pPr>
            <w:r>
              <w:rPr>
                <w:rFonts w:ascii="Arial" w:cs="Arial" w:eastAsia="Arial" w:hAnsi="Arial"/>
                <w:sz w:val="24"/>
                <w:szCs w:val="24"/>
                <w:b w:val="1"/>
                <w:bCs w:val="1"/>
                <w:color w:val="auto"/>
              </w:rPr>
              <w:t>Goldman Sachs &amp; Co. LLC</w:t>
            </w:r>
          </w:p>
        </w:tc>
        <w:tc>
          <w:tcPr>
            <w:tcW w:w="4200" w:type="dxa"/>
            <w:vAlign w:val="bottom"/>
            <w:gridSpan w:val="2"/>
          </w:tcPr>
          <w:p>
            <w:pPr>
              <w:jc w:val="right"/>
              <w:ind w:right="1052"/>
              <w:spacing w:after="0"/>
              <w:rPr>
                <w:sz w:val="20"/>
                <w:szCs w:val="20"/>
                <w:color w:val="auto"/>
              </w:rPr>
            </w:pPr>
            <w:r>
              <w:rPr>
                <w:rFonts w:ascii="Arial" w:cs="Arial" w:eastAsia="Arial" w:hAnsi="Arial"/>
                <w:sz w:val="24"/>
                <w:szCs w:val="24"/>
                <w:b w:val="1"/>
                <w:bCs w:val="1"/>
                <w:color w:val="auto"/>
              </w:rPr>
              <w:t>J.P. Morgan</w:t>
            </w:r>
          </w:p>
        </w:tc>
        <w:tc>
          <w:tcPr>
            <w:tcW w:w="3460" w:type="dxa"/>
            <w:vAlign w:val="bottom"/>
          </w:tcPr>
          <w:p>
            <w:pPr>
              <w:ind w:left="1140"/>
              <w:spacing w:after="0"/>
              <w:rPr>
                <w:sz w:val="20"/>
                <w:szCs w:val="20"/>
                <w:color w:val="auto"/>
              </w:rPr>
            </w:pPr>
            <w:r>
              <w:rPr>
                <w:rFonts w:ascii="Arial" w:cs="Arial" w:eastAsia="Arial" w:hAnsi="Arial"/>
                <w:sz w:val="24"/>
                <w:szCs w:val="24"/>
                <w:b w:val="1"/>
                <w:bCs w:val="1"/>
                <w:color w:val="auto"/>
                <w:w w:val="89"/>
              </w:rPr>
              <w:t>Wells Fargo Securities</w:t>
            </w:r>
          </w:p>
        </w:tc>
      </w:tr>
      <w:tr>
        <w:trPr>
          <w:trHeight w:val="709"/>
        </w:trPr>
        <w:tc>
          <w:tcPr>
            <w:tcW w:w="3760" w:type="dxa"/>
            <w:vAlign w:val="bottom"/>
          </w:tcPr>
          <w:p>
            <w:pPr>
              <w:jc w:val="right"/>
              <w:ind w:right="2161"/>
              <w:spacing w:after="0"/>
              <w:rPr>
                <w:sz w:val="20"/>
                <w:szCs w:val="20"/>
                <w:color w:val="auto"/>
              </w:rPr>
            </w:pPr>
            <w:r>
              <w:rPr>
                <w:rFonts w:ascii="Arial" w:cs="Arial" w:eastAsia="Arial" w:hAnsi="Arial"/>
                <w:sz w:val="18"/>
                <w:szCs w:val="18"/>
                <w:color w:val="auto"/>
              </w:rPr>
              <w:t>, 2019</w:t>
            </w:r>
          </w:p>
        </w:tc>
        <w:tc>
          <w:tcPr>
            <w:tcW w:w="2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28"/>
        </w:trPr>
        <w:tc>
          <w:tcPr>
            <w:tcW w:w="376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Prospectus Supplement</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80" w:type="dxa"/>
            <w:vAlign w:val="bottom"/>
            <w:gridSpan w:val="18"/>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CAUTIONARY NOTE ON FORWARD-LOOKING STATEMENTS</w:t>
              </w:r>
            </w:hyperlink>
          </w:p>
        </w:tc>
        <w:tc>
          <w:tcPr>
            <w:tcW w:w="3920" w:type="dxa"/>
            <w:vAlign w:val="bottom"/>
            <w:gridSpan w:val="2"/>
            <w:vMerge w:val="restart"/>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880" w:type="dxa"/>
            <w:vAlign w:val="bottom"/>
            <w:tcBorders>
              <w:bottom w:val="single" w:sz="8" w:color="0000EE"/>
            </w:tcBorders>
            <w:gridSpan w:val="18"/>
            <w:vMerge w:val="continue"/>
          </w:tcPr>
          <w:p>
            <w:pPr>
              <w:spacing w:after="0"/>
              <w:rPr>
                <w:sz w:val="14"/>
                <w:szCs w:val="14"/>
                <w:color w:val="auto"/>
              </w:rPr>
            </w:pPr>
          </w:p>
        </w:tc>
        <w:tc>
          <w:tcPr>
            <w:tcW w:w="3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0000EE"/>
            </w:tcBorders>
            <w:gridSpan w:val="3"/>
          </w:tcPr>
          <w:p>
            <w:pPr>
              <w:jc w:val="right"/>
              <w:spacing w:after="0" w:line="170"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S-ii</w:t>
              </w:r>
            </w:hyperlink>
          </w:p>
        </w:tc>
        <w:tc>
          <w:tcPr>
            <w:tcW w:w="0" w:type="dxa"/>
            <w:vAlign w:val="bottom"/>
          </w:tcPr>
          <w:p>
            <w:pPr>
              <w:spacing w:after="0"/>
              <w:rPr>
                <w:sz w:val="1"/>
                <w:szCs w:val="1"/>
                <w:color w:val="auto"/>
              </w:rPr>
            </w:pPr>
          </w:p>
        </w:tc>
      </w:tr>
      <w:tr>
        <w:trPr>
          <w:trHeight w:val="196"/>
        </w:trPr>
        <w:tc>
          <w:tcPr>
            <w:tcW w:w="33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ABOUT THIS PROSPECTUS SUPPLEMENT</w:t>
              </w:r>
            </w:hyperlink>
          </w:p>
        </w:tc>
        <w:tc>
          <w:tcPr>
            <w:tcW w:w="54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S-iii</w:t>
              </w:r>
            </w:hyperlink>
          </w:p>
        </w:tc>
        <w:tc>
          <w:tcPr>
            <w:tcW w:w="0" w:type="dxa"/>
            <w:vAlign w:val="bottom"/>
          </w:tcPr>
          <w:p>
            <w:pPr>
              <w:spacing w:after="0"/>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S-1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S-7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USE OF PROCEEDS</w:t>
              </w:r>
            </w:hyperlink>
          </w:p>
        </w:tc>
        <w:tc>
          <w:tcPr>
            <w:tcW w:w="724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78"/>
              </w:rPr>
            </w:pPr>
            <w:hyperlink w:anchor="page16">
              <w:r>
                <w:rPr>
                  <w:rFonts w:ascii="Arial" w:cs="Arial" w:eastAsia="Arial" w:hAnsi="Arial"/>
                  <w:sz w:val="18"/>
                  <w:szCs w:val="18"/>
                  <w:color w:val="0000EE"/>
                  <w:w w:val="78"/>
                </w:rPr>
                <w:t>S-11</w:t>
              </w:r>
            </w:hyperlink>
          </w:p>
        </w:tc>
        <w:tc>
          <w:tcPr>
            <w:tcW w:w="0" w:type="dxa"/>
            <w:vAlign w:val="bottom"/>
          </w:tcPr>
          <w:p>
            <w:pPr>
              <w:spacing w:after="0"/>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CASH AND CAPITALIZATION</w:t>
              </w:r>
            </w:hyperlink>
          </w:p>
        </w:tc>
        <w:tc>
          <w:tcPr>
            <w:tcW w:w="340" w:type="dxa"/>
            <w:vAlign w:val="bottom"/>
            <w:gridSpan w:val="6"/>
          </w:tcPr>
          <w:p>
            <w:pPr>
              <w:jc w:val="right"/>
              <w:spacing w:after="0" w:line="196" w:lineRule="exact"/>
              <w:rPr>
                <w:rFonts w:ascii="Arial" w:cs="Arial" w:eastAsia="Arial" w:hAnsi="Arial"/>
                <w:sz w:val="18"/>
                <w:szCs w:val="18"/>
                <w:color w:val="0000EE"/>
                <w:w w:val="84"/>
              </w:rPr>
            </w:pPr>
            <w:hyperlink w:anchor="page17">
              <w:r>
                <w:rPr>
                  <w:rFonts w:ascii="Arial" w:cs="Arial" w:eastAsia="Arial" w:hAnsi="Arial"/>
                  <w:sz w:val="18"/>
                  <w:szCs w:val="18"/>
                  <w:color w:val="0000EE"/>
                  <w:w w:val="84"/>
                </w:rPr>
                <w:t>S-12</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22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DESCRIPTION OF THE NOTES</w:t>
              </w:r>
            </w:hyperlink>
          </w:p>
        </w:tc>
        <w:tc>
          <w:tcPr>
            <w:tcW w:w="6380" w:type="dxa"/>
            <w:vAlign w:val="bottom"/>
            <w:gridSpan w:val="8"/>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18">
              <w:r>
                <w:rPr>
                  <w:rFonts w:ascii="Arial" w:cs="Arial" w:eastAsia="Arial" w:hAnsi="Arial"/>
                  <w:sz w:val="18"/>
                  <w:szCs w:val="18"/>
                  <w:color w:val="0000EE"/>
                  <w:w w:val="84"/>
                </w:rPr>
                <w:t>S-13</w:t>
              </w:r>
            </w:hyperlink>
          </w:p>
        </w:tc>
        <w:tc>
          <w:tcPr>
            <w:tcW w:w="0" w:type="dxa"/>
            <w:vAlign w:val="bottom"/>
          </w:tcPr>
          <w:p>
            <w:pPr>
              <w:spacing w:after="0"/>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MATERIAL U.S. FEDERAL INCOME TAX CONSEQUENCES</w:t>
              </w:r>
            </w:hyperlink>
          </w:p>
        </w:tc>
        <w:tc>
          <w:tcPr>
            <w:tcW w:w="340" w:type="dxa"/>
            <w:vAlign w:val="bottom"/>
            <w:gridSpan w:val="6"/>
          </w:tcPr>
          <w:p>
            <w:pPr>
              <w:jc w:val="right"/>
              <w:spacing w:after="0" w:line="196" w:lineRule="exact"/>
              <w:rPr>
                <w:rFonts w:ascii="Arial" w:cs="Arial" w:eastAsia="Arial" w:hAnsi="Arial"/>
                <w:sz w:val="18"/>
                <w:szCs w:val="18"/>
                <w:color w:val="0000EE"/>
                <w:w w:val="84"/>
              </w:rPr>
            </w:pPr>
            <w:hyperlink w:anchor="page42">
              <w:r>
                <w:rPr>
                  <w:rFonts w:ascii="Arial" w:cs="Arial" w:eastAsia="Arial" w:hAnsi="Arial"/>
                  <w:sz w:val="18"/>
                  <w:szCs w:val="18"/>
                  <w:color w:val="0000EE"/>
                  <w:w w:val="84"/>
                </w:rPr>
                <w:t>S-37</w:t>
              </w:r>
            </w:hyperlink>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UNDERWRITING</w:t>
              </w:r>
            </w:hyperlink>
          </w:p>
        </w:tc>
        <w:tc>
          <w:tcPr>
            <w:tcW w:w="4160" w:type="dxa"/>
            <w:vAlign w:val="bottom"/>
            <w:gridSpan w:val="3"/>
          </w:tcPr>
          <w:p>
            <w:pPr>
              <w:spacing w:after="0"/>
              <w:rPr>
                <w:sz w:val="17"/>
                <w:szCs w:val="17"/>
                <w:color w:val="auto"/>
              </w:rPr>
            </w:pPr>
          </w:p>
        </w:tc>
        <w:tc>
          <w:tcPr>
            <w:tcW w:w="340" w:type="dxa"/>
            <w:vAlign w:val="bottom"/>
            <w:tcBorders>
              <w:top w:val="single" w:sz="8" w:color="0000EE"/>
            </w:tcBorders>
            <w:gridSpan w:val="6"/>
          </w:tcPr>
          <w:p>
            <w:pPr>
              <w:jc w:val="right"/>
              <w:spacing w:after="0" w:line="196" w:lineRule="exact"/>
              <w:rPr>
                <w:rFonts w:ascii="Arial" w:cs="Arial" w:eastAsia="Arial" w:hAnsi="Arial"/>
                <w:sz w:val="18"/>
                <w:szCs w:val="18"/>
                <w:color w:val="0000EE"/>
                <w:w w:val="84"/>
              </w:rPr>
            </w:pPr>
            <w:hyperlink w:anchor="page47">
              <w:r>
                <w:rPr>
                  <w:rFonts w:ascii="Arial" w:cs="Arial" w:eastAsia="Arial" w:hAnsi="Arial"/>
                  <w:sz w:val="18"/>
                  <w:szCs w:val="18"/>
                  <w:color w:val="0000EE"/>
                  <w:w w:val="84"/>
                </w:rPr>
                <w:t>S-42</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22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52">
              <w:r>
                <w:rPr>
                  <w:rFonts w:ascii="Arial" w:cs="Arial" w:eastAsia="Arial" w:hAnsi="Arial"/>
                  <w:sz w:val="18"/>
                  <w:szCs w:val="18"/>
                  <w:color w:val="0000EE"/>
                  <w:w w:val="95"/>
                </w:rPr>
                <w:t>VALIDITY OF SECURITIES</w:t>
              </w:r>
            </w:hyperlink>
          </w:p>
        </w:tc>
        <w:tc>
          <w:tcPr>
            <w:tcW w:w="6660" w:type="dxa"/>
            <w:vAlign w:val="bottom"/>
            <w:gridSpan w:val="11"/>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52">
              <w:r>
                <w:rPr>
                  <w:rFonts w:ascii="Arial" w:cs="Arial" w:eastAsia="Arial" w:hAnsi="Arial"/>
                  <w:sz w:val="18"/>
                  <w:szCs w:val="18"/>
                  <w:color w:val="0000EE"/>
                  <w:w w:val="84"/>
                </w:rPr>
                <w:t>S-47</w:t>
              </w:r>
            </w:hyperlink>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EXPERTS</w:t>
              </w:r>
            </w:hyperlink>
          </w:p>
        </w:tc>
        <w:tc>
          <w:tcPr>
            <w:tcW w:w="8040" w:type="dxa"/>
            <w:vAlign w:val="bottom"/>
            <w:gridSpan w:val="19"/>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52">
              <w:r>
                <w:rPr>
                  <w:rFonts w:ascii="Arial" w:cs="Arial" w:eastAsia="Arial" w:hAnsi="Arial"/>
                  <w:sz w:val="18"/>
                  <w:szCs w:val="18"/>
                  <w:color w:val="0000EE"/>
                  <w:w w:val="84"/>
                </w:rPr>
                <w:t>S-47</w:t>
              </w:r>
            </w:hyperlink>
          </w:p>
        </w:tc>
        <w:tc>
          <w:tcPr>
            <w:tcW w:w="0" w:type="dxa"/>
            <w:vAlign w:val="bottom"/>
          </w:tcPr>
          <w:p>
            <w:pPr>
              <w:spacing w:after="0"/>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WHERE YOU CAN FIND MORE INFORMATION</w:t>
              </w:r>
            </w:hyperlink>
          </w:p>
        </w:tc>
        <w:tc>
          <w:tcPr>
            <w:tcW w:w="340" w:type="dxa"/>
            <w:vAlign w:val="bottom"/>
            <w:gridSpan w:val="6"/>
          </w:tcPr>
          <w:p>
            <w:pPr>
              <w:jc w:val="right"/>
              <w:spacing w:after="0" w:line="196" w:lineRule="exact"/>
              <w:rPr>
                <w:rFonts w:ascii="Arial" w:cs="Arial" w:eastAsia="Arial" w:hAnsi="Arial"/>
                <w:sz w:val="18"/>
                <w:szCs w:val="18"/>
                <w:color w:val="0000EE"/>
                <w:w w:val="84"/>
              </w:rPr>
            </w:pPr>
            <w:hyperlink w:anchor="page53">
              <w:r>
                <w:rPr>
                  <w:rFonts w:ascii="Arial" w:cs="Arial" w:eastAsia="Arial" w:hAnsi="Arial"/>
                  <w:sz w:val="18"/>
                  <w:szCs w:val="18"/>
                  <w:color w:val="0000EE"/>
                  <w:w w:val="84"/>
                </w:rPr>
                <w:t>S-48</w:t>
              </w:r>
            </w:hyperlink>
          </w:p>
        </w:tc>
        <w:tc>
          <w:tcPr>
            <w:tcW w:w="0" w:type="dxa"/>
            <w:vAlign w:val="bottom"/>
          </w:tcPr>
          <w:p>
            <w:pPr>
              <w:spacing w:after="0"/>
              <w:rPr>
                <w:sz w:val="1"/>
                <w:szCs w:val="1"/>
                <w:color w:val="auto"/>
              </w:rPr>
            </w:pPr>
          </w:p>
        </w:tc>
      </w:tr>
      <w:tr>
        <w:trPr>
          <w:trHeight w:val="667"/>
        </w:trPr>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060" w:type="dxa"/>
            <w:vAlign w:val="bottom"/>
            <w:gridSpan w:val="4"/>
          </w:tcPr>
          <w:p>
            <w:pPr>
              <w:ind w:left="400"/>
              <w:spacing w:after="0"/>
              <w:rPr>
                <w:sz w:val="20"/>
                <w:szCs w:val="20"/>
                <w:color w:val="auto"/>
              </w:rPr>
            </w:pPr>
            <w:r>
              <w:rPr>
                <w:rFonts w:ascii="Arial" w:cs="Arial" w:eastAsia="Arial" w:hAnsi="Arial"/>
                <w:sz w:val="18"/>
                <w:szCs w:val="18"/>
                <w:b w:val="1"/>
                <w:bCs w:val="1"/>
                <w:color w:val="auto"/>
              </w:rPr>
              <w:t>Prospectus</w:t>
            </w: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800" w:type="dxa"/>
            <w:vAlign w:val="bottom"/>
            <w:gridSpan w:val="20"/>
            <w:vMerge w:val="restart"/>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ABOUT THIS PROSPECTUS</w:t>
              </w:r>
            </w:hyperlink>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8800" w:type="dxa"/>
            <w:vAlign w:val="bottom"/>
            <w:gridSpan w:val="20"/>
            <w:vMerge w:val="continue"/>
          </w:tcPr>
          <w:p>
            <w:pPr>
              <w:spacing w:after="0"/>
              <w:rPr>
                <w:sz w:val="14"/>
                <w:szCs w:val="14"/>
                <w:color w:val="auto"/>
              </w:rPr>
            </w:pPr>
          </w:p>
        </w:tc>
        <w:tc>
          <w:tcPr>
            <w:tcW w:w="340" w:type="dxa"/>
            <w:vAlign w:val="bottom"/>
            <w:gridSpan w:val="6"/>
          </w:tcPr>
          <w:p>
            <w:pPr>
              <w:jc w:val="right"/>
              <w:spacing w:after="0" w:line="170" w:lineRule="exact"/>
              <w:rPr>
                <w:rFonts w:ascii="Arial" w:cs="Arial" w:eastAsia="Arial" w:hAnsi="Arial"/>
                <w:sz w:val="18"/>
                <w:szCs w:val="18"/>
                <w:color w:val="0000EE"/>
              </w:rPr>
            </w:pPr>
            <w:hyperlink w:anchor="page56">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gridSpan w:val="19"/>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WHERE YOU CAN FIND MORE INFORMATION; INCORPORATION BY REFERENCE</w:t>
              </w:r>
            </w:hyperlink>
          </w:p>
        </w:tc>
        <w:tc>
          <w:tcPr>
            <w:tcW w:w="2220" w:type="dxa"/>
            <w:vAlign w:val="bottom"/>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4"/>
          </w:tcPr>
          <w:p>
            <w:pPr>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THE COMPANY</w:t>
              </w:r>
            </w:hyperlink>
          </w:p>
        </w:tc>
        <w:tc>
          <w:tcPr>
            <w:tcW w:w="5320" w:type="dxa"/>
            <w:vAlign w:val="bottom"/>
            <w:gridSpan w:val="15"/>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4"/>
          </w:tcPr>
          <w:p>
            <w:pPr>
              <w:spacing w:after="0" w:line="196" w:lineRule="exact"/>
              <w:rPr>
                <w:rFonts w:ascii="Arial" w:cs="Arial" w:eastAsia="Arial" w:hAnsi="Arial"/>
                <w:sz w:val="18"/>
                <w:szCs w:val="18"/>
                <w:color w:val="0000EE"/>
                <w:w w:val="93"/>
              </w:rPr>
            </w:pPr>
            <w:hyperlink w:anchor="page60">
              <w:r>
                <w:rPr>
                  <w:rFonts w:ascii="Arial" w:cs="Arial" w:eastAsia="Arial" w:hAnsi="Arial"/>
                  <w:sz w:val="18"/>
                  <w:szCs w:val="18"/>
                  <w:color w:val="0000EE"/>
                  <w:w w:val="93"/>
                </w:rPr>
                <w:t>RISK FACTORS</w:t>
              </w:r>
            </w:hyperlink>
          </w:p>
        </w:tc>
        <w:tc>
          <w:tcPr>
            <w:tcW w:w="7540" w:type="dxa"/>
            <w:vAlign w:val="bottom"/>
            <w:gridSpan w:val="16"/>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7"/>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USE OF PROCEEDS</w:t>
              </w:r>
            </w:hyperlink>
          </w:p>
        </w:tc>
        <w:tc>
          <w:tcPr>
            <w:tcW w:w="7240" w:type="dxa"/>
            <w:vAlign w:val="bottom"/>
            <w:gridSpan w:val="13"/>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RATIO OF EARNINGS TO FIXED CHARGES</w:t>
              </w:r>
            </w:hyperlink>
          </w:p>
        </w:tc>
        <w:tc>
          <w:tcPr>
            <w:tcW w:w="340" w:type="dxa"/>
            <w:vAlign w:val="bottom"/>
            <w:gridSpan w:val="6"/>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13"/>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DESCRIPTION OF SECURITIES</w:t>
              </w:r>
            </w:hyperlink>
          </w:p>
        </w:tc>
        <w:tc>
          <w:tcPr>
            <w:tcW w:w="960" w:type="dxa"/>
            <w:vAlign w:val="bottom"/>
            <w:gridSpan w:val="2"/>
          </w:tcPr>
          <w:p>
            <w:pPr>
              <w:spacing w:after="0"/>
              <w:rPr>
                <w:sz w:val="17"/>
                <w:szCs w:val="17"/>
                <w:color w:val="auto"/>
              </w:rPr>
            </w:pPr>
          </w:p>
        </w:tc>
        <w:tc>
          <w:tcPr>
            <w:tcW w:w="5380" w:type="dxa"/>
            <w:vAlign w:val="bottom"/>
            <w:gridSpan w:val="5"/>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634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1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PLAN OF DISTRIBUTION</w:t>
              </w:r>
            </w:hyperlink>
          </w:p>
        </w:tc>
        <w:tc>
          <w:tcPr>
            <w:tcW w:w="6340" w:type="dxa"/>
            <w:vAlign w:val="bottom"/>
            <w:gridSpan w:val="7"/>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800" w:type="dxa"/>
            <w:vAlign w:val="bottom"/>
            <w:gridSpan w:val="1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gridSpan w:val="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LEGAL MATTERS</w:t>
              </w:r>
            </w:hyperlink>
          </w:p>
        </w:tc>
        <w:tc>
          <w:tcPr>
            <w:tcW w:w="6800" w:type="dxa"/>
            <w:vAlign w:val="bottom"/>
            <w:gridSpan w:val="12"/>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7380" w:type="dxa"/>
            <w:vAlign w:val="bottom"/>
            <w:gridSpan w:val="14"/>
          </w:tcPr>
          <w:p>
            <w:pPr>
              <w:spacing w:after="0"/>
              <w:rPr>
                <w:sz w:val="17"/>
                <w:szCs w:val="17"/>
                <w:color w:val="auto"/>
              </w:rPr>
            </w:pPr>
          </w:p>
        </w:tc>
        <w:tc>
          <w:tcPr>
            <w:tcW w:w="160" w:type="dxa"/>
            <w:vAlign w:val="bottom"/>
            <w:gridSpan w:val="4"/>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31" w:lineRule="exact"/>
        <w:rPr>
          <w:sz w:val="20"/>
          <w:szCs w:val="20"/>
          <w:color w:val="auto"/>
        </w:rPr>
      </w:pPr>
    </w:p>
    <w:p>
      <w:pPr>
        <w:jc w:val="both"/>
        <w:ind w:right="100" w:firstLine="348"/>
        <w:spacing w:after="0" w:line="298" w:lineRule="auto"/>
        <w:rPr>
          <w:sz w:val="20"/>
          <w:szCs w:val="20"/>
          <w:color w:val="auto"/>
        </w:rPr>
      </w:pPr>
      <w:r>
        <w:rPr>
          <w:rFonts w:ascii="Arial" w:cs="Arial" w:eastAsia="Arial" w:hAnsi="Arial"/>
          <w:sz w:val="16"/>
          <w:szCs w:val="16"/>
          <w:color w:val="auto"/>
        </w:rPr>
        <w:t>This prospectus supplement, the accompanying prospectus and the information incorporated herein and therein by reference include statements that are, or may be deemed, "forward-looking statements." You can identify forward-looking statements by the use of forward-looking terminology including "anticipates," "believes," "estimates," "expects," "future," "intends," "may," "plans," "potential," "predicts," "projects," "should," "will," "would" and similar expressions or the negative of these words and phrases, other variations of these words and phrases or comparable terminology.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forward-looking statements relate to, among other things:</w:t>
      </w:r>
    </w:p>
    <w:p>
      <w:pPr>
        <w:spacing w:after="0" w:line="21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35"/>
          <w:szCs w:val="35"/>
          <w:color w:val="auto"/>
          <w:vertAlign w:val="superscript"/>
        </w:rPr>
      </w:pPr>
      <w:r>
        <w:rPr>
          <w:rFonts w:ascii="Arial" w:cs="Arial" w:eastAsia="Arial" w:hAnsi="Arial"/>
          <w:sz w:val="18"/>
          <w:szCs w:val="18"/>
          <w:color w:val="auto"/>
        </w:rPr>
        <w:t>statements such as those made regarding our expected 3D XPoint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development activities with Intel Corporation ("Intel");</w:t>
      </w:r>
    </w:p>
    <w:p>
      <w:pPr>
        <w:spacing w:after="0" w:line="116" w:lineRule="exact"/>
        <w:rPr>
          <w:rFonts w:ascii="Arial" w:cs="Arial" w:eastAsia="Arial" w:hAnsi="Arial"/>
          <w:sz w:val="35"/>
          <w:szCs w:val="35"/>
          <w:color w:val="auto"/>
          <w:vertAlign w:val="superscript"/>
        </w:rPr>
      </w:pPr>
    </w:p>
    <w:p>
      <w:pPr>
        <w:ind w:left="1080" w:right="1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we expect to fund for the purchase price of Intel's non-controlling interest in IM Flash Technologies, LLC ("IM Flash") and IM Flash debt owed to Intel;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 from time to time, to engage in additional financing transactions;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cash and investments, cash flows from operations, and available financing to meet our requirements at least through the next 12 months;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spending in 2019;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225" w:lineRule="exact"/>
        <w:rPr>
          <w:sz w:val="20"/>
          <w:szCs w:val="20"/>
          <w:color w:val="auto"/>
        </w:rPr>
      </w:pPr>
    </w:p>
    <w:p>
      <w:pPr>
        <w:ind w:firstLine="351"/>
        <w:spacing w:after="0" w:line="254" w:lineRule="auto"/>
        <w:rPr>
          <w:rFonts w:ascii="Arial" w:cs="Arial" w:eastAsia="Arial" w:hAnsi="Arial"/>
          <w:sz w:val="18"/>
          <w:szCs w:val="18"/>
          <w:color w:val="0000EE"/>
        </w:rPr>
      </w:pPr>
      <w:r>
        <w:rPr>
          <w:rFonts w:ascii="Arial" w:cs="Arial" w:eastAsia="Arial" w:hAnsi="Arial"/>
          <w:sz w:val="18"/>
          <w:szCs w:val="18"/>
          <w:color w:val="auto"/>
        </w:rPr>
        <w:t xml:space="preserve">Our actual results could differ materially from our historical results and those discussed in the forward-looking statements. Factors that could cause actual </w:t>
      </w:r>
      <w:hyperlink r:id="rId16">
        <w:r>
          <w:rPr>
            <w:rFonts w:ascii="Arial" w:cs="Arial" w:eastAsia="Arial" w:hAnsi="Arial"/>
            <w:sz w:val="18"/>
            <w:szCs w:val="18"/>
            <w:color w:val="auto"/>
          </w:rPr>
          <w:t xml:space="preserve">results to differ materially include, but are not limited to those identified in the section titled "Risk Factors" of this prospectus supplement and in our </w:t>
        </w:r>
        <w:r>
          <w:rPr>
            <w:rFonts w:ascii="Arial" w:cs="Arial" w:eastAsia="Arial" w:hAnsi="Arial"/>
            <w:sz w:val="18"/>
            <w:szCs w:val="18"/>
            <w:u w:val="single" w:color="auto"/>
            <w:color w:val="0000EE"/>
          </w:rPr>
          <w:t>Annual</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EE"/>
          </w:rPr>
          <w:t>Report on Form 10-K</w:t>
        </w:r>
        <w:r>
          <w:rPr>
            <w:rFonts w:ascii="Arial" w:cs="Arial" w:eastAsia="Arial" w:hAnsi="Arial"/>
            <w:sz w:val="18"/>
            <w:szCs w:val="18"/>
            <w:color w:val="0000EE"/>
          </w:rPr>
          <w:t xml:space="preserve"> </w:t>
        </w:r>
        <w:r>
          <w:rPr>
            <w:rFonts w:ascii="Arial" w:cs="Arial" w:eastAsia="Arial" w:hAnsi="Arial"/>
            <w:sz w:val="18"/>
            <w:szCs w:val="18"/>
            <w:color w:val="000000"/>
          </w:rPr>
          <w:t>and our</w:t>
        </w:r>
        <w:r>
          <w:rPr>
            <w:rFonts w:ascii="Arial" w:cs="Arial" w:eastAsia="Arial" w:hAnsi="Arial"/>
            <w:sz w:val="18"/>
            <w:szCs w:val="18"/>
            <w:color w:val="0000EE"/>
          </w:rPr>
          <w:t xml:space="preserve"> </w:t>
        </w:r>
      </w:hyperlink>
      <w:hyperlink r:id="rId17">
        <w:r>
          <w:rPr>
            <w:rFonts w:ascii="Arial" w:cs="Arial" w:eastAsia="Arial" w:hAnsi="Arial"/>
            <w:sz w:val="18"/>
            <w:szCs w:val="18"/>
            <w:u w:val="single" w:color="auto"/>
            <w:color w:val="0000EE"/>
          </w:rPr>
          <w:t xml:space="preserve">Quarterly Reports on Form 10-Q </w:t>
        </w:r>
      </w:hyperlink>
      <w:hyperlink r:id="rId16">
        <w:r>
          <w:rPr>
            <w:rFonts w:ascii="Arial" w:cs="Arial" w:eastAsia="Arial" w:hAnsi="Arial"/>
            <w:sz w:val="18"/>
            <w:szCs w:val="18"/>
            <w:color w:val="000000"/>
          </w:rPr>
          <w:t>incorporated by reference herein and as may be updated in filings we make with the U.S.</w:t>
        </w:r>
      </w:hyperlink>
      <w:r>
        <w:rPr>
          <w:rFonts w:ascii="Arial" w:cs="Arial" w:eastAsia="Arial" w:hAnsi="Arial"/>
          <w:sz w:val="18"/>
          <w:szCs w:val="18"/>
          <w:color w:val="0000EE"/>
        </w:rPr>
        <w:t xml:space="preserve"> </w:t>
      </w:r>
      <w:r>
        <w:rPr>
          <w:rFonts w:ascii="Arial" w:cs="Arial" w:eastAsia="Arial" w:hAnsi="Arial"/>
          <w:sz w:val="18"/>
          <w:szCs w:val="18"/>
          <w:color w:val="000000"/>
        </w:rPr>
        <w:t>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198" w:lineRule="exact"/>
        <w:rPr>
          <w:rFonts w:ascii="Arial" w:cs="Arial" w:eastAsia="Arial" w:hAnsi="Arial"/>
          <w:sz w:val="18"/>
          <w:szCs w:val="18"/>
          <w:color w:val="0000EE"/>
        </w:rPr>
      </w:pPr>
    </w:p>
    <w:p>
      <w:pPr>
        <w:jc w:val="both"/>
        <w:ind w:right="180" w:firstLine="341"/>
        <w:spacing w:after="0" w:line="298" w:lineRule="auto"/>
        <w:rPr>
          <w:sz w:val="20"/>
          <w:szCs w:val="20"/>
          <w:color w:val="auto"/>
        </w:rPr>
      </w:pPr>
      <w:r>
        <w:rPr>
          <w:rFonts w:ascii="Arial" w:cs="Arial" w:eastAsia="Arial" w:hAnsi="Arial"/>
          <w:sz w:val="16"/>
          <w:szCs w:val="16"/>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release publicly any revisions to these forward-looking statements to reflect events or circumstances after the date of this document or to reflect the occurrence of unanticipated events, unless the securities laws require us to do so.</w:t>
      </w:r>
    </w:p>
    <w:p>
      <w:pPr>
        <w:spacing w:after="0" w:line="167"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prospectus supplement and the accompanying prospectus dated October 10, 2017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178" w:lineRule="exact"/>
        <w:rPr>
          <w:sz w:val="20"/>
          <w:szCs w:val="20"/>
          <w:color w:val="auto"/>
        </w:rPr>
      </w:pPr>
    </w:p>
    <w:p>
      <w:pPr>
        <w:ind w:right="60" w:firstLine="345"/>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172" w:lineRule="exact"/>
        <w:rPr>
          <w:sz w:val="20"/>
          <w:szCs w:val="20"/>
          <w:color w:val="auto"/>
        </w:rPr>
      </w:pPr>
    </w:p>
    <w:p>
      <w:pPr>
        <w:ind w:right="160" w:firstLine="345"/>
        <w:spacing w:after="0" w:line="259"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194"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Unless the context requires otherwise or unless otherwise specified, references in this prospectus supplement to "Micron," "we," "our," "us" and the "Company" refer to Micron Technology, Inc. and our consolidated subsidiaries.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47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60" w:firstLine="351"/>
        <w:spacing w:after="0" w:line="314" w:lineRule="auto"/>
        <w:rPr>
          <w:rFonts w:ascii="Arial" w:cs="Arial" w:eastAsia="Arial" w:hAnsi="Arial"/>
          <w:sz w:val="15"/>
          <w:szCs w:val="15"/>
          <w:i w:val="1"/>
          <w:iCs w:val="1"/>
          <w:color w:val="0000EE"/>
        </w:rPr>
      </w:pPr>
      <w:r>
        <w:rPr>
          <w:rFonts w:ascii="Arial" w:cs="Arial" w:eastAsia="Arial" w:hAnsi="Arial"/>
          <w:sz w:val="15"/>
          <w:szCs w:val="15"/>
          <w:i w:val="1"/>
          <w:iCs w:val="1"/>
          <w:color w:val="auto"/>
        </w:rPr>
        <w:t xml:space="preserve">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factors described under the </w:t>
      </w:r>
      <w:hyperlink r:id="rId17">
        <w:r>
          <w:rPr>
            <w:rFonts w:ascii="Arial" w:cs="Arial" w:eastAsia="Arial" w:hAnsi="Arial"/>
            <w:sz w:val="15"/>
            <w:szCs w:val="15"/>
            <w:i w:val="1"/>
            <w:iCs w:val="1"/>
            <w:color w:val="auto"/>
          </w:rPr>
          <w:t xml:space="preserve">heading "Risk Factors" included in this prospectus supplement, our </w:t>
        </w:r>
        <w:r>
          <w:rPr>
            <w:rFonts w:ascii="Arial" w:cs="Arial" w:eastAsia="Arial" w:hAnsi="Arial"/>
            <w:sz w:val="15"/>
            <w:szCs w:val="15"/>
            <w:i w:val="1"/>
            <w:iCs w:val="1"/>
            <w:u w:val="single" w:color="auto"/>
            <w:color w:val="0000EE"/>
          </w:rPr>
          <w:t>Annual Report on Form 10-K for the year ended August 30, 2018</w:t>
        </w:r>
        <w:r>
          <w:rPr>
            <w:rFonts w:ascii="Arial" w:cs="Arial" w:eastAsia="Arial" w:hAnsi="Arial"/>
            <w:sz w:val="15"/>
            <w:szCs w:val="15"/>
            <w:i w:val="1"/>
            <w:iCs w:val="1"/>
            <w:color w:val="auto"/>
          </w:rPr>
          <w:t xml:space="preserve">, our </w:t>
        </w:r>
        <w:r>
          <w:rPr>
            <w:rFonts w:ascii="Arial" w:cs="Arial" w:eastAsia="Arial" w:hAnsi="Arial"/>
            <w:sz w:val="15"/>
            <w:szCs w:val="15"/>
            <w:i w:val="1"/>
            <w:iCs w:val="1"/>
            <w:u w:val="single" w:color="auto"/>
            <w:color w:val="0000EE"/>
          </w:rPr>
          <w:t>Quarterly</w:t>
        </w:r>
      </w:hyperlink>
      <w:r>
        <w:rPr>
          <w:rFonts w:ascii="Arial" w:cs="Arial" w:eastAsia="Arial" w:hAnsi="Arial"/>
          <w:sz w:val="15"/>
          <w:szCs w:val="15"/>
          <w:i w:val="1"/>
          <w:iCs w:val="1"/>
          <w:color w:val="auto"/>
        </w:rPr>
        <w:t xml:space="preserve"> </w:t>
      </w:r>
      <w:hyperlink r:id="rId17">
        <w:r>
          <w:rPr>
            <w:rFonts w:ascii="Arial" w:cs="Arial" w:eastAsia="Arial" w:hAnsi="Arial"/>
            <w:sz w:val="15"/>
            <w:szCs w:val="15"/>
            <w:i w:val="1"/>
            <w:iCs w:val="1"/>
            <w:u w:val="single" w:color="auto"/>
            <w:color w:val="0000EE"/>
          </w:rPr>
          <w:t>Report on Form 10-Q for the quarter ended May 30, 2019</w:t>
        </w:r>
        <w:r>
          <w:rPr>
            <w:rFonts w:ascii="Arial" w:cs="Arial" w:eastAsia="Arial" w:hAnsi="Arial"/>
            <w:sz w:val="15"/>
            <w:szCs w:val="15"/>
            <w:i w:val="1"/>
            <w:iCs w:val="1"/>
            <w:color w:val="000000"/>
          </w:rPr>
          <w:t>, documents that we subsequently file with the SEC and the financial statements and other</w:t>
        </w:r>
      </w:hyperlink>
      <w:r>
        <w:rPr>
          <w:rFonts w:ascii="Arial" w:cs="Arial" w:eastAsia="Arial" w:hAnsi="Arial"/>
          <w:sz w:val="15"/>
          <w:szCs w:val="15"/>
          <w:i w:val="1"/>
          <w:iCs w:val="1"/>
          <w:color w:val="0000EE"/>
        </w:rPr>
        <w:t xml:space="preserve"> </w:t>
      </w:r>
      <w:r>
        <w:rPr>
          <w:rFonts w:ascii="Arial" w:cs="Arial" w:eastAsia="Arial" w:hAnsi="Arial"/>
          <w:sz w:val="15"/>
          <w:szCs w:val="15"/>
          <w:i w:val="1"/>
          <w:iCs w:val="1"/>
          <w:color w:val="000000"/>
        </w:rPr>
        <w:t>information included or incorporated by reference in this prospectus supplement and the accompanying prospectus, before making an investment decision.</w:t>
      </w:r>
    </w:p>
    <w:p>
      <w:pPr>
        <w:spacing w:after="0" w:line="36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240" w:right="100" w:firstLine="348"/>
        <w:spacing w:after="0" w:line="255" w:lineRule="auto"/>
        <w:rPr>
          <w:sz w:val="20"/>
          <w:szCs w:val="20"/>
          <w:color w:val="auto"/>
        </w:rPr>
      </w:pPr>
      <w:r>
        <w:rPr>
          <w:rFonts w:ascii="Arial" w:cs="Arial" w:eastAsia="Arial" w:hAnsi="Arial"/>
          <w:sz w:val="18"/>
          <w:szCs w:val="18"/>
          <w:color w:val="auto"/>
        </w:rPr>
        <w:t>We are an industry leader in innovative memory and storage solutions. Through our global brands—Micron®, Crucial®, and Ballistix®—our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data center, networking, automotive, industrial, mobile, graphics, and client.</w:t>
      </w:r>
    </w:p>
    <w:p>
      <w:pPr>
        <w:spacing w:after="0" w:line="197" w:lineRule="exact"/>
        <w:rPr>
          <w:sz w:val="20"/>
          <w:szCs w:val="20"/>
          <w:color w:val="auto"/>
        </w:rPr>
      </w:pPr>
    </w:p>
    <w:p>
      <w:pPr>
        <w:ind w:left="240" w:right="40" w:firstLine="348"/>
        <w:spacing w:after="0" w:line="268" w:lineRule="auto"/>
        <w:rPr>
          <w:sz w:val="20"/>
          <w:szCs w:val="20"/>
          <w:color w:val="auto"/>
        </w:rPr>
      </w:pPr>
      <w:r>
        <w:rPr>
          <w:rFonts w:ascii="Arial" w:cs="Arial" w:eastAsia="Arial" w:hAnsi="Arial"/>
          <w:sz w:val="18"/>
          <w:szCs w:val="18"/>
          <w:color w:val="auto"/>
        </w:rPr>
        <w:t>We manufacture our products at our worldwide, wholly-owned and joint venture facilities. In recent years, we have increased our manufacturing scale and product diversity through strategic acquisitions, expansion, and various partnering arrangements.</w:t>
      </w:r>
    </w:p>
    <w:p>
      <w:pPr>
        <w:spacing w:after="0" w:line="186" w:lineRule="exact"/>
        <w:rPr>
          <w:sz w:val="20"/>
          <w:szCs w:val="20"/>
          <w:color w:val="auto"/>
        </w:rPr>
      </w:pPr>
    </w:p>
    <w:p>
      <w:pPr>
        <w:ind w:left="240" w:right="20" w:firstLine="348"/>
        <w:spacing w:after="0" w:line="289" w:lineRule="auto"/>
        <w:rPr>
          <w:sz w:val="20"/>
          <w:szCs w:val="20"/>
          <w:color w:val="auto"/>
        </w:rPr>
      </w:pPr>
      <w:r>
        <w:rPr>
          <w:rFonts w:ascii="Arial" w:cs="Arial" w:eastAsia="Arial" w:hAnsi="Arial"/>
          <w:sz w:val="16"/>
          <w:szCs w:val="16"/>
          <w:color w:val="auto"/>
        </w:rPr>
        <w:t>We make significant investments to develop proprietary product and process technology, which are implemented in our manufacturing facilities. We generally increase the density per wafer and reduce manufacturing costs of each generation of product through advancements in product and process technology, such as our leading-edge line-width process technology and 3D NAND architecture. We continue to introduce new generations of products that offer improved performance characteristics, including higher data transfer rates, reduced package size, lower power consumption, improved read/write reliability, and increased memory density. Storage products incorporating NAND, a controller, and firmware constitute a significant and increasing portion of our revenues. We generally develop firmware and, in the first quarter of 2019, introduced proprietary controllers into our SSDs. Development of advanced technologies enables us to diversify our product portfolio toward a richer mix of differentiated, high-value solutions and to target high-growth markets.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240" w:firstLine="351"/>
        <w:spacing w:after="0" w:line="289" w:lineRule="auto"/>
        <w:rPr>
          <w:sz w:val="20"/>
          <w:szCs w:val="20"/>
          <w:color w:val="auto"/>
        </w:rPr>
      </w:pPr>
      <w:r>
        <w:rPr>
          <w:rFonts w:ascii="Arial" w:cs="Arial" w:eastAsia="Arial" w:hAnsi="Arial"/>
          <w:sz w:val="16"/>
          <w:szCs w:val="16"/>
          <w:color w:val="auto"/>
        </w:rPr>
        <w:t>On July 9, 2019, we entered into an amendment to our existing revolving credit facility (the "Revolving Credit Facility") providing for an incremental secured senior term loan A facility providing for term loans in an aggregate principal amount of up to $1.25 billion (the "Term Loan A Credit Facility"), which, subject to satisfaction of customary conditions, may be borrowed in a single draw anytime on or prior to November 9, 2019. The Term Loan A Credit Facility is secured by the same collateral that secures our existing revolving credit facility (the "Revolving Credit Facility"), and such lien has the same priority as the Revolving Credit Facility in such collateral. The Term Loan A Credit Facility is scheduled to mature on the fifth anniversary of the funding of the Term Loan A Credit Facility (the "Maturity Date"). We must repay 5% of the initial aggregate principal amount borrowed under the Term Loan A Facility on each anniversary of the funding thereof, with the remaining outstanding principal amount of all such borrowings due and payable on the Maturity Date. Borrowings under the Term Loan A Credit Facility will bear interest, at our option, at a base rate or LIBOR, plus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302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50430" cy="2302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0"/>
        <w:spacing w:after="0" w:line="255" w:lineRule="auto"/>
        <w:rPr>
          <w:sz w:val="20"/>
          <w:szCs w:val="20"/>
          <w:color w:val="auto"/>
        </w:rPr>
      </w:pPr>
      <w:r>
        <w:rPr>
          <w:rFonts w:ascii="Arial" w:cs="Arial" w:eastAsia="Arial" w:hAnsi="Arial"/>
          <w:sz w:val="18"/>
          <w:szCs w:val="18"/>
          <w:color w:val="auto"/>
        </w:rPr>
        <w:t>an applicable interest rate margin varying depending on our corporate ratings or leverage ratio, whichever yields a lower pricing level. The additional interest rate margin for borrowings ranges from 0.25% to 1.00% per annum in the case of base rate borrowings and from 1.25% to 2.00% per annum in the case of LIBOR borrowings. We will also pay a ticking fee on the term loan commitments under the Term Loan A Credit Facility at an applicable rate varying depending on our corporate ratings or leverage ratio, whichever yields a lower pricing level. The applicable ticking fee rate ranges from 0.20% to 0.35%.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40" w:firstLine="348"/>
        <w:spacing w:after="0" w:line="298" w:lineRule="auto"/>
        <w:rPr>
          <w:sz w:val="20"/>
          <w:szCs w:val="20"/>
          <w:color w:val="auto"/>
        </w:rPr>
      </w:pPr>
      <w:r>
        <w:rPr>
          <w:rFonts w:ascii="Arial" w:cs="Arial" w:eastAsia="Arial" w:hAnsi="Arial"/>
          <w:sz w:val="16"/>
          <w:szCs w:val="16"/>
          <w:color w:val="auto"/>
        </w:rPr>
        <w:t>We were originally incorporated in Idaho in 1978. In 1984, we were reincorporated in Delaware. Our executive offices are located at 8000 South Federal Way, Boise, Idaho 83716-9632 and our telephone number is (208) 368-4000. Information about the Company is available on the internet at www.micron.com. The information contained or incorporated in our website is not part of this prospectus supplement or the accompanying prospectus. You should not rely on any such information in making your decision whether to purchase the notes.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813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50430" cy="681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167"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Issuer</w:t>
            </w:r>
          </w:p>
        </w:tc>
        <w:tc>
          <w:tcPr>
            <w:tcW w:w="4300" w:type="dxa"/>
            <w:vAlign w:val="bottom"/>
            <w:gridSpan w:val="2"/>
          </w:tcPr>
          <w:p>
            <w:pPr>
              <w:ind w:left="1540"/>
              <w:spacing w:after="0"/>
              <w:rPr>
                <w:sz w:val="20"/>
                <w:szCs w:val="20"/>
                <w:color w:val="auto"/>
              </w:rPr>
            </w:pPr>
            <w:r>
              <w:rPr>
                <w:rFonts w:ascii="Arial" w:cs="Arial" w:eastAsia="Arial" w:hAnsi="Arial"/>
                <w:sz w:val="18"/>
                <w:szCs w:val="18"/>
                <w:color w:val="auto"/>
              </w:rPr>
              <w:t>Micron Technology, Inc.</w:t>
            </w:r>
          </w:p>
        </w:tc>
        <w:tc>
          <w:tcPr>
            <w:tcW w:w="31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2"/>
        </w:trPr>
        <w:tc>
          <w:tcPr>
            <w:tcW w:w="2840" w:type="dxa"/>
            <w:vAlign w:val="bottom"/>
          </w:tcPr>
          <w:p>
            <w:pPr>
              <w:spacing w:after="0"/>
              <w:rPr>
                <w:sz w:val="20"/>
                <w:szCs w:val="20"/>
                <w:color w:val="auto"/>
              </w:rPr>
            </w:pPr>
            <w:r>
              <w:rPr>
                <w:rFonts w:ascii="Arial" w:cs="Arial" w:eastAsia="Arial" w:hAnsi="Arial"/>
                <w:sz w:val="18"/>
                <w:szCs w:val="18"/>
                <w:color w:val="auto"/>
              </w:rPr>
              <w:t>Securities Offered</w:t>
            </w:r>
          </w:p>
        </w:tc>
        <w:tc>
          <w:tcPr>
            <w:tcW w:w="2040" w:type="dxa"/>
            <w:vAlign w:val="bottom"/>
          </w:tcPr>
          <w:p>
            <w:pPr>
              <w:ind w:left="1540"/>
              <w:spacing w:after="0"/>
              <w:rPr>
                <w:sz w:val="20"/>
                <w:szCs w:val="20"/>
                <w:color w:val="auto"/>
              </w:rPr>
            </w:pPr>
            <w:r>
              <w:rPr>
                <w:rFonts w:ascii="Arial" w:cs="Arial" w:eastAsia="Arial" w:hAnsi="Arial"/>
                <w:sz w:val="18"/>
                <w:szCs w:val="18"/>
                <w:color w:val="auto"/>
              </w:rPr>
              <w:t>$</w:t>
            </w:r>
          </w:p>
        </w:tc>
        <w:tc>
          <w:tcPr>
            <w:tcW w:w="2260" w:type="dxa"/>
            <w:vAlign w:val="bottom"/>
          </w:tcPr>
          <w:p>
            <w:pPr>
              <w:ind w:left="120"/>
              <w:spacing w:after="0"/>
              <w:rPr>
                <w:sz w:val="20"/>
                <w:szCs w:val="20"/>
                <w:color w:val="auto"/>
              </w:rPr>
            </w:pPr>
            <w:r>
              <w:rPr>
                <w:rFonts w:ascii="Arial" w:cs="Arial" w:eastAsia="Arial" w:hAnsi="Arial"/>
                <w:sz w:val="18"/>
                <w:szCs w:val="18"/>
                <w:color w:val="auto"/>
                <w:w w:val="89"/>
              </w:rPr>
              <w:t>aggregate principal amount of</w:t>
            </w:r>
          </w:p>
        </w:tc>
        <w:tc>
          <w:tcPr>
            <w:tcW w:w="3180" w:type="dxa"/>
            <w:vAlign w:val="bottom"/>
          </w:tcPr>
          <w:p>
            <w:pPr>
              <w:ind w:left="500"/>
              <w:spacing w:after="0"/>
              <w:rPr>
                <w:sz w:val="20"/>
                <w:szCs w:val="20"/>
                <w:color w:val="auto"/>
              </w:rPr>
            </w:pPr>
            <w:r>
              <w:rPr>
                <w:rFonts w:ascii="Arial" w:cs="Arial" w:eastAsia="Arial" w:hAnsi="Arial"/>
                <w:sz w:val="18"/>
                <w:szCs w:val="18"/>
                <w:color w:val="auto"/>
              </w:rPr>
              <w:t>% Senior Notes due 20  and</w:t>
            </w:r>
          </w:p>
        </w:tc>
        <w:tc>
          <w:tcPr>
            <w:tcW w:w="400" w:type="dxa"/>
            <w:vAlign w:val="bottom"/>
          </w:tcPr>
          <w:p>
            <w:pPr>
              <w:spacing w:after="0"/>
              <w:rPr>
                <w:sz w:val="24"/>
                <w:szCs w:val="24"/>
                <w:color w:val="auto"/>
              </w:rPr>
            </w:pPr>
          </w:p>
        </w:tc>
      </w:tr>
      <w:tr>
        <w:trPr>
          <w:trHeight w:val="222"/>
        </w:trPr>
        <w:tc>
          <w:tcPr>
            <w:tcW w:w="2840" w:type="dxa"/>
            <w:vAlign w:val="bottom"/>
          </w:tcPr>
          <w:p>
            <w:pPr>
              <w:spacing w:after="0"/>
              <w:rPr>
                <w:sz w:val="19"/>
                <w:szCs w:val="19"/>
                <w:color w:val="auto"/>
              </w:rPr>
            </w:pPr>
          </w:p>
        </w:tc>
        <w:tc>
          <w:tcPr>
            <w:tcW w:w="2040" w:type="dxa"/>
            <w:vAlign w:val="bottom"/>
          </w:tcPr>
          <w:p>
            <w:pPr>
              <w:ind w:left="1540"/>
              <w:spacing w:after="0"/>
              <w:rPr>
                <w:sz w:val="20"/>
                <w:szCs w:val="20"/>
                <w:color w:val="auto"/>
              </w:rPr>
            </w:pPr>
            <w:r>
              <w:rPr>
                <w:rFonts w:ascii="Arial" w:cs="Arial" w:eastAsia="Arial" w:hAnsi="Arial"/>
                <w:sz w:val="18"/>
                <w:szCs w:val="18"/>
                <w:color w:val="auto"/>
              </w:rPr>
              <w:t>$</w:t>
            </w:r>
          </w:p>
        </w:tc>
        <w:tc>
          <w:tcPr>
            <w:tcW w:w="2260" w:type="dxa"/>
            <w:vAlign w:val="bottom"/>
          </w:tcPr>
          <w:p>
            <w:pPr>
              <w:ind w:left="120"/>
              <w:spacing w:after="0"/>
              <w:rPr>
                <w:sz w:val="20"/>
                <w:szCs w:val="20"/>
                <w:color w:val="auto"/>
              </w:rPr>
            </w:pPr>
            <w:r>
              <w:rPr>
                <w:rFonts w:ascii="Arial" w:cs="Arial" w:eastAsia="Arial" w:hAnsi="Arial"/>
                <w:sz w:val="18"/>
                <w:szCs w:val="18"/>
                <w:color w:val="auto"/>
                <w:w w:val="89"/>
              </w:rPr>
              <w:t>aggregate principal amount of</w:t>
            </w:r>
          </w:p>
        </w:tc>
        <w:tc>
          <w:tcPr>
            <w:tcW w:w="3180" w:type="dxa"/>
            <w:vAlign w:val="bottom"/>
          </w:tcPr>
          <w:p>
            <w:pPr>
              <w:ind w:left="500"/>
              <w:spacing w:after="0"/>
              <w:rPr>
                <w:sz w:val="20"/>
                <w:szCs w:val="20"/>
                <w:color w:val="auto"/>
              </w:rPr>
            </w:pPr>
            <w:r>
              <w:rPr>
                <w:rFonts w:ascii="Arial" w:cs="Arial" w:eastAsia="Arial" w:hAnsi="Arial"/>
                <w:sz w:val="18"/>
                <w:szCs w:val="18"/>
                <w:color w:val="auto"/>
              </w:rPr>
              <w:t>% Senior Notes due 20  .</w:t>
            </w:r>
          </w:p>
        </w:tc>
        <w:tc>
          <w:tcPr>
            <w:tcW w:w="400" w:type="dxa"/>
            <w:vAlign w:val="bottom"/>
          </w:tcPr>
          <w:p>
            <w:pPr>
              <w:spacing w:after="0"/>
              <w:rPr>
                <w:sz w:val="19"/>
                <w:szCs w:val="19"/>
                <w:color w:val="auto"/>
              </w:rPr>
            </w:pPr>
          </w:p>
        </w:tc>
      </w:tr>
      <w:tr>
        <w:trPr>
          <w:trHeight w:val="412"/>
        </w:trPr>
        <w:tc>
          <w:tcPr>
            <w:tcW w:w="2840" w:type="dxa"/>
            <w:vAlign w:val="bottom"/>
          </w:tcPr>
          <w:p>
            <w:pPr>
              <w:spacing w:after="0"/>
              <w:rPr>
                <w:sz w:val="20"/>
                <w:szCs w:val="20"/>
                <w:color w:val="auto"/>
              </w:rPr>
            </w:pPr>
            <w:r>
              <w:rPr>
                <w:rFonts w:ascii="Arial" w:cs="Arial" w:eastAsia="Arial" w:hAnsi="Arial"/>
                <w:sz w:val="18"/>
                <w:szCs w:val="18"/>
                <w:color w:val="auto"/>
              </w:rPr>
              <w:t>Maturity</w:t>
            </w:r>
          </w:p>
        </w:tc>
        <w:tc>
          <w:tcPr>
            <w:tcW w:w="4300" w:type="dxa"/>
            <w:vAlign w:val="bottom"/>
            <w:gridSpan w:val="2"/>
          </w:tcPr>
          <w:p>
            <w:pPr>
              <w:ind w:left="1540"/>
              <w:spacing w:after="0"/>
              <w:rPr>
                <w:sz w:val="20"/>
                <w:szCs w:val="20"/>
                <w:color w:val="auto"/>
              </w:rPr>
            </w:pPr>
            <w:r>
              <w:rPr>
                <w:rFonts w:ascii="Arial" w:cs="Arial" w:eastAsia="Arial" w:hAnsi="Arial"/>
                <w:sz w:val="18"/>
                <w:szCs w:val="18"/>
                <w:color w:val="auto"/>
              </w:rPr>
              <w:t>The 20  notes will mature on</w:t>
            </w:r>
          </w:p>
        </w:tc>
        <w:tc>
          <w:tcPr>
            <w:tcW w:w="3180" w:type="dxa"/>
            <w:vAlign w:val="bottom"/>
          </w:tcPr>
          <w:p>
            <w:pPr>
              <w:ind w:left="40"/>
              <w:spacing w:after="0"/>
              <w:rPr>
                <w:sz w:val="20"/>
                <w:szCs w:val="20"/>
                <w:color w:val="auto"/>
              </w:rPr>
            </w:pPr>
            <w:r>
              <w:rPr>
                <w:rFonts w:ascii="Arial" w:cs="Arial" w:eastAsia="Arial" w:hAnsi="Arial"/>
                <w:sz w:val="18"/>
                <w:szCs w:val="18"/>
                <w:color w:val="auto"/>
              </w:rPr>
              <w:t>, 20  and the 20  notes will mature on</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840" w:type="dxa"/>
            <w:vAlign w:val="bottom"/>
          </w:tcPr>
          <w:p>
            <w:pPr>
              <w:spacing w:after="0"/>
              <w:rPr>
                <w:sz w:val="19"/>
                <w:szCs w:val="19"/>
                <w:color w:val="auto"/>
              </w:rPr>
            </w:pPr>
          </w:p>
        </w:tc>
        <w:tc>
          <w:tcPr>
            <w:tcW w:w="2040" w:type="dxa"/>
            <w:vAlign w:val="bottom"/>
          </w:tcPr>
          <w:p>
            <w:pPr>
              <w:ind w:left="1540"/>
              <w:spacing w:after="0"/>
              <w:rPr>
                <w:sz w:val="20"/>
                <w:szCs w:val="20"/>
                <w:color w:val="auto"/>
              </w:rPr>
            </w:pPr>
            <w:r>
              <w:rPr>
                <w:rFonts w:ascii="Arial" w:cs="Arial" w:eastAsia="Arial" w:hAnsi="Arial"/>
                <w:sz w:val="18"/>
                <w:szCs w:val="18"/>
                <w:color w:val="auto"/>
              </w:rPr>
              <w:t>20  .</w:t>
            </w:r>
          </w:p>
        </w:tc>
        <w:tc>
          <w:tcPr>
            <w:tcW w:w="22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196" w:lineRule="exact"/>
        <w:rPr>
          <w:sz w:val="20"/>
          <w:szCs w:val="20"/>
          <w:color w:val="auto"/>
        </w:rPr>
      </w:pPr>
    </w:p>
    <w:p>
      <w:pPr>
        <w:sectPr>
          <w:pgSz w:w="11900" w:h="16838" w:orient="portrait"/>
          <w:cols w:equalWidth="0" w:num="1">
            <w:col w:w="11160"/>
          </w:cols>
          <w:pgMar w:left="240" w:top="131" w:right="499" w:bottom="1440" w:gutter="0" w:footer="0" w:header="0"/>
        </w:sectPr>
      </w:pPr>
    </w:p>
    <w:p>
      <w:pPr>
        <w:ind w:left="240"/>
        <w:spacing w:after="0"/>
        <w:rPr>
          <w:sz w:val="20"/>
          <w:szCs w:val="20"/>
          <w:color w:val="auto"/>
        </w:rPr>
      </w:pPr>
      <w:r>
        <w:rPr>
          <w:rFonts w:ascii="Arial" w:cs="Arial" w:eastAsia="Arial" w:hAnsi="Arial"/>
          <w:sz w:val="15"/>
          <w:szCs w:val="15"/>
          <w:color w:val="auto"/>
        </w:rPr>
        <w:t>Interest and Payment Dates</w:t>
      </w:r>
    </w:p>
    <w:p>
      <w:pPr>
        <w:spacing w:after="0" w:line="20" w:lineRule="exact"/>
        <w:rPr>
          <w:sz w:val="20"/>
          <w:szCs w:val="20"/>
          <w:color w:val="auto"/>
        </w:rPr>
      </w:pPr>
      <w:r>
        <w:rPr>
          <w:sz w:val="20"/>
          <w:szCs w:val="20"/>
          <w:color w:val="auto"/>
        </w:rPr>
        <w:br w:type="column"/>
      </w:r>
    </w:p>
    <w:p>
      <w:pPr>
        <w:jc w:val="both"/>
        <w:ind w:right="120" w:firstLine="527"/>
        <w:spacing w:after="0" w:line="256" w:lineRule="auto"/>
        <w:rPr>
          <w:sz w:val="20"/>
          <w:szCs w:val="20"/>
          <w:color w:val="auto"/>
        </w:rPr>
      </w:pPr>
      <w:r>
        <w:rPr>
          <w:rFonts w:ascii="Arial" w:cs="Arial" w:eastAsia="Arial" w:hAnsi="Arial"/>
          <w:sz w:val="18"/>
          <w:szCs w:val="18"/>
          <w:color w:val="auto"/>
        </w:rPr>
        <w:t>% per year on the principal amount of the 20 notes and % per year on the principal amount of the 20 notes. Interest is payable on the notes on and of each year after the date of issuance, commencing , 2020. Interest on the notes will accrue from , 2019.</w:t>
      </w:r>
    </w:p>
    <w:p>
      <w:pPr>
        <w:spacing w:after="0" w:line="184" w:lineRule="exact"/>
        <w:rPr>
          <w:sz w:val="20"/>
          <w:szCs w:val="20"/>
          <w:color w:val="auto"/>
        </w:rPr>
      </w:pPr>
    </w:p>
    <w:p>
      <w:pPr>
        <w:sectPr>
          <w:pgSz w:w="11900" w:h="16838" w:orient="portrait"/>
          <w:cols w:equalWidth="0" w:num="2">
            <w:col w:w="3900" w:space="720"/>
            <w:col w:w="6540"/>
          </w:cols>
          <w:pgMar w:left="240" w:top="131" w:right="49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Ranking of the Notes</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The notes will be our senior unsecured obligations and will rank equally with all of our other existing and future unsecured and unsubordinated indebtedness from time to time outstanding.</w:t>
      </w:r>
    </w:p>
    <w:p>
      <w:pPr>
        <w:spacing w:after="0" w:line="181" w:lineRule="exact"/>
        <w:rPr>
          <w:sz w:val="20"/>
          <w:szCs w:val="20"/>
          <w:color w:val="auto"/>
        </w:rPr>
      </w:pPr>
    </w:p>
    <w:p>
      <w:pPr>
        <w:sectPr>
          <w:pgSz w:w="11900" w:h="16838" w:orient="portrait"/>
          <w:cols w:equalWidth="0" w:num="2">
            <w:col w:w="3900" w:space="720"/>
            <w:col w:w="6540"/>
          </w:cols>
          <w:pgMar w:left="240" w:top="131" w:right="499" w:bottom="1440" w:gutter="0" w:footer="0" w:header="0"/>
          <w:type w:val="continuous"/>
        </w:sectPr>
      </w:pPr>
    </w:p>
    <w:p>
      <w:pPr>
        <w:ind w:left="4620"/>
        <w:spacing w:after="0"/>
        <w:rPr>
          <w:sz w:val="20"/>
          <w:szCs w:val="20"/>
          <w:color w:val="auto"/>
        </w:rPr>
      </w:pPr>
      <w:r>
        <w:rPr>
          <w:rFonts w:ascii="Arial" w:cs="Arial" w:eastAsia="Arial" w:hAnsi="Arial"/>
          <w:sz w:val="18"/>
          <w:szCs w:val="18"/>
          <w:color w:val="auto"/>
        </w:rPr>
        <w:t>As of May 30, 2019:</w:t>
      </w:r>
    </w:p>
    <w:p>
      <w:pPr>
        <w:spacing w:after="0" w:line="212" w:lineRule="exact"/>
        <w:rPr>
          <w:sz w:val="20"/>
          <w:szCs w:val="20"/>
          <w:color w:val="auto"/>
        </w:rPr>
      </w:pPr>
    </w:p>
    <w:p>
      <w:pPr>
        <w:ind w:left="4800" w:right="220" w:hanging="179"/>
        <w:spacing w:after="0" w:line="298" w:lineRule="auto"/>
        <w:tabs>
          <w:tab w:leader="none" w:pos="4780" w:val="left"/>
        </w:tabs>
        <w:rPr>
          <w:sz w:val="20"/>
          <w:szCs w:val="20"/>
          <w:color w:val="auto"/>
        </w:rPr>
      </w:pPr>
      <w:r>
        <w:rPr>
          <w:rFonts w:ascii="Arial" w:cs="Arial" w:eastAsia="Arial" w:hAnsi="Arial"/>
          <w:sz w:val="16"/>
          <w:szCs w:val="16"/>
          <w:color w:val="auto"/>
        </w:rPr>
        <w:t>•</w:t>
        <w:tab/>
        <w:t>we had approximately $3.35 billion aggregate principal amount of indebtedness (calculated based on the principal amount of such indebtedness but excluding approximately $191 million principal amount of indebtedness of our subsidiaries that is guaranteed by us), of which $831 million was our secured indebtedness;</w:t>
      </w:r>
    </w:p>
    <w:p>
      <w:pPr>
        <w:spacing w:after="0" w:line="153" w:lineRule="exact"/>
        <w:rPr>
          <w:sz w:val="20"/>
          <w:szCs w:val="20"/>
          <w:color w:val="auto"/>
        </w:rPr>
      </w:pPr>
    </w:p>
    <w:p>
      <w:pPr>
        <w:ind w:left="4800" w:right="40" w:hanging="179"/>
        <w:spacing w:after="0" w:line="291" w:lineRule="auto"/>
        <w:tabs>
          <w:tab w:leader="none" w:pos="4780" w:val="left"/>
        </w:tabs>
        <w:rPr>
          <w:sz w:val="20"/>
          <w:szCs w:val="20"/>
          <w:color w:val="auto"/>
        </w:rPr>
      </w:pPr>
      <w:r>
        <w:rPr>
          <w:rFonts w:ascii="Arial" w:cs="Arial" w:eastAsia="Arial" w:hAnsi="Arial"/>
          <w:sz w:val="16"/>
          <w:szCs w:val="16"/>
          <w:color w:val="auto"/>
        </w:rPr>
        <w:t>•</w:t>
        <w:tab/>
        <w:t>and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$5.7 billion, all of which will be structurally senior to the notes with respect to claims on the assets and cash flows of our subsidiaries.</w:t>
      </w:r>
    </w:p>
    <w:p>
      <w:pPr>
        <w:sectPr>
          <w:pgSz w:w="11900" w:h="16838" w:orient="portrait"/>
          <w:cols w:equalWidth="0" w:num="1">
            <w:col w:w="11160"/>
          </w:cols>
          <w:pgMar w:left="240" w:top="131" w:right="499" w:bottom="1440" w:gutter="0" w:footer="0" w:header="0"/>
          <w:type w:val="continuous"/>
        </w:sectPr>
      </w:pPr>
    </w:p>
    <w:p>
      <w:pPr>
        <w:spacing w:after="0" w:line="16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Sinking Fund</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11" w:lineRule="exact"/>
        <w:rPr>
          <w:sz w:val="20"/>
          <w:szCs w:val="20"/>
          <w:color w:val="auto"/>
        </w:rPr>
      </w:pPr>
    </w:p>
    <w:p>
      <w:pPr>
        <w:sectPr>
          <w:pgSz w:w="11900" w:h="16838" w:orient="portrait"/>
          <w:cols w:equalWidth="0" w:num="2">
            <w:col w:w="3900" w:space="720"/>
            <w:col w:w="6540"/>
          </w:cols>
          <w:pgMar w:left="240" w:top="131" w:right="499" w:bottom="1440" w:gutter="0" w:footer="0" w:header="0"/>
          <w:type w:val="continuous"/>
        </w:sectPr>
      </w:pPr>
    </w:p>
    <w:p>
      <w:pPr>
        <w:spacing w:after="0" w:line="3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notes will be redeemable at our option, in whole or in part, at any time and from time to time at a redemption price equal to the greater of (i) 100% of the principal amount of the notes to be redeemed and (ii) the make-whole amount (as described in the section entitled</w:t>
      </w:r>
    </w:p>
    <w:p>
      <w:pPr>
        <w:spacing w:after="0" w:line="1" w:lineRule="exact"/>
        <w:rPr>
          <w:sz w:val="20"/>
          <w:szCs w:val="20"/>
          <w:color w:val="auto"/>
        </w:rPr>
      </w:pPr>
    </w:p>
    <w:p>
      <w:pPr>
        <w:sectPr>
          <w:pgSz w:w="11900" w:h="16838" w:orient="portrait"/>
          <w:cols w:equalWidth="0" w:num="2">
            <w:col w:w="3900" w:space="720"/>
            <w:col w:w="6540"/>
          </w:cols>
          <w:pgMar w:left="240" w:top="131" w:right="499" w:bottom="1440" w:gutter="0" w:footer="0" w:header="0"/>
          <w:type w:val="continuous"/>
        </w:sectPr>
      </w:pPr>
    </w:p>
    <w:p>
      <w:pPr>
        <w:ind w:left="4620"/>
        <w:spacing w:after="0" w:line="255" w:lineRule="auto"/>
        <w:rPr>
          <w:sz w:val="20"/>
          <w:szCs w:val="20"/>
          <w:color w:val="auto"/>
        </w:rPr>
      </w:pPr>
      <w:r>
        <w:rPr>
          <w:rFonts w:ascii="Arial" w:cs="Arial" w:eastAsia="Arial" w:hAnsi="Arial"/>
          <w:sz w:val="18"/>
          <w:szCs w:val="18"/>
          <w:color w:val="auto"/>
        </w:rPr>
        <w:t>"Description of the Notes—Optional Redemption"), plus accrued and unpaid interest thereon to, but excluding, the redemption date. See "Description of the Notes—Optional Redemption."</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458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50430" cy="54584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w w:val="94"/>
              </w:rPr>
              <w:t>In addition, on or after</w:t>
            </w:r>
          </w:p>
        </w:tc>
        <w:tc>
          <w:tcPr>
            <w:tcW w:w="2420" w:type="dxa"/>
            <w:vAlign w:val="bottom"/>
            <w:gridSpan w:val="2"/>
          </w:tcPr>
          <w:p>
            <w:pPr>
              <w:jc w:val="right"/>
              <w:ind w:right="52"/>
              <w:spacing w:after="0"/>
              <w:rPr>
                <w:sz w:val="20"/>
                <w:szCs w:val="20"/>
                <w:color w:val="auto"/>
              </w:rPr>
            </w:pPr>
            <w:r>
              <w:rPr>
                <w:rFonts w:ascii="Arial" w:cs="Arial" w:eastAsia="Arial" w:hAnsi="Arial"/>
                <w:sz w:val="18"/>
                <w:szCs w:val="18"/>
                <w:color w:val="auto"/>
              </w:rPr>
              <w:t>, 20  in the case of the 20</w:t>
            </w:r>
          </w:p>
        </w:tc>
        <w:tc>
          <w:tcPr>
            <w:tcW w:w="2460" w:type="dxa"/>
            <w:vAlign w:val="bottom"/>
          </w:tcPr>
          <w:p>
            <w:pPr>
              <w:ind w:left="40"/>
              <w:spacing w:after="0"/>
              <w:rPr>
                <w:sz w:val="20"/>
                <w:szCs w:val="20"/>
                <w:color w:val="auto"/>
              </w:rPr>
            </w:pPr>
            <w:r>
              <w:rPr>
                <w:rFonts w:ascii="Arial" w:cs="Arial" w:eastAsia="Arial" w:hAnsi="Arial"/>
                <w:sz w:val="18"/>
                <w:szCs w:val="18"/>
                <w:color w:val="auto"/>
              </w:rPr>
              <w:t>notes (  months prior to the</w:t>
            </w:r>
          </w:p>
        </w:tc>
      </w:tr>
      <w:tr>
        <w:trPr>
          <w:trHeight w:val="216"/>
        </w:trPr>
        <w:tc>
          <w:tcPr>
            <w:tcW w:w="4260" w:type="dxa"/>
            <w:vAlign w:val="bottom"/>
          </w:tcPr>
          <w:p>
            <w:pPr>
              <w:spacing w:after="0"/>
              <w:rPr>
                <w:sz w:val="18"/>
                <w:szCs w:val="18"/>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w w:val="92"/>
              </w:rPr>
              <w:t>maturity date of the 20</w:t>
            </w:r>
          </w:p>
        </w:tc>
        <w:tc>
          <w:tcPr>
            <w:tcW w:w="1680" w:type="dxa"/>
            <w:vAlign w:val="bottom"/>
          </w:tcPr>
          <w:p>
            <w:pPr>
              <w:ind w:left="100"/>
              <w:spacing w:after="0"/>
              <w:rPr>
                <w:sz w:val="20"/>
                <w:szCs w:val="20"/>
                <w:color w:val="auto"/>
              </w:rPr>
            </w:pPr>
            <w:r>
              <w:rPr>
                <w:rFonts w:ascii="Arial" w:cs="Arial" w:eastAsia="Arial" w:hAnsi="Arial"/>
                <w:sz w:val="18"/>
                <w:szCs w:val="18"/>
                <w:color w:val="auto"/>
                <w:w w:val="90"/>
              </w:rPr>
              <w:t>notes) and on or after</w:t>
            </w:r>
          </w:p>
        </w:tc>
        <w:tc>
          <w:tcPr>
            <w:tcW w:w="740" w:type="dxa"/>
            <w:vAlign w:val="bottom"/>
          </w:tcPr>
          <w:p>
            <w:pPr>
              <w:jc w:val="right"/>
              <w:spacing w:after="0"/>
              <w:rPr>
                <w:sz w:val="20"/>
                <w:szCs w:val="20"/>
                <w:color w:val="auto"/>
              </w:rPr>
            </w:pPr>
            <w:r>
              <w:rPr>
                <w:rFonts w:ascii="Arial" w:cs="Arial" w:eastAsia="Arial" w:hAnsi="Arial"/>
                <w:sz w:val="18"/>
                <w:szCs w:val="18"/>
                <w:color w:val="auto"/>
              </w:rPr>
              <w:t>, 20</w:t>
            </w:r>
          </w:p>
        </w:tc>
        <w:tc>
          <w:tcPr>
            <w:tcW w:w="2460" w:type="dxa"/>
            <w:vAlign w:val="bottom"/>
          </w:tcPr>
          <w:p>
            <w:pPr>
              <w:ind w:left="140"/>
              <w:spacing w:after="0"/>
              <w:rPr>
                <w:sz w:val="20"/>
                <w:szCs w:val="20"/>
                <w:color w:val="auto"/>
              </w:rPr>
            </w:pPr>
            <w:r>
              <w:rPr>
                <w:rFonts w:ascii="Arial" w:cs="Arial" w:eastAsia="Arial" w:hAnsi="Arial"/>
                <w:sz w:val="18"/>
                <w:szCs w:val="18"/>
                <w:color w:val="auto"/>
              </w:rPr>
              <w:t>in the case of the 20  notes</w:t>
            </w:r>
          </w:p>
        </w:tc>
      </w:tr>
      <w:tr>
        <w:trPr>
          <w:trHeight w:val="216"/>
        </w:trPr>
        <w:tc>
          <w:tcPr>
            <w:tcW w:w="426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w w:val="94"/>
              </w:rPr>
              <w:t>(   months prior to the maturity date of the 20</w:t>
            </w:r>
          </w:p>
        </w:tc>
        <w:tc>
          <w:tcPr>
            <w:tcW w:w="3200" w:type="dxa"/>
            <w:vAlign w:val="bottom"/>
            <w:gridSpan w:val="2"/>
          </w:tcPr>
          <w:p>
            <w:pPr>
              <w:ind w:left="80"/>
              <w:spacing w:after="0"/>
              <w:rPr>
                <w:sz w:val="20"/>
                <w:szCs w:val="20"/>
                <w:color w:val="auto"/>
              </w:rPr>
            </w:pPr>
            <w:r>
              <w:rPr>
                <w:rFonts w:ascii="Arial" w:cs="Arial" w:eastAsia="Arial" w:hAnsi="Arial"/>
                <w:sz w:val="18"/>
                <w:szCs w:val="18"/>
                <w:color w:val="auto"/>
              </w:rPr>
              <w:t>notes), we may redeem the notes at a</w:t>
            </w:r>
          </w:p>
        </w:tc>
      </w:tr>
      <w:tr>
        <w:trPr>
          <w:trHeight w:val="216"/>
        </w:trPr>
        <w:tc>
          <w:tcPr>
            <w:tcW w:w="4260" w:type="dxa"/>
            <w:vAlign w:val="bottom"/>
          </w:tcPr>
          <w:p>
            <w:pPr>
              <w:spacing w:after="0"/>
              <w:rPr>
                <w:sz w:val="18"/>
                <w:szCs w:val="18"/>
                <w:color w:val="auto"/>
              </w:rPr>
            </w:pPr>
          </w:p>
        </w:tc>
        <w:tc>
          <w:tcPr>
            <w:tcW w:w="6680" w:type="dxa"/>
            <w:vAlign w:val="bottom"/>
            <w:gridSpan w:val="4"/>
          </w:tcPr>
          <w:p>
            <w:pPr>
              <w:ind w:left="120"/>
              <w:spacing w:after="0"/>
              <w:rPr>
                <w:sz w:val="20"/>
                <w:szCs w:val="20"/>
                <w:color w:val="auto"/>
              </w:rPr>
            </w:pPr>
            <w:r>
              <w:rPr>
                <w:rFonts w:ascii="Arial" w:cs="Arial" w:eastAsia="Arial" w:hAnsi="Arial"/>
                <w:sz w:val="18"/>
                <w:szCs w:val="18"/>
                <w:color w:val="auto"/>
                <w:w w:val="92"/>
              </w:rPr>
              <w:t>redemption price equal to 100% of the principal amount thereof plus accrued and unpaid</w:t>
            </w:r>
          </w:p>
        </w:tc>
      </w:tr>
      <w:tr>
        <w:trPr>
          <w:trHeight w:val="216"/>
        </w:trPr>
        <w:tc>
          <w:tcPr>
            <w:tcW w:w="4260" w:type="dxa"/>
            <w:vAlign w:val="bottom"/>
          </w:tcPr>
          <w:p>
            <w:pPr>
              <w:spacing w:after="0"/>
              <w:rPr>
                <w:sz w:val="18"/>
                <w:szCs w:val="18"/>
                <w:color w:val="auto"/>
              </w:rPr>
            </w:pPr>
          </w:p>
        </w:tc>
        <w:tc>
          <w:tcPr>
            <w:tcW w:w="6680" w:type="dxa"/>
            <w:vAlign w:val="bottom"/>
            <w:gridSpan w:val="4"/>
          </w:tcPr>
          <w:p>
            <w:pPr>
              <w:ind w:left="120"/>
              <w:spacing w:after="0"/>
              <w:rPr>
                <w:sz w:val="20"/>
                <w:szCs w:val="20"/>
                <w:color w:val="auto"/>
              </w:rPr>
            </w:pPr>
            <w:r>
              <w:rPr>
                <w:rFonts w:ascii="Arial" w:cs="Arial" w:eastAsia="Arial" w:hAnsi="Arial"/>
                <w:sz w:val="18"/>
                <w:szCs w:val="18"/>
                <w:color w:val="auto"/>
                <w:w w:val="91"/>
              </w:rPr>
              <w:t>interest to, but excluding, the date of redemption. See "Description of the Notes—Optional</w:t>
            </w:r>
          </w:p>
        </w:tc>
      </w:tr>
      <w:tr>
        <w:trPr>
          <w:trHeight w:val="222"/>
        </w:trPr>
        <w:tc>
          <w:tcPr>
            <w:tcW w:w="4260" w:type="dxa"/>
            <w:vAlign w:val="bottom"/>
          </w:tcPr>
          <w:p>
            <w:pPr>
              <w:spacing w:after="0"/>
              <w:rPr>
                <w:sz w:val="19"/>
                <w:szCs w:val="19"/>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rPr>
              <w:t>Redemption."</w:t>
            </w:r>
          </w:p>
        </w:tc>
        <w:tc>
          <w:tcPr>
            <w:tcW w:w="1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12"/>
        </w:trPr>
        <w:tc>
          <w:tcPr>
            <w:tcW w:w="4260" w:type="dxa"/>
            <w:vAlign w:val="bottom"/>
          </w:tcPr>
          <w:p>
            <w:pPr>
              <w:spacing w:after="0"/>
              <w:rPr>
                <w:sz w:val="20"/>
                <w:szCs w:val="20"/>
                <w:color w:val="auto"/>
              </w:rPr>
            </w:pPr>
            <w:r>
              <w:rPr>
                <w:rFonts w:ascii="Arial" w:cs="Arial" w:eastAsia="Arial" w:hAnsi="Arial"/>
                <w:sz w:val="18"/>
                <w:szCs w:val="18"/>
                <w:color w:val="auto"/>
                <w:w w:val="90"/>
              </w:rPr>
              <w:t>Mandatory Offer to Repurchase Upon a Change of Control</w:t>
            </w:r>
          </w:p>
        </w:tc>
        <w:tc>
          <w:tcPr>
            <w:tcW w:w="6680" w:type="dxa"/>
            <w:vAlign w:val="bottom"/>
            <w:gridSpan w:val="4"/>
          </w:tcPr>
          <w:p>
            <w:pPr>
              <w:ind w:left="120"/>
              <w:spacing w:after="0"/>
              <w:rPr>
                <w:sz w:val="20"/>
                <w:szCs w:val="20"/>
                <w:color w:val="auto"/>
              </w:rPr>
            </w:pPr>
            <w:r>
              <w:rPr>
                <w:rFonts w:ascii="Arial" w:cs="Arial" w:eastAsia="Arial" w:hAnsi="Arial"/>
                <w:sz w:val="18"/>
                <w:szCs w:val="18"/>
                <w:color w:val="auto"/>
                <w:w w:val="90"/>
              </w:rPr>
              <w:t>Upon the occurrence of a Change of Control Triggering Event (as defined elsewhere in this</w:t>
            </w: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Triggering Event</w:t>
            </w:r>
          </w:p>
        </w:tc>
        <w:tc>
          <w:tcPr>
            <w:tcW w:w="6680" w:type="dxa"/>
            <w:vAlign w:val="bottom"/>
            <w:gridSpan w:val="4"/>
          </w:tcPr>
          <w:p>
            <w:pPr>
              <w:ind w:left="120"/>
              <w:spacing w:after="0"/>
              <w:rPr>
                <w:sz w:val="20"/>
                <w:szCs w:val="20"/>
                <w:color w:val="auto"/>
              </w:rPr>
            </w:pPr>
            <w:r>
              <w:rPr>
                <w:rFonts w:ascii="Arial" w:cs="Arial" w:eastAsia="Arial" w:hAnsi="Arial"/>
                <w:sz w:val="18"/>
                <w:szCs w:val="18"/>
                <w:color w:val="auto"/>
                <w:w w:val="87"/>
              </w:rPr>
              <w:t>prospectus supplement), we will be required to make an offer to purchase the notes at a price</w:t>
            </w:r>
          </w:p>
        </w:tc>
      </w:tr>
      <w:tr>
        <w:trPr>
          <w:trHeight w:val="216"/>
        </w:trPr>
        <w:tc>
          <w:tcPr>
            <w:tcW w:w="4260" w:type="dxa"/>
            <w:vAlign w:val="bottom"/>
          </w:tcPr>
          <w:p>
            <w:pPr>
              <w:spacing w:after="0"/>
              <w:rPr>
                <w:sz w:val="18"/>
                <w:szCs w:val="18"/>
                <w:color w:val="auto"/>
              </w:rPr>
            </w:pPr>
          </w:p>
        </w:tc>
        <w:tc>
          <w:tcPr>
            <w:tcW w:w="6680" w:type="dxa"/>
            <w:vAlign w:val="bottom"/>
            <w:gridSpan w:val="4"/>
          </w:tcPr>
          <w:p>
            <w:pPr>
              <w:ind w:left="120"/>
              <w:spacing w:after="0"/>
              <w:rPr>
                <w:sz w:val="20"/>
                <w:szCs w:val="20"/>
                <w:color w:val="auto"/>
              </w:rPr>
            </w:pPr>
            <w:r>
              <w:rPr>
                <w:rFonts w:ascii="Arial" w:cs="Arial" w:eastAsia="Arial" w:hAnsi="Arial"/>
                <w:sz w:val="18"/>
                <w:szCs w:val="18"/>
                <w:color w:val="auto"/>
                <w:w w:val="91"/>
              </w:rPr>
              <w:t>equal to 101% of their principal amount plus accrued and unpaid interest to, but excluding,</w:t>
            </w:r>
          </w:p>
        </w:tc>
      </w:tr>
      <w:tr>
        <w:trPr>
          <w:trHeight w:val="216"/>
        </w:trPr>
        <w:tc>
          <w:tcPr>
            <w:tcW w:w="4260" w:type="dxa"/>
            <w:vAlign w:val="bottom"/>
          </w:tcPr>
          <w:p>
            <w:pPr>
              <w:spacing w:after="0"/>
              <w:rPr>
                <w:sz w:val="18"/>
                <w:szCs w:val="18"/>
                <w:color w:val="auto"/>
              </w:rPr>
            </w:pPr>
          </w:p>
        </w:tc>
        <w:tc>
          <w:tcPr>
            <w:tcW w:w="6680" w:type="dxa"/>
            <w:vAlign w:val="bottom"/>
            <w:gridSpan w:val="4"/>
          </w:tcPr>
          <w:p>
            <w:pPr>
              <w:ind w:left="120"/>
              <w:spacing w:after="0"/>
              <w:rPr>
                <w:sz w:val="20"/>
                <w:szCs w:val="20"/>
                <w:color w:val="auto"/>
              </w:rPr>
            </w:pPr>
            <w:r>
              <w:rPr>
                <w:rFonts w:ascii="Arial" w:cs="Arial" w:eastAsia="Arial" w:hAnsi="Arial"/>
                <w:sz w:val="18"/>
                <w:szCs w:val="18"/>
                <w:color w:val="auto"/>
                <w:w w:val="87"/>
              </w:rPr>
              <w:t>the date of purchase. See "Description of the Notes—Repurchase of Notes Upon a Change of</w:t>
            </w:r>
          </w:p>
        </w:tc>
      </w:tr>
      <w:tr>
        <w:trPr>
          <w:trHeight w:val="222"/>
        </w:trPr>
        <w:tc>
          <w:tcPr>
            <w:tcW w:w="4260" w:type="dxa"/>
            <w:vAlign w:val="bottom"/>
          </w:tcPr>
          <w:p>
            <w:pPr>
              <w:spacing w:after="0"/>
              <w:rPr>
                <w:sz w:val="19"/>
                <w:szCs w:val="19"/>
                <w:color w:val="auto"/>
              </w:rPr>
            </w:pP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Control Triggering Event."</w:t>
            </w:r>
          </w:p>
        </w:tc>
        <w:tc>
          <w:tcPr>
            <w:tcW w:w="7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12"/>
        </w:trPr>
        <w:tc>
          <w:tcPr>
            <w:tcW w:w="4260" w:type="dxa"/>
            <w:vAlign w:val="bottom"/>
          </w:tcPr>
          <w:p>
            <w:pPr>
              <w:spacing w:after="0"/>
              <w:rPr>
                <w:sz w:val="20"/>
                <w:szCs w:val="20"/>
                <w:color w:val="auto"/>
              </w:rPr>
            </w:pPr>
            <w:r>
              <w:rPr>
                <w:rFonts w:ascii="Arial" w:cs="Arial" w:eastAsia="Arial" w:hAnsi="Arial"/>
                <w:sz w:val="18"/>
                <w:szCs w:val="18"/>
                <w:color w:val="auto"/>
              </w:rPr>
              <w:t>Certain Covenants</w:t>
            </w:r>
          </w:p>
        </w:tc>
        <w:tc>
          <w:tcPr>
            <w:tcW w:w="6680" w:type="dxa"/>
            <w:vAlign w:val="bottom"/>
            <w:gridSpan w:val="4"/>
          </w:tcPr>
          <w:p>
            <w:pPr>
              <w:ind w:left="120"/>
              <w:spacing w:after="0"/>
              <w:rPr>
                <w:sz w:val="20"/>
                <w:szCs w:val="20"/>
                <w:color w:val="auto"/>
              </w:rPr>
            </w:pPr>
            <w:r>
              <w:rPr>
                <w:rFonts w:ascii="Arial" w:cs="Arial" w:eastAsia="Arial" w:hAnsi="Arial"/>
                <w:sz w:val="18"/>
                <w:szCs w:val="18"/>
                <w:color w:val="auto"/>
                <w:w w:val="95"/>
              </w:rPr>
              <w:t>The indenture that will govern each series of notes contains covenants that, subject to</w:t>
            </w:r>
          </w:p>
        </w:tc>
      </w:tr>
      <w:tr>
        <w:trPr>
          <w:trHeight w:val="216"/>
        </w:trPr>
        <w:tc>
          <w:tcPr>
            <w:tcW w:w="4260" w:type="dxa"/>
            <w:vAlign w:val="bottom"/>
          </w:tcPr>
          <w:p>
            <w:pPr>
              <w:spacing w:after="0"/>
              <w:rPr>
                <w:sz w:val="18"/>
                <w:szCs w:val="18"/>
                <w:color w:val="auto"/>
              </w:rPr>
            </w:pPr>
          </w:p>
        </w:tc>
        <w:tc>
          <w:tcPr>
            <w:tcW w:w="6680" w:type="dxa"/>
            <w:vAlign w:val="bottom"/>
            <w:gridSpan w:val="4"/>
          </w:tcPr>
          <w:p>
            <w:pPr>
              <w:ind w:left="120"/>
              <w:spacing w:after="0"/>
              <w:rPr>
                <w:sz w:val="20"/>
                <w:szCs w:val="20"/>
                <w:color w:val="auto"/>
              </w:rPr>
            </w:pPr>
            <w:r>
              <w:rPr>
                <w:rFonts w:ascii="Arial" w:cs="Arial" w:eastAsia="Arial" w:hAnsi="Arial"/>
                <w:sz w:val="18"/>
                <w:szCs w:val="18"/>
                <w:color w:val="auto"/>
                <w:w w:val="90"/>
              </w:rPr>
              <w:t>significant exceptions, limit our ability and/or the ability of our restricted subsidiaries (which</w:t>
            </w:r>
          </w:p>
        </w:tc>
      </w:tr>
      <w:tr>
        <w:trPr>
          <w:trHeight w:val="216"/>
        </w:trPr>
        <w:tc>
          <w:tcPr>
            <w:tcW w:w="4260" w:type="dxa"/>
            <w:vAlign w:val="bottom"/>
          </w:tcPr>
          <w:p>
            <w:pPr>
              <w:spacing w:after="0"/>
              <w:rPr>
                <w:sz w:val="18"/>
                <w:szCs w:val="18"/>
                <w:color w:val="auto"/>
              </w:rPr>
            </w:pPr>
          </w:p>
        </w:tc>
        <w:tc>
          <w:tcPr>
            <w:tcW w:w="6680" w:type="dxa"/>
            <w:vAlign w:val="bottom"/>
            <w:gridSpan w:val="4"/>
          </w:tcPr>
          <w:p>
            <w:pPr>
              <w:ind w:left="120"/>
              <w:spacing w:after="0"/>
              <w:rPr>
                <w:sz w:val="20"/>
                <w:szCs w:val="20"/>
                <w:color w:val="auto"/>
              </w:rPr>
            </w:pPr>
            <w:r>
              <w:rPr>
                <w:rFonts w:ascii="Arial" w:cs="Arial" w:eastAsia="Arial" w:hAnsi="Arial"/>
                <w:sz w:val="18"/>
                <w:szCs w:val="18"/>
                <w:color w:val="auto"/>
                <w:w w:val="92"/>
              </w:rPr>
              <w:t>are generally domestic subsidiaries in which we own at least 80% of the voting stock and</w:t>
            </w:r>
          </w:p>
        </w:tc>
      </w:tr>
      <w:tr>
        <w:trPr>
          <w:trHeight w:val="222"/>
        </w:trPr>
        <w:tc>
          <w:tcPr>
            <w:tcW w:w="4260" w:type="dxa"/>
            <w:vAlign w:val="bottom"/>
          </w:tcPr>
          <w:p>
            <w:pPr>
              <w:spacing w:after="0"/>
              <w:rPr>
                <w:sz w:val="19"/>
                <w:szCs w:val="19"/>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w w:val="97"/>
              </w:rPr>
              <w:t>which own Principal Property (as defined herein)) to:</w:t>
            </w:r>
          </w:p>
        </w:tc>
        <w:tc>
          <w:tcPr>
            <w:tcW w:w="2460" w:type="dxa"/>
            <w:vAlign w:val="bottom"/>
          </w:tcPr>
          <w:p>
            <w:pPr>
              <w:spacing w:after="0"/>
              <w:rPr>
                <w:sz w:val="19"/>
                <w:szCs w:val="19"/>
                <w:color w:val="auto"/>
              </w:rPr>
            </w:pPr>
          </w:p>
        </w:tc>
      </w:tr>
      <w:tr>
        <w:trPr>
          <w:trHeight w:val="412"/>
        </w:trPr>
        <w:tc>
          <w:tcPr>
            <w:tcW w:w="4260" w:type="dxa"/>
            <w:vAlign w:val="bottom"/>
          </w:tcPr>
          <w:p>
            <w:pPr>
              <w:spacing w:after="0"/>
              <w:rPr>
                <w:sz w:val="24"/>
                <w:szCs w:val="24"/>
                <w:color w:val="auto"/>
              </w:rPr>
            </w:pPr>
          </w:p>
        </w:tc>
        <w:tc>
          <w:tcPr>
            <w:tcW w:w="6680" w:type="dxa"/>
            <w:vAlign w:val="bottom"/>
            <w:gridSpan w:val="4"/>
          </w:tcPr>
          <w:p>
            <w:pPr>
              <w:ind w:left="120"/>
              <w:spacing w:after="0"/>
              <w:rPr>
                <w:sz w:val="20"/>
                <w:szCs w:val="20"/>
                <w:color w:val="auto"/>
              </w:rPr>
            </w:pPr>
            <w:r>
              <w:rPr>
                <w:rFonts w:ascii="Arial" w:cs="Arial" w:eastAsia="Arial" w:hAnsi="Arial"/>
                <w:sz w:val="18"/>
                <w:szCs w:val="18"/>
                <w:color w:val="auto"/>
                <w:w w:val="90"/>
              </w:rPr>
              <w:t>•  create or incur certain liens on Principal Property owned by us or a Restricted Subsidiary</w:t>
            </w:r>
          </w:p>
        </w:tc>
      </w:tr>
      <w:tr>
        <w:trPr>
          <w:trHeight w:val="216"/>
        </w:trPr>
        <w:tc>
          <w:tcPr>
            <w:tcW w:w="4260" w:type="dxa"/>
            <w:vAlign w:val="bottom"/>
          </w:tcPr>
          <w:p>
            <w:pPr>
              <w:spacing w:after="0"/>
              <w:rPr>
                <w:sz w:val="18"/>
                <w:szCs w:val="18"/>
                <w:color w:val="auto"/>
              </w:rPr>
            </w:pPr>
          </w:p>
        </w:tc>
        <w:tc>
          <w:tcPr>
            <w:tcW w:w="6680" w:type="dxa"/>
            <w:vAlign w:val="bottom"/>
            <w:gridSpan w:val="4"/>
          </w:tcPr>
          <w:p>
            <w:pPr>
              <w:ind w:left="300"/>
              <w:spacing w:after="0"/>
              <w:rPr>
                <w:sz w:val="20"/>
                <w:szCs w:val="20"/>
                <w:color w:val="auto"/>
              </w:rPr>
            </w:pPr>
            <w:r>
              <w:rPr>
                <w:rFonts w:ascii="Arial" w:cs="Arial" w:eastAsia="Arial" w:hAnsi="Arial"/>
                <w:sz w:val="18"/>
                <w:szCs w:val="18"/>
                <w:color w:val="auto"/>
                <w:w w:val="89"/>
              </w:rPr>
              <w:t>and shares of capital stock of any restricted subsidiary and enter into sale and lease-back</w:t>
            </w:r>
          </w:p>
        </w:tc>
      </w:tr>
      <w:tr>
        <w:trPr>
          <w:trHeight w:val="222"/>
        </w:trPr>
        <w:tc>
          <w:tcPr>
            <w:tcW w:w="4260" w:type="dxa"/>
            <w:vAlign w:val="bottom"/>
          </w:tcPr>
          <w:p>
            <w:pPr>
              <w:spacing w:after="0"/>
              <w:rPr>
                <w:sz w:val="19"/>
                <w:szCs w:val="19"/>
                <w:color w:val="auto"/>
              </w:rPr>
            </w:pPr>
          </w:p>
        </w:tc>
        <w:tc>
          <w:tcPr>
            <w:tcW w:w="4220" w:type="dxa"/>
            <w:vAlign w:val="bottom"/>
            <w:gridSpan w:val="3"/>
          </w:tcPr>
          <w:p>
            <w:pPr>
              <w:ind w:left="300"/>
              <w:spacing w:after="0"/>
              <w:rPr>
                <w:sz w:val="20"/>
                <w:szCs w:val="20"/>
                <w:color w:val="auto"/>
              </w:rPr>
            </w:pPr>
            <w:r>
              <w:rPr>
                <w:rFonts w:ascii="Arial" w:cs="Arial" w:eastAsia="Arial" w:hAnsi="Arial"/>
                <w:sz w:val="18"/>
                <w:szCs w:val="18"/>
                <w:color w:val="auto"/>
                <w:w w:val="96"/>
              </w:rPr>
              <w:t>transactions with respect to Principal Property; and</w:t>
            </w:r>
          </w:p>
        </w:tc>
        <w:tc>
          <w:tcPr>
            <w:tcW w:w="2460" w:type="dxa"/>
            <w:vAlign w:val="bottom"/>
          </w:tcPr>
          <w:p>
            <w:pPr>
              <w:spacing w:after="0"/>
              <w:rPr>
                <w:sz w:val="19"/>
                <w:szCs w:val="19"/>
                <w:color w:val="auto"/>
              </w:rPr>
            </w:pPr>
          </w:p>
        </w:tc>
      </w:tr>
      <w:tr>
        <w:trPr>
          <w:trHeight w:val="412"/>
        </w:trPr>
        <w:tc>
          <w:tcPr>
            <w:tcW w:w="4260" w:type="dxa"/>
            <w:vAlign w:val="bottom"/>
          </w:tcPr>
          <w:p>
            <w:pPr>
              <w:spacing w:after="0"/>
              <w:rPr>
                <w:sz w:val="24"/>
                <w:szCs w:val="24"/>
                <w:color w:val="auto"/>
              </w:rPr>
            </w:pPr>
          </w:p>
        </w:tc>
        <w:tc>
          <w:tcPr>
            <w:tcW w:w="6680" w:type="dxa"/>
            <w:vAlign w:val="bottom"/>
            <w:gridSpan w:val="4"/>
          </w:tcPr>
          <w:p>
            <w:pPr>
              <w:ind w:left="120"/>
              <w:spacing w:after="0"/>
              <w:rPr>
                <w:sz w:val="20"/>
                <w:szCs w:val="20"/>
                <w:color w:val="auto"/>
              </w:rPr>
            </w:pPr>
            <w:r>
              <w:rPr>
                <w:rFonts w:ascii="Arial" w:cs="Arial" w:eastAsia="Arial" w:hAnsi="Arial"/>
                <w:sz w:val="18"/>
                <w:szCs w:val="18"/>
                <w:color w:val="auto"/>
                <w:w w:val="91"/>
              </w:rPr>
              <w:t>•  consolidate with or merge with or into, or convey, transfer or lease all or substantially all</w:t>
            </w:r>
          </w:p>
        </w:tc>
      </w:tr>
      <w:tr>
        <w:trPr>
          <w:trHeight w:val="222"/>
        </w:trPr>
        <w:tc>
          <w:tcPr>
            <w:tcW w:w="4260" w:type="dxa"/>
            <w:vAlign w:val="bottom"/>
          </w:tcPr>
          <w:p>
            <w:pPr>
              <w:spacing w:after="0"/>
              <w:rPr>
                <w:sz w:val="19"/>
                <w:szCs w:val="19"/>
                <w:color w:val="auto"/>
              </w:rPr>
            </w:pPr>
          </w:p>
        </w:tc>
        <w:tc>
          <w:tcPr>
            <w:tcW w:w="3480" w:type="dxa"/>
            <w:vAlign w:val="bottom"/>
            <w:gridSpan w:val="2"/>
          </w:tcPr>
          <w:p>
            <w:pPr>
              <w:ind w:left="300"/>
              <w:spacing w:after="0"/>
              <w:rPr>
                <w:sz w:val="20"/>
                <w:szCs w:val="20"/>
                <w:color w:val="auto"/>
              </w:rPr>
            </w:pPr>
            <w:r>
              <w:rPr>
                <w:rFonts w:ascii="Arial" w:cs="Arial" w:eastAsia="Arial" w:hAnsi="Arial"/>
                <w:sz w:val="18"/>
                <w:szCs w:val="18"/>
                <w:color w:val="auto"/>
              </w:rPr>
              <w:t>of our assets, to another person.</w:t>
            </w:r>
          </w:p>
        </w:tc>
        <w:tc>
          <w:tcPr>
            <w:tcW w:w="7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12"/>
        </w:trPr>
        <w:tc>
          <w:tcPr>
            <w:tcW w:w="4260" w:type="dxa"/>
            <w:vAlign w:val="bottom"/>
          </w:tcPr>
          <w:p>
            <w:pPr>
              <w:spacing w:after="0"/>
              <w:rPr>
                <w:sz w:val="24"/>
                <w:szCs w:val="24"/>
                <w:color w:val="auto"/>
              </w:rPr>
            </w:pPr>
          </w:p>
        </w:tc>
        <w:tc>
          <w:tcPr>
            <w:tcW w:w="6680" w:type="dxa"/>
            <w:vAlign w:val="bottom"/>
            <w:gridSpan w:val="4"/>
          </w:tcPr>
          <w:p>
            <w:pPr>
              <w:ind w:left="120"/>
              <w:spacing w:after="0"/>
              <w:rPr>
                <w:sz w:val="20"/>
                <w:szCs w:val="20"/>
                <w:color w:val="auto"/>
              </w:rPr>
            </w:pPr>
            <w:r>
              <w:rPr>
                <w:rFonts w:ascii="Arial" w:cs="Arial" w:eastAsia="Arial" w:hAnsi="Arial"/>
                <w:sz w:val="18"/>
                <w:szCs w:val="18"/>
                <w:color w:val="auto"/>
                <w:w w:val="87"/>
              </w:rPr>
              <w:t>These covenants are subject to a number of important limitations and exceptions as described</w:t>
            </w:r>
          </w:p>
        </w:tc>
      </w:tr>
      <w:tr>
        <w:trPr>
          <w:trHeight w:val="222"/>
        </w:trPr>
        <w:tc>
          <w:tcPr>
            <w:tcW w:w="4260" w:type="dxa"/>
            <w:vAlign w:val="bottom"/>
          </w:tcPr>
          <w:p>
            <w:pPr>
              <w:spacing w:after="0"/>
              <w:rPr>
                <w:sz w:val="19"/>
                <w:szCs w:val="19"/>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w w:val="95"/>
              </w:rPr>
              <w:t>under "Description of the Notes—Certain Covenants."</w:t>
            </w:r>
          </w:p>
        </w:tc>
        <w:tc>
          <w:tcPr>
            <w:tcW w:w="2460" w:type="dxa"/>
            <w:vAlign w:val="bottom"/>
          </w:tcPr>
          <w:p>
            <w:pPr>
              <w:spacing w:after="0"/>
              <w:rPr>
                <w:sz w:val="19"/>
                <w:szCs w:val="19"/>
                <w:color w:val="auto"/>
              </w:rPr>
            </w:pPr>
          </w:p>
        </w:tc>
      </w:tr>
      <w:tr>
        <w:trPr>
          <w:trHeight w:val="412"/>
        </w:trPr>
        <w:tc>
          <w:tcPr>
            <w:tcW w:w="4260" w:type="dxa"/>
            <w:vAlign w:val="bottom"/>
          </w:tcPr>
          <w:p>
            <w:pPr>
              <w:spacing w:after="0"/>
              <w:rPr>
                <w:sz w:val="20"/>
                <w:szCs w:val="20"/>
                <w:color w:val="auto"/>
              </w:rPr>
            </w:pPr>
            <w:r>
              <w:rPr>
                <w:rFonts w:ascii="Arial" w:cs="Arial" w:eastAsia="Arial" w:hAnsi="Arial"/>
                <w:sz w:val="18"/>
                <w:szCs w:val="18"/>
                <w:color w:val="auto"/>
              </w:rPr>
              <w:t>No Prior Market; No Listing</w:t>
            </w:r>
          </w:p>
        </w:tc>
        <w:tc>
          <w:tcPr>
            <w:tcW w:w="6680" w:type="dxa"/>
            <w:vAlign w:val="bottom"/>
            <w:gridSpan w:val="4"/>
          </w:tcPr>
          <w:p>
            <w:pPr>
              <w:ind w:left="120"/>
              <w:spacing w:after="0"/>
              <w:rPr>
                <w:sz w:val="20"/>
                <w:szCs w:val="20"/>
                <w:color w:val="auto"/>
              </w:rPr>
            </w:pPr>
            <w:r>
              <w:rPr>
                <w:rFonts w:ascii="Arial" w:cs="Arial" w:eastAsia="Arial" w:hAnsi="Arial"/>
                <w:sz w:val="18"/>
                <w:szCs w:val="18"/>
                <w:color w:val="auto"/>
                <w:w w:val="90"/>
              </w:rPr>
              <w:t>The notes will be a new issue of securities for which there is currently no established public</w:t>
            </w:r>
          </w:p>
        </w:tc>
      </w:tr>
      <w:tr>
        <w:trPr>
          <w:trHeight w:val="216"/>
        </w:trPr>
        <w:tc>
          <w:tcPr>
            <w:tcW w:w="4260" w:type="dxa"/>
            <w:vAlign w:val="bottom"/>
          </w:tcPr>
          <w:p>
            <w:pPr>
              <w:spacing w:after="0"/>
              <w:rPr>
                <w:sz w:val="18"/>
                <w:szCs w:val="18"/>
                <w:color w:val="auto"/>
              </w:rPr>
            </w:pPr>
          </w:p>
        </w:tc>
        <w:tc>
          <w:tcPr>
            <w:tcW w:w="6680" w:type="dxa"/>
            <w:vAlign w:val="bottom"/>
            <w:gridSpan w:val="4"/>
          </w:tcPr>
          <w:p>
            <w:pPr>
              <w:ind w:left="120"/>
              <w:spacing w:after="0"/>
              <w:rPr>
                <w:sz w:val="20"/>
                <w:szCs w:val="20"/>
                <w:color w:val="auto"/>
              </w:rPr>
            </w:pPr>
            <w:r>
              <w:rPr>
                <w:rFonts w:ascii="Arial" w:cs="Arial" w:eastAsia="Arial" w:hAnsi="Arial"/>
                <w:sz w:val="18"/>
                <w:szCs w:val="18"/>
                <w:color w:val="auto"/>
                <w:w w:val="89"/>
              </w:rPr>
              <w:t>market. Although the underwriters have informed us that they intend to make a market in the</w:t>
            </w:r>
          </w:p>
        </w:tc>
      </w:tr>
      <w:tr>
        <w:trPr>
          <w:trHeight w:val="222"/>
        </w:trPr>
        <w:tc>
          <w:tcPr>
            <w:tcW w:w="4260" w:type="dxa"/>
            <w:vAlign w:val="bottom"/>
          </w:tcPr>
          <w:p>
            <w:pPr>
              <w:spacing w:after="0"/>
              <w:rPr>
                <w:sz w:val="19"/>
                <w:szCs w:val="19"/>
                <w:color w:val="auto"/>
              </w:rPr>
            </w:pPr>
          </w:p>
        </w:tc>
        <w:tc>
          <w:tcPr>
            <w:tcW w:w="6680" w:type="dxa"/>
            <w:vAlign w:val="bottom"/>
            <w:gridSpan w:val="4"/>
          </w:tcPr>
          <w:p>
            <w:pPr>
              <w:ind w:left="120"/>
              <w:spacing w:after="0"/>
              <w:rPr>
                <w:sz w:val="20"/>
                <w:szCs w:val="20"/>
                <w:color w:val="auto"/>
              </w:rPr>
            </w:pPr>
            <w:r>
              <w:rPr>
                <w:rFonts w:ascii="Arial" w:cs="Arial" w:eastAsia="Arial" w:hAnsi="Arial"/>
                <w:sz w:val="18"/>
                <w:szCs w:val="18"/>
                <w:color w:val="auto"/>
                <w:w w:val="88"/>
              </w:rPr>
              <w:t>notes, they are not obligated to do so and may discontinue market-making with respect to the</w:t>
            </w:r>
          </w:p>
        </w:tc>
      </w:tr>
    </w:tbl>
    <w:p>
      <w:pPr>
        <w:ind w:left="4620" w:right="80"/>
        <w:spacing w:after="0" w:line="254" w:lineRule="auto"/>
        <w:rPr>
          <w:sz w:val="20"/>
          <w:szCs w:val="20"/>
          <w:color w:val="auto"/>
        </w:rPr>
      </w:pPr>
      <w:r>
        <w:rPr>
          <w:rFonts w:ascii="Arial" w:cs="Arial" w:eastAsia="Arial" w:hAnsi="Arial"/>
          <w:sz w:val="18"/>
          <w:szCs w:val="18"/>
          <w:color w:val="auto"/>
        </w:rPr>
        <w:t>notes at any time without notice. Accordingly, a liquid market for the notes may not develop or be maintained. See "Risk Factors—Risks Related to the Notes—Your ability to transfer the notes may be limited by the absence of an active trading market, and an active trading market may not develop for the notes."</w:t>
      </w:r>
    </w:p>
    <w:p>
      <w:pPr>
        <w:spacing w:after="0" w:line="184" w:lineRule="exact"/>
        <w:rPr>
          <w:sz w:val="20"/>
          <w:szCs w:val="20"/>
          <w:color w:val="auto"/>
        </w:rPr>
      </w:pPr>
    </w:p>
    <w:p>
      <w:pPr>
        <w:ind w:left="4620" w:right="260"/>
        <w:spacing w:after="0" w:line="268" w:lineRule="auto"/>
        <w:rPr>
          <w:sz w:val="20"/>
          <w:szCs w:val="20"/>
          <w:color w:val="auto"/>
        </w:rPr>
      </w:pPr>
      <w:r>
        <w:rPr>
          <w:rFonts w:ascii="Arial" w:cs="Arial" w:eastAsia="Arial" w:hAnsi="Arial"/>
          <w:sz w:val="18"/>
          <w:szCs w:val="18"/>
          <w:color w:val="auto"/>
        </w:rPr>
        <w:t>We do not intend to apply for the listing of the notes on any securities exchange or for the quotation of the notes in any dealer quotation system.</w:t>
      </w: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70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color w:val="auto"/>
              </w:rPr>
              <w:t>Use of Proceeds</w:t>
            </w:r>
          </w:p>
        </w:tc>
        <w:tc>
          <w:tcPr>
            <w:tcW w:w="7720" w:type="dxa"/>
            <w:vAlign w:val="bottom"/>
            <w:tcBorders>
              <w:top w:val="single" w:sz="8" w:color="auto"/>
              <w:right w:val="single" w:sz="8" w:color="auto"/>
            </w:tcBorders>
            <w:gridSpan w:val="2"/>
          </w:tcPr>
          <w:p>
            <w:pPr>
              <w:ind w:left="920"/>
              <w:spacing w:after="0"/>
              <w:rPr>
                <w:sz w:val="20"/>
                <w:szCs w:val="20"/>
                <w:color w:val="auto"/>
              </w:rPr>
            </w:pPr>
            <w:r>
              <w:rPr>
                <w:rFonts w:ascii="Arial" w:cs="Arial" w:eastAsia="Arial" w:hAnsi="Arial"/>
                <w:sz w:val="18"/>
                <w:szCs w:val="18"/>
                <w:color w:val="auto"/>
                <w:w w:val="92"/>
              </w:rPr>
              <w:t>We estimate net proceeds from this offering, after deducting underwriter discounts and other</w:t>
            </w:r>
          </w:p>
        </w:tc>
      </w:tr>
      <w:tr>
        <w:trPr>
          <w:trHeight w:val="216"/>
        </w:trPr>
        <w:tc>
          <w:tcPr>
            <w:tcW w:w="3700" w:type="dxa"/>
            <w:vAlign w:val="bottom"/>
            <w:tcBorders>
              <w:left w:val="single" w:sz="8" w:color="auto"/>
            </w:tcBorders>
          </w:tcPr>
          <w:p>
            <w:pPr>
              <w:spacing w:after="0"/>
              <w:rPr>
                <w:sz w:val="18"/>
                <w:szCs w:val="18"/>
                <w:color w:val="auto"/>
              </w:rPr>
            </w:pPr>
          </w:p>
        </w:tc>
        <w:tc>
          <w:tcPr>
            <w:tcW w:w="4900" w:type="dxa"/>
            <w:vAlign w:val="bottom"/>
          </w:tcPr>
          <w:p>
            <w:pPr>
              <w:ind w:left="920"/>
              <w:spacing w:after="0"/>
              <w:rPr>
                <w:sz w:val="20"/>
                <w:szCs w:val="20"/>
                <w:color w:val="auto"/>
              </w:rPr>
            </w:pPr>
            <w:r>
              <w:rPr>
                <w:rFonts w:ascii="Arial" w:cs="Arial" w:eastAsia="Arial" w:hAnsi="Arial"/>
                <w:sz w:val="18"/>
                <w:szCs w:val="18"/>
                <w:color w:val="auto"/>
                <w:w w:val="94"/>
              </w:rPr>
              <w:t>estimated offering expenses, will be approximately $</w:t>
            </w:r>
          </w:p>
        </w:tc>
        <w:tc>
          <w:tcPr>
            <w:tcW w:w="28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billion. We intend to use a</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2"/>
              </w:rPr>
              <w:t>substantial portion of the net proceeds from this offering to fund the purchase price of Intel's</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5"/>
              </w:rPr>
              <w:t>noncontrolling interest in IM Flash and IM Flash debt owed to Intel. We intend to use any</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9"/>
              </w:rPr>
              <w:t>remaining net proceeds from the offering for general corporate purposes. See "Use of</w:t>
            </w:r>
          </w:p>
        </w:tc>
      </w:tr>
      <w:tr>
        <w:trPr>
          <w:trHeight w:val="222"/>
        </w:trPr>
        <w:tc>
          <w:tcPr>
            <w:tcW w:w="3700" w:type="dxa"/>
            <w:vAlign w:val="bottom"/>
            <w:tcBorders>
              <w:left w:val="single" w:sz="8" w:color="auto"/>
            </w:tcBorders>
          </w:tcPr>
          <w:p>
            <w:pPr>
              <w:spacing w:after="0"/>
              <w:rPr>
                <w:sz w:val="19"/>
                <w:szCs w:val="19"/>
                <w:color w:val="auto"/>
              </w:rPr>
            </w:pPr>
          </w:p>
        </w:tc>
        <w:tc>
          <w:tcPr>
            <w:tcW w:w="4900" w:type="dxa"/>
            <w:vAlign w:val="bottom"/>
          </w:tcPr>
          <w:p>
            <w:pPr>
              <w:ind w:left="920"/>
              <w:spacing w:after="0"/>
              <w:rPr>
                <w:sz w:val="20"/>
                <w:szCs w:val="20"/>
                <w:color w:val="auto"/>
              </w:rPr>
            </w:pPr>
            <w:r>
              <w:rPr>
                <w:rFonts w:ascii="Arial" w:cs="Arial" w:eastAsia="Arial" w:hAnsi="Arial"/>
                <w:sz w:val="18"/>
                <w:szCs w:val="18"/>
                <w:color w:val="auto"/>
              </w:rPr>
              <w:t>Proceeds."</w:t>
            </w:r>
          </w:p>
        </w:tc>
        <w:tc>
          <w:tcPr>
            <w:tcW w:w="2820" w:type="dxa"/>
            <w:vAlign w:val="bottom"/>
            <w:tcBorders>
              <w:right w:val="single" w:sz="8" w:color="auto"/>
            </w:tcBorders>
          </w:tcPr>
          <w:p>
            <w:pPr>
              <w:spacing w:after="0"/>
              <w:rPr>
                <w:sz w:val="19"/>
                <w:szCs w:val="19"/>
                <w:color w:val="auto"/>
              </w:rPr>
            </w:pPr>
          </w:p>
        </w:tc>
      </w:tr>
      <w:tr>
        <w:trPr>
          <w:trHeight w:val="412"/>
        </w:trPr>
        <w:tc>
          <w:tcPr>
            <w:tcW w:w="37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Risk Factors</w:t>
            </w: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4"/>
              </w:rPr>
              <w:t>You should carefully consider all of the information set forth in this prospectus supplement</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1"/>
              </w:rPr>
              <w:t>and the accompanying prospectus and the documents, including the information incorporated</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by reference, and, in particular, should evaluate the specific factors set forth in this</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4"/>
              </w:rPr>
              <w:t>prospectus supplement under "Risk Factors" for an explanation of certain risks you should</w:t>
            </w:r>
          </w:p>
        </w:tc>
      </w:tr>
      <w:tr>
        <w:trPr>
          <w:trHeight w:val="222"/>
        </w:trPr>
        <w:tc>
          <w:tcPr>
            <w:tcW w:w="3700" w:type="dxa"/>
            <w:vAlign w:val="bottom"/>
            <w:tcBorders>
              <w:left w:val="single" w:sz="8" w:color="auto"/>
            </w:tcBorders>
          </w:tcPr>
          <w:p>
            <w:pPr>
              <w:spacing w:after="0"/>
              <w:rPr>
                <w:sz w:val="19"/>
                <w:szCs w:val="19"/>
                <w:color w:val="auto"/>
              </w:rPr>
            </w:pPr>
          </w:p>
        </w:tc>
        <w:tc>
          <w:tcPr>
            <w:tcW w:w="4900" w:type="dxa"/>
            <w:vAlign w:val="bottom"/>
          </w:tcPr>
          <w:p>
            <w:pPr>
              <w:ind w:left="920"/>
              <w:spacing w:after="0"/>
              <w:rPr>
                <w:sz w:val="20"/>
                <w:szCs w:val="20"/>
                <w:color w:val="auto"/>
              </w:rPr>
            </w:pPr>
            <w:r>
              <w:rPr>
                <w:rFonts w:ascii="Arial" w:cs="Arial" w:eastAsia="Arial" w:hAnsi="Arial"/>
                <w:sz w:val="18"/>
                <w:szCs w:val="18"/>
                <w:color w:val="auto"/>
              </w:rPr>
              <w:t>consider before investing in the notes.</w:t>
            </w:r>
          </w:p>
        </w:tc>
        <w:tc>
          <w:tcPr>
            <w:tcW w:w="2820" w:type="dxa"/>
            <w:vAlign w:val="bottom"/>
            <w:tcBorders>
              <w:right w:val="single" w:sz="8" w:color="auto"/>
            </w:tcBorders>
          </w:tcPr>
          <w:p>
            <w:pPr>
              <w:spacing w:after="0"/>
              <w:rPr>
                <w:sz w:val="19"/>
                <w:szCs w:val="19"/>
                <w:color w:val="auto"/>
              </w:rPr>
            </w:pPr>
          </w:p>
        </w:tc>
      </w:tr>
      <w:tr>
        <w:trPr>
          <w:trHeight w:val="412"/>
        </w:trPr>
        <w:tc>
          <w:tcPr>
            <w:tcW w:w="37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Form and Denomination</w:t>
            </w: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2"/>
              </w:rPr>
              <w:t>The notes will be issued in the form of one or more fully registered global securities, without</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3"/>
              </w:rPr>
              <w:t>coupons, in denominations of $2,000 in principal amount and integral multiples of $1,000 in</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4"/>
              </w:rPr>
              <w:t>excess thereof. These global notes will be deposited with the trustee as custodian for, and</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4"/>
              </w:rPr>
              <w:t>registered in the name of, a nominee of The Depository Trust Company ("DTC"). Except in</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6"/>
              </w:rPr>
              <w:t>the limited circumstances described under "Description of the Notes—Book-Entry, Form,</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Denomination and Delivery of Notes," notes in certificated form will not be issued or</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1"/>
              </w:rPr>
              <w:t>exchanged for interests in global securities. Investors may hold their interests in a global note</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directly through Euroclear Bank S.A./N.V., as operator of the Euroclear System</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7"/>
              </w:rPr>
              <w:t>("Euroclear"), and Clearstream Banking, S.A. ("Clearstream"), if they are participants in</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7"/>
              </w:rPr>
              <w:t>such systems, or indirectly through organizations that are participants in such systems.</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3"/>
              </w:rPr>
              <w:t>Euroclear and Clearstream will hold interests in a global note on behalf of their participants</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2"/>
              </w:rPr>
              <w:t>through their respective depositaries, which in turn will hold such interests in the global note</w:t>
            </w:r>
          </w:p>
        </w:tc>
      </w:tr>
      <w:tr>
        <w:trPr>
          <w:trHeight w:val="222"/>
        </w:trPr>
        <w:tc>
          <w:tcPr>
            <w:tcW w:w="3700" w:type="dxa"/>
            <w:vAlign w:val="bottom"/>
            <w:tcBorders>
              <w:left w:val="single" w:sz="8" w:color="auto"/>
            </w:tcBorders>
          </w:tcPr>
          <w:p>
            <w:pPr>
              <w:spacing w:after="0"/>
              <w:rPr>
                <w:sz w:val="19"/>
                <w:szCs w:val="19"/>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in customers' securities accounts in the depositaries' names on the books of DTC.</w:t>
            </w:r>
          </w:p>
        </w:tc>
      </w:tr>
      <w:tr>
        <w:trPr>
          <w:trHeight w:val="419"/>
        </w:trPr>
        <w:tc>
          <w:tcPr>
            <w:tcW w:w="37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Trustee, Registrar and Paying Agent</w:t>
            </w:r>
          </w:p>
        </w:tc>
        <w:tc>
          <w:tcPr>
            <w:tcW w:w="4900" w:type="dxa"/>
            <w:vAlign w:val="bottom"/>
          </w:tcPr>
          <w:p>
            <w:pPr>
              <w:ind w:left="920"/>
              <w:spacing w:after="0"/>
              <w:rPr>
                <w:sz w:val="20"/>
                <w:szCs w:val="20"/>
                <w:color w:val="auto"/>
              </w:rPr>
            </w:pPr>
            <w:r>
              <w:rPr>
                <w:rFonts w:ascii="Arial" w:cs="Arial" w:eastAsia="Arial" w:hAnsi="Arial"/>
                <w:sz w:val="18"/>
                <w:szCs w:val="18"/>
                <w:color w:val="auto"/>
              </w:rPr>
              <w:t>U.S. Bank National Association.</w:t>
            </w:r>
          </w:p>
        </w:tc>
        <w:tc>
          <w:tcPr>
            <w:tcW w:w="2820" w:type="dxa"/>
            <w:vAlign w:val="bottom"/>
            <w:tcBorders>
              <w:right w:val="single" w:sz="8" w:color="auto"/>
            </w:tcBorders>
          </w:tcPr>
          <w:p>
            <w:pPr>
              <w:spacing w:after="0"/>
              <w:rPr>
                <w:sz w:val="24"/>
                <w:szCs w:val="24"/>
                <w:color w:val="auto"/>
              </w:rPr>
            </w:pPr>
          </w:p>
        </w:tc>
      </w:tr>
      <w:tr>
        <w:trPr>
          <w:trHeight w:val="419"/>
        </w:trPr>
        <w:tc>
          <w:tcPr>
            <w:tcW w:w="37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Governing Law</w:t>
            </w: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The indenture and the notes will be governed by the laws of the State of New York.</w:t>
            </w:r>
          </w:p>
        </w:tc>
      </w:tr>
      <w:tr>
        <w:trPr>
          <w:trHeight w:val="228"/>
        </w:trPr>
        <w:tc>
          <w:tcPr>
            <w:tcW w:w="3700" w:type="dxa"/>
            <w:vAlign w:val="bottom"/>
            <w:tcBorders>
              <w:left w:val="single" w:sz="8" w:color="auto"/>
              <w:bottom w:val="single" w:sz="8" w:color="auto"/>
            </w:tcBorders>
          </w:tcPr>
          <w:p>
            <w:pPr>
              <w:spacing w:after="0"/>
              <w:rPr>
                <w:sz w:val="19"/>
                <w:szCs w:val="19"/>
                <w:color w:val="auto"/>
              </w:rPr>
            </w:pPr>
          </w:p>
        </w:tc>
        <w:tc>
          <w:tcPr>
            <w:tcW w:w="4900" w:type="dxa"/>
            <w:vAlign w:val="bottom"/>
            <w:tcBorders>
              <w:bottom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r>
      <w:tr>
        <w:trPr>
          <w:trHeight w:val="427"/>
        </w:trPr>
        <w:tc>
          <w:tcPr>
            <w:tcW w:w="3700" w:type="dxa"/>
            <w:vAlign w:val="bottom"/>
          </w:tcPr>
          <w:p>
            <w:pPr>
              <w:spacing w:after="0"/>
              <w:rPr>
                <w:sz w:val="24"/>
                <w:szCs w:val="24"/>
                <w:color w:val="auto"/>
              </w:rPr>
            </w:pPr>
          </w:p>
        </w:tc>
        <w:tc>
          <w:tcPr>
            <w:tcW w:w="4900" w:type="dxa"/>
            <w:vAlign w:val="bottom"/>
          </w:tcPr>
          <w:p>
            <w:pPr>
              <w:ind w:left="1900"/>
              <w:spacing w:after="0"/>
              <w:rPr>
                <w:sz w:val="20"/>
                <w:szCs w:val="20"/>
                <w:color w:val="auto"/>
              </w:rPr>
            </w:pPr>
            <w:r>
              <w:rPr>
                <w:rFonts w:ascii="Arial" w:cs="Arial" w:eastAsia="Arial" w:hAnsi="Arial"/>
                <w:sz w:val="18"/>
                <w:szCs w:val="18"/>
                <w:color w:val="auto"/>
              </w:rPr>
              <w:t>S-5</w:t>
            </w:r>
          </w:p>
        </w:tc>
        <w:tc>
          <w:tcPr>
            <w:tcW w:w="2820" w:type="dxa"/>
            <w:vAlign w:val="bottom"/>
          </w:tcPr>
          <w:p>
            <w:pPr>
              <w:spacing w:after="0"/>
              <w:rPr>
                <w:sz w:val="24"/>
                <w:szCs w:val="24"/>
                <w:color w:val="auto"/>
              </w:rPr>
            </w:pPr>
          </w:p>
        </w:tc>
      </w:tr>
      <w:tr>
        <w:trPr>
          <w:trHeight w:val="228"/>
        </w:trPr>
        <w:tc>
          <w:tcPr>
            <w:tcW w:w="370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078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50430" cy="707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ind w:left="240" w:right="260" w:firstLine="351"/>
        <w:spacing w:after="0" w:line="287" w:lineRule="auto"/>
        <w:rPr>
          <w:rFonts w:ascii="Arial" w:cs="Arial" w:eastAsia="Arial" w:hAnsi="Arial"/>
          <w:sz w:val="16"/>
          <w:szCs w:val="16"/>
          <w:color w:val="0000EE"/>
        </w:rPr>
      </w:pPr>
      <w:r>
        <w:rPr>
          <w:rFonts w:ascii="Arial" w:cs="Arial" w:eastAsia="Arial" w:hAnsi="Arial"/>
          <w:sz w:val="16"/>
          <w:szCs w:val="16"/>
          <w:color w:val="auto"/>
        </w:rPr>
        <w:t xml:space="preserve">Our summary consolidated financial information presented below as of and for the three fiscal years ended August 30, 2018 has been derived from our audited consolidated financial statements. The summary consolidated statement of operations data below for the nine month periods ended May 30, 2019 and May 31, 2018, and the summary consolidated balance sheet data as of May 30, 2019, have been derived from our unaudited consolidated financial statements that are incorporated by reference herein. In the opinion of management, such unaudited interim financial data contains all adjustments necessary for the fair statement of our financial position and results of operations as of and for such periods. Our historical results, including our operating results for the nine months ended May 30, 2019, are not necessarily indicative of results that may be expected for future periods or for the full year. Our summary consolidated financial information set forth below should be read in conjunction with our consolidated financial statements, including the notes </w:t>
      </w:r>
      <w:hyperlink r:id="rId16">
        <w:r>
          <w:rPr>
            <w:rFonts w:ascii="Arial" w:cs="Arial" w:eastAsia="Arial" w:hAnsi="Arial"/>
            <w:sz w:val="16"/>
            <w:szCs w:val="16"/>
            <w:color w:val="auto"/>
          </w:rPr>
          <w:t xml:space="preserve">thereto, and "Management's Discussion and Analysis of Financial Condition and Results of Operations," both of which can be found in our </w:t>
        </w:r>
        <w:r>
          <w:rPr>
            <w:rFonts w:ascii="Arial" w:cs="Arial" w:eastAsia="Arial" w:hAnsi="Arial"/>
            <w:sz w:val="16"/>
            <w:szCs w:val="16"/>
            <w:u w:val="single" w:color="auto"/>
            <w:color w:val="0000EE"/>
          </w:rPr>
          <w:t>Annual Report</w:t>
        </w:r>
      </w:hyperlink>
      <w:r>
        <w:rPr>
          <w:rFonts w:ascii="Arial" w:cs="Arial" w:eastAsia="Arial" w:hAnsi="Arial"/>
          <w:sz w:val="16"/>
          <w:szCs w:val="16"/>
          <w:color w:val="auto"/>
        </w:rPr>
        <w:t xml:space="preserve"> </w:t>
      </w:r>
      <w:hyperlink r:id="rId16">
        <w:r>
          <w:rPr>
            <w:rFonts w:ascii="Arial" w:cs="Arial" w:eastAsia="Arial" w:hAnsi="Arial"/>
            <w:sz w:val="16"/>
            <w:szCs w:val="16"/>
            <w:u w:val="single" w:color="auto"/>
            <w:color w:val="0000EE"/>
          </w:rPr>
          <w:t>on Form 10-K for the fiscal year ended August 30, 2018</w:t>
        </w:r>
        <w:r>
          <w:rPr>
            <w:rFonts w:ascii="Arial" w:cs="Arial" w:eastAsia="Arial" w:hAnsi="Arial"/>
            <w:sz w:val="16"/>
            <w:szCs w:val="16"/>
            <w:color w:val="0000EE"/>
          </w:rPr>
          <w:t xml:space="preserve"> </w:t>
        </w:r>
        <w:r>
          <w:rPr>
            <w:rFonts w:ascii="Arial" w:cs="Arial" w:eastAsia="Arial" w:hAnsi="Arial"/>
            <w:sz w:val="16"/>
            <w:szCs w:val="16"/>
            <w:color w:val="000000"/>
          </w:rPr>
          <w:t>and in our</w:t>
        </w:r>
        <w:r>
          <w:rPr>
            <w:rFonts w:ascii="Arial" w:cs="Arial" w:eastAsia="Arial" w:hAnsi="Arial"/>
            <w:sz w:val="16"/>
            <w:szCs w:val="16"/>
            <w:color w:val="0000EE"/>
          </w:rPr>
          <w:t xml:space="preserve"> </w:t>
        </w:r>
      </w:hyperlink>
      <w:hyperlink r:id="rId17">
        <w:r>
          <w:rPr>
            <w:rFonts w:ascii="Arial" w:cs="Arial" w:eastAsia="Arial" w:hAnsi="Arial"/>
            <w:sz w:val="16"/>
            <w:szCs w:val="16"/>
            <w:u w:val="single" w:color="auto"/>
            <w:color w:val="0000EE"/>
          </w:rPr>
          <w:t>Quarterly Report on Form 10-Q for the fiscal quarter ended May 30, 2019</w:t>
        </w:r>
      </w:hyperlink>
      <w:hyperlink r:id="rId16">
        <w:r>
          <w:rPr>
            <w:rFonts w:ascii="Arial" w:cs="Arial" w:eastAsia="Arial" w:hAnsi="Arial"/>
            <w:sz w:val="16"/>
            <w:szCs w:val="16"/>
            <w:color w:val="000000"/>
          </w:rPr>
          <w:t>, which are</w:t>
        </w:r>
      </w:hyperlink>
      <w:r>
        <w:rPr>
          <w:rFonts w:ascii="Arial" w:cs="Arial" w:eastAsia="Arial" w:hAnsi="Arial"/>
          <w:sz w:val="16"/>
          <w:szCs w:val="16"/>
          <w:color w:val="0000EE"/>
        </w:rPr>
        <w:t xml:space="preserve"> </w:t>
      </w:r>
      <w:r>
        <w:rPr>
          <w:rFonts w:ascii="Arial" w:cs="Arial" w:eastAsia="Arial" w:hAnsi="Arial"/>
          <w:sz w:val="16"/>
          <w:szCs w:val="16"/>
          <w:color w:val="000000"/>
        </w:rPr>
        <w:t>each incorporated by reference herein.</w:t>
      </w:r>
    </w:p>
    <w:p>
      <w:pPr>
        <w:spacing w:after="0" w:line="226" w:lineRule="exact"/>
        <w:rPr>
          <w:rFonts w:ascii="Arial" w:cs="Arial" w:eastAsia="Arial" w:hAnsi="Arial"/>
          <w:sz w:val="16"/>
          <w:szCs w:val="16"/>
          <w:color w:val="0000EE"/>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7"/>
          </w:tcPr>
          <w:p>
            <w:pPr>
              <w:spacing w:after="0"/>
              <w:rPr>
                <w:sz w:val="20"/>
                <w:szCs w:val="20"/>
                <w:color w:val="auto"/>
              </w:rPr>
            </w:pPr>
            <w:r>
              <w:rPr>
                <w:rFonts w:ascii="Arial" w:cs="Arial" w:eastAsia="Arial" w:hAnsi="Arial"/>
                <w:sz w:val="14"/>
                <w:szCs w:val="14"/>
                <w:b w:val="1"/>
                <w:bCs w:val="1"/>
                <w:color w:val="auto"/>
                <w:w w:val="92"/>
              </w:rPr>
              <w:t>Fiscal Year Ended</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1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60" w:type="dxa"/>
            <w:vAlign w:val="bottom"/>
            <w:tcBorders>
              <w:top w:val="single" w:sz="8" w:color="auto"/>
            </w:tcBorders>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2"/>
              </w:rPr>
              <w:t>August 30,</w:t>
            </w: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86"/>
              </w:rPr>
              <w:t>August 31,</w:t>
            </w: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b w:val="1"/>
                <w:bCs w:val="1"/>
                <w:color w:val="auto"/>
                <w:w w:val="86"/>
              </w:rPr>
              <w:t>September 1,</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90"/>
              </w:rPr>
              <w:t>May 30,</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May 31,</w:t>
            </w:r>
          </w:p>
        </w:tc>
        <w:tc>
          <w:tcPr>
            <w:tcW w:w="1500" w:type="dxa"/>
            <w:vAlign w:val="bottom"/>
            <w:gridSpan w:val="2"/>
          </w:tcPr>
          <w:p>
            <w:pPr>
              <w:spacing w:after="0"/>
              <w:rPr>
                <w:sz w:val="11"/>
                <w:szCs w:val="11"/>
                <w:color w:val="auto"/>
              </w:rPr>
            </w:pPr>
          </w:p>
        </w:tc>
      </w:tr>
      <w:tr>
        <w:trPr>
          <w:trHeight w:val="161"/>
        </w:trPr>
        <w:tc>
          <w:tcPr>
            <w:tcW w:w="1340" w:type="dxa"/>
            <w:vAlign w:val="bottom"/>
          </w:tcPr>
          <w:p>
            <w:pPr>
              <w:spacing w:after="0"/>
              <w:rPr>
                <w:sz w:val="14"/>
                <w:szCs w:val="14"/>
                <w:color w:val="auto"/>
              </w:rPr>
            </w:pPr>
          </w:p>
        </w:tc>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5"/>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7"/>
        </w:trPr>
        <w:tc>
          <w:tcPr>
            <w:tcW w:w="1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tcPr>
          <w:p>
            <w:pPr>
              <w:spacing w:after="0"/>
              <w:rPr>
                <w:sz w:val="2"/>
                <w:szCs w:val="2"/>
                <w:color w:val="auto"/>
              </w:rPr>
            </w:pPr>
          </w:p>
        </w:tc>
      </w:tr>
      <w:tr>
        <w:trPr>
          <w:trHeight w:val="203"/>
        </w:trPr>
        <w:tc>
          <w:tcPr>
            <w:tcW w:w="1340" w:type="dxa"/>
            <w:vAlign w:val="bottom"/>
          </w:tcPr>
          <w:p>
            <w:pPr>
              <w:spacing w:after="0"/>
              <w:rPr>
                <w:sz w:val="17"/>
                <w:szCs w:val="17"/>
                <w:color w:val="auto"/>
              </w:rPr>
            </w:pPr>
          </w:p>
        </w:tc>
        <w:tc>
          <w:tcPr>
            <w:tcW w:w="4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 of Operations Data:</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30,391</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20,322</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92"/>
              <w:spacing w:after="0"/>
              <w:rPr>
                <w:sz w:val="20"/>
                <w:szCs w:val="20"/>
                <w:color w:val="auto"/>
              </w:rPr>
            </w:pPr>
            <w:r>
              <w:rPr>
                <w:rFonts w:ascii="Arial" w:cs="Arial" w:eastAsia="Arial" w:hAnsi="Arial"/>
                <w:sz w:val="18"/>
                <w:szCs w:val="18"/>
                <w:color w:val="auto"/>
              </w:rPr>
              <w:t>12,399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18,536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21,951</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11,886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9,894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9,229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9,211</w:t>
            </w:r>
          </w:p>
        </w:tc>
        <w:tc>
          <w:tcPr>
            <w:tcW w:w="134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8,436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2,505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3"/>
              </w:rPr>
              <w:t>12,740</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jc w:val="right"/>
              <w:ind w:right="92"/>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598</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1,574</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ind w:left="180"/>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92"/>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34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10,617</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134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5,196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79"/>
              </w:rPr>
              <w:t>9,961</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4"/>
              </w:rPr>
              <w:t>Equity in net income (loss) of equity method investees</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34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9,812</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34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Micron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5,089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9,810</w:t>
            </w:r>
          </w:p>
        </w:tc>
        <w:tc>
          <w:tcPr>
            <w:tcW w:w="134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831"/>
        </w:trPr>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29"/>
        </w:trPr>
        <w:tc>
          <w:tcPr>
            <w:tcW w:w="1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August 30,</w:t>
            </w:r>
          </w:p>
        </w:tc>
        <w:tc>
          <w:tcPr>
            <w:tcW w:w="80" w:type="dxa"/>
            <w:vAlign w:val="bottom"/>
          </w:tcPr>
          <w:p>
            <w:pPr>
              <w:spacing w:after="0"/>
              <w:rPr>
                <w:sz w:val="11"/>
                <w:szCs w:val="11"/>
                <w:color w:val="auto"/>
              </w:rPr>
            </w:pP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4"/>
              </w:rPr>
              <w:t>August 31,</w:t>
            </w:r>
          </w:p>
        </w:tc>
        <w:tc>
          <w:tcPr>
            <w:tcW w:w="200" w:type="dxa"/>
            <w:vAlign w:val="bottom"/>
          </w:tcPr>
          <w:p>
            <w:pPr>
              <w:spacing w:after="0"/>
              <w:rPr>
                <w:sz w:val="11"/>
                <w:szCs w:val="11"/>
                <w:color w:val="auto"/>
              </w:rPr>
            </w:pPr>
          </w:p>
        </w:tc>
        <w:tc>
          <w:tcPr>
            <w:tcW w:w="1020" w:type="dxa"/>
            <w:vAlign w:val="bottom"/>
            <w:gridSpan w:val="4"/>
          </w:tcPr>
          <w:p>
            <w:pPr>
              <w:jc w:val="right"/>
              <w:ind w:right="240"/>
              <w:spacing w:after="0" w:line="129" w:lineRule="exact"/>
              <w:rPr>
                <w:sz w:val="20"/>
                <w:szCs w:val="20"/>
                <w:color w:val="auto"/>
              </w:rPr>
            </w:pPr>
            <w:r>
              <w:rPr>
                <w:rFonts w:ascii="Arial" w:cs="Arial" w:eastAsia="Arial" w:hAnsi="Arial"/>
                <w:sz w:val="14"/>
                <w:szCs w:val="14"/>
                <w:b w:val="1"/>
                <w:bCs w:val="1"/>
                <w:color w:val="auto"/>
                <w:w w:val="86"/>
              </w:rPr>
              <w:t>September 1,</w:t>
            </w:r>
          </w:p>
        </w:tc>
        <w:tc>
          <w:tcPr>
            <w:tcW w:w="1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May 30,</w:t>
            </w:r>
          </w:p>
        </w:tc>
        <w:tc>
          <w:tcPr>
            <w:tcW w:w="1500" w:type="dxa"/>
            <w:vAlign w:val="bottom"/>
            <w:gridSpan w:val="2"/>
          </w:tcPr>
          <w:p>
            <w:pPr>
              <w:spacing w:after="0"/>
              <w:rPr>
                <w:sz w:val="11"/>
                <w:szCs w:val="11"/>
                <w:color w:val="auto"/>
              </w:rPr>
            </w:pPr>
          </w:p>
        </w:tc>
      </w:tr>
      <w:tr>
        <w:trPr>
          <w:trHeight w:val="168"/>
        </w:trPr>
        <w:tc>
          <w:tcPr>
            <w:tcW w:w="1340" w:type="dxa"/>
            <w:vAlign w:val="bottom"/>
          </w:tcPr>
          <w:p>
            <w:pPr>
              <w:spacing w:after="0"/>
              <w:rPr>
                <w:sz w:val="14"/>
                <w:szCs w:val="14"/>
                <w:color w:val="auto"/>
              </w:rPr>
            </w:pPr>
          </w:p>
        </w:tc>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235"/>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3"/>
        </w:trPr>
        <w:tc>
          <w:tcPr>
            <w:tcW w:w="134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8"/>
              </w:rPr>
              <w:t>Balance</w:t>
            </w:r>
          </w:p>
        </w:tc>
        <w:tc>
          <w:tcPr>
            <w:tcW w:w="3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Sheet Data:</w:t>
            </w: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Cash and equivalents and short-term investments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6,802</w:t>
            </w:r>
          </w:p>
        </w:tc>
        <w:tc>
          <w:tcPr>
            <w:tcW w:w="80" w:type="dxa"/>
            <w:vAlign w:val="bottom"/>
          </w:tcPr>
          <w:p>
            <w:pPr>
              <w:spacing w:after="0"/>
              <w:rPr>
                <w:sz w:val="18"/>
                <w:szCs w:val="18"/>
                <w:color w:val="auto"/>
              </w:rPr>
            </w:pPr>
          </w:p>
        </w:tc>
        <w:tc>
          <w:tcPr>
            <w:tcW w:w="220" w:type="dxa"/>
            <w:vAlign w:val="bottom"/>
            <w:gridSpan w:val="2"/>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5,428</w:t>
            </w: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4,398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6,689</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7,029</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8,377</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Long-term marketable investments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1,167</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35,336</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46,288</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Current debt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1,346</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9,872</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3,563</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Total Micron shareholders' equity</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32,294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18,621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12,080</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35,323</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867</w:t>
            </w:r>
          </w:p>
        </w:tc>
        <w:tc>
          <w:tcPr>
            <w:tcW w:w="1340" w:type="dxa"/>
            <w:vAlign w:val="bottom"/>
          </w:tcPr>
          <w:p>
            <w:pPr>
              <w:spacing w:after="0"/>
              <w:rPr>
                <w:sz w:val="18"/>
                <w:szCs w:val="18"/>
                <w:color w:val="auto"/>
              </w:rPr>
            </w:pPr>
          </w:p>
        </w:tc>
      </w:tr>
      <w:tr>
        <w:trPr>
          <w:trHeight w:val="226"/>
        </w:trPr>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S-6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r>
    </w:tbl>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60" w:firstLine="351"/>
        <w:spacing w:after="0" w:line="256" w:lineRule="auto"/>
        <w:rPr>
          <w:rFonts w:ascii="Arial" w:cs="Arial" w:eastAsia="Arial" w:hAnsi="Arial"/>
          <w:sz w:val="18"/>
          <w:szCs w:val="18"/>
          <w:i w:val="1"/>
          <w:iCs w:val="1"/>
          <w:color w:val="0000EE"/>
        </w:rPr>
      </w:pPr>
      <w:r>
        <w:rPr>
          <w:rFonts w:ascii="Arial" w:cs="Arial" w:eastAsia="Arial" w:hAnsi="Arial"/>
          <w:sz w:val="18"/>
          <w:szCs w:val="18"/>
          <w:i w:val="1"/>
          <w:iCs w:val="1"/>
          <w:color w:val="auto"/>
        </w:rPr>
        <w:t xml:space="preserve">In considering whether to purchase the notes, you should carefully consider all the information contained or incorporated by reference in this prospectus </w:t>
      </w:r>
      <w:hyperlink r:id="rId17">
        <w:r>
          <w:rPr>
            <w:rFonts w:ascii="Arial" w:cs="Arial" w:eastAsia="Arial" w:hAnsi="Arial"/>
            <w:sz w:val="18"/>
            <w:szCs w:val="18"/>
            <w:i w:val="1"/>
            <w:iCs w:val="1"/>
            <w:color w:val="auto"/>
          </w:rPr>
          <w:t xml:space="preserve">supplement and the accompanying prospectus. In particular, you should carefully consider the risk factors in our </w:t>
        </w:r>
        <w:r>
          <w:rPr>
            <w:rFonts w:ascii="Arial" w:cs="Arial" w:eastAsia="Arial" w:hAnsi="Arial"/>
            <w:sz w:val="18"/>
            <w:szCs w:val="18"/>
            <w:i w:val="1"/>
            <w:iCs w:val="1"/>
            <w:u w:val="single" w:color="auto"/>
            <w:color w:val="0000EE"/>
          </w:rPr>
          <w:t>Quarterly Report on Form 10-Q for the quarter</w:t>
        </w:r>
      </w:hyperlink>
      <w:r>
        <w:rPr>
          <w:rFonts w:ascii="Arial" w:cs="Arial" w:eastAsia="Arial" w:hAnsi="Arial"/>
          <w:sz w:val="18"/>
          <w:szCs w:val="18"/>
          <w:i w:val="1"/>
          <w:iCs w:val="1"/>
          <w:color w:val="auto"/>
        </w:rPr>
        <w:t xml:space="preserve"> </w:t>
      </w:r>
      <w:hyperlink r:id="rId17">
        <w:r>
          <w:rPr>
            <w:rFonts w:ascii="Arial" w:cs="Arial" w:eastAsia="Arial" w:hAnsi="Arial"/>
            <w:sz w:val="18"/>
            <w:szCs w:val="18"/>
            <w:i w:val="1"/>
            <w:iCs w:val="1"/>
            <w:u w:val="single" w:color="auto"/>
            <w:color w:val="0000EE"/>
          </w:rPr>
          <w:t>ended May 30, 2019</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as well as the risk factors described below, which are not exhaustive. In this section, references to "Micron," "us," "we," or "our" refer only</w:t>
        </w:r>
      </w:hyperlink>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to Micron Technology, Inc. and not to any of its subsidiaries.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hereby incorporate by reference the risk factors in Item 1A of our Quarterly Report on Form 10-Q for the fiscal quarter ended May 30, 2019.</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 including our obligations under the notes.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161" w:lineRule="exact"/>
        <w:rPr>
          <w:sz w:val="20"/>
          <w:szCs w:val="20"/>
          <w:color w:val="auto"/>
        </w:rPr>
      </w:pPr>
    </w:p>
    <w:p>
      <w:pPr>
        <w:ind w:right="320" w:firstLine="351"/>
        <w:spacing w:after="0" w:line="314" w:lineRule="auto"/>
        <w:rPr>
          <w:sz w:val="20"/>
          <w:szCs w:val="20"/>
          <w:color w:val="auto"/>
        </w:rPr>
      </w:pPr>
      <w:r>
        <w:rPr>
          <w:rFonts w:ascii="Arial" w:cs="Arial" w:eastAsia="Arial" w:hAnsi="Arial"/>
          <w:sz w:val="15"/>
          <w:szCs w:val="15"/>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159"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Despite current indebtedness levels, we are able to incur substantially more debt. This could further exacerbate the risks described herein.</w:t>
      </w:r>
    </w:p>
    <w:p>
      <w:pPr>
        <w:spacing w:after="0" w:line="248"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and our subsidiaries are able to incur substantial additional indebtedness in the future, including secured indebtedness, and the terms of the indenture governing each series of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 with any insolvency, liquidation, reorganization, dissolution or other winding up of us. These payment priorities may have the effect of reducing the amount of proceeds paid to you. If we incur 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 indebtedness that ranks pari passu with the notes, the holders of that debt will be entitled to share ratably with you in any proceeds distributed in connection with any insolvency, liquidation, reorganization, dissolution or other winding-up of us. If new debt is added to our current debt levels, the related risks that we and our subsidiaries now face could intensify. See "Description of the Notes."</w:t>
      </w:r>
    </w:p>
    <w:p>
      <w:pPr>
        <w:spacing w:after="0" w:line="194" w:lineRule="exact"/>
        <w:rPr>
          <w:sz w:val="20"/>
          <w:szCs w:val="20"/>
          <w:color w:val="auto"/>
        </w:rPr>
      </w:pPr>
    </w:p>
    <w:p>
      <w:pPr>
        <w:ind w:right="320" w:firstLine="395"/>
        <w:spacing w:after="0" w:line="268" w:lineRule="auto"/>
        <w:rPr>
          <w:sz w:val="20"/>
          <w:szCs w:val="20"/>
          <w:color w:val="auto"/>
        </w:rPr>
      </w:pPr>
      <w:r>
        <w:rPr>
          <w:rFonts w:ascii="Arial" w:cs="Arial" w:eastAsia="Arial" w:hAnsi="Arial"/>
          <w:sz w:val="18"/>
          <w:szCs w:val="18"/>
          <w:b w:val="1"/>
          <w:bCs w:val="1"/>
          <w:i w:val="1"/>
          <w:iCs w:val="1"/>
          <w:color w:val="auto"/>
        </w:rPr>
        <w:t>The indenture governing each series of notes will contain negative covenants that may have a limited effect but these covenants may still restrict the operation of our business.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indenture governing each series of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and joint ventures,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Notes—Certain Covenants." In light of these exceptions, holders of the notes may be structurally or contractually subordinated to new lenders or other creditors.</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Despite the limited effect of the covenants in the indenture governing each series of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cross-default provisions, which could require us to repurchase or repay debt prior to the date it is otherwise due and that could adversely affect our financial condition. The indenture governing each series of notes does not have cross-acceleration or cross-default provisions.</w:t>
      </w:r>
    </w:p>
    <w:p>
      <w:pPr>
        <w:spacing w:after="0" w:line="198"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Claims of noteholders will be structurally subordinated to claims of creditors of our subsidiaries.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notes are not required to be guaranteed by any of our subsidiaries. Accordingly, claims of holders of the notes generally will be structurally subordinated to the claims of creditors of our subsidiaries, including trade creditors. The indenture governing each series of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 available to us may not be sufficient to pay amounts due on the notes. As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May 30, 2019,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$5.7 billion, all of which will be structurally senior to the notes with respect to claims on the assets and cash flows of our subsidiaries.</w:t>
      </w:r>
    </w:p>
    <w:p>
      <w:pPr>
        <w:spacing w:after="0" w:line="197" w:lineRule="exact"/>
        <w:rPr>
          <w:sz w:val="20"/>
          <w:szCs w:val="20"/>
          <w:color w:val="auto"/>
        </w:rPr>
      </w:pPr>
    </w:p>
    <w:p>
      <w:pPr>
        <w:ind w:right="280" w:firstLine="395"/>
        <w:spacing w:after="0" w:line="268" w:lineRule="auto"/>
        <w:rPr>
          <w:sz w:val="20"/>
          <w:szCs w:val="20"/>
          <w:color w:val="auto"/>
        </w:rPr>
      </w:pPr>
      <w:r>
        <w:rPr>
          <w:rFonts w:ascii="Arial" w:cs="Arial" w:eastAsia="Arial" w:hAnsi="Arial"/>
          <w:sz w:val="18"/>
          <w:szCs w:val="18"/>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notes will be general unsecured obligations ranking effectively junior in right of payment to all of our existing and future secured indebtedness to the extent of the collateral securing such indebtedness (unless the notes are equally and ratably secured with such indebtedness). Additionally, the indenture governing each series of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Changes in our credit rating may adversely affect your investment in the notes.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credit rating, any rating that may be assigned to the notes, and the credit ratings assigned to our outstanding debt, including our outstanding convertible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170" w:lineRule="exact"/>
        <w:rPr>
          <w:sz w:val="20"/>
          <w:szCs w:val="20"/>
          <w:color w:val="auto"/>
        </w:rPr>
      </w:pPr>
    </w:p>
    <w:p>
      <w:pPr>
        <w:jc w:val="both"/>
        <w:ind w:right="400" w:firstLine="341"/>
        <w:spacing w:after="0" w:line="306" w:lineRule="auto"/>
        <w:rPr>
          <w:sz w:val="20"/>
          <w:szCs w:val="20"/>
          <w:color w:val="auto"/>
        </w:rPr>
      </w:pPr>
      <w:r>
        <w:rPr>
          <w:rFonts w:ascii="Arial" w:cs="Arial" w:eastAsia="Arial" w:hAnsi="Arial"/>
          <w:sz w:val="16"/>
          <w:szCs w:val="16"/>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Your ability to transfer the notes may be limited by the absence of an active trading market, and an active trading market may not develop for the notes.</w:t>
      </w:r>
    </w:p>
    <w:p>
      <w:pPr>
        <w:spacing w:after="0" w:line="260"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The notes are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liquidity of any trading market for the notes. The liquidity of any market for the notes will depend on a number of factors, including:</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holders of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performance and financial condition;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in the notes;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225"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pacing w:after="0" w:line="167" w:lineRule="exact"/>
        <w:rPr>
          <w:sz w:val="20"/>
          <w:szCs w:val="20"/>
          <w:color w:val="auto"/>
        </w:rPr>
      </w:pPr>
    </w:p>
    <w:p>
      <w:pPr>
        <w:ind w:right="360" w:firstLine="395"/>
        <w:spacing w:after="0" w:line="268" w:lineRule="auto"/>
        <w:rPr>
          <w:sz w:val="20"/>
          <w:szCs w:val="20"/>
          <w:color w:val="auto"/>
        </w:rPr>
      </w:pPr>
      <w:r>
        <w:rPr>
          <w:rFonts w:ascii="Arial" w:cs="Arial" w:eastAsia="Arial" w:hAnsi="Arial"/>
          <w:sz w:val="18"/>
          <w:szCs w:val="18"/>
          <w:b w:val="1"/>
          <w:bCs w:val="1"/>
          <w:i w:val="1"/>
          <w:iCs w:val="1"/>
          <w:color w:val="auto"/>
        </w:rPr>
        <w:t>Upon a Change of Control Triggering Event, we may not have the funds necessary to finance the change of control offer required by the indenture governing each series of notes, which would violate the terms of such indenture.</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Upon the occurrence of a Change of Control Triggering Event (as defined in the indenture governing each series of notes), holders of each series of the notes will have the right to require us to purchase such notes at a price equal to 101% of the principal amount, plus accrued and unpaid interest, if any, to but excluding the date of purchase as described in "Description of the Notes—Repurchase of Notes upon a Change of Control Triggering Event." The indentures governing our existing convertible senior notes and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in the event of a change of control. Our failure to purchase the notes of a series as required under the indenture would result in a default under such indenture, which could have material adverse consequences for us and the holders of the notes. See "Description of the Notes—Repurchase of Notes upon a Change of Control Triggering Event."</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provisions of the notes will not necessarily protect you in the event of certain highly leveraged transactions.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the occurrence of a Change of Control Triggering Event, you will have the right to require us to purchase the notes as provided in the indenture governing each series of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estimate net proceeds of the offering, after deducting underwriter discounts and other estimated offering expenses, will be approximately</w:t>
      </w:r>
    </w:p>
    <w:p>
      <w:pPr>
        <w:spacing w:after="0" w:line="38"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billion.</w:t>
      </w:r>
    </w:p>
    <w:p>
      <w:pPr>
        <w:spacing w:after="0" w:line="219"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intend to use a substantial portion of the net proceeds from this offering to fund the purchase price of Intel's noncontrolling interest in IM Flash and IM Flash debt owed to Intel, at an aggregate estimated purchase price of approximately $1.4 billion (which price is subject to determination in accordance with the terms of the operating agreement governing the joint venture).</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intend to use any remaining net proceeds from the offering for general corporate purposes, which may include capital expenditures, working capital and the repayment, repurchase, redemption or other retirement of our other existing indebtedness.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AND CAPITALIZATION</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following table sets forth a summary of our consolidated cash, cash equivalents, short-term investments and long-term marketable investments and capitalization as of May 30, 2019:</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an as adjusted basis to give effect to the issuance of the notes offered by this prospectus supplement as if the offering had occurred on May 30, 2019, the application of a substantial portion of the net proceeds therefrom as described in "Use of Proceeds" to fund the purchase of Intel's noncontrolling interest in IM Flash and IM Flash debt owed to Intel at an aggregate estimated purchase price of $1.4 billion (which price is subject to determination in accordance with terms of the operating agreement governing the joint venture) and repayment of $165 million of IM Flash debt to Intel, which occurred on June 25, 2019.</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table should be read in conjunction with our Consolidated Financial Statements incorporated by reference in this prospectus supplement.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w w:val="85"/>
              </w:rPr>
              <w:t>As of</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May 30, 2019</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3"/>
              </w:rPr>
              <w:t>Actual</w:t>
            </w:r>
          </w:p>
        </w:tc>
        <w:tc>
          <w:tcPr>
            <w:tcW w:w="16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60" w:type="dxa"/>
            <w:vAlign w:val="bottom"/>
          </w:tcPr>
          <w:p>
            <w:pPr>
              <w:ind w:left="80"/>
              <w:spacing w:after="0"/>
              <w:rPr>
                <w:sz w:val="20"/>
                <w:szCs w:val="20"/>
                <w:color w:val="auto"/>
              </w:rPr>
            </w:pPr>
            <w:r>
              <w:rPr>
                <w:rFonts w:ascii="Arial" w:cs="Arial" w:eastAsia="Arial" w:hAnsi="Arial"/>
                <w:sz w:val="9"/>
                <w:szCs w:val="9"/>
                <w:b w:val="1"/>
                <w:bCs w:val="1"/>
                <w:color w:val="auto"/>
                <w:w w:val="74"/>
              </w:rPr>
              <w:t>in</w:t>
            </w:r>
          </w:p>
        </w:tc>
        <w:tc>
          <w:tcPr>
            <w:tcW w:w="880" w:type="dxa"/>
            <w:vAlign w:val="bottom"/>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w w:val="93"/>
              </w:rPr>
              <w:t>millions)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4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w:t>
            </w:r>
          </w:p>
        </w:tc>
        <w:tc>
          <w:tcPr>
            <w:tcW w:w="5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Short-term investments</w:t>
            </w:r>
          </w:p>
        </w:tc>
        <w:tc>
          <w:tcPr>
            <w:tcW w:w="4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investments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w w:val="95"/>
              </w:rPr>
              <w:t>Cash and equivalents, short-term investments and long-term marketable investments</w:t>
            </w:r>
          </w:p>
        </w:tc>
        <w:tc>
          <w:tcPr>
            <w:tcW w:w="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7,856</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1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debt:</w:t>
            </w:r>
          </w:p>
        </w:tc>
        <w:tc>
          <w:tcPr>
            <w:tcW w:w="4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IM Flash Technologies, LLC member debt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858</w:t>
            </w:r>
          </w:p>
        </w:tc>
        <w:tc>
          <w:tcPr>
            <w:tcW w:w="56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Capital lease obligations</w:t>
            </w:r>
          </w:p>
        </w:tc>
        <w:tc>
          <w:tcPr>
            <w:tcW w:w="4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Micron Memory Japan, G.K. creditor payments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 Loan B Credit Facility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2.125% Convertible Senior Notes due 2033</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debt and capital lease obligations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5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ind w:left="1140"/>
              <w:spacing w:after="0"/>
              <w:rPr>
                <w:sz w:val="20"/>
                <w:szCs w:val="20"/>
                <w:color w:val="auto"/>
              </w:rPr>
            </w:pPr>
            <w:r>
              <w:rPr>
                <w:rFonts w:ascii="Arial" w:cs="Arial" w:eastAsia="Arial" w:hAnsi="Arial"/>
                <w:sz w:val="18"/>
                <w:szCs w:val="18"/>
                <w:color w:val="auto"/>
              </w:rPr>
              <w:t>Long-term debt and capital lease obligations, excluding current portion:</w:t>
            </w: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gridSpan w:val="3"/>
            <w:vMerge w:val="continue"/>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9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 senior notes due 20</w:t>
            </w:r>
          </w:p>
        </w:tc>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offered hereby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980" w:type="dxa"/>
            <w:vAlign w:val="bottom"/>
          </w:tcPr>
          <w:p>
            <w:pPr>
              <w:ind w:left="340"/>
              <w:spacing w:after="0"/>
              <w:rPr>
                <w:sz w:val="20"/>
                <w:szCs w:val="20"/>
                <w:color w:val="auto"/>
              </w:rPr>
            </w:pPr>
            <w:r>
              <w:rPr>
                <w:rFonts w:ascii="Arial" w:cs="Arial" w:eastAsia="Arial" w:hAnsi="Arial"/>
                <w:sz w:val="18"/>
                <w:szCs w:val="18"/>
                <w:color w:val="auto"/>
                <w:w w:val="90"/>
              </w:rPr>
              <w:t>% senior notes due 20</w:t>
            </w:r>
          </w:p>
        </w:tc>
        <w:tc>
          <w:tcPr>
            <w:tcW w:w="4680" w:type="dxa"/>
            <w:vAlign w:val="bottom"/>
          </w:tcPr>
          <w:p>
            <w:pPr>
              <w:ind w:left="100"/>
              <w:spacing w:after="0"/>
              <w:rPr>
                <w:sz w:val="20"/>
                <w:szCs w:val="20"/>
                <w:color w:val="auto"/>
              </w:rPr>
            </w:pPr>
            <w:r>
              <w:rPr>
                <w:rFonts w:ascii="Arial" w:cs="Arial" w:eastAsia="Arial" w:hAnsi="Arial"/>
                <w:sz w:val="18"/>
                <w:szCs w:val="18"/>
                <w:color w:val="auto"/>
              </w:rPr>
              <w:t>offered hereby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Capital lease obligations</w:t>
            </w:r>
          </w:p>
        </w:tc>
        <w:tc>
          <w:tcPr>
            <w:tcW w:w="4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Term Loan B Credit Facility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4.640% senior notes due 2024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5.500% senior notes due 2025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4.975% senior notes due 2026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5.327% senior notes due 2029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3.125% convertible senior notes due 2032</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660" w:type="dxa"/>
            <w:vAlign w:val="bottom"/>
            <w:gridSpan w:val="2"/>
          </w:tcPr>
          <w:p>
            <w:pPr>
              <w:ind w:left="340"/>
              <w:spacing w:after="0"/>
              <w:rPr>
                <w:sz w:val="20"/>
                <w:szCs w:val="20"/>
                <w:color w:val="auto"/>
              </w:rPr>
            </w:pPr>
            <w:r>
              <w:rPr>
                <w:rFonts w:ascii="Arial" w:cs="Arial" w:eastAsia="Arial" w:hAnsi="Arial"/>
                <w:sz w:val="18"/>
                <w:szCs w:val="18"/>
                <w:color w:val="auto"/>
              </w:rPr>
              <w:t>Total long-term debt and capital lease obligations, excluding current portion</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Redeemable convertible notes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Redeemable noncontrolling interest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Micron shareholders' equity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35,323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Noncontrolling interest in IM Flash Technologies, Inc.</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4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39,852</w:t>
            </w:r>
          </w:p>
        </w:tc>
        <w:tc>
          <w:tcPr>
            <w:tcW w:w="5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80" w:type="dxa"/>
            <w:vAlign w:val="bottom"/>
            <w:vMerge w:val="restart"/>
          </w:tcPr>
          <w:p>
            <w:pPr>
              <w:ind w:left="2400"/>
              <w:spacing w:after="0"/>
              <w:rPr>
                <w:sz w:val="20"/>
                <w:szCs w:val="20"/>
                <w:color w:val="auto"/>
              </w:rPr>
            </w:pPr>
            <w:r>
              <w:rPr>
                <w:rFonts w:ascii="Arial" w:cs="Arial" w:eastAsia="Arial" w:hAnsi="Arial"/>
                <w:sz w:val="18"/>
                <w:szCs w:val="18"/>
                <w:color w:val="auto"/>
              </w:rPr>
              <w:t>S-12</w:t>
            </w: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notes will be issued under a base indenture (the "Base Indenture"), dated as of February 6, 2019, between Micron Technology, Inc. and U.S. Bank</w:t>
      </w:r>
    </w:p>
    <w:p>
      <w:pPr>
        <w:spacing w:after="0" w:line="38" w:lineRule="exact"/>
        <w:rPr>
          <w:sz w:val="20"/>
          <w:szCs w:val="20"/>
          <w:color w:val="auto"/>
        </w:rPr>
      </w:pPr>
    </w:p>
    <w:p>
      <w:pPr>
        <w:ind w:right="1040"/>
        <w:spacing w:after="0" w:line="261" w:lineRule="auto"/>
        <w:rPr>
          <w:sz w:val="20"/>
          <w:szCs w:val="20"/>
          <w:color w:val="auto"/>
        </w:rPr>
      </w:pPr>
      <w:r>
        <w:rPr>
          <w:rFonts w:ascii="Arial" w:cs="Arial" w:eastAsia="Arial" w:hAnsi="Arial"/>
          <w:sz w:val="18"/>
          <w:szCs w:val="18"/>
          <w:i w:val="1"/>
          <w:iCs w:val="1"/>
          <w:color w:val="auto"/>
        </w:rPr>
        <w:t>National Association, as trustee (the "Trustee"), as supplemented by a supplemental indenture, to be dated , 2019, with respect to the notes (the "Supplemental Indenture" and, together with the Base Indenture, the "Indenture").</w:t>
      </w:r>
    </w:p>
    <w:p>
      <w:pPr>
        <w:spacing w:after="0" w:line="19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The following description is a summary of the material provisions of the Indenture, and does not restate the terms of the Indenture in its entirety. We urge you to read the Indenture because it, and not this description, define your rights as holders of the notes. Defined terms used but not defined in this description have the meanings assigned to them in the Indenture.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registered holder of a note will be treated as the owner of such note for all purposes. Only registered holders will have rights under the Indenture.</w:t>
      </w:r>
    </w:p>
    <w:p>
      <w:pPr>
        <w:spacing w:after="0" w:line="248"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i w:val="1"/>
          <w:iCs w:val="1"/>
          <w:color w:val="auto"/>
        </w:rPr>
        <w:t>The definition of certain terms used in this description are summarized under the subheading "—Certain Definitions." In this description, references to "Micron," "us," "we," "our" or the "Company" refer only to Micron Technology, Inc. and not to any of its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rPr>
              <w:t>We will issue $</w:t>
            </w:r>
          </w:p>
        </w:tc>
        <w:tc>
          <w:tcPr>
            <w:tcW w:w="2560" w:type="dxa"/>
            <w:vAlign w:val="bottom"/>
          </w:tcPr>
          <w:p>
            <w:pPr>
              <w:ind w:left="140"/>
              <w:spacing w:after="0"/>
              <w:rPr>
                <w:sz w:val="20"/>
                <w:szCs w:val="20"/>
                <w:color w:val="auto"/>
              </w:rPr>
            </w:pPr>
            <w:r>
              <w:rPr>
                <w:rFonts w:ascii="Arial" w:cs="Arial" w:eastAsia="Arial" w:hAnsi="Arial"/>
                <w:sz w:val="18"/>
                <w:szCs w:val="18"/>
                <w:color w:val="auto"/>
                <w:w w:val="91"/>
              </w:rPr>
              <w:t>aggregate principal amount of 20</w:t>
            </w:r>
          </w:p>
        </w:tc>
        <w:tc>
          <w:tcPr>
            <w:tcW w:w="1120" w:type="dxa"/>
            <w:vAlign w:val="bottom"/>
          </w:tcPr>
          <w:p>
            <w:pPr>
              <w:ind w:left="80"/>
              <w:spacing w:after="0"/>
              <w:rPr>
                <w:sz w:val="20"/>
                <w:szCs w:val="20"/>
                <w:color w:val="auto"/>
              </w:rPr>
            </w:pPr>
            <w:r>
              <w:rPr>
                <w:rFonts w:ascii="Arial" w:cs="Arial" w:eastAsia="Arial" w:hAnsi="Arial"/>
                <w:sz w:val="18"/>
                <w:szCs w:val="18"/>
                <w:color w:val="auto"/>
                <w:w w:val="92"/>
              </w:rPr>
              <w:t>notes. The 20</w:t>
            </w:r>
          </w:p>
        </w:tc>
        <w:tc>
          <w:tcPr>
            <w:tcW w:w="1620" w:type="dxa"/>
            <w:vAlign w:val="bottom"/>
          </w:tcPr>
          <w:p>
            <w:pPr>
              <w:ind w:left="100"/>
              <w:spacing w:after="0"/>
              <w:rPr>
                <w:sz w:val="20"/>
                <w:szCs w:val="20"/>
                <w:color w:val="auto"/>
              </w:rPr>
            </w:pPr>
            <w:r>
              <w:rPr>
                <w:rFonts w:ascii="Arial" w:cs="Arial" w:eastAsia="Arial" w:hAnsi="Arial"/>
                <w:sz w:val="18"/>
                <w:szCs w:val="18"/>
                <w:color w:val="auto"/>
                <w:w w:val="93"/>
              </w:rPr>
              <w:t>notes will mature on</w:t>
            </w:r>
          </w:p>
        </w:tc>
        <w:tc>
          <w:tcPr>
            <w:tcW w:w="440" w:type="dxa"/>
            <w:vAlign w:val="bottom"/>
          </w:tcPr>
          <w:p>
            <w:pPr>
              <w:jc w:val="right"/>
              <w:spacing w:after="0"/>
              <w:rPr>
                <w:sz w:val="20"/>
                <w:szCs w:val="20"/>
                <w:color w:val="auto"/>
              </w:rPr>
            </w:pPr>
            <w:r>
              <w:rPr>
                <w:rFonts w:ascii="Arial" w:cs="Arial" w:eastAsia="Arial" w:hAnsi="Arial"/>
                <w:sz w:val="18"/>
                <w:szCs w:val="18"/>
                <w:color w:val="auto"/>
              </w:rPr>
              <w:t>, 20</w:t>
            </w:r>
          </w:p>
        </w:tc>
        <w:tc>
          <w:tcPr>
            <w:tcW w:w="1480" w:type="dxa"/>
            <w:vAlign w:val="bottom"/>
          </w:tcPr>
          <w:p>
            <w:pPr>
              <w:ind w:left="80"/>
              <w:spacing w:after="0"/>
              <w:rPr>
                <w:sz w:val="20"/>
                <w:szCs w:val="20"/>
                <w:color w:val="auto"/>
              </w:rPr>
            </w:pPr>
            <w:r>
              <w:rPr>
                <w:rFonts w:ascii="Arial" w:cs="Arial" w:eastAsia="Arial" w:hAnsi="Arial"/>
                <w:sz w:val="18"/>
                <w:szCs w:val="18"/>
                <w:color w:val="auto"/>
                <w:w w:val="91"/>
              </w:rPr>
              <w:t>. Interest on the 20</w:t>
            </w:r>
          </w:p>
        </w:tc>
        <w:tc>
          <w:tcPr>
            <w:tcW w:w="2060" w:type="dxa"/>
            <w:vAlign w:val="bottom"/>
          </w:tcPr>
          <w:p>
            <w:pPr>
              <w:ind w:left="100"/>
              <w:spacing w:after="0"/>
              <w:rPr>
                <w:sz w:val="20"/>
                <w:szCs w:val="20"/>
                <w:color w:val="auto"/>
              </w:rPr>
            </w:pPr>
            <w:r>
              <w:rPr>
                <w:rFonts w:ascii="Arial" w:cs="Arial" w:eastAsia="Arial" w:hAnsi="Arial"/>
                <w:sz w:val="18"/>
                <w:szCs w:val="18"/>
                <w:color w:val="auto"/>
                <w:w w:val="88"/>
              </w:rPr>
              <w:t>notes will accrue at the rate</w:t>
            </w:r>
          </w:p>
        </w:tc>
      </w:tr>
      <w:tr>
        <w:trPr>
          <w:trHeight w:val="222"/>
        </w:trPr>
        <w:tc>
          <w:tcPr>
            <w:tcW w:w="260" w:type="dxa"/>
            <w:vAlign w:val="bottom"/>
          </w:tcPr>
          <w:p>
            <w:pPr>
              <w:spacing w:after="0"/>
              <w:rPr>
                <w:sz w:val="20"/>
                <w:szCs w:val="20"/>
                <w:color w:val="auto"/>
              </w:rPr>
            </w:pPr>
            <w:r>
              <w:rPr>
                <w:rFonts w:ascii="Arial" w:cs="Arial" w:eastAsia="Arial" w:hAnsi="Arial"/>
                <w:sz w:val="18"/>
                <w:szCs w:val="18"/>
                <w:color w:val="auto"/>
              </w:rPr>
              <w:t>of</w:t>
            </w:r>
          </w:p>
        </w:tc>
        <w:tc>
          <w:tcPr>
            <w:tcW w:w="1380" w:type="dxa"/>
            <w:vAlign w:val="bottom"/>
          </w:tcPr>
          <w:p>
            <w:pPr>
              <w:ind w:left="240"/>
              <w:spacing w:after="0"/>
              <w:rPr>
                <w:sz w:val="20"/>
                <w:szCs w:val="20"/>
                <w:color w:val="auto"/>
              </w:rPr>
            </w:pPr>
            <w:r>
              <w:rPr>
                <w:rFonts w:ascii="Arial" w:cs="Arial" w:eastAsia="Arial" w:hAnsi="Arial"/>
                <w:sz w:val="18"/>
                <w:szCs w:val="18"/>
                <w:color w:val="auto"/>
                <w:w w:val="99"/>
              </w:rPr>
              <w:t>% per annum.</w:t>
            </w:r>
          </w:p>
        </w:tc>
        <w:tc>
          <w:tcPr>
            <w:tcW w:w="2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26"/>
        </w:trPr>
        <w:tc>
          <w:tcPr>
            <w:tcW w:w="260" w:type="dxa"/>
            <w:vAlign w:val="bottom"/>
          </w:tcPr>
          <w:p>
            <w:pPr>
              <w:spacing w:after="0"/>
              <w:rPr>
                <w:sz w:val="24"/>
                <w:szCs w:val="24"/>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rPr>
              <w:t>We will issue $</w:t>
            </w:r>
          </w:p>
        </w:tc>
        <w:tc>
          <w:tcPr>
            <w:tcW w:w="2560" w:type="dxa"/>
            <w:vAlign w:val="bottom"/>
          </w:tcPr>
          <w:p>
            <w:pPr>
              <w:ind w:left="140"/>
              <w:spacing w:after="0"/>
              <w:rPr>
                <w:sz w:val="20"/>
                <w:szCs w:val="20"/>
                <w:color w:val="auto"/>
              </w:rPr>
            </w:pPr>
            <w:r>
              <w:rPr>
                <w:rFonts w:ascii="Arial" w:cs="Arial" w:eastAsia="Arial" w:hAnsi="Arial"/>
                <w:sz w:val="18"/>
                <w:szCs w:val="18"/>
                <w:color w:val="auto"/>
                <w:w w:val="91"/>
              </w:rPr>
              <w:t>aggregate principal amount of 20</w:t>
            </w:r>
          </w:p>
        </w:tc>
        <w:tc>
          <w:tcPr>
            <w:tcW w:w="1120" w:type="dxa"/>
            <w:vAlign w:val="bottom"/>
          </w:tcPr>
          <w:p>
            <w:pPr>
              <w:ind w:left="80"/>
              <w:spacing w:after="0"/>
              <w:rPr>
                <w:sz w:val="20"/>
                <w:szCs w:val="20"/>
                <w:color w:val="auto"/>
              </w:rPr>
            </w:pPr>
            <w:r>
              <w:rPr>
                <w:rFonts w:ascii="Arial" w:cs="Arial" w:eastAsia="Arial" w:hAnsi="Arial"/>
                <w:sz w:val="18"/>
                <w:szCs w:val="18"/>
                <w:color w:val="auto"/>
                <w:w w:val="92"/>
              </w:rPr>
              <w:t>notes. The 20</w:t>
            </w:r>
          </w:p>
        </w:tc>
        <w:tc>
          <w:tcPr>
            <w:tcW w:w="1620" w:type="dxa"/>
            <w:vAlign w:val="bottom"/>
          </w:tcPr>
          <w:p>
            <w:pPr>
              <w:ind w:left="100"/>
              <w:spacing w:after="0"/>
              <w:rPr>
                <w:sz w:val="20"/>
                <w:szCs w:val="20"/>
                <w:color w:val="auto"/>
              </w:rPr>
            </w:pPr>
            <w:r>
              <w:rPr>
                <w:rFonts w:ascii="Arial" w:cs="Arial" w:eastAsia="Arial" w:hAnsi="Arial"/>
                <w:sz w:val="18"/>
                <w:szCs w:val="18"/>
                <w:color w:val="auto"/>
                <w:w w:val="93"/>
              </w:rPr>
              <w:t>notes will mature on</w:t>
            </w:r>
          </w:p>
        </w:tc>
        <w:tc>
          <w:tcPr>
            <w:tcW w:w="440" w:type="dxa"/>
            <w:vAlign w:val="bottom"/>
          </w:tcPr>
          <w:p>
            <w:pPr>
              <w:jc w:val="right"/>
              <w:spacing w:after="0"/>
              <w:rPr>
                <w:sz w:val="20"/>
                <w:szCs w:val="20"/>
                <w:color w:val="auto"/>
              </w:rPr>
            </w:pPr>
            <w:r>
              <w:rPr>
                <w:rFonts w:ascii="Arial" w:cs="Arial" w:eastAsia="Arial" w:hAnsi="Arial"/>
                <w:sz w:val="18"/>
                <w:szCs w:val="18"/>
                <w:color w:val="auto"/>
              </w:rPr>
              <w:t>, 20</w:t>
            </w:r>
          </w:p>
        </w:tc>
        <w:tc>
          <w:tcPr>
            <w:tcW w:w="1480" w:type="dxa"/>
            <w:vAlign w:val="bottom"/>
          </w:tcPr>
          <w:p>
            <w:pPr>
              <w:ind w:left="80"/>
              <w:spacing w:after="0"/>
              <w:rPr>
                <w:sz w:val="20"/>
                <w:szCs w:val="20"/>
                <w:color w:val="auto"/>
              </w:rPr>
            </w:pPr>
            <w:r>
              <w:rPr>
                <w:rFonts w:ascii="Arial" w:cs="Arial" w:eastAsia="Arial" w:hAnsi="Arial"/>
                <w:sz w:val="18"/>
                <w:szCs w:val="18"/>
                <w:color w:val="auto"/>
                <w:w w:val="91"/>
              </w:rPr>
              <w:t>. Interest on the 20</w:t>
            </w:r>
          </w:p>
        </w:tc>
        <w:tc>
          <w:tcPr>
            <w:tcW w:w="2060" w:type="dxa"/>
            <w:vAlign w:val="bottom"/>
          </w:tcPr>
          <w:p>
            <w:pPr>
              <w:ind w:left="140"/>
              <w:spacing w:after="0"/>
              <w:rPr>
                <w:sz w:val="20"/>
                <w:szCs w:val="20"/>
                <w:color w:val="auto"/>
              </w:rPr>
            </w:pPr>
            <w:r>
              <w:rPr>
                <w:rFonts w:ascii="Arial" w:cs="Arial" w:eastAsia="Arial" w:hAnsi="Arial"/>
                <w:sz w:val="18"/>
                <w:szCs w:val="18"/>
                <w:color w:val="auto"/>
                <w:w w:val="86"/>
              </w:rPr>
              <w:t>notes will accrue at the rate</w:t>
            </w:r>
          </w:p>
        </w:tc>
      </w:tr>
      <w:tr>
        <w:trPr>
          <w:trHeight w:val="222"/>
        </w:trPr>
        <w:tc>
          <w:tcPr>
            <w:tcW w:w="260" w:type="dxa"/>
            <w:vAlign w:val="bottom"/>
          </w:tcPr>
          <w:p>
            <w:pPr>
              <w:spacing w:after="0"/>
              <w:rPr>
                <w:sz w:val="20"/>
                <w:szCs w:val="20"/>
                <w:color w:val="auto"/>
              </w:rPr>
            </w:pPr>
            <w:r>
              <w:rPr>
                <w:rFonts w:ascii="Arial" w:cs="Arial" w:eastAsia="Arial" w:hAnsi="Arial"/>
                <w:sz w:val="18"/>
                <w:szCs w:val="18"/>
                <w:color w:val="auto"/>
              </w:rPr>
              <w:t>of</w:t>
            </w:r>
          </w:p>
        </w:tc>
        <w:tc>
          <w:tcPr>
            <w:tcW w:w="1380" w:type="dxa"/>
            <w:vAlign w:val="bottom"/>
          </w:tcPr>
          <w:p>
            <w:pPr>
              <w:ind w:left="240"/>
              <w:spacing w:after="0"/>
              <w:rPr>
                <w:sz w:val="20"/>
                <w:szCs w:val="20"/>
                <w:color w:val="auto"/>
              </w:rPr>
            </w:pPr>
            <w:r>
              <w:rPr>
                <w:rFonts w:ascii="Arial" w:cs="Arial" w:eastAsia="Arial" w:hAnsi="Arial"/>
                <w:sz w:val="18"/>
                <w:szCs w:val="18"/>
                <w:color w:val="auto"/>
                <w:w w:val="99"/>
              </w:rPr>
              <w:t>% per annum.</w:t>
            </w:r>
          </w:p>
        </w:tc>
        <w:tc>
          <w:tcPr>
            <w:tcW w:w="2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10" w:lineRule="exact"/>
        <w:rPr>
          <w:sz w:val="20"/>
          <w:szCs w:val="20"/>
          <w:color w:val="auto"/>
        </w:rPr>
      </w:pPr>
    </w:p>
    <w:p>
      <w:pPr>
        <w:ind w:left="360"/>
        <w:spacing w:after="0"/>
        <w:tabs>
          <w:tab w:leader="none" w:pos="1000" w:val="left"/>
          <w:tab w:leader="none" w:pos="2320" w:val="left"/>
        </w:tabs>
        <w:rPr>
          <w:sz w:val="20"/>
          <w:szCs w:val="20"/>
          <w:color w:val="auto"/>
        </w:rPr>
      </w:pPr>
      <w:r>
        <w:rPr>
          <w:rFonts w:ascii="Arial" w:cs="Arial" w:eastAsia="Arial" w:hAnsi="Arial"/>
          <w:sz w:val="18"/>
          <w:szCs w:val="18"/>
          <w:color w:val="auto"/>
        </w:rPr>
        <w:t>The 20</w:t>
        <w:tab/>
        <w:t>notes and the 20</w:t>
      </w:r>
      <w:r>
        <w:rPr>
          <w:sz w:val="20"/>
          <w:szCs w:val="20"/>
          <w:color w:val="auto"/>
        </w:rPr>
        <w:tab/>
      </w:r>
      <w:r>
        <w:rPr>
          <w:rFonts w:ascii="Arial" w:cs="Arial" w:eastAsia="Arial" w:hAnsi="Arial"/>
          <w:sz w:val="15"/>
          <w:szCs w:val="15"/>
          <w:color w:val="auto"/>
        </w:rPr>
        <w:t>notes are collectively referred to as the "notes."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notes will be senior unsecured obligations and will rank on the same basis with all of our other senior unsecured indebtedness from time to time outstanding. Each series of the notes will be a separate series of senior debt securities under the Indenture. The Indenture does not limit the aggregate principal amount of securities that may be issued under the Indenture. Without the consent of the holders, we may increase the aggregate principal amount of the notes of any series in the future on the same terms and conditions (except for issuance date, price and, in some cases, the initial interest payment date) as the notes of the series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17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Each series of notes will be issued in the form of one or more fully registered global securities in minimum denominations of $2,000 and integral multiples of $1,000 in excess thereof.</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Arial" w:cs="Arial" w:eastAsia="Arial" w:hAnsi="Arial"/>
                <w:sz w:val="18"/>
                <w:szCs w:val="18"/>
                <w:b w:val="1"/>
                <w:bCs w:val="1"/>
                <w:color w:val="auto"/>
              </w:rPr>
              <w:t>Interest</w:t>
            </w:r>
          </w:p>
        </w:tc>
        <w:tc>
          <w:tcPr>
            <w:tcW w:w="28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26"/>
        </w:trPr>
        <w:tc>
          <w:tcPr>
            <w:tcW w:w="940" w:type="dxa"/>
            <w:vAlign w:val="bottom"/>
          </w:tcPr>
          <w:p>
            <w:pPr>
              <w:ind w:left="360"/>
              <w:spacing w:after="0"/>
              <w:rPr>
                <w:sz w:val="20"/>
                <w:szCs w:val="20"/>
                <w:color w:val="auto"/>
              </w:rPr>
            </w:pPr>
            <w:r>
              <w:rPr>
                <w:rFonts w:ascii="Arial" w:cs="Arial" w:eastAsia="Arial" w:hAnsi="Arial"/>
                <w:sz w:val="18"/>
                <w:szCs w:val="18"/>
                <w:color w:val="auto"/>
                <w:w w:val="99"/>
              </w:rPr>
              <w:t>The 20</w:t>
            </w:r>
          </w:p>
        </w:tc>
        <w:tc>
          <w:tcPr>
            <w:tcW w:w="2800" w:type="dxa"/>
            <w:vAlign w:val="bottom"/>
          </w:tcPr>
          <w:p>
            <w:pPr>
              <w:ind w:left="80"/>
              <w:spacing w:after="0"/>
              <w:rPr>
                <w:sz w:val="20"/>
                <w:szCs w:val="20"/>
                <w:color w:val="auto"/>
              </w:rPr>
            </w:pPr>
            <w:r>
              <w:rPr>
                <w:rFonts w:ascii="Arial" w:cs="Arial" w:eastAsia="Arial" w:hAnsi="Arial"/>
                <w:sz w:val="18"/>
                <w:szCs w:val="18"/>
                <w:color w:val="auto"/>
                <w:w w:val="93"/>
              </w:rPr>
              <w:t>notes will accrue interest at a rate of</w:t>
            </w:r>
          </w:p>
        </w:tc>
        <w:tc>
          <w:tcPr>
            <w:tcW w:w="4480" w:type="dxa"/>
            <w:vAlign w:val="bottom"/>
          </w:tcPr>
          <w:p>
            <w:pPr>
              <w:ind w:left="180"/>
              <w:spacing w:after="0"/>
              <w:rPr>
                <w:sz w:val="20"/>
                <w:szCs w:val="20"/>
                <w:color w:val="auto"/>
              </w:rPr>
            </w:pPr>
            <w:r>
              <w:rPr>
                <w:rFonts w:ascii="Arial" w:cs="Arial" w:eastAsia="Arial" w:hAnsi="Arial"/>
                <w:sz w:val="18"/>
                <w:szCs w:val="18"/>
                <w:color w:val="auto"/>
                <w:w w:val="89"/>
              </w:rPr>
              <w:t>% per annum and the 20  notes will bear interest at a rate of</w:t>
            </w:r>
          </w:p>
        </w:tc>
        <w:tc>
          <w:tcPr>
            <w:tcW w:w="3200" w:type="dxa"/>
            <w:vAlign w:val="bottom"/>
            <w:gridSpan w:val="2"/>
          </w:tcPr>
          <w:p>
            <w:pPr>
              <w:ind w:left="320"/>
              <w:spacing w:after="0"/>
              <w:rPr>
                <w:sz w:val="20"/>
                <w:szCs w:val="20"/>
                <w:color w:val="auto"/>
              </w:rPr>
            </w:pPr>
            <w:r>
              <w:rPr>
                <w:rFonts w:ascii="Arial" w:cs="Arial" w:eastAsia="Arial" w:hAnsi="Arial"/>
                <w:sz w:val="18"/>
                <w:szCs w:val="18"/>
                <w:color w:val="auto"/>
                <w:w w:val="91"/>
              </w:rPr>
              <w:t>% per annum. Interest on the notes will</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6"/>
              </w:rPr>
              <w:t>accrue from</w:t>
            </w:r>
          </w:p>
        </w:tc>
        <w:tc>
          <w:tcPr>
            <w:tcW w:w="10480" w:type="dxa"/>
            <w:vAlign w:val="bottom"/>
            <w:gridSpan w:val="4"/>
          </w:tcPr>
          <w:p>
            <w:pPr>
              <w:ind w:left="80"/>
              <w:spacing w:after="0"/>
              <w:rPr>
                <w:sz w:val="20"/>
                <w:szCs w:val="20"/>
                <w:color w:val="auto"/>
              </w:rPr>
            </w:pPr>
            <w:r>
              <w:rPr>
                <w:rFonts w:ascii="Arial" w:cs="Arial" w:eastAsia="Arial" w:hAnsi="Arial"/>
                <w:sz w:val="18"/>
                <w:szCs w:val="18"/>
                <w:color w:val="auto"/>
                <w:w w:val="93"/>
              </w:rPr>
              <w:t>, 2019, or from the most recent interest payment date to which interest has been paid or provided for, to, but excluding, the relevant interest</w:t>
            </w:r>
          </w:p>
        </w:tc>
      </w:tr>
      <w:tr>
        <w:trPr>
          <w:trHeight w:val="216"/>
        </w:trPr>
        <w:tc>
          <w:tcPr>
            <w:tcW w:w="8220" w:type="dxa"/>
            <w:vAlign w:val="bottom"/>
            <w:gridSpan w:val="3"/>
          </w:tcPr>
          <w:p>
            <w:pPr>
              <w:spacing w:after="0"/>
              <w:rPr>
                <w:sz w:val="20"/>
                <w:szCs w:val="20"/>
                <w:color w:val="auto"/>
              </w:rPr>
            </w:pPr>
            <w:r>
              <w:rPr>
                <w:rFonts w:ascii="Arial" w:cs="Arial" w:eastAsia="Arial" w:hAnsi="Arial"/>
                <w:sz w:val="18"/>
                <w:szCs w:val="18"/>
                <w:color w:val="auto"/>
                <w:w w:val="89"/>
              </w:rPr>
              <w:t>payment date. The Company will make interest payments on each series of notes semi-annually in arrears on  and</w:t>
            </w:r>
          </w:p>
        </w:tc>
        <w:tc>
          <w:tcPr>
            <w:tcW w:w="2100" w:type="dxa"/>
            <w:vAlign w:val="bottom"/>
          </w:tcPr>
          <w:p>
            <w:pPr>
              <w:ind w:left="40"/>
              <w:spacing w:after="0"/>
              <w:rPr>
                <w:sz w:val="20"/>
                <w:szCs w:val="20"/>
                <w:color w:val="auto"/>
              </w:rPr>
            </w:pPr>
            <w:r>
              <w:rPr>
                <w:rFonts w:ascii="Arial" w:cs="Arial" w:eastAsia="Arial" w:hAnsi="Arial"/>
                <w:sz w:val="18"/>
                <w:szCs w:val="18"/>
                <w:color w:val="auto"/>
                <w:w w:val="96"/>
              </w:rPr>
              <w:t>of each year, beginning on</w:t>
            </w:r>
          </w:p>
        </w:tc>
        <w:tc>
          <w:tcPr>
            <w:tcW w:w="1100" w:type="dxa"/>
            <w:vAlign w:val="bottom"/>
          </w:tcPr>
          <w:p>
            <w:pPr>
              <w:ind w:left="180"/>
              <w:spacing w:after="0"/>
              <w:rPr>
                <w:sz w:val="20"/>
                <w:szCs w:val="20"/>
                <w:color w:val="auto"/>
              </w:rPr>
            </w:pPr>
            <w:r>
              <w:rPr>
                <w:rFonts w:ascii="Arial" w:cs="Arial" w:eastAsia="Arial" w:hAnsi="Arial"/>
                <w:sz w:val="18"/>
                <w:szCs w:val="18"/>
                <w:color w:val="auto"/>
              </w:rPr>
              <w:t>, 2020, to</w:t>
            </w: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the Person in whose</w:t>
            </w:r>
          </w:p>
        </w:tc>
        <w:tc>
          <w:tcPr>
            <w:tcW w:w="44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32"/>
        </w:trPr>
        <w:tc>
          <w:tcPr>
            <w:tcW w:w="9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480" w:type="dxa"/>
            <w:vAlign w:val="bottom"/>
          </w:tcPr>
          <w:p>
            <w:pPr>
              <w:ind w:left="1800"/>
              <w:spacing w:after="0"/>
              <w:rPr>
                <w:sz w:val="20"/>
                <w:szCs w:val="20"/>
                <w:color w:val="auto"/>
              </w:rPr>
            </w:pPr>
            <w:r>
              <w:rPr>
                <w:rFonts w:ascii="Arial" w:cs="Arial" w:eastAsia="Arial" w:hAnsi="Arial"/>
                <w:sz w:val="18"/>
                <w:szCs w:val="18"/>
                <w:color w:val="auto"/>
              </w:rPr>
              <w:t>S-13</w:t>
            </w:r>
          </w:p>
        </w:tc>
        <w:tc>
          <w:tcPr>
            <w:tcW w:w="2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94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tabs>
          <w:tab w:leader="none" w:pos="6300" w:val="left"/>
          <w:tab w:leader="none" w:pos="6800" w:val="left"/>
        </w:tabs>
        <w:rPr>
          <w:sz w:val="20"/>
          <w:szCs w:val="20"/>
          <w:color w:val="auto"/>
        </w:rPr>
      </w:pPr>
      <w:r>
        <w:rPr>
          <w:rFonts w:ascii="Arial" w:cs="Arial" w:eastAsia="Arial" w:hAnsi="Arial"/>
          <w:sz w:val="16"/>
          <w:szCs w:val="16"/>
          <w:color w:val="auto"/>
        </w:rPr>
        <w:t>name such notes are registered at the close of business on the immediately preceding</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5"/>
          <w:szCs w:val="15"/>
          <w:color w:val="auto"/>
        </w:rPr>
        <w:t>, as applicable.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on the notes will be computed on the basis of a 360-day year of twelve 30-day months.</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If an interest payment date for an applicable series of notes falls on a day that is not a Business Day, the interest payment shall be postponed to the next succeeding Business Day as if made on the date such payment was due, and no interest on such payment shall accrue for the period from and after such interest payment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Except as otherwise described below, the notes of each series will be redeemable in whole at any time or in part from time to time, at the Company's option, prior to the applicable Par Call Date, at a redemption price as calculated by the Company equal to the greater of:</w:t>
      </w:r>
    </w:p>
    <w:p>
      <w:pPr>
        <w:spacing w:after="0" w:line="19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of that series to be redeemed; or</w:t>
      </w:r>
    </w:p>
    <w:p>
      <w:pPr>
        <w:spacing w:after="0" w:line="252" w:lineRule="exact"/>
        <w:rPr>
          <w:rFonts w:ascii="Arial" w:cs="Arial" w:eastAsia="Arial" w:hAnsi="Arial"/>
          <w:sz w:val="18"/>
          <w:szCs w:val="18"/>
          <w:color w:val="auto"/>
        </w:rPr>
      </w:pPr>
    </w:p>
    <w:p>
      <w:pPr>
        <w:ind w:left="1080" w:right="100" w:hanging="532"/>
        <w:spacing w:after="0" w:line="305" w:lineRule="auto"/>
        <w:tabs>
          <w:tab w:leader="none" w:pos="108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sum of the present values of the remaining scheduled payments of principal and interest thereon that would be due if the notes of such series matured on the applicable Par Call Date (exclusive of interest accrued to the date of redemption), discounted to the date of redemption on a semi-</w:t>
      </w:r>
    </w:p>
    <w:p>
      <w:pPr>
        <w:ind w:left="1080" w:right="40"/>
        <w:spacing w:after="0" w:line="261" w:lineRule="auto"/>
        <w:rPr>
          <w:sz w:val="20"/>
          <w:szCs w:val="20"/>
          <w:color w:val="auto"/>
        </w:rPr>
      </w:pPr>
      <w:r>
        <w:rPr>
          <w:rFonts w:ascii="Arial" w:cs="Arial" w:eastAsia="Arial" w:hAnsi="Arial"/>
          <w:sz w:val="18"/>
          <w:szCs w:val="18"/>
          <w:color w:val="auto"/>
        </w:rPr>
        <w:t>annual basis (assuming a 360-day year consisting of twelve 30-day months) at the then current Treasury Rate plus basis points for the 20 notes and basis points for the 20 notes,</w:t>
      </w:r>
    </w:p>
    <w:p>
      <w:pPr>
        <w:spacing w:after="0" w:line="19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plus, in each case, accrued and unpaid interest, if any, on the amount being redeemed to, but excluding, the date of redemption. We will calculate the redemption price.</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If we elect to redeem any 20 notes or 20 notes on or after the applicable Par Call Date, we will pay an amount equal to 100% of the principal amount of the notes redeemed, plus accrued and unpaid interest, if any, to, but excluding, the date of redemption.</w:t>
      </w:r>
    </w:p>
    <w:p>
      <w:pPr>
        <w:sectPr>
          <w:pgSz w:w="11900" w:h="16838" w:orient="portrait"/>
          <w:cols w:equalWidth="0" w:num="1">
            <w:col w:w="11400"/>
          </w:cols>
          <w:pgMar w:left="240" w:top="131" w:right="259" w:bottom="1440" w:gutter="0" w:footer="0" w:header="0"/>
        </w:sectPr>
      </w:pPr>
    </w:p>
    <w:p>
      <w:pPr>
        <w:spacing w:after="0" w:line="186" w:lineRule="exact"/>
        <w:rPr>
          <w:sz w:val="20"/>
          <w:szCs w:val="20"/>
          <w:color w:val="auto"/>
        </w:rPr>
      </w:pPr>
    </w:p>
    <w:p>
      <w:pPr>
        <w:ind w:left="360"/>
        <w:spacing w:after="0"/>
        <w:tabs>
          <w:tab w:leader="none" w:pos="2520" w:val="left"/>
          <w:tab w:leader="none" w:pos="2960" w:val="left"/>
        </w:tabs>
        <w:rPr>
          <w:sz w:val="20"/>
          <w:szCs w:val="20"/>
          <w:color w:val="auto"/>
        </w:rPr>
      </w:pPr>
      <w:r>
        <w:rPr>
          <w:rFonts w:ascii="Arial" w:cs="Arial" w:eastAsia="Arial" w:hAnsi="Arial"/>
          <w:sz w:val="18"/>
          <w:szCs w:val="18"/>
          <w:color w:val="auto"/>
        </w:rPr>
        <w:t>"Par Call Date" means (i)</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with respect to any 20</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months prior to the maturity date of the 20</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notes), and (ii)</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with respect</w:t>
      </w:r>
    </w:p>
    <w:p>
      <w:pPr>
        <w:spacing w:after="0" w:line="37" w:lineRule="exact"/>
        <w:rPr>
          <w:sz w:val="20"/>
          <w:szCs w:val="20"/>
          <w:color w:val="auto"/>
        </w:rPr>
      </w:pPr>
    </w:p>
    <w:p>
      <w:pPr>
        <w:sectPr>
          <w:pgSz w:w="11900" w:h="16838" w:orient="portrait"/>
          <w:cols w:equalWidth="0" w:num="6">
            <w:col w:w="4540" w:space="180"/>
            <w:col w:w="460" w:space="180"/>
            <w:col w:w="2980" w:space="220"/>
            <w:col w:w="1040" w:space="380"/>
            <w:col w:w="280" w:space="160"/>
            <w:col w:w="980"/>
          </w:cols>
          <w:pgMar w:left="240" w:top="131" w:right="259" w:bottom="1440" w:gutter="0" w:footer="0" w:header="0"/>
          <w:type w:val="continuous"/>
        </w:sectPr>
      </w:pPr>
    </w:p>
    <w:p>
      <w:pPr>
        <w:spacing w:after="0"/>
        <w:tabs>
          <w:tab w:leader="none" w:pos="820" w:val="left"/>
          <w:tab w:leader="none" w:pos="1460" w:val="left"/>
        </w:tabs>
        <w:rPr>
          <w:sz w:val="20"/>
          <w:szCs w:val="20"/>
          <w:color w:val="auto"/>
        </w:rPr>
      </w:pPr>
      <w:r>
        <w:rPr>
          <w:rFonts w:ascii="Arial" w:cs="Arial" w:eastAsia="Arial" w:hAnsi="Arial"/>
          <w:sz w:val="18"/>
          <w:szCs w:val="18"/>
          <w:color w:val="auto"/>
        </w:rPr>
        <w:t>to any 20</w:t>
        <w:tab/>
        <w:t>notes (</w:t>
      </w:r>
      <w:r>
        <w:rPr>
          <w:sz w:val="20"/>
          <w:szCs w:val="20"/>
          <w:color w:val="auto"/>
        </w:rPr>
        <w:tab/>
      </w:r>
      <w:r>
        <w:rPr>
          <w:rFonts w:ascii="Arial" w:cs="Arial" w:eastAsia="Arial" w:hAnsi="Arial"/>
          <w:sz w:val="16"/>
          <w:szCs w:val="16"/>
          <w:color w:val="auto"/>
        </w:rPr>
        <w:t>months prior to the maturity date of the 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notes).</w:t>
      </w:r>
    </w:p>
    <w:p>
      <w:pPr>
        <w:spacing w:after="0" w:line="234" w:lineRule="exact"/>
        <w:rPr>
          <w:sz w:val="20"/>
          <w:szCs w:val="20"/>
          <w:color w:val="auto"/>
        </w:rPr>
      </w:pPr>
    </w:p>
    <w:p>
      <w:pPr>
        <w:sectPr>
          <w:pgSz w:w="11900" w:h="16838" w:orient="portrait"/>
          <w:cols w:equalWidth="0" w:num="2">
            <w:col w:w="4480" w:space="160"/>
            <w:col w:w="6760"/>
          </w:cols>
          <w:pgMar w:left="240" w:top="131" w:right="259" w:bottom="1440" w:gutter="0" w:footer="0" w:header="0"/>
          <w:type w:val="continuous"/>
        </w:sectPr>
      </w:pPr>
    </w:p>
    <w:p>
      <w:pPr>
        <w:spacing w:after="0" w:line="1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will prepare and send, or cause to be sent, a notice of redemption to each holder of notes to be redeemed (with a copy to the Trustee) at least 30 and not more than 60 calendar days prior to the date fixed for redemption. On and after a redemption date, interest will cease to accrue on the notes called for redemption (unless the Company defaults in the payment of the redemption price and accrued interest). On or before a redemption date, the Company will deposit with a paying agent (or the trustee) money sufficient to pay the redemption price of and accrued interest on the notes to be redeemed on that date. If less than all of the notes of a series are to be redeemed, the notes of such series to be redeemed shall be selected by the trustee pro rata or by lot or by a method the trustee deems to be fair and appropriate and, in respect of global notes, in accordance with the procedures of The Depository Trust Company ("DTC"). Any redemption or notice of redemption may, at the Company's discretion, be subject to one or more conditions precedent.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 Offers To Purchase; Open Market Purchases</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Company is not required to make any mandatory redemption or sinking fund payments with respect to the notes. However, under certain circumstances, the Company may be required to offer to purchase each series of notes as described under the caption "—Repurchase of Notes upon a Change of Control Triggering Event." The Company may at any time and from time to time purchase notes in the open market or otherwise.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are general unsecured obligations of the Company. As a result, the notes rank:</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pari passu in right of payment with all existing and future unsecured unsubordinated indebtedness of the Company;</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subordinated to secured indebtedness of the Company, to the extent of the value of such assets securing such indebtedness or other obligations (unless the notes are equally and ratably secured with such indebtedness);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structurally subordinated to any indebtedness and other liabilities of the Company's Subsidiaries.</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 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Notes upon a Change of Control Triggering Event</w:t>
      </w:r>
    </w:p>
    <w:p>
      <w:pPr>
        <w:spacing w:after="0" w:line="231"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Not later than 60 days following a Change of Control Triggering Event, unless the Company has exercised its right to redeem all of the notes of a series as described under "—Optional Redemption," the Company will make an Offer to Purchase all of the outstanding notes of such series at a purchase price equal to 101% of the principal amount thereof plus accrued and unpaid interest, if any, to, but excluding, the date of purchase.</w:t>
      </w:r>
    </w:p>
    <w:p>
      <w:pPr>
        <w:spacing w:after="0" w:line="161"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170" w:lineRule="exact"/>
        <w:rPr>
          <w:sz w:val="20"/>
          <w:szCs w:val="20"/>
          <w:color w:val="auto"/>
        </w:rPr>
      </w:pPr>
    </w:p>
    <w:p>
      <w:pPr>
        <w:ind w:right="40" w:firstLine="341"/>
        <w:spacing w:after="0" w:line="323" w:lineRule="auto"/>
        <w:rPr>
          <w:sz w:val="20"/>
          <w:szCs w:val="20"/>
          <w:color w:val="auto"/>
        </w:rPr>
      </w:pPr>
      <w:r>
        <w:rPr>
          <w:rFonts w:ascii="Arial" w:cs="Arial" w:eastAsia="Arial" w:hAnsi="Arial"/>
          <w:sz w:val="15"/>
          <w:szCs w:val="15"/>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p>
    <w:p>
      <w:pPr>
        <w:spacing w:after="0" w:line="15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will comply with Rule 14e-1 under the Exchange Act and all other applicable laws in making any Offer to Purchase, and the above procedures will be deemed modified as necessary to permit such compliance.</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will not be required to make an Offer to Purchase following a Change of Control Triggering Event with respect to the notes of a series if (1)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(2) a notice of redemption has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been given pursuant to the Indenture as described above under the caption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If holders of not less than 90% in aggregate principal amount of the outstanding notes of a series validly tender and do not withdraw such notes in a change of control offer and the Company, or any third party approved in writing by the Company making a change of control offer in lieu of the Company as described above, purchases all of the notes of such series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of such series that remain outstanding following such purchase on a date (the "second change of control payment date") at a purchase price equal to 101% of the principal amount thereof plus accrued and unpaid interest, if any, to, but excluding, the second change of control payment date.</w:t>
      </w:r>
    </w:p>
    <w:p>
      <w:pPr>
        <w:spacing w:after="0" w:line="172"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Factors—Risks Related to the Notes—Upon a Change of Control Triggering Event, we may not have the funds necessary to finance the change of control offer required by the indenture governing the notes, which would violate the terms of the indenture."</w:t>
      </w:r>
    </w:p>
    <w:p>
      <w:pPr>
        <w:spacing w:after="0" w:line="174"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The phrase "all or substantially all," as used with respect to the assets of the Company in the definition of "Change of Control" and in the covenant summarized below under "—Certain Covenants—Consolidation,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170"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 Change of Control purchase feature of the notes may in certain circumstances make more difficult or discourage a sale or takeover of the Company and, thus, the removal of incumbent management. The Change of Control purchase feature is a result of negotiations between the initial purchasers and the Company. After the original issuance date of the notes, the Company has no present intention to engage in a transaction involving a Change of Control, although it is possible that it could decide to do so in the future.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"—Certain Covenants—Limitation on Liens" and "—Certain Covenants—Limitation on Sale and Lease-Back Transactions." Such restrictions in the Indenture can be waived with respect to a series of notes only with the consent of the holders of a majority in principal amount of such series of notes then outstanding. Except for the limitations contained in such covenants, however, the Indenture will not contain any covenants or provisions that may afford holders of the notes protection in the event of a highly leveraged transaction.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firstLine="348"/>
        <w:spacing w:after="0" w:line="332" w:lineRule="auto"/>
        <w:rPr>
          <w:sz w:val="20"/>
          <w:szCs w:val="20"/>
          <w:color w:val="auto"/>
        </w:rPr>
      </w:pPr>
      <w:r>
        <w:rPr>
          <w:rFonts w:ascii="Arial" w:cs="Arial" w:eastAsia="Arial" w:hAnsi="Arial"/>
          <w:sz w:val="16"/>
          <w:szCs w:val="16"/>
          <w:color w:val="auto"/>
        </w:rPr>
        <w:t>The provisions under the Indenture relating to the Company's obligation to make an offer to repurchase the notes of a series as a result of a Change of Control Triggering Event may be waived or modified with the written consent of the holders of a majority in principal amount of the notes of such series.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notes of a series generally will be able to exchange notes of such series for other notes with the same total principal amount and the same terms.</w:t>
      </w:r>
    </w:p>
    <w:p>
      <w:pPr>
        <w:spacing w:after="0" w:line="24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Holders may present notes for exchange or for registration of transfer at the office of the security registrar or at the office of any transfer agent designated by the Company for that purpose. The security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security registrar may require payment of a sum sufficient to cover any tax or other governmental charge payable for the registration of transfer or exchange. The Company has initially appointed the trustee as security registrar. At any time the Company may:</w:t>
      </w:r>
    </w:p>
    <w:p>
      <w:pPr>
        <w:spacing w:after="0" w:line="183"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designate additional transfer agents;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rescind the designation of any transfer agent;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 a change in the office of any transfer agent.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the Company is required to maintain a transfer agent in each place of payment for the notes at all times.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Company elects to redeem the notes of a series or makes an Offer to Purchase, neither the Company nor the trustee will be required to:</w:t>
      </w:r>
    </w:p>
    <w:p>
      <w:pPr>
        <w:spacing w:after="0" w:line="262" w:lineRule="exact"/>
        <w:rPr>
          <w:sz w:val="20"/>
          <w:szCs w:val="20"/>
          <w:color w:val="auto"/>
        </w:rPr>
      </w:pPr>
    </w:p>
    <w:p>
      <w:pPr>
        <w:ind w:left="1080" w:right="4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of such series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register the transfer or exchange of any note of such series so selected for redemption or subject to purchase in such Offer to Purchase, except for any portion not to be redeemed or subject to purchase; or</w:t>
      </w:r>
    </w:p>
    <w:p>
      <w:pPr>
        <w:spacing w:after="0" w:line="199" w:lineRule="exact"/>
        <w:rPr>
          <w:rFonts w:ascii="Arial" w:cs="Arial" w:eastAsia="Arial" w:hAnsi="Arial"/>
          <w:sz w:val="18"/>
          <w:szCs w:val="18"/>
          <w:color w:val="auto"/>
        </w:rPr>
      </w:pPr>
    </w:p>
    <w:p>
      <w:pPr>
        <w:ind w:left="1080" w:right="62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or exchange of any note on or after the regular record date and before the date of redemption or purchase.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the Indenture, the Company will pay interest on the notes to the Persons in whose names the notes are registered at the close of business on the regular record date for each interest payment. However, the Company will pay the interest payable on the notes at their stated maturity to the Persons to whom the Company pays the principal amount of the notes.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 will pay principal, premium, if any, and interest on the notes at the offices of the designated paying agents. However, except in the case of a global security, the Company will pay interest by:</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252"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94"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Company will initially designate the trustee as the sole paying agent for each series of notes. At any time, the Company may designate additional paying agents or rescind the designation of any paying agents. However, the Company is required to maintain a paying agent in each place of payment for the notes at all times.</w:t>
      </w:r>
    </w:p>
    <w:p>
      <w:pPr>
        <w:spacing w:after="0" w:line="194"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of each series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Notwithstanding the foregoing, the Company or any Restricted Subsidiary of the Company may, without equally and ratably securing the notes of each series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 purposes of the foregoing covenant,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77"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Any Lien created for the benefit of the holders of the notes of a series pursuant to the first paragraph under this covenant may provide by its terms that such Lien shall be automatically and unconditionally released and discharged upon the release and discharge of the Lien that gave rise to the obligation to secure the notes of such series.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will not, and will not permit any of its Restricted Subsidiaries, to enter into any Sale and Lease-Back Transaction with respect to any Principal Property owned by the Company or any Restricted Subsidiary, whether now owned or hereafter acquired, unless:</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Restricted Subsidiary by the Company or any Subsidiary of any Principal Property;</w:t>
      </w:r>
    </w:p>
    <w:p>
      <w:pPr>
        <w:spacing w:after="0" w:line="199"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 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210"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Restricted Subsidiary within a period of not more than three years);</w:t>
      </w:r>
    </w:p>
    <w:p>
      <w:pPr>
        <w:spacing w:after="0" w:line="212" w:lineRule="exact"/>
        <w:rPr>
          <w:rFonts w:ascii="Arial" w:cs="Arial" w:eastAsia="Arial" w:hAnsi="Arial"/>
          <w:sz w:val="18"/>
          <w:szCs w:val="18"/>
          <w:color w:val="auto"/>
        </w:rPr>
      </w:pPr>
    </w:p>
    <w:p>
      <w:pPr>
        <w:jc w:val="both"/>
        <w:ind w:left="1080" w:right="16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pursuant to the first paragraph of "—Limitation on Liens" above; or</w:t>
      </w:r>
    </w:p>
    <w:p>
      <w:pPr>
        <w:spacing w:after="0" w:line="207"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Lease-Back Transaction.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Consolidation, Merger and Conveyance, Transfer and Lease of All or Substantially All Assets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 may not consolidate with or merge with or into, or convey, transfer or lease all or substantially all of its properties and assets to, any person (a "successor person") unless:</w:t>
      </w:r>
    </w:p>
    <w:p>
      <w:pPr>
        <w:spacing w:after="0" w:line="186" w:lineRule="exact"/>
        <w:rPr>
          <w:sz w:val="20"/>
          <w:szCs w:val="20"/>
          <w:color w:val="auto"/>
        </w:rPr>
      </w:pPr>
    </w:p>
    <w:p>
      <w:pPr>
        <w:ind w:left="540" w:right="60" w:firstLine="359"/>
        <w:spacing w:after="0" w:line="332" w:lineRule="auto"/>
        <w:tabs>
          <w:tab w:leader="none" w:pos="1228" w:val="left"/>
        </w:tabs>
        <w:numPr>
          <w:ilvl w:val="0"/>
          <w:numId w:val="14"/>
        </w:numPr>
        <w:rPr>
          <w:rFonts w:ascii="Arial" w:cs="Arial" w:eastAsia="Arial" w:hAnsi="Arial"/>
          <w:sz w:val="16"/>
          <w:szCs w:val="16"/>
          <w:color w:val="auto"/>
        </w:rPr>
      </w:pPr>
      <w:r>
        <w:rPr>
          <w:rFonts w:ascii="Arial" w:cs="Arial" w:eastAsia="Arial" w:hAnsi="Arial"/>
          <w:sz w:val="16"/>
          <w:szCs w:val="16"/>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pacing w:after="0" w:line="139" w:lineRule="exact"/>
        <w:rPr>
          <w:rFonts w:ascii="Arial" w:cs="Arial" w:eastAsia="Arial" w:hAnsi="Arial"/>
          <w:sz w:val="16"/>
          <w:szCs w:val="16"/>
          <w:color w:val="auto"/>
        </w:rPr>
      </w:pPr>
    </w:p>
    <w:p>
      <w:pPr>
        <w:ind w:left="540" w:right="160" w:firstLine="359"/>
        <w:spacing w:after="0" w:line="268" w:lineRule="auto"/>
        <w:tabs>
          <w:tab w:leader="none" w:pos="12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Financial Information</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"—Certain Covenants—Limitation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"—Certain Covenants—Limitation on Sale and Lease-Back Transactions" above; provided that any such Attributable Debt will be excluded from this clause (2) to the extent of Indebtedness relating thereto is included in clause (1) of this definition, provided further, in no event will the amount of any Indebtedness be required to be included in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calculation of Aggregate Debt more than once despite the fact more than one Person is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"—Certain Covenants— 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175"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6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"Below Investment Grade Rating Event" means, with respect to each series of the notes, the rating on the notes of such series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such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applicable series of notes is rated Investment Grade by two or more of the Rating Agencies.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"Board of Directors" means the board of directors of the Company or any committee thereof duly authorized to act on behalf of such board.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"Business Day" means each day that is not a Legal Holiday.</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of Control" means:</w:t>
      </w:r>
    </w:p>
    <w:p>
      <w:pPr>
        <w:spacing w:after="0" w:line="225" w:lineRule="exact"/>
        <w:rPr>
          <w:sz w:val="20"/>
          <w:szCs w:val="20"/>
          <w:color w:val="auto"/>
        </w:rPr>
      </w:pPr>
    </w:p>
    <w:p>
      <w:pPr>
        <w:ind w:left="540" w:firstLine="359"/>
        <w:spacing w:after="0" w:line="286" w:lineRule="auto"/>
        <w:tabs>
          <w:tab w:leader="none" w:pos="1228"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178" w:lineRule="exact"/>
        <w:rPr>
          <w:rFonts w:ascii="Arial" w:cs="Arial" w:eastAsia="Arial" w:hAnsi="Arial"/>
          <w:sz w:val="16"/>
          <w:szCs w:val="16"/>
          <w:color w:val="auto"/>
        </w:rPr>
      </w:pPr>
    </w:p>
    <w:p>
      <w:pPr>
        <w:ind w:left="540" w:firstLine="359"/>
        <w:spacing w:after="0" w:line="255" w:lineRule="auto"/>
        <w:tabs>
          <w:tab w:leader="none" w:pos="12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96" w:lineRule="exact"/>
        <w:rPr>
          <w:rFonts w:ascii="Arial" w:cs="Arial" w:eastAsia="Arial" w:hAnsi="Arial"/>
          <w:sz w:val="18"/>
          <w:szCs w:val="18"/>
          <w:color w:val="auto"/>
        </w:rPr>
      </w:pPr>
    </w:p>
    <w:p>
      <w:pPr>
        <w:ind w:left="1240" w:hanging="341"/>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of Control Triggering Event" means the occurrence of both a Change of Control and a Below Investment Grade Rating Event.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"Comparable Treasury Issue" means the United States Treasury security selected by a Reference Treasury Dealer (as defined below) as having an actual or</w:t>
      </w:r>
    </w:p>
    <w:p>
      <w:pPr>
        <w:spacing w:after="0" w:line="50"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interpolated maturity comparable to the period from the redemption date to , 20 , in the case of the 20 notes, and , 20 , in the case of the 20 notes, that would be utilized, at the time of selection and in accordance with customary financial practice, in pricing new issues of corporate debt</w:t>
      </w:r>
    </w:p>
    <w:p>
      <w:pPr>
        <w:spacing w:after="0" w:line="1" w:lineRule="exact"/>
        <w:rPr>
          <w:sz w:val="20"/>
          <w:szCs w:val="20"/>
          <w:color w:val="auto"/>
        </w:rPr>
      </w:pPr>
    </w:p>
    <w:p>
      <w:pPr>
        <w:spacing w:after="0"/>
        <w:tabs>
          <w:tab w:leader="none" w:pos="6340" w:val="left"/>
          <w:tab w:leader="none" w:pos="6780" w:val="left"/>
          <w:tab w:leader="none" w:pos="8080" w:val="left"/>
          <w:tab w:leader="none" w:pos="8520" w:val="left"/>
        </w:tabs>
        <w:rPr>
          <w:sz w:val="20"/>
          <w:szCs w:val="20"/>
          <w:color w:val="auto"/>
        </w:rPr>
      </w:pPr>
      <w:r>
        <w:rPr>
          <w:rFonts w:ascii="Arial" w:cs="Arial" w:eastAsia="Arial" w:hAnsi="Arial"/>
          <w:sz w:val="18"/>
          <w:szCs w:val="18"/>
          <w:color w:val="auto"/>
        </w:rPr>
        <w:t>securities of comparable maturity to the period from the redemption date to</w:t>
      </w:r>
      <w:r>
        <w:rPr>
          <w:sz w:val="20"/>
          <w:szCs w:val="20"/>
          <w:color w:val="auto"/>
        </w:rPr>
        <w:tab/>
      </w:r>
      <w:r>
        <w:rPr>
          <w:rFonts w:ascii="Arial" w:cs="Arial" w:eastAsia="Arial" w:hAnsi="Arial"/>
          <w:sz w:val="18"/>
          <w:szCs w:val="18"/>
          <w:color w:val="auto"/>
        </w:rPr>
        <w:t>, 20</w:t>
        <w:tab/>
        <w:t>and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respectively.</w:t>
      </w:r>
    </w:p>
    <w:p>
      <w:pPr>
        <w:spacing w:after="0" w:line="219"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"Comparable Treasury Price" means, with respect to any redemption date, (1) the arithmetic average, as determined by the Company, of the Reference Treasury Dealer Quotations for such redemption date after excluding the highest and lowest Reference Treasury Dealer Quotations; or (2) if the Company obtains fewer than four Reference Treasury Dealer Quotations, the arithmetic average of all Reference Treasury Dealer Quotations for such redemption date.</w:t>
      </w:r>
    </w:p>
    <w:p>
      <w:pPr>
        <w:spacing w:after="0" w:line="161"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obligations under capital leases and, following the adoption of ASU 2016-02—Leases, of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7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"Consolidated Subsidiaries" means, as of any date of determination and with respect to any Person, those subsidiaries of that Person whose financial data is, in accordance with GAAP, reflected in that Person's consolidated financial statements.</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"Equity Interests" means all Capital Stock and all warrants or options with respect to, or other rights to purchase, Capital Stock, but excluding Indebtedness convertible into or exchangeable for equity.</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"Existing Credit Facilities" means (1) that certain Credit Agreement, dated as of April 26, 2016 (as the same may be amended, restated, modified or supplemented from time to time), by and among the Company, Morgan Stanley Senior Funding, Inc. as administrative agent and collateral agent, and the other agents party thereto and each financial institution party from time to time thereto, and (2) that certain Credit Agreement, dated as of July 3, 2018 (as the same may be amended, restated, modified or supplemented from time to time), by and among the Company, JPMorgan Chase Bank, N.A., as administrative agent and collateral agent, and the other agents party thereto and each financial institution party from time to time thereto.</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"Fitch" means Fitch Ratings Inc. and any successor to its rating agency business.</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"Foreign Subsidiary" means, with respect to any Person, any Subsidiary of such Person other than one that is organized or existing under the laws of the United States, any state thereof or the District of Columbia.</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94"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25" w:lineRule="exact"/>
        <w:rPr>
          <w:sz w:val="20"/>
          <w:szCs w:val="20"/>
          <w:color w:val="auto"/>
        </w:rPr>
      </w:pPr>
    </w:p>
    <w:p>
      <w:pPr>
        <w:ind w:left="1240" w:hanging="341"/>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that does not require the current payment of interest;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225" w:lineRule="exact"/>
        <w:rPr>
          <w:rFonts w:ascii="Arial" w:cs="Arial" w:eastAsia="Arial" w:hAnsi="Arial"/>
          <w:sz w:val="18"/>
          <w:szCs w:val="18"/>
          <w:color w:val="auto"/>
        </w:rPr>
      </w:pPr>
    </w:p>
    <w:p>
      <w:pPr>
        <w:ind w:left="540" w:right="740" w:firstLine="359"/>
        <w:spacing w:after="0" w:line="268" w:lineRule="auto"/>
        <w:tabs>
          <w:tab w:leader="none" w:pos="12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 the Company) of such assets at the date of determination; and (b) the principal amount of the Indebtedness secured by such Lien.</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the Indenture.</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"Investment Grade" means a rating of BBB–or better by Fitch (or its equivalent under any successor rating categories of Fitch), Baa3 or better by Moody's (or its equivalent under any successor rating categories of Moody's) and a rating of BBB–or better by S&amp;P (or its equivalent under any successor rating categories of S&amp;P) or the equivalent investment grade credit rating from any additional Rating Agency or Rating Agencies selected by us.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"Issue Date" means the date of original issuance of the notes under the Indenture.</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"Joint Venture" means, with respect to any Person, any partnership, corporation or other entity in which up to and including 50% of the Equity Interests is owned, directly or indirectly, by such Person and/or one or more of its Subsidiaries.</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"Legal Holiday" means a Saturday, a Sunday or a day on which commercial banking institutions or the corporate trust office are not required to be open in the State of New York or the place of payment.</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"Moody's" means Moody's Investors Service, Inc. and any successor to its rating agency business.</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"Permitted Liens" means:</w:t>
      </w:r>
    </w:p>
    <w:p>
      <w:pPr>
        <w:spacing w:after="0" w:line="239" w:lineRule="exact"/>
        <w:rPr>
          <w:sz w:val="20"/>
          <w:szCs w:val="20"/>
          <w:color w:val="auto"/>
        </w:rPr>
      </w:pPr>
    </w:p>
    <w:p>
      <w:pPr>
        <w:ind w:left="1080" w:right="1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 including the Existing Credit Facilities;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a series of notes, Liens granted after the Issue Date created in favor of the holders of such series of notes;</w:t>
      </w:r>
    </w:p>
    <w:p>
      <w:pPr>
        <w:spacing w:after="0" w:line="238"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187"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existing on any Principal Property at the time of acquisition of such Principal Property or Liens existing on shares of Capital Stock or assets of a Person and its Subsidiaries prior to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40"/>
        <w:spacing w:after="0" w:line="318" w:lineRule="auto"/>
        <w:rPr>
          <w:sz w:val="20"/>
          <w:szCs w:val="20"/>
          <w:color w:val="auto"/>
        </w:rPr>
      </w:pPr>
      <w:r>
        <w:rPr>
          <w:rFonts w:ascii="Arial" w:cs="Arial" w:eastAsia="Arial" w:hAnsi="Arial"/>
          <w:sz w:val="15"/>
          <w:szCs w:val="15"/>
          <w:color w:val="auto"/>
        </w:rPr>
        <w:t>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167" w:lineRule="exact"/>
        <w:rPr>
          <w:sz w:val="20"/>
          <w:szCs w:val="20"/>
          <w:color w:val="auto"/>
        </w:rPr>
      </w:pPr>
    </w:p>
    <w:p>
      <w:pPr>
        <w:ind w:left="1080" w:right="20" w:hanging="532"/>
        <w:spacing w:after="0" w:line="28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including, without limitation, any such Liens on the Equity Interests in or the assets of IM Flash Technologies, LLC or its Subsidiaries to secure obligations of the Company or any of its Subsidiaries with respect to all or a portion of the purchase price for the acquisition of any Equity Interests in or all or a portion of the assets of IM Flash Technologies, LLC and its Subsidiaries not owned by the Company or its Subsidiaries as of the Issue Date,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 Stock of a Restricted Subsidiary that, in each case, were not previously encumbered by such Liens;</w:t>
      </w:r>
    </w:p>
    <w:p>
      <w:pPr>
        <w:spacing w:after="0" w:line="208"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pacing w:after="0" w:line="238"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221"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199"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211"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332" w:lineRule="auto"/>
        <w:rPr>
          <w:sz w:val="20"/>
          <w:szCs w:val="20"/>
          <w:color w:val="auto"/>
        </w:rPr>
      </w:pPr>
      <w:r>
        <w:rPr>
          <w:rFonts w:ascii="Arial" w:cs="Arial" w:eastAsia="Arial" w:hAnsi="Arial"/>
          <w:sz w:val="16"/>
          <w:szCs w:val="16"/>
          <w:color w:val="auto"/>
        </w:rPr>
        <w:t>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153" w:lineRule="exact"/>
        <w:rPr>
          <w:sz w:val="20"/>
          <w:szCs w:val="20"/>
          <w:color w:val="auto"/>
        </w:rPr>
      </w:pPr>
    </w:p>
    <w:p>
      <w:pPr>
        <w:ind w:left="1080" w:right="500" w:hanging="532"/>
        <w:spacing w:after="0" w:line="370" w:lineRule="auto"/>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Liens created, incurred or assumed in connection with an industrial revenue bond, pollution control bond or similar financing between the Company or any of its Subsidiary and any federal, state or municipal government or other government body or quasi-governmental agency;</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Liens created in connection with the acquisition of assets or a project financed with, and created to secure a Nonrecourse Obligation; and</w:t>
      </w:r>
    </w:p>
    <w:p>
      <w:pPr>
        <w:spacing w:after="0" w:line="261"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186" w:lineRule="exact"/>
        <w:rPr>
          <w:sz w:val="20"/>
          <w:szCs w:val="20"/>
          <w:color w:val="auto"/>
        </w:rPr>
      </w:pPr>
    </w:p>
    <w:p>
      <w:pPr>
        <w:ind w:right="180" w:firstLine="351"/>
        <w:spacing w:after="0" w:line="253" w:lineRule="auto"/>
        <w:rPr>
          <w:sz w:val="20"/>
          <w:szCs w:val="20"/>
          <w:color w:val="auto"/>
        </w:rPr>
      </w:pPr>
      <w:r>
        <w:rPr>
          <w:rFonts w:ascii="Arial" w:cs="Arial" w:eastAsia="Arial" w:hAnsi="Arial"/>
          <w:sz w:val="18"/>
          <w:szCs w:val="18"/>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201"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"Rating Agency"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 (62) of the Exchange Act, selected by the Company as a replacement agency for Fitch, Moody's or S&amp;P, or all of them, as the case may be.</w:t>
      </w:r>
    </w:p>
    <w:p>
      <w:pPr>
        <w:spacing w:after="0" w:line="16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"Reference Treasury Dealer" means at least two primary U.S. Government securities dealers selected by the Company, which may include any of Goldman Sachs &amp; Co. LLC, J.P. Morgan Securities LLC or Wells Fargo Securities, LLC, and each of their respective successors and affiliates. If any of the foregoing shall cease to be a primary U.S. Government securities dealer, the Company will substitute another nationally recognized investment banking firm that is a primary U.S. Government securities dealer.</w:t>
      </w:r>
    </w:p>
    <w:p>
      <w:pPr>
        <w:spacing w:after="0" w:line="19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"Reference Treasury Dealer Quotations" means, on any redemption date, the arithmetic average, as determined by the Company, of the bid and asked prices for the Comparable Treasury Issue (expressed in each case as a percentage of its principal amount) quoted in writing to the Company by each Reference Treasury Dealer at 3:30 p.m., New York City time, on the third business day preceding that redemption date.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"Restricted Subsidiary" shall mean each Subsidiary of the Company (1) that is organized or existing under the laws of the United States, any state thereof or the District of Columbia other than any such Subsidiary that is a direct or indirect Subsidiary of one or more Foreign Subsidiaries of the Company, (2) 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"S&amp;P" means S&amp;P Global Ratings, and any successor to its rating agency business.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170"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"Senior Officer" of any specified Person means the chief executive officer, any president, any vice president, the chief financial officer, the treasurer, any assistant treasurer, the secretary or any assistant secretary.</w:t>
      </w:r>
    </w:p>
    <w:p>
      <w:pPr>
        <w:spacing w:after="0" w:line="186"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94"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"Treasury Rate" means, with respect to any redemption date, the rate per annum equal to the semi-annual equivalent yield to maturity (computed as of the third business day immediately preceding that redemption date) of the Comparable Treasury Issue, assuming a price for the Comparable Treasury Issue (expressed as a percentage of its principal amount) equal to the Comparable Treasury Price for that redemption date.</w:t>
      </w:r>
    </w:p>
    <w:p>
      <w:pPr>
        <w:spacing w:after="0" w:line="16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will be an event of default under the Indenture for each series of notes:</w:t>
      </w:r>
    </w:p>
    <w:p>
      <w:pPr>
        <w:spacing w:after="0" w:line="239" w:lineRule="exact"/>
        <w:rPr>
          <w:sz w:val="20"/>
          <w:szCs w:val="20"/>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of that series when it becomes due and payable, and continuance of that default for a period of 30 days;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note of that series when due and payable;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by the Company to comply with the requirement to make an Offer to Purchase in connection with a Change of Control Triggering Event for 30 calendar days;</w:t>
      </w:r>
    </w:p>
    <w:p>
      <w:pPr>
        <w:spacing w:after="0" w:line="199"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holders of not less than 25% in principal amount of the outstanding notes of that series as provided in the Indenture; and</w:t>
      </w:r>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voluntary and involuntary events of bankruptcy, insolvency or reorganization of the Company.</w:t>
      </w:r>
    </w:p>
    <w:p>
      <w:pPr>
        <w:spacing w:after="0" w:line="225" w:lineRule="exact"/>
        <w:rPr>
          <w:sz w:val="20"/>
          <w:szCs w:val="20"/>
          <w:color w:val="auto"/>
        </w:rPr>
      </w:pPr>
    </w:p>
    <w:p>
      <w:pPr>
        <w:jc w:val="both"/>
        <w:ind w:right="560" w:firstLine="351"/>
        <w:spacing w:after="0" w:line="306" w:lineRule="auto"/>
        <w:rPr>
          <w:sz w:val="20"/>
          <w:szCs w:val="20"/>
          <w:color w:val="auto"/>
        </w:rPr>
      </w:pPr>
      <w:r>
        <w:rPr>
          <w:rFonts w:ascii="Arial" w:cs="Arial" w:eastAsia="Arial" w:hAnsi="Arial"/>
          <w:sz w:val="16"/>
          <w:szCs w:val="16"/>
          <w:color w:val="auto"/>
        </w:rPr>
        <w:t>No event of default with respect to a series of notes (except as to certain events of bankruptcy, insolvency or reorganization involving the Company) necessarily constitutes an event of default with respect to any other series of notes. The occurrence of certain events of default or an acceleration under the Indenture may constitute an event of default under certain of our other indebtedness outstanding from time to time.</w:t>
      </w:r>
    </w:p>
    <w:p>
      <w:pPr>
        <w:spacing w:after="0" w:line="16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an event of default with respect to notes of a series at the time outstanding occurs and is continuing, then the trustee or the holders of not less than 25% in principal amount of the outstanding notes of that series may, by a notice in writing to the Company (and to the trustee if given by the holders), declare to be due and payable immediately the principal of and accrued and unpaid interest, if any, on all notes of that series. In the case of an event of default resulting from certain events of bankruptcy, insolvency or reorganization, the principal of and accrued and unpaid interest, if any, on all outstanding notes of a series will become and be immediately due and payable without any declaration or other act on the part of the trustee or any holder of outstanding notes of such series. At any time after a declaration of acceleration with respect to notes of any series has been made, but before a judgment or decree for payment of the money due has been obtained by the trustee, the holders of a majority in principal amount of the outstanding notes of that series may rescind and annul the acceleration if all events of default, other than the non-payment of the principal and interest with respect to notes of that series which have become due solely by such declaration of acceleration, have been cured or waived as provided in the Indenture and the trustee's fees and expenses have been paid in full.</w:t>
      </w:r>
    </w:p>
    <w:p>
      <w:pPr>
        <w:spacing w:after="0" w:line="174"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of any series will have the right to direct the time, method and place of conducting any proceeding for any remedy available to the trustee or exercising any trust or power conferred on the trustee with respect to the notes of that series.</w:t>
      </w:r>
    </w:p>
    <w:p>
      <w:pPr>
        <w:spacing w:after="0" w:line="16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No holder of any note of any series will have any right to institute any proceeding, judicial or otherwise, with respect to the indenture or for the appointment of a receiver or trustee, or for any remedy under the indenture, unless:</w:t>
      </w:r>
    </w:p>
    <w:p>
      <w:pPr>
        <w:spacing w:after="0" w:line="186" w:lineRule="exact"/>
        <w:rPr>
          <w:sz w:val="20"/>
          <w:szCs w:val="20"/>
          <w:color w:val="auto"/>
        </w:rPr>
      </w:pPr>
    </w:p>
    <w:p>
      <w:pPr>
        <w:ind w:left="1240" w:hanging="341"/>
        <w:spacing w:after="0"/>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notes of that series; and</w:t>
      </w:r>
    </w:p>
    <w:p>
      <w:pPr>
        <w:spacing w:after="0" w:line="248" w:lineRule="exact"/>
        <w:rPr>
          <w:rFonts w:ascii="Arial" w:cs="Arial" w:eastAsia="Arial" w:hAnsi="Arial"/>
          <w:sz w:val="16"/>
          <w:szCs w:val="16"/>
          <w:color w:val="auto"/>
        </w:rPr>
      </w:pPr>
    </w:p>
    <w:p>
      <w:pPr>
        <w:ind w:left="540" w:right="160" w:firstLine="359"/>
        <w:spacing w:after="0" w:line="303" w:lineRule="auto"/>
        <w:tabs>
          <w:tab w:leader="none" w:pos="122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holders of not less than 25% in principal amount of the outstanding notes of that series have made written request, and offered reasonable indemnity, to the trustee to institute the proceeding as trustee, and after receipt of such request the trustee has not received from the holders of a majority in principal amount of the outstanding notes of that series a direction inconsistent with that request and has failed to institute the proceeding within</w:t>
      </w:r>
    </w:p>
    <w:p>
      <w:pPr>
        <w:spacing w:after="0" w:line="1"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60 days.</w:t>
      </w:r>
    </w:p>
    <w:p>
      <w:pPr>
        <w:spacing w:after="0" w:line="21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The Indenture provides that the trustee may withhold notice to the holders of notes of any series of any default or event of default (except in payment on any notes of that series) with respect to notes of that series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 or the trustee may amend or supplement the Indenture or the notes of one or more series without the consent of the holders of the outstanding notes under the Indenture:</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cure any ambiguity, defect or inconsistency under the Indenture or the notes of such series;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or successive successions and the assumption of the covenants, agreements and obligations of the Company by a successor;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guarantees with respect to notes of any series or secure notes of any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notes of any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notes of such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notes of any series as permitted by the Indenture;</w:t>
      </w:r>
    </w:p>
    <w:p>
      <w:pPr>
        <w:spacing w:after="0" w:line="261" w:lineRule="exact"/>
        <w:rPr>
          <w:rFonts w:ascii="Arial" w:cs="Arial" w:eastAsia="Arial" w:hAnsi="Arial"/>
          <w:sz w:val="16"/>
          <w:szCs w:val="16"/>
          <w:color w:val="auto"/>
        </w:rPr>
      </w:pPr>
    </w:p>
    <w:p>
      <w:pPr>
        <w:jc w:val="both"/>
        <w:ind w:left="1080" w:right="4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and provide for the acceptance of an appointment hereunder by a successor trustee with respect to the notes of one or more series and to add to or change any of the provisions of the indenture as shall be necessary to provide for or facilitate the administration of the trusts under the Indenture by more than one trustee;</w:t>
      </w:r>
    </w:p>
    <w:p>
      <w:pPr>
        <w:spacing w:after="0" w:line="207"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to, change or eliminate any provisions of the Indenture in accordance with the Trust Indenture Act, or to comply with the provisions of the DTC, Euroclear or Clearstream or the trustee with respect to provisions of the Indenture or the notes relating to transfers or exchanges of notes or beneficial interests in the notes; or</w:t>
      </w:r>
    </w:p>
    <w:p>
      <w:pPr>
        <w:spacing w:after="0" w:line="221"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conform any provision of the Indenture, insofar as it relates to a series of notes, to the description of such series of notes in this "Description of the Notes."</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the Company may modify and amend the Indenture as to all other matters with the consent of the holders of at least a majority in principal amount of the outstanding notes of each series affected by the modifications or amendments, provided however that the Company may not make any modification or amendment without the consent of the holders of each affected note then outstanding if that amendment:</w:t>
      </w:r>
    </w:p>
    <w:p>
      <w:pPr>
        <w:spacing w:after="0" w:line="208"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reduces the rates of or extends the time for payment of interest on any notes;</w:t>
      </w:r>
    </w:p>
    <w:p>
      <w:pPr>
        <w:spacing w:after="0" w:line="238" w:lineRule="exact"/>
        <w:rPr>
          <w:rFonts w:ascii="Arial" w:cs="Arial" w:eastAsia="Arial" w:hAnsi="Arial"/>
          <w:sz w:val="18"/>
          <w:szCs w:val="18"/>
          <w:color w:val="auto"/>
        </w:rPr>
      </w:pPr>
    </w:p>
    <w:p>
      <w:pPr>
        <w:ind w:left="5540" w:right="4900" w:hanging="4992"/>
        <w:spacing w:after="0" w:line="613"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reduces the principal amount of, or changes the stated maturity of, any notes; 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reduces the redemption price, including upon a Change of Control Triggering Event, of any notes or amends or modifies in any manner adverse to the holders thereof the Company's obligation to make such payments;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the currency of payment of principal, premium, if any, or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reduces the quorum requirements under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reduces the principal amount of notes whose holders must consent to an amendment, supplement or waiver;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adversely affects the ranking of the notes;</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waives any default or Event of Default in the payment of principal, premium, if any, or interest (except a rescission of acceleration of notes of any series by the holders of at least a majority in principal amount of the outstanding notes of such series and a waiver of the payment default that resulted from such acceleration)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impairs the right to institute suit for the enforcement of any payment on the notes.</w:t>
      </w:r>
    </w:p>
    <w:p>
      <w:pPr>
        <w:spacing w:after="0" w:line="225"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notes of any series may on behalf of the holders of all notes of that series waive the Company's compliance with provisions of the Indenture. The holders of a majority in principal amount of the outstanding notes of any series may on behalf of the holders of all the notes of such series waive any past default under the Indenture with respect to that series and its consequences, except a default in the payment of the principal of, any premium or any interest on any note of that series; provided, however, that the holders of a majority in principal amount of the outstanding notes of any series may rescind an acceleration and its consequences, including any related payment default that resulted from the acceleration.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Notes and Certain Covenants in Certain Circumstances</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i w:val="1"/>
          <w:iCs w:val="1"/>
          <w:color w:val="auto"/>
        </w:rPr>
        <w:t xml:space="preserve">Legal Defeasance. </w:t>
      </w:r>
      <w:r>
        <w:rPr>
          <w:rFonts w:ascii="Arial" w:cs="Arial" w:eastAsia="Arial" w:hAnsi="Arial"/>
          <w:sz w:val="16"/>
          <w:szCs w:val="16"/>
          <w:color w:val="auto"/>
        </w:rPr>
        <w:t>The Indenture provides that the Company may be discharged from any and all obligations in respect of the notes of any series (except</w:t>
      </w:r>
      <w:r>
        <w:rPr>
          <w:rFonts w:ascii="Arial" w:cs="Arial" w:eastAsia="Arial" w:hAnsi="Arial"/>
          <w:sz w:val="16"/>
          <w:szCs w:val="16"/>
          <w:i w:val="1"/>
          <w:iCs w:val="1"/>
          <w:color w:val="auto"/>
        </w:rPr>
        <w:t xml:space="preserve"> </w:t>
      </w:r>
      <w:r>
        <w:rPr>
          <w:rFonts w:ascii="Arial" w:cs="Arial" w:eastAsia="Arial" w:hAnsi="Arial"/>
          <w:sz w:val="16"/>
          <w:szCs w:val="16"/>
          <w:color w:val="auto"/>
        </w:rPr>
        <w:t>for certain obligations, including to register the transfer or exchange of notes of such series, to replace stolen, lost or mutilated notes of such series,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the notes of that series on the stated maturity of those payments in accordance with the terms of the Indenture and those notes.</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2920" w:val="left"/>
        </w:tabs>
        <w:rPr>
          <w:sz w:val="20"/>
          <w:szCs w:val="20"/>
          <w:color w:val="auto"/>
        </w:rPr>
      </w:pPr>
      <w:r>
        <w:rPr>
          <w:rFonts w:ascii="Arial" w:cs="Arial" w:eastAsia="Arial" w:hAnsi="Arial"/>
          <w:sz w:val="18"/>
          <w:szCs w:val="18"/>
          <w:i w:val="1"/>
          <w:iCs w:val="1"/>
          <w:color w:val="auto"/>
        </w:rPr>
        <w:t>Defeasance of Certain Covenants.</w:t>
      </w:r>
      <w:r>
        <w:rPr>
          <w:sz w:val="20"/>
          <w:szCs w:val="20"/>
          <w:color w:val="auto"/>
        </w:rPr>
        <w:tab/>
      </w:r>
      <w:r>
        <w:rPr>
          <w:rFonts w:ascii="Arial" w:cs="Arial" w:eastAsia="Arial" w:hAnsi="Arial"/>
          <w:sz w:val="16"/>
          <w:szCs w:val="16"/>
          <w:color w:val="auto"/>
        </w:rPr>
        <w:t>The Indenture provides that, upon compliance with certain conditions:</w:t>
      </w:r>
    </w:p>
    <w:p>
      <w:pPr>
        <w:spacing w:after="0" w:line="225" w:lineRule="exact"/>
        <w:rPr>
          <w:sz w:val="20"/>
          <w:szCs w:val="20"/>
          <w:color w:val="auto"/>
        </w:rPr>
      </w:pPr>
    </w:p>
    <w:p>
      <w:pPr>
        <w:ind w:left="540" w:right="160" w:firstLine="359"/>
        <w:spacing w:after="0" w:line="268" w:lineRule="auto"/>
        <w:tabs>
          <w:tab w:leader="none" w:pos="12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may omit to comply with the covenants described under the heading "—Certain Covenants" and "—Repurchase of Notes upon a Change of Control Triggering Event" and certain other covenants set forth in the Indenture; and</w:t>
      </w:r>
    </w:p>
    <w:p>
      <w:pPr>
        <w:spacing w:after="0" w:line="185" w:lineRule="exact"/>
        <w:rPr>
          <w:rFonts w:ascii="Arial" w:cs="Arial" w:eastAsia="Arial" w:hAnsi="Arial"/>
          <w:sz w:val="18"/>
          <w:szCs w:val="18"/>
          <w:color w:val="auto"/>
        </w:rPr>
      </w:pPr>
    </w:p>
    <w:p>
      <w:pPr>
        <w:ind w:left="540" w:right="780" w:firstLine="359"/>
        <w:spacing w:after="0" w:line="268" w:lineRule="auto"/>
        <w:tabs>
          <w:tab w:leader="none" w:pos="12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notes of that series ("covenant defeasance").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conditions include:</w:t>
      </w:r>
    </w:p>
    <w:p>
      <w:pPr>
        <w:spacing w:after="0" w:line="225" w:lineRule="exact"/>
        <w:rPr>
          <w:sz w:val="20"/>
          <w:szCs w:val="20"/>
          <w:color w:val="auto"/>
        </w:rPr>
      </w:pPr>
    </w:p>
    <w:p>
      <w:pPr>
        <w:ind w:left="540" w:right="40" w:firstLine="359"/>
        <w:spacing w:after="0" w:line="256" w:lineRule="auto"/>
        <w:tabs>
          <w:tab w:leader="none" w:pos="12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of that series on the stated maturity of those payments in accordance with the terms of the Indenture and those notes; and</w:t>
      </w:r>
    </w:p>
    <w:p>
      <w:pPr>
        <w:spacing w:after="0" w:line="197" w:lineRule="exact"/>
        <w:rPr>
          <w:rFonts w:ascii="Arial" w:cs="Arial" w:eastAsia="Arial" w:hAnsi="Arial"/>
          <w:sz w:val="18"/>
          <w:szCs w:val="18"/>
          <w:color w:val="auto"/>
        </w:rPr>
      </w:pPr>
    </w:p>
    <w:p>
      <w:pPr>
        <w:ind w:left="540" w:firstLine="359"/>
        <w:spacing w:after="0" w:line="256" w:lineRule="auto"/>
        <w:tabs>
          <w:tab w:leader="none" w:pos="12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delivering to the trustee an opinion of counsel stating that the holders of the notes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97" w:lineRule="exact"/>
        <w:rPr>
          <w:sz w:val="20"/>
          <w:szCs w:val="20"/>
          <w:color w:val="auto"/>
        </w:rPr>
      </w:pPr>
    </w:p>
    <w:p>
      <w:pPr>
        <w:ind w:right="200" w:firstLine="351"/>
        <w:spacing w:after="0" w:line="370" w:lineRule="auto"/>
        <w:rPr>
          <w:sz w:val="20"/>
          <w:szCs w:val="20"/>
          <w:color w:val="auto"/>
        </w:rPr>
      </w:pPr>
      <w:r>
        <w:rPr>
          <w:rFonts w:ascii="Arial" w:cs="Arial" w:eastAsia="Arial" w:hAnsi="Arial"/>
          <w:sz w:val="15"/>
          <w:szCs w:val="15"/>
          <w:i w:val="1"/>
          <w:iCs w:val="1"/>
          <w:color w:val="auto"/>
        </w:rPr>
        <w:t xml:space="preserve">Covenant Defeasance and Events of Default. </w:t>
      </w:r>
      <w:r>
        <w:rPr>
          <w:rFonts w:ascii="Arial" w:cs="Arial" w:eastAsia="Arial" w:hAnsi="Arial"/>
          <w:sz w:val="15"/>
          <w:szCs w:val="15"/>
          <w:color w:val="auto"/>
        </w:rPr>
        <w:t>In the event the Company exercises its option to effect covenant defeasance with respect to any series of</w:t>
      </w:r>
      <w:r>
        <w:rPr>
          <w:rFonts w:ascii="Arial" w:cs="Arial" w:eastAsia="Arial" w:hAnsi="Arial"/>
          <w:sz w:val="15"/>
          <w:szCs w:val="15"/>
          <w:i w:val="1"/>
          <w:iCs w:val="1"/>
          <w:color w:val="auto"/>
        </w:rPr>
        <w:t xml:space="preserve"> </w:t>
      </w:r>
      <w:r>
        <w:rPr>
          <w:rFonts w:ascii="Arial" w:cs="Arial" w:eastAsia="Arial" w:hAnsi="Arial"/>
          <w:sz w:val="15"/>
          <w:szCs w:val="15"/>
          <w:color w:val="auto"/>
        </w:rPr>
        <w:t>notes and the notes of that series are declared due and payable because of the occurrence of any event of default, the amount of money and/or U.S. Government</w:t>
      </w:r>
    </w:p>
    <w:p>
      <w:pPr>
        <w:spacing w:after="0" w:line="11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Obligations on deposit with the trustee should be sufficient to pay amounts due on the notes of that series at the time of their stated maturity but may not be sufficient to pay amounts due on the notes of that series at the time of the acceleration resulting from the event of default. However, the Company shall remain liable for those payments.</w:t>
      </w:r>
    </w:p>
    <w:p>
      <w:pPr>
        <w:spacing w:after="0" w:line="19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has the right at any time to satisfy and discharge its obligations, other than certain specified obligations, under all notes of a series under the Indenture by depositing in trust with the trustee money and/or U.S. Government Obligations. The Company's exercise of this right is subject to certain conditions including that either (1) all notes of a series under the Indenture (subject to certain exceptions) have been delivered to the trustee for cancellation or (2) all notes of a series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such deposit is sufficient (as determined by the Company), for the purpose of paying and discharging each installment of principal of and interest on all the notes of a series on the dates such installments of principal or interest are due, all the obligations of the Company under the Indenture with respect to such notes of a series will be discharged and terminated except as otherwise provided in the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 Denomination and Delivery of Notes</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notes of each series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139"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Neither the trustee nor the Company is required (i) to issue, register the transfer of or exchange any note of any series for a period of 15 days before the sending of a notice of redemption of notes of such series to be redeemed or the making of an Offer to Purchase applicable to such series, (ii) to register the transfer of or exchange any note of any series so selected for redemption or subject to purchase in an Offer to Purchase in whole or in part, except, in the case of a partial redemption or purchase, that portion of any of the notes of such series not being redeemed or purchased, or (iii) if a redemption or a purchase pursuant to an Offer to Purchase with respect to a series of notes is to occur after a regular record date but on or before the corresponding interest payment date applicable to such series of notes, to register the transfer or exchange of any note of such series on or after the regular record date and before the date of such redemption or purchase.</w:t>
      </w:r>
    </w:p>
    <w:p>
      <w:pPr>
        <w:spacing w:after="0" w:line="20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Depository Procedures</w:t>
      </w:r>
    </w:p>
    <w:p>
      <w:pPr>
        <w:spacing w:after="0" w:line="225" w:lineRule="exact"/>
        <w:rPr>
          <w:sz w:val="20"/>
          <w:szCs w:val="20"/>
          <w:color w:val="auto"/>
        </w:rPr>
      </w:pPr>
    </w:p>
    <w:p>
      <w:pPr>
        <w:ind w:right="320" w:firstLine="348"/>
        <w:spacing w:after="0" w:line="335" w:lineRule="auto"/>
        <w:rPr>
          <w:sz w:val="20"/>
          <w:szCs w:val="20"/>
          <w:color w:val="auto"/>
        </w:rPr>
      </w:pPr>
      <w:r>
        <w:rPr>
          <w:rFonts w:ascii="Arial" w:cs="Arial" w:eastAsia="Arial" w:hAnsi="Arial"/>
          <w:sz w:val="15"/>
          <w:szCs w:val="15"/>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142"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initial purchasers),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also advised the Company that, pursuant to procedures established by it:</w:t>
      </w:r>
    </w:p>
    <w:p>
      <w:pPr>
        <w:spacing w:after="0" w:line="239" w:lineRule="exact"/>
        <w:rPr>
          <w:sz w:val="20"/>
          <w:szCs w:val="20"/>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21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Investors in the U.S. global note who are Participants may hold their interests therein directly through DTC. Investors in the U.S. global note who are not Participants may hold their interests therein indirectly through organizations (including Euroclear and Clearstream) that are Participants. Euroclear and Clearstream will hold interests in the offshore global note on behalf of their participants through customers' securities accounts in their respective names on the books of their respective depositories, which in turn hold such interests 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75" w:lineRule="exact"/>
        <w:rPr>
          <w:sz w:val="20"/>
          <w:szCs w:val="20"/>
          <w:color w:val="auto"/>
        </w:rPr>
      </w:pPr>
    </w:p>
    <w:p>
      <w:pPr>
        <w:jc w:val="both"/>
        <w:ind w:right="120" w:firstLine="351"/>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3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Payments in respect of the principal of, and interest and premium, if any, on a global note registered in the name of DTC or its nominee will be payable to DTC in its capacity as the registered holder under the Indenture.</w:t>
      </w:r>
    </w:p>
    <w:p>
      <w:pPr>
        <w:spacing w:after="0" w:line="186"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securities registrar, nor any agent of the Company, the trustee or the securities registrar has or will have any responsibility or liability for:</w:t>
      </w:r>
    </w:p>
    <w:p>
      <w:pPr>
        <w:spacing w:after="0" w:line="174" w:lineRule="exact"/>
        <w:rPr>
          <w:sz w:val="20"/>
          <w:szCs w:val="20"/>
          <w:color w:val="auto"/>
        </w:rPr>
      </w:pPr>
    </w:p>
    <w:p>
      <w:pPr>
        <w:ind w:left="1080" w:right="16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jc w:val="both"/>
        <w:ind w:right="420" w:firstLine="351"/>
        <w:spacing w:after="0" w:line="298" w:lineRule="auto"/>
        <w:rPr>
          <w:sz w:val="20"/>
          <w:szCs w:val="20"/>
          <w:color w:val="auto"/>
        </w:rPr>
      </w:pPr>
      <w:r>
        <w:rPr>
          <w:rFonts w:ascii="Arial" w:cs="Arial" w:eastAsia="Arial" w:hAnsi="Arial"/>
          <w:sz w:val="16"/>
          <w:szCs w:val="16"/>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167"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67"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Although DTC, Euroclear and Clearstream have agreed to the foregoing procedures to facilitate transfers of interests in the U.S. global note and the offshore global note among participants in DTC, Euroclear and Clearstream they are 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Global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Global notes will be deposited with a custodian for DTC, and registered in the name of a nominee of DTC.</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 in a global note will be able to transfer such interest except in accordance with DTC's applicable procedures and the applicable procedures of its direct and indirect participants.</w:t>
      </w:r>
    </w:p>
    <w:p>
      <w:pPr>
        <w:spacing w:after="0" w:line="167"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225" w:lineRule="exact"/>
        <w:rPr>
          <w:sz w:val="20"/>
          <w:szCs w:val="20"/>
          <w:color w:val="auto"/>
        </w:rPr>
      </w:pPr>
    </w:p>
    <w:p>
      <w:pPr>
        <w:jc w:val="both"/>
        <w:ind w:right="340" w:firstLine="351"/>
        <w:spacing w:after="0" w:line="335" w:lineRule="auto"/>
        <w:rPr>
          <w:sz w:val="20"/>
          <w:szCs w:val="20"/>
          <w:color w:val="auto"/>
        </w:rPr>
      </w:pPr>
      <w:r>
        <w:rPr>
          <w:rFonts w:ascii="Arial" w:cs="Arial" w:eastAsia="Arial" w:hAnsi="Arial"/>
          <w:sz w:val="15"/>
          <w:szCs w:val="15"/>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Same Day Settlement and Payment</w:t>
      </w:r>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Indenture will require that payments in respect of the notes represented by the global notes be made by wire transfer of immediately available funds to the accounts specified by holders of the global notes. With respect to notes in certificated form, the Company will make all payments by:</w:t>
      </w:r>
    </w:p>
    <w:p>
      <w:pPr>
        <w:spacing w:after="0" w:line="153"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252"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notes represented by the global notes are expected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will receive notices at their addresses as they appear in the security register or in accordance with DTC's applicable procedures.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Company may treat the Person in whose name a Note is registered on the applicable record date as the owner of the Note for all purposes, whether or not it is overdue.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None of the Company's past, present or future directors, officers, employees or stockholders, as such, will have any liability for any of the Company's obligations under the notes of a series or the Indenture or for any claim based on, or in respect or by reason of, such obligations or their creation. By accepting a note, each holder waives and releases all such liability. This waiver and release is part of the consideration for the issue of the notes of each series. However, this waiver and release may not be effective to waive liabilities under U.S. federal securities laws,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law will govern the Indenture and each series of the notes.</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Indenture provides that the Company, the trustee and the holders of the notes of each series (by their acceptance of the notes of such series) irrevocably waive, to the fullest extent permitted by applicable law, any and all right to trial by jury in any legal proceeding arising out of or relating to the Indenture, the notes of such series or the transactions contemplated thereby.</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Indenture provides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the Company, the trustee and the holder of the notes of each series (by their acceptance of the notes of such series) irrevocably submit to the non-exclusive jurisdiction of such courts in any such suit, action or proceeding. The Indenture further provides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further provides that the Company, the trustee and the holders of the notes of each series (by their acceptance of the notes of such series)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31"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U.S. Bank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139"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If an event of default occurs under the Indenture with respect to a series of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of a series only after those holders have offered (and, if requested, provided) the trustee indemnity or security satisfactory to it.</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240" w:firstLine="348"/>
        <w:spacing w:after="0" w:line="291" w:lineRule="auto"/>
        <w:rPr>
          <w:sz w:val="20"/>
          <w:szCs w:val="20"/>
          <w:color w:val="auto"/>
        </w:rPr>
      </w:pPr>
      <w:r>
        <w:rPr>
          <w:rFonts w:ascii="Arial" w:cs="Arial" w:eastAsia="Arial" w:hAnsi="Arial"/>
          <w:sz w:val="16"/>
          <w:szCs w:val="16"/>
          <w:color w:val="auto"/>
        </w:rPr>
        <w:t>This section is a discussion of the material U.S. federal income tax consequences relating to the purchase, ownership, and disposition of the notes. This summary does not provide a complete analysis of all potential tax considerations. The information provided below is based on the Internal Revenue Code of 1986, as amended, or the Code, and Treasury regulations, rulings and judicial decisions as of the date hereof, all of which are subject to change or differing interpretations, possibly with retroactive effect. There can be no assurances that the Internal Revenue Service, or the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5"/>
          <w:szCs w:val="15"/>
          <w:color w:val="auto"/>
        </w:rPr>
        <w:t>The summary generally applies only to beneficial owners of the notes that purchase their notes in this offering for an amount equal to the issue price of the notes, which is the first price at which a substantial amount of the notes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former citizens or long-term residents of the United States, controlled foreign corporations, passive foreign investment companies,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Finally, the summary does not describe the effects of any other U.S. federal tax laws such as the Medicare contribution tax on net investment income or estate and gift tax laws or the effects of any applicable non-U.S., state or local laws.</w:t>
      </w:r>
    </w:p>
    <w:p>
      <w:pPr>
        <w:spacing w:after="0" w:line="16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 (x) is subject to the primary supervision of a U.S. court and the control of one of more U.S. persons or (y) has a valid election in effect under applicable U.S. Treasury regulations to be treated as a U.S. person.</w:t>
      </w:r>
    </w:p>
    <w:p>
      <w:pPr>
        <w:spacing w:after="0" w:line="170"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 "non-U.S. holder" is a beneficial owner of a note (other than a partnership or an entity or arrangement (domestic or foreign) that is treated as a partnership for U.S. federal income tax purposes) that is not a U.S. holder. If a partnership (including any entity or arrangement (domestic or foreign) that is treated as a partnership for U.S. federal income tax purposes) is a beneficial owner of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note, the tax treatment of a partner in the partnership will depend upon the status of the partner and the activities of the partnership. A beneficial owner of a note that is a partnership, and partners in such partnership, should consult their own tax advisors about the U.S. federal income tax consequences of purchasing, owning and disposing of the notes.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Additional payments</w:t>
      </w:r>
    </w:p>
    <w:p>
      <w:pPr>
        <w:spacing w:after="0" w:line="225"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We may be required to make payments to holders of the notes in addition to payments of principal and stated interest. We believe there is only a remote possibility that we would be required to make any of these additional payments, that any of such additional payments, if made, would be an incidental amount, or that the possibility of such payments is otherwise disregarded for purposes of rules governing certain contingent payment debt instruments. Therefore, we do not intend to treat the notes as subject to the special rules governing certain contingent payment debt instruments. Our determination in this regard, while not binding on the IRS, is binding on U.S. holders unless they disclose their contrary position. If the IRS successfully asserted that the notes are subject to the rules governing certain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225"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 U.S. holder will be required to recognize as ordinary income any stated interest paid or accrued on the notes, in accordance with such holder's regular method of tax accounting.</w:t>
      </w:r>
    </w:p>
    <w:p>
      <w:pPr>
        <w:spacing w:after="0" w:line="18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general, if the terms of a debt instrument entitle a holder to receive payments (other than fixed periodic interest) that exceed the issue price of the instrument by more than a statutorily defined de minimis amount, the U.S. holder will be required to include such excess in income as "original issue discount" over the term of the instrument, irrespective of the U.S. holder's regular method of tax accounting. We expect, and the discussion below assumes, that the notes will not be issued with original issue discount for U.S. federal income tax purposes.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 exchange, redemption, retirement or other disposition of the notes</w:t>
      </w:r>
    </w:p>
    <w:p>
      <w:pPr>
        <w:spacing w:after="0" w:line="225" w:lineRule="exact"/>
        <w:rPr>
          <w:sz w:val="20"/>
          <w:szCs w:val="20"/>
          <w:color w:val="auto"/>
        </w:rPr>
      </w:pPr>
    </w:p>
    <w:p>
      <w:pPr>
        <w:ind w:right="60" w:firstLine="341"/>
        <w:spacing w:after="0" w:line="286" w:lineRule="auto"/>
        <w:rPr>
          <w:sz w:val="20"/>
          <w:szCs w:val="20"/>
          <w:color w:val="auto"/>
        </w:rPr>
      </w:pPr>
      <w:r>
        <w:rPr>
          <w:rFonts w:ascii="Arial" w:cs="Arial" w:eastAsia="Arial" w:hAnsi="Arial"/>
          <w:sz w:val="16"/>
          <w:szCs w:val="16"/>
          <w:color w:val="auto"/>
        </w:rPr>
        <w:t>A U.S. holder generally will recognize taxable gain or loss if the holder disposes of a note in a sale, exchange, redemption, retirement or other taxable disposition, including discharges and certain legal defeasances of the notes within one year of maturity or redemption, as described under "Description of the Notes—Defeasance of Notes and Certain Covenants in Certain Circumstances—Legal Defeasance" and "Description of the Notes—Satisfaction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the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Subject to the discussion below under "—Income or gains effectively connected with a U.S. trade or business," payments of interest to non-U.S. holders are generally subject to U.S. federal income tax at a rate of 30% (or a reduced or zero rate under the terms of an applicable income tax treaty between the United States and the non-U.S. holder's country of residence), collected by means of withholding by the payer. Payments of interest on the notes to most non-U.S. holders, however, will qualify as "portfolio interest," and thus will be exempt from U.S. federal income tax, including withholding of such tax, if the non-U.S. holders certify their nonresident status as described below, subject to the discussions below under "—Legislation and guidance relating to foreign accounts" and "—Backup withholding and information reporting". The portfolio interest exemption will not apply to payments of interest to a non-U.S. holder that:</w:t>
      </w:r>
    </w:p>
    <w:p>
      <w:pPr>
        <w:spacing w:after="0" w:line="188" w:lineRule="exact"/>
        <w:rPr>
          <w:sz w:val="20"/>
          <w:szCs w:val="20"/>
          <w:color w:val="auto"/>
        </w:rPr>
      </w:pPr>
    </w:p>
    <w:p>
      <w:pPr>
        <w:ind w:left="1080" w:right="3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owns, actually or constructively (applying certain attribution rules), shares of our stock representing at least 10% of the total combined voting power of all classes of our stock entitled to vote; or</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 a "controlled foreign corporation" within the meaning of Section 957(a) of the Code that is related, directly or indirectly, to us through sufficient stock ownership.</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In general, a foreign corporation is a controlled foreign corporation if more than 50% of its stock (by vote or value) is owned, actually or constructively, by one or more U.S. persons that each owns, actually or constructively, at least 10% of the corporation's stock (by vote or value).</w:t>
      </w:r>
    </w:p>
    <w:p>
      <w:pPr>
        <w:spacing w:after="0" w:line="139"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form to us or our paying agent prior to the payment. If the non-U.S. holder holds the note through a financial institution or other agent acting on the holder's behalf, the holder will be required to provide appropriate documentation to the agent. The non-U.S. holder's agent will then be required to provide certification to us or our paying agent, either directly or through other intermediaries.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 exchange, redemption, retirement or other disposition of the notes</w:t>
      </w:r>
    </w:p>
    <w:p>
      <w:pPr>
        <w:spacing w:after="0" w:line="225"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Subject to the discussion below under "—Backup withholding and information reporting," non-U.S. holders generally will not be subject to U.S. federal income or withholding tax on any gain realized on the sale, exchange, redemption, retirement or other disposition of notes (other than with respect to payments attributable to accrued but unpaid interest, which will be taxed as described under "—Taxation of interest" above). This general rule, however, is subject to several exceptions. For example, the gain would be subject to U.S. federal income tax if:</w:t>
      </w:r>
    </w:p>
    <w:p>
      <w:pPr>
        <w:spacing w:after="0" w:line="180" w:lineRule="exact"/>
        <w:rPr>
          <w:sz w:val="20"/>
          <w:szCs w:val="20"/>
          <w:color w:val="auto"/>
        </w:rPr>
      </w:pPr>
    </w:p>
    <w:p>
      <w:pPr>
        <w:ind w:left="1080" w:right="120" w:hanging="532"/>
        <w:spacing w:after="0" w:line="306"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"—Income or gains effectively connected with a U.S. trade or business;" or</w:t>
      </w:r>
    </w:p>
    <w:p>
      <w:pPr>
        <w:spacing w:after="0" w:line="174"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would be subject to a flat 30% tax, even though the individual is not considered a resident of the United States.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or gains effectively connected with a U.S. trade or business</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disposition of the notes is effectively connected with a U.S. trade or business conducted by the non-U.S. holder, then the income or gain will be subject to U.S. federal income tax on a net income basis at the regular graduated rates and generally in the same manner applicable to U.S. holders. If the non-U.S. holder is eligible for the benefits of a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Code and the Treasury regulations require those who make specified payments to report the payments to the IRS. Among the specified payments are interest and proceeds from a sale or other disposition of the notes paid by brokers to their customers. This reporting regime is reinforced by "backup withholding" rules, which require the payer to withhold from payments subject to information reporting if the recipient has failed to provide a correct taxpayer identification number to the payer, furnished an incorrect identification number, or repeatedly failed to report interest or dividends on tax returns. The backup withholding rate is currently 24%.</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Payments of interest to U.S. holders generally will be subject to information reporting, and generally will be subject to backup withholding, unless the holder</w:t>
      </w:r>
    </w:p>
    <w:p>
      <w:pPr>
        <w:spacing w:after="0" w:line="38" w:lineRule="exact"/>
        <w:rPr>
          <w:sz w:val="20"/>
          <w:szCs w:val="20"/>
          <w:color w:val="auto"/>
        </w:rPr>
      </w:pPr>
    </w:p>
    <w:p>
      <w:pPr>
        <w:jc w:val="both"/>
        <w:ind w:right="140" w:firstLine="8"/>
        <w:spacing w:after="0" w:line="295" w:lineRule="auto"/>
        <w:tabs>
          <w:tab w:leader="none" w:pos="2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is an exempt payee, such as a corporation, or (2) provides the payer with a correct taxpayer identification number and complies with applicable certification requirements. Payments made to U.S. holders by a broker upon a sale or other disposition of notes will generally be subject to information reporting and backup withholding. If the sale is made through a foreign office of a foreign broker, however, the sale will generally not be subject to either information reporting or backup withholding. This exception may not apply if the foreign broker is owned or controlled by U.S. persons, or is engaged in a U.S. trade or business.</w:t>
      </w:r>
    </w:p>
    <w:p>
      <w:pPr>
        <w:spacing w:after="0" w:line="169"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must report annually to the IRS the interest paid to each non-U.S. holder and the tax withheld, if any, with respect to such interest, including any tax withheld pursuant to the rules described under "Non-U.S. Holders—Taxation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amounts withheld from a payment to a U.S. holder or non-U.S. holder of notes under the backup withholding rules generally can be credited against any U.S. federal income tax liability of the holder, provided the required information is timely furnished to the IRS.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Legislation and Guidance Relating to Foreign Accounts</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Legislation and administrative guidance incorporating provisions referred to as the Foreign Account Tax Compliance Act, or FATCA, imposes a U.S. federal withholding tax on certain types of payments made to "foreign financial institutions" and certain other "non-financial foreign entities" as defined in the Code and applicable regulations. "Foreign financial institution" is defined to include, in addition to banks and traditional financial institutions, entities such as investment funds and certain holding companies. FATCA generally imposes a U.S. federal withholding tax of 30% on U.S. source interest income on a note and the gross proceeds of a disposition of a note paid to a foreign financial institution or other non-financial foreign entity (whether as beneficial owner or intermediary), unless</w:t>
      </w:r>
    </w:p>
    <w:p>
      <w:pPr>
        <w:spacing w:after="0" w:line="2" w:lineRule="exact"/>
        <w:rPr>
          <w:sz w:val="20"/>
          <w:szCs w:val="20"/>
          <w:color w:val="auto"/>
        </w:rPr>
      </w:pPr>
    </w:p>
    <w:p>
      <w:pPr>
        <w:ind w:right="140" w:firstLine="8"/>
        <w:spacing w:after="0" w:line="281" w:lineRule="auto"/>
        <w:tabs>
          <w:tab w:leader="none" w:pos="21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w:t>
      </w:r>
    </w:p>
    <w:p>
      <w:pPr>
        <w:spacing w:after="0" w:line="1" w:lineRule="exact"/>
        <w:rPr>
          <w:rFonts w:ascii="Arial" w:cs="Arial" w:eastAsia="Arial" w:hAnsi="Arial"/>
          <w:sz w:val="16"/>
          <w:szCs w:val="16"/>
          <w:color w:val="auto"/>
        </w:rPr>
      </w:pPr>
    </w:p>
    <w:p>
      <w:pPr>
        <w:ind w:firstLine="8"/>
        <w:spacing w:after="0" w:line="287" w:lineRule="auto"/>
        <w:tabs>
          <w:tab w:leader="none" w:pos="307"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exemption otherwise applies or (iv)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the notes, which may be relied upon by taxpayers until final regulations are issued. Prospective investors should consult their tax advisors regarding FATCA.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jc w:val="both"/>
        <w:ind w:right="120" w:firstLine="351"/>
        <w:spacing w:after="0" w:line="335" w:lineRule="auto"/>
        <w:rPr>
          <w:sz w:val="20"/>
          <w:szCs w:val="20"/>
          <w:color w:val="auto"/>
        </w:rPr>
      </w:pPr>
      <w:r>
        <w:rPr>
          <w:rFonts w:ascii="Arial" w:cs="Arial" w:eastAsia="Arial" w:hAnsi="Arial"/>
          <w:sz w:val="15"/>
          <w:szCs w:val="15"/>
          <w:color w:val="auto"/>
        </w:rPr>
        <w:t>Subject to the terms and conditions stated in the underwriting agreement dated as of this prospectus supplement, each underwriter named below, for whom Goldman Sachs &amp; Co. LLC, J.P. Morgan Securities LLC and Wells Fargo Securities, LLC are acting as representatives, has severally agreed to purchase, and we have agreed to sell to that underwriter, the aggregate principal amount of notes set forth opposite the underwriter's name in the following table:</w:t>
      </w:r>
    </w:p>
    <w:p>
      <w:pPr>
        <w:spacing w:after="0" w:line="12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61"/>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20  Notes</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20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820" w:type="dxa"/>
            <w:vAlign w:val="bottom"/>
            <w:gridSpan w:val="2"/>
            <w:shd w:val="clear" w:color="auto" w:fill="CCEEFF"/>
          </w:tcPr>
          <w:p>
            <w:pPr>
              <w:jc w:val="right"/>
              <w:ind w:right="67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77"/>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ind w:right="65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16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jc w:val="center"/>
        <w:ind w:right="180"/>
        <w:spacing w:after="0" w:line="283" w:lineRule="auto"/>
        <w:rPr>
          <w:sz w:val="20"/>
          <w:szCs w:val="20"/>
          <w:color w:val="auto"/>
        </w:rPr>
      </w:pPr>
      <w:r>
        <w:rPr>
          <w:rFonts w:ascii="Arial" w:cs="Arial" w:eastAsia="Arial" w:hAnsi="Arial"/>
          <w:sz w:val="16"/>
          <w:szCs w:val="16"/>
          <w:color w:val="auto"/>
        </w:rPr>
        <w:t>The underwriters propose to offer the notes directly to the public at the public offering prices set forth on the cover page of this prospectus supplement and some of the notes to dealers at the public offering price less a concession not to exceed    % of the principal amount of the 20  notes and  % of the principal amount of the 20  notes. The underwriters may allow, and any such dealer may reallow, a concession not to exceed    % of the principal amount of the 20 notes and    % of the principal amount of the 20  notes. After the initial offering of the notes to the public, the representatives may change the public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offering price and other selling terms.</w:t>
      </w:r>
    </w:p>
    <w:p>
      <w:pPr>
        <w:spacing w:after="0" w:line="21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 and in total).</w:t>
      </w:r>
    </w:p>
    <w:p>
      <w:pPr>
        <w:spacing w:after="0" w:line="16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3"/>
          </w:tcPr>
          <w:p>
            <w:pPr>
              <w:ind w:left="100"/>
              <w:spacing w:after="0"/>
              <w:rPr>
                <w:sz w:val="20"/>
                <w:szCs w:val="20"/>
                <w:color w:val="auto"/>
              </w:rPr>
            </w:pPr>
            <w:r>
              <w:rPr>
                <w:rFonts w:ascii="Arial" w:cs="Arial" w:eastAsia="Arial" w:hAnsi="Arial"/>
                <w:sz w:val="14"/>
                <w:szCs w:val="14"/>
                <w:b w:val="1"/>
                <w:bCs w:val="1"/>
                <w:color w:val="auto"/>
              </w:rPr>
              <w:t>Paid by Micron</w:t>
            </w:r>
          </w:p>
        </w:tc>
      </w:tr>
      <w:tr>
        <w:trPr>
          <w:trHeight w:val="161"/>
        </w:trPr>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w w:val="90"/>
              </w:rPr>
              <w:t>Technology, Inc.</w:t>
            </w:r>
          </w:p>
        </w:tc>
        <w:tc>
          <w:tcPr>
            <w:tcW w:w="1740" w:type="dxa"/>
            <w:vAlign w:val="bottom"/>
            <w:gridSpan w:val="2"/>
          </w:tcPr>
          <w:p>
            <w:pPr>
              <w:spacing w:after="0"/>
              <w:rPr>
                <w:sz w:val="14"/>
                <w:szCs w:val="14"/>
                <w:color w:val="auto"/>
              </w:rPr>
            </w:pPr>
          </w:p>
        </w:tc>
      </w:tr>
      <w:tr>
        <w:trPr>
          <w:trHeight w:val="210"/>
        </w:trPr>
        <w:tc>
          <w:tcPr>
            <w:tcW w:w="136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Per 20</w:t>
            </w:r>
          </w:p>
        </w:tc>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20</w:t>
            </w:r>
          </w:p>
        </w:tc>
        <w:tc>
          <w:tcPr>
            <w:tcW w:w="6340" w:type="dxa"/>
            <w:vAlign w:val="bottom"/>
            <w:gridSpan w:val="2"/>
          </w:tcPr>
          <w:p>
            <w:pPr>
              <w:ind w:left="100"/>
              <w:spacing w:after="0"/>
              <w:rPr>
                <w:sz w:val="20"/>
                <w:szCs w:val="20"/>
                <w:color w:val="auto"/>
              </w:rPr>
            </w:pPr>
            <w:r>
              <w:rPr>
                <w:rFonts w:ascii="Arial" w:cs="Arial" w:eastAsia="Arial" w:hAnsi="Arial"/>
                <w:sz w:val="18"/>
                <w:szCs w:val="18"/>
                <w:color w:val="auto"/>
              </w:rPr>
              <w:t>Notes Total</w:t>
            </w:r>
          </w:p>
        </w:tc>
        <w:tc>
          <w:tcPr>
            <w:tcW w:w="1220" w:type="dxa"/>
            <w:vAlign w:val="bottom"/>
            <w:gridSpan w:val="2"/>
          </w:tcPr>
          <w:p>
            <w:pPr>
              <w:jc w:val="right"/>
              <w:ind w:right="92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Per 20</w:t>
            </w:r>
          </w:p>
        </w:tc>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8"/>
                <w:szCs w:val="18"/>
                <w:color w:val="auto"/>
              </w:rPr>
            </w:pPr>
          </w:p>
        </w:tc>
      </w:tr>
      <w:tr>
        <w:trPr>
          <w:trHeight w:val="222"/>
        </w:trPr>
        <w:tc>
          <w:tcPr>
            <w:tcW w:w="13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20</w:t>
            </w:r>
          </w:p>
        </w:tc>
        <w:tc>
          <w:tcPr>
            <w:tcW w:w="6340" w:type="dxa"/>
            <w:vAlign w:val="bottom"/>
            <w:gridSpan w:val="2"/>
          </w:tcPr>
          <w:p>
            <w:pPr>
              <w:ind w:left="100"/>
              <w:spacing w:after="0"/>
              <w:rPr>
                <w:sz w:val="20"/>
                <w:szCs w:val="20"/>
                <w:color w:val="auto"/>
              </w:rPr>
            </w:pPr>
            <w:r>
              <w:rPr>
                <w:rFonts w:ascii="Arial" w:cs="Arial" w:eastAsia="Arial" w:hAnsi="Arial"/>
                <w:sz w:val="18"/>
                <w:szCs w:val="18"/>
                <w:color w:val="auto"/>
              </w:rPr>
              <w:t>Notes Total</w:t>
            </w:r>
          </w:p>
        </w:tc>
        <w:tc>
          <w:tcPr>
            <w:tcW w:w="1220" w:type="dxa"/>
            <w:vAlign w:val="bottom"/>
            <w:gridSpan w:val="2"/>
          </w:tcPr>
          <w:p>
            <w:pPr>
              <w:jc w:val="right"/>
              <w:ind w:right="92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4"/>
        </w:trPr>
        <w:tc>
          <w:tcPr>
            <w:tcW w:w="7960" w:type="dxa"/>
            <w:vAlign w:val="bottom"/>
            <w:gridSpan w:val="4"/>
          </w:tcPr>
          <w:p>
            <w:pPr>
              <w:spacing w:after="0"/>
              <w:rPr>
                <w:sz w:val="20"/>
                <w:szCs w:val="20"/>
                <w:color w:val="auto"/>
              </w:rPr>
            </w:pPr>
            <w:r>
              <w:rPr>
                <w:rFonts w:ascii="Arial" w:cs="Arial" w:eastAsia="Arial" w:hAnsi="Arial"/>
                <w:sz w:val="18"/>
                <w:szCs w:val="18"/>
                <w:color w:val="auto"/>
                <w:w w:val="90"/>
              </w:rPr>
              <w:t>We estimate that our total expenses for this offering, other than underwriting discounts, will be approximately $</w:t>
            </w:r>
          </w:p>
        </w:tc>
        <w:tc>
          <w:tcPr>
            <w:tcW w:w="120" w:type="dxa"/>
            <w:vAlign w:val="bottom"/>
          </w:tcPr>
          <w:p>
            <w:pPr>
              <w:spacing w:after="0"/>
              <w:rPr>
                <w:sz w:val="24"/>
                <w:szCs w:val="24"/>
                <w:color w:val="auto"/>
              </w:rPr>
            </w:pP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w w:val="88"/>
              </w:rPr>
              <w:t>million. The underwriters have agreed</w:t>
            </w:r>
          </w:p>
        </w:tc>
      </w:tr>
    </w:tbl>
    <w:p>
      <w:pPr>
        <w:spacing w:after="0"/>
        <w:rPr>
          <w:sz w:val="20"/>
          <w:szCs w:val="20"/>
          <w:color w:val="auto"/>
        </w:rPr>
      </w:pPr>
      <w:r>
        <w:rPr>
          <w:rFonts w:ascii="Arial" w:cs="Arial" w:eastAsia="Arial" w:hAnsi="Arial"/>
          <w:sz w:val="18"/>
          <w:szCs w:val="18"/>
          <w:color w:val="auto"/>
        </w:rPr>
        <w:t>to reimburse us for certain expenses incurred in connection with this offering.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There is currently no public trading market for the notes. We have not applied and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 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have agreed that we will not, until the closing date, without first obtaining the prior written consent of the representatives, offer, sell, contract to sell or otherwise dispose of any debt securities of the Company or warrants to purchase debt securities of the Company, except for the notes sold to the underwriters pursuant to the underwriting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Certain of the underwriters and their affiliates have in the past provided, and may in the future provide, investment banking, commercial banking, derivative transactions, financial advisory services and lending services to us and our affiliates in the ordinary course of business for which they have received or will receive customary fees and reimbursement of expenses.</w:t>
      </w:r>
    </w:p>
    <w:p>
      <w:pPr>
        <w:spacing w:after="0" w:line="194" w:lineRule="exact"/>
        <w:rPr>
          <w:sz w:val="20"/>
          <w:szCs w:val="20"/>
          <w:color w:val="auto"/>
        </w:rPr>
      </w:pPr>
    </w:p>
    <w:p>
      <w:pPr>
        <w:ind w:right="520" w:firstLine="351"/>
        <w:spacing w:after="0" w:line="298"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8"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Certain of the underwriters and/or their affiliates may hold positions in certain of our outstanding notes and/or may be agents and/or lenders in our credit facility. For example, certain affiliates of Goldman Sachs &amp; Co. LLC, J.P. Morgan Securities LLC and Wells Fargo Securities, LLC are lenders under the Revolving Credit Facility, including the Term Loan A Credit Facility, and certain affiliates of J.P. Morgan Securities LLC and Wells Fargo Securities, LLC are lenders under the Term Loan B Credit Facility. See "Use of Proceeds."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Bank National Association serves as the trustee for the indenture governing each series of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notes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167"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2"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of Sales to EEA Retail Investors</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or superseded, where that customer would not qualify as a professional client as defined in point (10) of Article 4(1) of MiFID II; or (iii) not a qualified investor as defined in Directive 2003/71/EC (as amended or superseded, the "Prospectus Directive").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be unlawful under the PRIIPs Regulation. This preliminary prospectus supplement has been prepared on the basis that any offer of notes in any member state of the EEA which has implemented the Prospectus Directive will be made pursuant to an exemption under the Prospectus Directive from the requirement to publish a prospectus for offers of notes. This preliminary prospectus supplement is not a prospectus for the purposes of the Prospectus Directive.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Each underwriter has represented and agreed that (i)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the Company; and (ii) it has complied and will comply with all applicable provisions of the FSMA with respect to anything done by it in relation to the notes in, from or otherwise involving the United Kingdom.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notes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This prospectus supplement and the accompanying prospectus have not been and will not be registered as a prospectus with the Monetary Authority of Singapore.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"SFA"), (ii) to a relevant person, or any person pursuant to Section 275(1A), and in accordance with the conditions specified in Section 275 of the SFA, or</w:t>
      </w:r>
    </w:p>
    <w:p>
      <w:pPr>
        <w:spacing w:after="0" w:line="38" w:lineRule="exact"/>
        <w:rPr>
          <w:sz w:val="20"/>
          <w:szCs w:val="20"/>
          <w:color w:val="auto"/>
        </w:rPr>
      </w:pPr>
    </w:p>
    <w:p>
      <w:pPr>
        <w:ind w:right="80" w:firstLine="8"/>
        <w:spacing w:after="0" w:line="287" w:lineRule="auto"/>
        <w:tabs>
          <w:tab w:leader="none" w:pos="307" w:val="left"/>
        </w:tabs>
        <w:numPr>
          <w:ilvl w:val="0"/>
          <w:numId w:val="36"/>
        </w:numPr>
        <w:rPr>
          <w:rFonts w:ascii="Arial" w:cs="Arial" w:eastAsia="Arial" w:hAnsi="Arial"/>
          <w:sz w:val="16"/>
          <w:szCs w:val="16"/>
          <w:color w:val="auto"/>
        </w:rPr>
      </w:pPr>
      <w:r>
        <w:rPr>
          <w:rFonts w:ascii="Arial" w:cs="Arial" w:eastAsia="Arial" w:hAnsi="Arial"/>
          <w:sz w:val="16"/>
          <w:szCs w:val="16"/>
          <w:color w:val="auto"/>
        </w:rPr>
        <w:t>otherwise pursuant to, and in accordance with the conditions of, any other applicable provision of the SFA. Where the notes are subscribed or purchased under Section 275 by a relevant person which is: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transferred within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or will be given for the transfer; or (3) the transfer is by operation of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Securities and Futures Act Product Classification</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Solely for the purposes of its obligations pursuant to sections 309B(1)(a) and 309B(1)(c) of the SFA, the Company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document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and neither this prospectus supplement nor any other offering or marketing material relating to the notes may be publicly distributed or otherwise made publicly available in Switzerland.</w:t>
      </w:r>
    </w:p>
    <w:p>
      <w:pPr>
        <w:spacing w:after="0" w:line="170"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Neither this prospectus supplement nor any other offering or marketing material relating to the offering, the issuer, or the notes have been or will be filed with or approved by any Swiss regulatory authority. In particular, this prospectus supplement will not be filed with, and the offer of notes will not be supervised by, the Swiss Financial Market Supervisory Authority, and the offer of notes has not been and will not be authorized under the Swiss Federal Act on Collective Investment Schemes (the "CISA"). The investor protection afforded to acquirers of interests in collective investment schemes under the CISA does not extend to acquirers of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VALIDITY OF SECURITIES</w:t>
      </w:r>
    </w:p>
    <w:p>
      <w:pPr>
        <w:spacing w:after="0" w:line="231"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legality of the notes offered hereby will be passed upon for Micron by Wilson Sonsini Goodrich &amp; Rosati, Professional Corporation, Palo Alto, California. Simpson Thacher &amp; Bartlett LLP, Palo Alto, California, is acting as counsel to the underwriters.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16">
        <w:r>
          <w:rPr>
            <w:rFonts w:ascii="Arial" w:cs="Arial" w:eastAsia="Arial" w:hAnsi="Arial"/>
            <w:sz w:val="18"/>
            <w:szCs w:val="18"/>
            <w:color w:val="auto"/>
          </w:rPr>
          <w:t xml:space="preserve">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EE"/>
          </w:rPr>
          <w:t>August 30, 2018</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firm, </w:t>
        </w:r>
      </w:hyperlink>
      <w:r>
        <w:rPr>
          <w:rFonts w:ascii="Arial" w:cs="Arial" w:eastAsia="Arial" w:hAnsi="Arial"/>
          <w:sz w:val="18"/>
          <w:szCs w:val="18"/>
          <w:color w:val="0000EE"/>
        </w:rPr>
        <w:t xml:space="preserve">given </w:t>
      </w:r>
      <w:r>
        <w:rPr>
          <w:rFonts w:ascii="Arial" w:cs="Arial" w:eastAsia="Arial" w:hAnsi="Arial"/>
          <w:sz w:val="18"/>
          <w:szCs w:val="18"/>
          <w:color w:val="000000"/>
        </w:rPr>
        <w:t>on</w:t>
      </w:r>
      <w:r>
        <w:rPr>
          <w:rFonts w:ascii="Arial" w:cs="Arial" w:eastAsia="Arial" w:hAnsi="Arial"/>
          <w:sz w:val="18"/>
          <w:szCs w:val="18"/>
          <w:color w:val="0000EE"/>
        </w:rPr>
        <w:t xml:space="preserve"> </w:t>
      </w:r>
      <w:r>
        <w:rPr>
          <w:rFonts w:ascii="Arial" w:cs="Arial" w:eastAsia="Arial" w:hAnsi="Arial"/>
          <w:sz w:val="18"/>
          <w:szCs w:val="18"/>
          <w:color w:val="000000"/>
        </w:rPr>
        <w:t>the authority of said firm as experts in auditing and accounting.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80" w:firstLine="348"/>
        <w:spacing w:after="0" w:line="335" w:lineRule="auto"/>
        <w:rPr>
          <w:sz w:val="20"/>
          <w:szCs w:val="20"/>
          <w:color w:val="auto"/>
        </w:rPr>
      </w:pPr>
      <w:r>
        <w:rPr>
          <w:rFonts w:ascii="Arial" w:cs="Arial" w:eastAsia="Arial" w:hAnsi="Arial"/>
          <w:sz w:val="15"/>
          <w:szCs w:val="15"/>
          <w:color w:val="auto"/>
        </w:rPr>
        <w:t xml:space="preserve">We file annual, quarterly and current reports, proxy statements and other information with the SEC. The SEC maintains an Internet site at </w:t>
      </w:r>
      <w:r>
        <w:rPr>
          <w:rFonts w:ascii="Arial" w:cs="Arial" w:eastAsia="Arial" w:hAnsi="Arial"/>
          <w:sz w:val="15"/>
          <w:szCs w:val="15"/>
          <w:i w:val="1"/>
          <w:iCs w:val="1"/>
          <w:color w:val="auto"/>
        </w:rPr>
        <w:t>http://www.sec.gov</w:t>
      </w:r>
      <w:r>
        <w:rPr>
          <w:rFonts w:ascii="Arial" w:cs="Arial" w:eastAsia="Arial" w:hAnsi="Arial"/>
          <w:sz w:val="15"/>
          <w:szCs w:val="15"/>
          <w:color w:val="auto"/>
        </w:rPr>
        <w:t>, from which interested persons can electronically access any document we file electronically with the SEC, including the registration</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of which this prospectus supplement and the accompanying prospectus form a part, including the exhibits and schedules to the registration statement.</w:t>
      </w:r>
    </w:p>
    <w:p>
      <w:pPr>
        <w:spacing w:after="0" w:line="142"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 xml:space="preserve">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contained herein shall be deemed to incorporate information furnished to, but not filed with, the SEC, including under Item 2.02 or Item 7.01 of any Current Report on Form 8-K:</w:t>
      </w:r>
    </w:p>
    <w:p>
      <w:pPr>
        <w:spacing w:after="0" w:line="186"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our Annual Report on Form 10-K for the year ended August 30, 2018;</w:t>
        </w:r>
      </w:hyperlink>
    </w:p>
    <w:p>
      <w:pPr>
        <w:spacing w:after="0" w:line="252"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76">
        <w:r>
          <w:rPr>
            <w:rFonts w:ascii="Arial" w:cs="Arial" w:eastAsia="Arial" w:hAnsi="Arial"/>
            <w:sz w:val="18"/>
            <w:szCs w:val="18"/>
            <w:u w:val="single" w:color="auto"/>
            <w:color w:val="0000EE"/>
          </w:rPr>
          <w:t>November 29, 2018</w:t>
        </w:r>
      </w:hyperlink>
      <w:r>
        <w:rPr>
          <w:rFonts w:ascii="Arial" w:cs="Arial" w:eastAsia="Arial" w:hAnsi="Arial"/>
          <w:sz w:val="18"/>
          <w:szCs w:val="18"/>
          <w:color w:val="auto"/>
        </w:rPr>
        <w:t xml:space="preserve">, </w:t>
      </w:r>
      <w:hyperlink r:id="rId77">
        <w:r>
          <w:rPr>
            <w:rFonts w:ascii="Arial" w:cs="Arial" w:eastAsia="Arial" w:hAnsi="Arial"/>
            <w:sz w:val="18"/>
            <w:szCs w:val="18"/>
            <w:u w:val="single" w:color="auto"/>
            <w:color w:val="0000EE"/>
          </w:rPr>
          <w:t>February 28,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7">
        <w:r>
          <w:rPr>
            <w:rFonts w:ascii="Arial" w:cs="Arial" w:eastAsia="Arial" w:hAnsi="Arial"/>
            <w:sz w:val="18"/>
            <w:szCs w:val="18"/>
            <w:u w:val="single" w:color="auto"/>
            <w:color w:val="0000EE"/>
          </w:rPr>
          <w:t>May 30, 2019</w:t>
        </w:r>
      </w:hyperlink>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7"/>
        </w:numPr>
        <w:rPr>
          <w:rFonts w:ascii="Arial" w:cs="Arial" w:eastAsia="Arial" w:hAnsi="Arial"/>
          <w:sz w:val="18"/>
          <w:szCs w:val="18"/>
          <w:color w:val="0000EE"/>
        </w:rPr>
      </w:pPr>
      <w:r>
        <w:rPr>
          <w:rFonts w:ascii="Arial" w:cs="Arial" w:eastAsia="Arial" w:hAnsi="Arial"/>
          <w:sz w:val="18"/>
          <w:szCs w:val="18"/>
          <w:color w:val="auto"/>
        </w:rPr>
        <w:t xml:space="preserve">Information specifically incorporated by reference into our </w:t>
      </w:r>
      <w:hyperlink r:id="rId16">
        <w:r>
          <w:rPr>
            <w:rFonts w:ascii="Arial" w:cs="Arial" w:eastAsia="Arial" w:hAnsi="Arial"/>
            <w:sz w:val="18"/>
            <w:szCs w:val="18"/>
            <w:u w:val="single" w:color="auto"/>
            <w:color w:val="0000EE"/>
          </w:rPr>
          <w:t>Annual Report on Form 10-K for the fiscal year ended August 30, 2018</w:t>
        </w:r>
      </w:hyperlink>
      <w:r>
        <w:rPr>
          <w:rFonts w:ascii="Arial" w:cs="Arial" w:eastAsia="Arial" w:hAnsi="Arial"/>
          <w:sz w:val="18"/>
          <w:szCs w:val="18"/>
          <w:color w:val="auto"/>
        </w:rPr>
        <w:t xml:space="preserve">, from our </w:t>
      </w:r>
      <w:hyperlink r:id="rId78">
        <w:r>
          <w:rPr>
            <w:rFonts w:ascii="Arial" w:cs="Arial" w:eastAsia="Arial" w:hAnsi="Arial"/>
            <w:sz w:val="18"/>
            <w:szCs w:val="18"/>
            <w:u w:val="single" w:color="auto"/>
            <w:color w:val="0000EE"/>
          </w:rPr>
          <w:t>Definitive Proxy Statement on Schedule 14A, filed with the SEC on December 6, 2018</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99" w:lineRule="exact"/>
        <w:rPr>
          <w:rFonts w:ascii="Arial" w:cs="Arial" w:eastAsia="Arial" w:hAnsi="Arial"/>
          <w:sz w:val="18"/>
          <w:szCs w:val="18"/>
          <w:color w:val="0000EE"/>
        </w:rPr>
      </w:pPr>
    </w:p>
    <w:p>
      <w:pPr>
        <w:ind w:left="1080" w:right="360" w:hanging="532"/>
        <w:spacing w:after="0" w:line="332" w:lineRule="auto"/>
        <w:tabs>
          <w:tab w:leader="none" w:pos="1080" w:val="left"/>
        </w:tabs>
        <w:numPr>
          <w:ilvl w:val="0"/>
          <w:numId w:val="37"/>
        </w:numPr>
        <w:rPr>
          <w:rFonts w:ascii="Arial" w:cs="Arial" w:eastAsia="Arial" w:hAnsi="Arial"/>
          <w:sz w:val="16"/>
          <w:szCs w:val="16"/>
          <w:color w:val="0000EE"/>
        </w:rPr>
      </w:pPr>
      <w:r>
        <w:rPr>
          <w:rFonts w:ascii="Arial" w:cs="Arial" w:eastAsia="Arial" w:hAnsi="Arial"/>
          <w:sz w:val="16"/>
          <w:szCs w:val="16"/>
          <w:color w:val="auto"/>
        </w:rPr>
        <w:t xml:space="preserve">our Current Reports on Form 8-K filed on </w:t>
      </w:r>
      <w:hyperlink r:id="rId79">
        <w:r>
          <w:rPr>
            <w:rFonts w:ascii="Arial" w:cs="Arial" w:eastAsia="Arial" w:hAnsi="Arial"/>
            <w:sz w:val="16"/>
            <w:szCs w:val="16"/>
            <w:u w:val="single" w:color="auto"/>
            <w:color w:val="0000EE"/>
          </w:rPr>
          <w:t>September 20, 2018</w:t>
        </w:r>
      </w:hyperlink>
      <w:r>
        <w:rPr>
          <w:rFonts w:ascii="Arial" w:cs="Arial" w:eastAsia="Arial" w:hAnsi="Arial"/>
          <w:sz w:val="16"/>
          <w:szCs w:val="16"/>
          <w:color w:val="auto"/>
        </w:rPr>
        <w:t xml:space="preserve">, </w:t>
      </w:r>
      <w:hyperlink r:id="rId80">
        <w:r>
          <w:rPr>
            <w:rFonts w:ascii="Arial" w:cs="Arial" w:eastAsia="Arial" w:hAnsi="Arial"/>
            <w:sz w:val="16"/>
            <w:szCs w:val="16"/>
            <w:u w:val="single" w:color="auto"/>
            <w:color w:val="0000EE"/>
          </w:rPr>
          <w:t>October 17, 2018</w:t>
        </w:r>
      </w:hyperlink>
      <w:r>
        <w:rPr>
          <w:rFonts w:ascii="Arial" w:cs="Arial" w:eastAsia="Arial" w:hAnsi="Arial"/>
          <w:sz w:val="16"/>
          <w:szCs w:val="16"/>
          <w:color w:val="auto"/>
        </w:rPr>
        <w:t xml:space="preserve">, </w:t>
      </w:r>
      <w:hyperlink r:id="rId81">
        <w:r>
          <w:rPr>
            <w:rFonts w:ascii="Arial" w:cs="Arial" w:eastAsia="Arial" w:hAnsi="Arial"/>
            <w:sz w:val="16"/>
            <w:szCs w:val="16"/>
            <w:u w:val="single" w:color="auto"/>
            <w:color w:val="0000EE"/>
          </w:rPr>
          <w:t>October 18, 2018</w:t>
        </w:r>
      </w:hyperlink>
      <w:r>
        <w:rPr>
          <w:rFonts w:ascii="Arial" w:cs="Arial" w:eastAsia="Arial" w:hAnsi="Arial"/>
          <w:sz w:val="16"/>
          <w:szCs w:val="16"/>
          <w:color w:val="auto"/>
        </w:rPr>
        <w:t xml:space="preserve">, </w:t>
      </w:r>
      <w:hyperlink r:id="rId82">
        <w:r>
          <w:rPr>
            <w:rFonts w:ascii="Arial" w:cs="Arial" w:eastAsia="Arial" w:hAnsi="Arial"/>
            <w:sz w:val="16"/>
            <w:szCs w:val="16"/>
            <w:u w:val="single" w:color="auto"/>
            <w:color w:val="0000EE"/>
          </w:rPr>
          <w:t>November 14, 2018</w:t>
        </w:r>
      </w:hyperlink>
      <w:r>
        <w:rPr>
          <w:rFonts w:ascii="Arial" w:cs="Arial" w:eastAsia="Arial" w:hAnsi="Arial"/>
          <w:sz w:val="16"/>
          <w:szCs w:val="16"/>
          <w:color w:val="auto"/>
        </w:rPr>
        <w:t xml:space="preserve">, </w:t>
      </w:r>
      <w:hyperlink r:id="rId83">
        <w:r>
          <w:rPr>
            <w:rFonts w:ascii="Arial" w:cs="Arial" w:eastAsia="Arial" w:hAnsi="Arial"/>
            <w:sz w:val="16"/>
            <w:szCs w:val="16"/>
            <w:u w:val="single" w:color="auto"/>
            <w:color w:val="0000EE"/>
          </w:rPr>
          <w:t>December 6, 2018</w:t>
        </w:r>
      </w:hyperlink>
      <w:r>
        <w:rPr>
          <w:rFonts w:ascii="Arial" w:cs="Arial" w:eastAsia="Arial" w:hAnsi="Arial"/>
          <w:sz w:val="16"/>
          <w:szCs w:val="16"/>
          <w:color w:val="auto"/>
        </w:rPr>
        <w:t xml:space="preserve">, </w:t>
      </w:r>
      <w:hyperlink r:id="rId84">
        <w:r>
          <w:rPr>
            <w:rFonts w:ascii="Arial" w:cs="Arial" w:eastAsia="Arial" w:hAnsi="Arial"/>
            <w:sz w:val="16"/>
            <w:szCs w:val="16"/>
            <w:u w:val="single" w:color="auto"/>
            <w:color w:val="0000EE"/>
          </w:rPr>
          <w:t>January 14,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85">
        <w:r>
          <w:rPr>
            <w:rFonts w:ascii="Arial" w:cs="Arial" w:eastAsia="Arial" w:hAnsi="Arial"/>
            <w:sz w:val="16"/>
            <w:szCs w:val="16"/>
            <w:u w:val="single" w:color="auto"/>
            <w:color w:val="0000EE"/>
          </w:rPr>
          <w:t>January 22,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86">
        <w:r>
          <w:rPr>
            <w:rFonts w:ascii="Arial" w:cs="Arial" w:eastAsia="Arial" w:hAnsi="Arial"/>
            <w:sz w:val="16"/>
            <w:szCs w:val="16"/>
            <w:u w:val="single" w:color="auto"/>
            <w:color w:val="0000EE"/>
          </w:rPr>
          <w:t>February 1,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87">
        <w:r>
          <w:rPr>
            <w:rFonts w:ascii="Arial" w:cs="Arial" w:eastAsia="Arial" w:hAnsi="Arial"/>
            <w:sz w:val="16"/>
            <w:szCs w:val="16"/>
            <w:u w:val="single" w:color="auto"/>
            <w:color w:val="0000EE"/>
          </w:rPr>
          <w:t>February 6,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88">
        <w:r>
          <w:rPr>
            <w:rFonts w:ascii="Arial" w:cs="Arial" w:eastAsia="Arial" w:hAnsi="Arial"/>
            <w:sz w:val="16"/>
            <w:szCs w:val="16"/>
            <w:u w:val="single" w:color="auto"/>
            <w:color w:val="0000EE"/>
          </w:rPr>
          <w:t>April 12,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89">
        <w:r>
          <w:rPr>
            <w:rFonts w:ascii="Arial" w:cs="Arial" w:eastAsia="Arial" w:hAnsi="Arial"/>
            <w:sz w:val="16"/>
            <w:szCs w:val="16"/>
            <w:u w:val="single" w:color="auto"/>
            <w:color w:val="0000EE"/>
          </w:rPr>
          <w:t>May 7,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90">
        <w:r>
          <w:rPr>
            <w:rFonts w:ascii="Arial" w:cs="Arial" w:eastAsia="Arial" w:hAnsi="Arial"/>
            <w:sz w:val="16"/>
            <w:szCs w:val="16"/>
            <w:u w:val="single" w:color="auto"/>
            <w:color w:val="0000EE"/>
          </w:rPr>
          <w:t xml:space="preserve">July 1, 2019 </w:t>
        </w:r>
      </w:hyperlink>
      <w:r>
        <w:rPr>
          <w:rFonts w:ascii="Arial" w:cs="Arial" w:eastAsia="Arial" w:hAnsi="Arial"/>
          <w:sz w:val="16"/>
          <w:szCs w:val="16"/>
          <w:color w:val="000000"/>
        </w:rPr>
        <w:t>and</w:t>
      </w:r>
      <w:r>
        <w:rPr>
          <w:rFonts w:ascii="Arial" w:cs="Arial" w:eastAsia="Arial" w:hAnsi="Arial"/>
          <w:sz w:val="16"/>
          <w:szCs w:val="16"/>
          <w:color w:val="0000EE"/>
        </w:rPr>
        <w:t xml:space="preserve"> </w:t>
      </w:r>
      <w:hyperlink r:id="rId91">
        <w:r>
          <w:rPr>
            <w:rFonts w:ascii="Arial" w:cs="Arial" w:eastAsia="Arial" w:hAnsi="Arial"/>
            <w:sz w:val="16"/>
            <w:szCs w:val="16"/>
            <w:u w:val="single" w:color="auto"/>
            <w:color w:val="0000EE"/>
          </w:rPr>
          <w:t>July 9, 2019</w:t>
        </w:r>
      </w:hyperlink>
      <w:r>
        <w:rPr>
          <w:rFonts w:ascii="Arial" w:cs="Arial" w:eastAsia="Arial" w:hAnsi="Arial"/>
          <w:sz w:val="16"/>
          <w:szCs w:val="16"/>
          <w:color w:val="000000"/>
        </w:rPr>
        <w:t>.</w:t>
      </w:r>
    </w:p>
    <w:p>
      <w:pPr>
        <w:spacing w:after="0" w:line="139" w:lineRule="exact"/>
        <w:rPr>
          <w:rFonts w:ascii="Arial" w:cs="Arial" w:eastAsia="Arial" w:hAnsi="Arial"/>
          <w:sz w:val="16"/>
          <w:szCs w:val="16"/>
          <w:color w:val="0000EE"/>
        </w:rPr>
      </w:pPr>
    </w:p>
    <w:p>
      <w:pPr>
        <w:ind w:left="360"/>
        <w:spacing w:after="0"/>
        <w:rPr>
          <w:sz w:val="20"/>
          <w:szCs w:val="20"/>
          <w:color w:val="auto"/>
        </w:rPr>
      </w:pPr>
      <w:r>
        <w:rPr>
          <w:rFonts w:ascii="Arial" w:cs="Arial" w:eastAsia="Arial" w:hAnsi="Arial"/>
          <w:sz w:val="16"/>
          <w:szCs w:val="16"/>
          <w:color w:val="auto"/>
        </w:rPr>
        <w:t xml:space="preserve">You may request a copy of these filings at no cost by contacting our Investor Relations department by visiting our Web site at </w:t>
      </w:r>
      <w:r>
        <w:rPr>
          <w:rFonts w:ascii="Arial" w:cs="Arial" w:eastAsia="Arial" w:hAnsi="Arial"/>
          <w:sz w:val="16"/>
          <w:szCs w:val="16"/>
          <w:i w:val="1"/>
          <w:iCs w:val="1"/>
          <w:color w:val="auto"/>
        </w:rPr>
        <w:t>www.micron.com</w:t>
      </w:r>
      <w:r>
        <w:rPr>
          <w:rFonts w:ascii="Arial" w:cs="Arial" w:eastAsia="Arial" w:hAnsi="Arial"/>
          <w:sz w:val="16"/>
          <w:szCs w:val="16"/>
          <w:color w:val="auto"/>
        </w:rPr>
        <w:t>, by calling</w:t>
      </w:r>
    </w:p>
    <w:p>
      <w:pPr>
        <w:spacing w:after="0" w:line="38" w:lineRule="exact"/>
        <w:rPr>
          <w:rFonts w:ascii="Arial" w:cs="Arial" w:eastAsia="Arial" w:hAnsi="Arial"/>
          <w:sz w:val="16"/>
          <w:szCs w:val="16"/>
          <w:color w:val="0000EE"/>
        </w:rPr>
      </w:pPr>
    </w:p>
    <w:p>
      <w:pPr>
        <w:ind w:right="360" w:firstLine="8"/>
        <w:spacing w:after="0" w:line="323" w:lineRule="auto"/>
        <w:tabs>
          <w:tab w:leader="none" w:pos="424" w:val="left"/>
        </w:tabs>
        <w:numPr>
          <w:ilvl w:val="0"/>
          <w:numId w:val="38"/>
        </w:numPr>
        <w:rPr>
          <w:rFonts w:ascii="Arial" w:cs="Arial" w:eastAsia="Arial" w:hAnsi="Arial"/>
          <w:sz w:val="16"/>
          <w:szCs w:val="16"/>
          <w:color w:val="auto"/>
        </w:rPr>
      </w:pPr>
      <w:r>
        <w:rPr>
          <w:rFonts w:ascii="Arial" w:cs="Arial" w:eastAsia="Arial" w:hAnsi="Arial"/>
          <w:sz w:val="16"/>
          <w:szCs w:val="16"/>
          <w:color w:val="auto"/>
        </w:rPr>
        <w:t>368-4000, by writing to Investor Relations, Micron Technology, Inc., Mail Stop 407, 8000 South Federal Way, P.O. Box 6, Boise, ID 83707-0006. The information contained or incorporated in our website is not part of this prospectus supplement or the accompanying prospectus.</w:t>
      </w:r>
    </w:p>
    <w:p>
      <w:pPr>
        <w:spacing w:after="0" w:line="147" w:lineRule="exact"/>
        <w:rPr>
          <w:rFonts w:ascii="Arial" w:cs="Arial" w:eastAsia="Arial" w:hAnsi="Arial"/>
          <w:sz w:val="16"/>
          <w:szCs w:val="16"/>
          <w:color w:val="0000EE"/>
        </w:rPr>
      </w:pPr>
    </w:p>
    <w:p>
      <w:pPr>
        <w:jc w:val="center"/>
        <w:ind w:right="-59"/>
        <w:spacing w:after="0"/>
        <w:rPr>
          <w:sz w:val="20"/>
          <w:szCs w:val="20"/>
          <w:color w:val="auto"/>
        </w:rPr>
      </w:pPr>
      <w:r>
        <w:rPr>
          <w:rFonts w:ascii="Arial" w:cs="Arial" w:eastAsia="Arial" w:hAnsi="Arial"/>
          <w:sz w:val="18"/>
          <w:szCs w:val="18"/>
          <w:color w:val="auto"/>
        </w:rPr>
        <w:t>S-48</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152400</wp:posOffset>
            </wp:positionV>
            <wp:extent cx="3636010" cy="10121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363601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131445</wp:posOffset>
            </wp:positionV>
            <wp:extent cx="18954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20" w:firstLine="351"/>
        <w:spacing w:after="0" w:line="239" w:lineRule="auto"/>
        <w:rPr>
          <w:sz w:val="20"/>
          <w:szCs w:val="20"/>
          <w:color w:val="auto"/>
        </w:rPr>
      </w:pPr>
      <w:r>
        <w:rPr>
          <w:rFonts w:ascii="Arial" w:cs="Arial" w:eastAsia="Arial" w:hAnsi="Arial"/>
          <w:sz w:val="22"/>
          <w:szCs w:val="22"/>
          <w:b w:val="1"/>
          <w:bCs w:val="1"/>
          <w:color w:val="auto"/>
        </w:rPr>
        <w:t>INVESTING IN OUR SECURITIES INVOLVES RISKS. SEE THE "RISK FACTORS" INCORPORATED BY REFERENCE IN THIS PROSPECTUS AND ANY SIMILAR SECTION CONTAINED IN OR INCORPORATED BY REFERENCE IN THE APPLICABLE PROSPECTUS SUPPLEMENT CONCERNING FACTORS YOU SHOULD CONSIDER BEFORE INVESTING IN OUR SECURITIES.</w:t>
      </w:r>
    </w:p>
    <w:p>
      <w:pPr>
        <w:spacing w:after="0" w:line="20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("NASDAQ") under the symbol "MU." On October 9, 2017, the last reported sale price of our common stock on NASDAQ was $40.96 per share.</w:t>
      </w:r>
    </w:p>
    <w:p>
      <w:pPr>
        <w:spacing w:after="0" w:line="180"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October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800" w:type="dxa"/>
            <w:vAlign w:val="bottom"/>
            <w:gridSpan w:val="10"/>
            <w:vMerge w:val="restart"/>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ABOUT THIS PROSPECTUS</w:t>
              </w:r>
            </w:hyperlink>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800" w:type="dxa"/>
            <w:vAlign w:val="bottom"/>
            <w:gridSpan w:val="10"/>
            <w:vMerge w:val="continue"/>
          </w:tcPr>
          <w:p>
            <w:pPr>
              <w:spacing w:after="0"/>
              <w:rPr>
                <w:sz w:val="14"/>
                <w:szCs w:val="14"/>
                <w:color w:val="auto"/>
              </w:rPr>
            </w:pPr>
          </w:p>
        </w:tc>
        <w:tc>
          <w:tcPr>
            <w:tcW w:w="340" w:type="dxa"/>
            <w:vAlign w:val="bottom"/>
            <w:gridSpan w:val="3"/>
          </w:tcPr>
          <w:p>
            <w:pPr>
              <w:jc w:val="right"/>
              <w:spacing w:after="0" w:line="170" w:lineRule="exact"/>
              <w:rPr>
                <w:rFonts w:ascii="Arial" w:cs="Arial" w:eastAsia="Arial" w:hAnsi="Arial"/>
                <w:sz w:val="18"/>
                <w:szCs w:val="18"/>
                <w:color w:val="0000EE"/>
              </w:rPr>
            </w:pPr>
            <w:hyperlink w:anchor="page56">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gridSpan w:val="9"/>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WHERE YOU CAN FIND MORE INFORMATION; INCORPORATION BY REFERENCE</w:t>
              </w:r>
            </w:hyperlink>
          </w:p>
        </w:tc>
        <w:tc>
          <w:tcPr>
            <w:tcW w:w="22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THE COMPANY</w:t>
              </w:r>
            </w:hyperlink>
          </w:p>
        </w:tc>
        <w:tc>
          <w:tcPr>
            <w:tcW w:w="5360" w:type="dxa"/>
            <w:vAlign w:val="bottom"/>
            <w:gridSpan w:val="7"/>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RISK FACTORS</w:t>
              </w:r>
            </w:hyperlink>
          </w:p>
        </w:tc>
        <w:tc>
          <w:tcPr>
            <w:tcW w:w="7580" w:type="dxa"/>
            <w:vAlign w:val="bottom"/>
            <w:gridSpan w:val="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4"/>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USE OF PROCEEDS</w:t>
              </w:r>
            </w:hyperlink>
          </w:p>
        </w:tc>
        <w:tc>
          <w:tcPr>
            <w:tcW w:w="724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1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RATIO OF EARNINGS TO FIXED CHARGES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7"/>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DESCRIPTION OF SECURITIES</w:t>
              </w:r>
            </w:hyperlink>
          </w:p>
        </w:tc>
        <w:tc>
          <w:tcPr>
            <w:tcW w:w="960" w:type="dxa"/>
            <w:vAlign w:val="bottom"/>
          </w:tcPr>
          <w:p>
            <w:pPr>
              <w:spacing w:after="0"/>
              <w:rPr>
                <w:sz w:val="17"/>
                <w:szCs w:val="17"/>
                <w:color w:val="auto"/>
              </w:rPr>
            </w:pPr>
          </w:p>
        </w:tc>
        <w:tc>
          <w:tcPr>
            <w:tcW w:w="538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PLAN OF DISTRIBUTION</w:t>
              </w:r>
            </w:hyperlink>
          </w:p>
        </w:tc>
        <w:tc>
          <w:tcPr>
            <w:tcW w:w="634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gridSpan w:val="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LEGAL MATTERS</w:t>
              </w:r>
            </w:hyperlink>
          </w:p>
        </w:tc>
        <w:tc>
          <w:tcPr>
            <w:tcW w:w="680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738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74"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82"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web site address is www.micron.com. The information on our web site, however, is not, and should not be deemed to be, a part of this prospectus.</w:t>
      </w:r>
    </w:p>
    <w:p>
      <w:pPr>
        <w:spacing w:after="0" w:line="248"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99" w:lineRule="exact"/>
        <w:rPr>
          <w:sz w:val="20"/>
          <w:szCs w:val="20"/>
          <w:color w:val="auto"/>
        </w:rPr>
      </w:pPr>
    </w:p>
    <w:p>
      <w:pPr>
        <w:ind w:left="1080" w:right="60" w:hanging="532"/>
        <w:spacing w:after="0" w:line="268" w:lineRule="auto"/>
        <w:tabs>
          <w:tab w:leader="none" w:pos="1080" w:val="left"/>
        </w:tabs>
        <w:numPr>
          <w:ilvl w:val="0"/>
          <w:numId w:val="39"/>
        </w:numPr>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Our Annual Report on Form 10-K for the fiscal year ended September 1, 2016 (as updated by the Current Report on Form 8-K filed with the SEC</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on October 10, 2017).</w:t>
        </w:r>
      </w:hyperlink>
    </w:p>
    <w:p>
      <w:pPr>
        <w:spacing w:after="0" w:line="212"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Our Quarterly Reports </w:t>
      </w:r>
      <w:hyperlink r:id="rId100">
        <w:r>
          <w:rPr>
            <w:rFonts w:ascii="Arial" w:cs="Arial" w:eastAsia="Arial" w:hAnsi="Arial"/>
            <w:sz w:val="18"/>
            <w:szCs w:val="18"/>
            <w:u w:val="single" w:color="auto"/>
            <w:color w:val="0000EE"/>
          </w:rPr>
          <w:t xml:space="preserve">on Form 10-Q for the quarters ended December 1, 2016, </w:t>
        </w:r>
      </w:hyperlink>
      <w:hyperlink r:id="rId101">
        <w:r>
          <w:rPr>
            <w:rFonts w:ascii="Arial" w:cs="Arial" w:eastAsia="Arial" w:hAnsi="Arial"/>
            <w:sz w:val="18"/>
            <w:szCs w:val="18"/>
            <w:u w:val="single" w:color="auto"/>
            <w:color w:val="auto"/>
          </w:rPr>
          <w:t xml:space="preserve">March </w:t>
        </w:r>
        <w:r>
          <w:rPr>
            <w:rFonts w:ascii="Arial" w:cs="Arial" w:eastAsia="Arial" w:hAnsi="Arial"/>
            <w:sz w:val="18"/>
            <w:szCs w:val="18"/>
            <w:u w:val="single" w:color="auto"/>
            <w:color w:val="0000EE"/>
          </w:rPr>
          <w:t>2, 2017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02">
        <w:r>
          <w:rPr>
            <w:rFonts w:ascii="Arial" w:cs="Arial" w:eastAsia="Arial" w:hAnsi="Arial"/>
            <w:sz w:val="18"/>
            <w:szCs w:val="18"/>
            <w:u w:val="single" w:color="auto"/>
            <w:color w:val="0000EE"/>
          </w:rPr>
          <w:t>June 1, 2017.</w:t>
        </w:r>
      </w:hyperlink>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9"/>
        </w:numPr>
        <w:rPr>
          <w:rFonts w:ascii="Arial" w:cs="Arial" w:eastAsia="Arial" w:hAnsi="Arial"/>
          <w:sz w:val="18"/>
          <w:szCs w:val="18"/>
          <w:u w:val="single" w:color="auto"/>
          <w:color w:val="0000EE"/>
        </w:rPr>
      </w:pPr>
      <w:r>
        <w:rPr>
          <w:rFonts w:ascii="Arial" w:cs="Arial" w:eastAsia="Arial" w:hAnsi="Arial"/>
          <w:sz w:val="18"/>
          <w:szCs w:val="18"/>
          <w:color w:val="auto"/>
        </w:rPr>
        <w:t xml:space="preserve">Information specifically incorporated by reference into our Annual Report </w:t>
      </w:r>
      <w:hyperlink r:id="rId103">
        <w:r>
          <w:rPr>
            <w:rFonts w:ascii="Arial" w:cs="Arial" w:eastAsia="Arial" w:hAnsi="Arial"/>
            <w:sz w:val="18"/>
            <w:szCs w:val="18"/>
            <w:u w:val="single" w:color="auto"/>
            <w:color w:val="0000EE"/>
          </w:rPr>
          <w:t>on Form 10-K for the fiscal year ended September 1, 2016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from our </w:t>
      </w:r>
      <w:hyperlink r:id="rId104">
        <w:r>
          <w:rPr>
            <w:rFonts w:ascii="Arial" w:cs="Arial" w:eastAsia="Arial" w:hAnsi="Arial"/>
            <w:sz w:val="18"/>
            <w:szCs w:val="18"/>
            <w:u w:val="single" w:color="auto"/>
            <w:color w:val="0000EE"/>
          </w:rPr>
          <w:t>Definitive Proxy Statement on Schedule 14A filed on December 8, 2016.</w:t>
        </w:r>
      </w:hyperlink>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9" w:lineRule="auto"/>
        <w:tabs>
          <w:tab w:leader="none" w:pos="1080" w:val="left"/>
        </w:tabs>
        <w:numPr>
          <w:ilvl w:val="0"/>
          <w:numId w:val="40"/>
        </w:numPr>
        <w:rPr>
          <w:rFonts w:ascii="Arial" w:cs="Arial" w:eastAsia="Arial" w:hAnsi="Arial"/>
          <w:sz w:val="18"/>
          <w:szCs w:val="18"/>
          <w:color w:val="0000EE"/>
        </w:rPr>
      </w:pPr>
      <w:hyperlink r:id="rId106">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September 2, 2016</w:t>
        </w:r>
        <w:r>
          <w:rPr>
            <w:rFonts w:ascii="Arial" w:cs="Arial" w:eastAsia="Arial" w:hAnsi="Arial"/>
            <w:sz w:val="18"/>
            <w:szCs w:val="18"/>
            <w:color w:val="auto"/>
          </w:rPr>
          <w:t xml:space="preserve">, </w:t>
        </w:r>
        <w:r>
          <w:rPr>
            <w:rFonts w:ascii="Arial" w:cs="Arial" w:eastAsia="Arial" w:hAnsi="Arial"/>
            <w:sz w:val="18"/>
            <w:szCs w:val="18"/>
            <w:u w:val="single" w:color="auto"/>
            <w:color w:val="0000EE"/>
          </w:rPr>
          <w:t>October 11, 2016, October 24, 2016</w:t>
        </w:r>
        <w:r>
          <w:rPr>
            <w:rFonts w:ascii="Arial" w:cs="Arial" w:eastAsia="Arial" w:hAnsi="Arial"/>
            <w:sz w:val="18"/>
            <w:szCs w:val="18"/>
            <w:color w:val="auto"/>
          </w:rPr>
          <w:t xml:space="preserve">, </w:t>
        </w:r>
        <w:r>
          <w:rPr>
            <w:rFonts w:ascii="Arial" w:cs="Arial" w:eastAsia="Arial" w:hAnsi="Arial"/>
            <w:sz w:val="18"/>
            <w:szCs w:val="18"/>
            <w:u w:val="single" w:color="auto"/>
            <w:color w:val="0000EE"/>
          </w:rPr>
          <w:t>October 27, 2016</w:t>
        </w:r>
        <w:r>
          <w:rPr>
            <w:rFonts w:ascii="Arial" w:cs="Arial" w:eastAsia="Arial" w:hAnsi="Arial"/>
            <w:sz w:val="18"/>
            <w:szCs w:val="18"/>
            <w:color w:val="auto"/>
          </w:rPr>
          <w:t xml:space="preserve">, </w:t>
        </w:r>
        <w:r>
          <w:rPr>
            <w:rFonts w:ascii="Arial" w:cs="Arial" w:eastAsia="Arial" w:hAnsi="Arial"/>
            <w:sz w:val="18"/>
            <w:szCs w:val="18"/>
            <w:u w:val="single" w:color="auto"/>
            <w:color w:val="0000EE"/>
          </w:rPr>
          <w:t>November 9,</w:t>
        </w:r>
      </w:hyperlink>
      <w:r>
        <w:rPr>
          <w:rFonts w:ascii="Arial" w:cs="Arial" w:eastAsia="Arial" w:hAnsi="Arial"/>
          <w:sz w:val="18"/>
          <w:szCs w:val="18"/>
          <w:color w:val="auto"/>
        </w:rPr>
        <w:t xml:space="preserve"> </w:t>
      </w:r>
      <w:hyperlink r:id="rId107">
        <w:r>
          <w:rPr>
            <w:rFonts w:ascii="Arial" w:cs="Arial" w:eastAsia="Arial" w:hAnsi="Arial"/>
            <w:sz w:val="18"/>
            <w:szCs w:val="18"/>
            <w:u w:val="single" w:color="auto"/>
            <w:color w:val="0000EE"/>
          </w:rPr>
          <w:t>2016, November 18, 2016</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December 6, 2016, January 19, 2017, February 3, 2017</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February 16, 2017</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27, 2017, April 10, 2017</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28,</w:t>
        </w:r>
      </w:hyperlink>
      <w:r>
        <w:rPr>
          <w:rFonts w:ascii="Arial" w:cs="Arial" w:eastAsia="Arial" w:hAnsi="Arial"/>
          <w:sz w:val="18"/>
          <w:szCs w:val="18"/>
          <w:color w:val="0000EE"/>
        </w:rPr>
        <w:t xml:space="preserve"> </w:t>
      </w:r>
      <w:hyperlink r:id="rId107">
        <w:r>
          <w:rPr>
            <w:rFonts w:ascii="Arial" w:cs="Arial" w:eastAsia="Arial" w:hAnsi="Arial"/>
            <w:sz w:val="18"/>
            <w:szCs w:val="18"/>
            <w:u w:val="single" w:color="auto"/>
            <w:color w:val="0000EE"/>
          </w:rPr>
          <w:t>2017</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08">
        <w:r>
          <w:rPr>
            <w:rFonts w:ascii="Arial" w:cs="Arial" w:eastAsia="Arial" w:hAnsi="Arial"/>
            <w:sz w:val="18"/>
            <w:szCs w:val="18"/>
            <w:u w:val="single" w:color="auto"/>
            <w:color w:val="0000EE"/>
          </w:rPr>
          <w:t>May 17, 2017</w:t>
        </w:r>
      </w:hyperlink>
      <w:hyperlink r:id="rId10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09">
        <w:r>
          <w:rPr>
            <w:rFonts w:ascii="Arial" w:cs="Arial" w:eastAsia="Arial" w:hAnsi="Arial"/>
            <w:sz w:val="18"/>
            <w:szCs w:val="18"/>
            <w:u w:val="single" w:color="auto"/>
            <w:color w:val="0000EE"/>
          </w:rPr>
          <w:t>June 28, 2017</w:t>
        </w:r>
      </w:hyperlink>
      <w:hyperlink r:id="rId10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10">
        <w:r>
          <w:rPr>
            <w:rFonts w:ascii="Arial" w:cs="Arial" w:eastAsia="Arial" w:hAnsi="Arial"/>
            <w:sz w:val="18"/>
            <w:szCs w:val="18"/>
            <w:u w:val="single" w:color="auto"/>
            <w:color w:val="0000EE"/>
          </w:rPr>
          <w:t xml:space="preserve">July 27, 2017 </w:t>
        </w:r>
      </w:hyperlink>
      <w:hyperlink r:id="rId107">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99">
        <w:r>
          <w:rPr>
            <w:rFonts w:ascii="Arial" w:cs="Arial" w:eastAsia="Arial" w:hAnsi="Arial"/>
            <w:sz w:val="18"/>
            <w:szCs w:val="18"/>
            <w:u w:val="single" w:color="auto"/>
            <w:color w:val="0000EE"/>
          </w:rPr>
          <w:t>October 10, 2017.</w:t>
        </w:r>
      </w:hyperlink>
    </w:p>
    <w:p>
      <w:pPr>
        <w:spacing w:after="0" w:line="221" w:lineRule="exact"/>
        <w:rPr>
          <w:rFonts w:ascii="Arial" w:cs="Arial" w:eastAsia="Arial" w:hAnsi="Arial"/>
          <w:sz w:val="18"/>
          <w:szCs w:val="18"/>
          <w:color w:val="0000EE"/>
        </w:rPr>
      </w:pPr>
    </w:p>
    <w:p>
      <w:pPr>
        <w:ind w:left="1080" w:right="4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description of our common stock, par value $0.10 per share, contained in our registration statement on Form 8-A, filed with the SEC on November 28, 1990, including any subsequently filed amendments and reports updating such description.</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0"/>
        </w:numPr>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The description of our common stock purchase rights contained in our registration statement on Form 8-A, filed with the SEC on July 22, 2016,</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including any subsequently filed amendments and reports updating such description.</w:t>
        </w:r>
      </w:hyperlink>
    </w:p>
    <w:p>
      <w:pPr>
        <w:spacing w:after="0" w:line="186" w:lineRule="exact"/>
        <w:rPr>
          <w:rFonts w:ascii="Arial" w:cs="Arial" w:eastAsia="Arial" w:hAnsi="Arial"/>
          <w:sz w:val="18"/>
          <w:szCs w:val="18"/>
          <w:color w:val="auto"/>
        </w:rPr>
      </w:pPr>
    </w:p>
    <w:p>
      <w:pPr>
        <w:ind w:right="60" w:firstLine="341"/>
        <w:spacing w:after="0" w:line="259"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194" w:lineRule="exact"/>
        <w:rPr>
          <w:rFonts w:ascii="Arial" w:cs="Arial" w:eastAsia="Arial" w:hAnsi="Arial"/>
          <w:sz w:val="18"/>
          <w:szCs w:val="18"/>
          <w:color w:val="auto"/>
        </w:rPr>
      </w:pPr>
    </w:p>
    <w:p>
      <w:pPr>
        <w:ind w:right="740" w:firstLine="345"/>
        <w:spacing w:after="0" w:line="268"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86"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Micron Technology, Inc.</w:t>
      </w:r>
    </w:p>
    <w:p>
      <w:pPr>
        <w:spacing w:after="0" w:line="15"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8000 South Federal Way</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Boise, Idaho 83716-9632</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(208) 368-4000</w:t>
      </w:r>
    </w:p>
    <w:p>
      <w:pPr>
        <w:spacing w:after="0" w:line="219" w:lineRule="exact"/>
        <w:rPr>
          <w:rFonts w:ascii="Arial" w:cs="Arial" w:eastAsia="Arial" w:hAnsi="Arial"/>
          <w:sz w:val="18"/>
          <w:szCs w:val="18"/>
          <w:color w:val="auto"/>
        </w:rPr>
      </w:pPr>
    </w:p>
    <w:p>
      <w:pPr>
        <w:ind w:right="820" w:firstLine="351"/>
        <w:spacing w:after="0" w:line="268"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186" w:lineRule="exact"/>
        <w:rPr>
          <w:rFonts w:ascii="Arial" w:cs="Arial" w:eastAsia="Arial" w:hAnsi="Arial"/>
          <w:sz w:val="18"/>
          <w:szCs w:val="18"/>
          <w:color w:val="auto"/>
        </w:rPr>
      </w:pPr>
    </w:p>
    <w:p>
      <w:pPr>
        <w:ind w:right="40" w:firstLine="348"/>
        <w:spacing w:after="0" w:line="268" w:lineRule="auto"/>
        <w:rPr>
          <w:sz w:val="20"/>
          <w:szCs w:val="20"/>
          <w:color w:val="auto"/>
        </w:rPr>
      </w:pPr>
      <w:r>
        <w:rPr>
          <w:rFonts w:ascii="Arial" w:cs="Arial" w:eastAsia="Arial" w:hAnsi="Arial"/>
          <w:sz w:val="18"/>
          <w:szCs w:val="18"/>
          <w:color w:val="auto"/>
        </w:rPr>
        <w:t>The information accessible through any website referred to in this prospectus or any document incorporated herein is not, and should not be deemed to be, a part of this prospectus.</w:t>
      </w:r>
    </w:p>
    <w:p>
      <w:pPr>
        <w:spacing w:after="0" w:line="186"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an industry leader in innovative memory and storage solutions. Through our global brands—Micron®, Crucial®, and Ballistix®—our broad portfolio of high-performance memory and storage technologies, including DRAM, NAND, NOR Flash, and 3D XPoint™ memory, is transforming how the world uses information to enrich life. Backed by more than 35 years of technology leadership, our memory and storage solutions enable disruptive trends, including artificial intelligence, machine learning, and autonomous vehicles in key market segments like cloud, data center, networking, and mobile.</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Micron, a Delaware corporation, was originally incorporated in 1978. Our executive offices are located at 8000 South Federal Way, Boise, Idaho 83716-9632 and our telephone number is (208) 368-4000. Our common stock is currently listed on NASDAQ under the symbol "MU."</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most recent annual report on Form 10-K and in our most recent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intend to use the net proceeds from the sale of the securities as set forth in the applicable prospectus supplement.</w:t>
      </w:r>
    </w:p>
    <w:p>
      <w:pPr>
        <w:spacing w:after="0" w:line="26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historical ratios of earnings to fixed charges for Micron and its consolidated subsidiaries for the periods indicated.</w:t>
      </w:r>
    </w:p>
    <w:p>
      <w:pPr>
        <w:spacing w:after="0" w:line="200" w:lineRule="exact"/>
        <w:rPr>
          <w:sz w:val="20"/>
          <w:szCs w:val="20"/>
          <w:color w:val="auto"/>
        </w:rPr>
      </w:pP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3"/>
            <w:vMerge w:val="continue"/>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Ended June 1,</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7.4x</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8.3x</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6.2x</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7.2x</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55"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purpose of calculating such ratios, "earnings" consist of income from continuing operations before income taxes, equity in net income (loss) of equity method investees and noncontrolling interests plus "fixed charges." Fixed charges consist of interest expense (net of capitalized portion), capitalized interest, amortization of debt discount and the portion of rental expense representative of interest expense. Earnings before fixed charges were inadequate to cover total fixed charges by $311 million and $752 million for fiscal years 2016 and 2012, respectively.</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DESCRIPTION OF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shares of common stock, par value $0.10 per share,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debt securities, which may be senior or subordinated, and which may be convertible into our common stock or be non-convertible;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units.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the offered securities from time to time:</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financial statements incorporated in this prospectus by reference to Micron Technology, Inc.'s Current Report on Form 8-K dated October 10, 2017 and management's assessment of the effectiveness of internal control over financial reporting (which is included in Management's Report on Internal Control over Financial Reporting) incorporated in this Prospectus by reference to the Annual Report on Form 10-K of Micron Technology, Inc. for the year ended September 1, 2016 have been so incorporated in reliance on the report of PricewaterhouseCoopers LLP, an independent registered public accounting firm, given on the authority of said firm as experts in auditing and accounting.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16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160020</wp:posOffset>
            </wp:positionV>
            <wp:extent cx="2992755" cy="831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299275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0"/>
          <w:szCs w:val="20"/>
          <w:color w:val="auto"/>
        </w:rPr>
      </w:pPr>
    </w:p>
    <w:p>
      <w:pPr>
        <w:ind w:left="4960" w:hanging="853"/>
        <w:spacing w:after="0"/>
        <w:tabs>
          <w:tab w:leader="none" w:pos="4960" w:val="left"/>
        </w:tabs>
        <w:numPr>
          <w:ilvl w:val="0"/>
          <w:numId w:val="44"/>
        </w:numPr>
        <w:rPr>
          <w:rFonts w:ascii="Arial" w:cs="Arial" w:eastAsia="Arial" w:hAnsi="Arial"/>
          <w:sz w:val="24"/>
          <w:szCs w:val="24"/>
          <w:b w:val="1"/>
          <w:bCs w:val="1"/>
          <w:color w:val="auto"/>
        </w:rPr>
      </w:pPr>
      <w:r>
        <w:rPr>
          <w:rFonts w:ascii="Arial" w:cs="Arial" w:eastAsia="Arial" w:hAnsi="Arial"/>
          <w:sz w:val="24"/>
          <w:szCs w:val="24"/>
          <w:b w:val="1"/>
          <w:bCs w:val="1"/>
          <w:color w:val="auto"/>
        </w:rPr>
        <w:t>% Senior Notes due 20</w:t>
      </w:r>
    </w:p>
    <w:p>
      <w:pPr>
        <w:spacing w:after="0" w:line="223" w:lineRule="exact"/>
        <w:rPr>
          <w:rFonts w:ascii="Arial" w:cs="Arial" w:eastAsia="Arial" w:hAnsi="Arial"/>
          <w:sz w:val="24"/>
          <w:szCs w:val="24"/>
          <w:b w:val="1"/>
          <w:bCs w:val="1"/>
          <w:color w:val="auto"/>
        </w:rPr>
      </w:pPr>
    </w:p>
    <w:p>
      <w:pPr>
        <w:ind w:left="4960" w:hanging="853"/>
        <w:spacing w:after="0"/>
        <w:tabs>
          <w:tab w:leader="none" w:pos="4960" w:val="left"/>
        </w:tabs>
        <w:numPr>
          <w:ilvl w:val="0"/>
          <w:numId w:val="44"/>
        </w:numPr>
        <w:rPr>
          <w:rFonts w:ascii="Arial" w:cs="Arial" w:eastAsia="Arial" w:hAnsi="Arial"/>
          <w:sz w:val="24"/>
          <w:szCs w:val="24"/>
          <w:b w:val="1"/>
          <w:bCs w:val="1"/>
          <w:color w:val="auto"/>
        </w:rPr>
      </w:pPr>
      <w:r>
        <w:rPr>
          <w:rFonts w:ascii="Arial" w:cs="Arial" w:eastAsia="Arial" w:hAnsi="Arial"/>
          <w:sz w:val="24"/>
          <w:szCs w:val="24"/>
          <w:b w:val="1"/>
          <w:bCs w:val="1"/>
          <w:color w:val="auto"/>
        </w:rPr>
        <w:t>% Senior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219"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spacing w:after="0"/>
        <w:tabs>
          <w:tab w:leader="none" w:pos="5540" w:val="left"/>
          <w:tab w:leader="none" w:pos="9080" w:val="left"/>
        </w:tabs>
        <w:rPr>
          <w:sz w:val="20"/>
          <w:szCs w:val="20"/>
          <w:color w:val="auto"/>
        </w:rPr>
      </w:pPr>
      <w:r>
        <w:rPr>
          <w:rFonts w:ascii="Arial" w:cs="Arial" w:eastAsia="Arial" w:hAnsi="Arial"/>
          <w:sz w:val="24"/>
          <w:szCs w:val="24"/>
          <w:b w:val="1"/>
          <w:bCs w:val="1"/>
          <w:color w:val="auto"/>
        </w:rPr>
        <w:t>Goldman Sachs &amp; Co. LLC</w:t>
      </w:r>
      <w:r>
        <w:rPr>
          <w:sz w:val="20"/>
          <w:szCs w:val="20"/>
          <w:color w:val="auto"/>
        </w:rPr>
        <w:tab/>
      </w: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1"/>
          <w:szCs w:val="21"/>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346710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2"/>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lowerRoman"/>
      <w:start w:val="1"/>
    </w:lvl>
  </w:abstractNum>
  <w:abstractNum w:abstractNumId="34">
    <w:nsid w:val="51EAD36B"/>
    <w:multiLevelType w:val="hybridMultilevel"/>
    <w:lvl w:ilvl="0">
      <w:lvlJc w:val="left"/>
      <w:lvlText w:val="(%1)"/>
      <w:numFmt w:val="lowerRoman"/>
      <w:start w:val="3"/>
    </w:lvl>
  </w:abstractNum>
  <w:abstractNum w:abstractNumId="35">
    <w:nsid w:val="2D517796"/>
    <w:multiLevelType w:val="hybridMultilevel"/>
    <w:lvl w:ilvl="0">
      <w:lvlJc w:val="left"/>
      <w:lvlText w:val="(%1)"/>
      <w:numFmt w:val="lowerRoman"/>
      <w:start w:val="3"/>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208"/>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jpe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105"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jpe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6" Type="http://schemas.openxmlformats.org/officeDocument/2006/relationships/hyperlink" Target="http://www.sec.gov/Archives/edgar/data/723125/000072312518000092/a2018q4.htm" TargetMode="External"/><Relationship Id="rId17" Type="http://schemas.openxmlformats.org/officeDocument/2006/relationships/hyperlink" Target="http://www.sec.gov/Archives/edgar/data/723125/000072312519000035/a2019q3.htm" TargetMode="External"/><Relationship Id="rId76" Type="http://schemas.openxmlformats.org/officeDocument/2006/relationships/hyperlink" Target="http://www.sec.gov/Archives/edgar/data/723125/000072312518000156/a2019q1.htm" TargetMode="External"/><Relationship Id="rId77" Type="http://schemas.openxmlformats.org/officeDocument/2006/relationships/hyperlink" Target="http://www.sec.gov/Archives/edgar/data/723125/000072312519000014/a2019q2.htm" TargetMode="External"/><Relationship Id="rId78" Type="http://schemas.openxmlformats.org/officeDocument/2006/relationships/hyperlink" Target="http://www.sec.gov/Archives/edgar/data/723125/000072312518000142/a2018definitiveproxy.htm" TargetMode="External"/><Relationship Id="rId79" Type="http://schemas.openxmlformats.org/officeDocument/2006/relationships/hyperlink" Target="http://www.sec.gov/Archives/edgar/data/723125/000072312518000085/a2018q48-kearningsrelease.htm" TargetMode="External"/><Relationship Id="rId80" Type="http://schemas.openxmlformats.org/officeDocument/2006/relationships/hyperlink" Target="http://www.sec.gov/Archives/edgar/data/723125/000072312518000100/a20188-k10172018.htm" TargetMode="External"/><Relationship Id="rId81" Type="http://schemas.openxmlformats.org/officeDocument/2006/relationships/hyperlink" Target="http://www.sec.gov/Archives/edgar/data/723125/000072312518000115/a20188-k10182018.htm" TargetMode="External"/><Relationship Id="rId82" Type="http://schemas.openxmlformats.org/officeDocument/2006/relationships/hyperlink" Target="http://www.sec.gov/Archives/edgar/data/723125/000072312518000135/a20188-k1192018.htm" TargetMode="External"/><Relationship Id="rId83" Type="http://schemas.openxmlformats.org/officeDocument/2006/relationships/hyperlink" Target="http://www.sec.gov/Archives/edgar/data/723125/000072312518000145/a20188-k1262018.htm" TargetMode="External"/><Relationship Id="rId84" Type="http://schemas.openxmlformats.org/officeDocument/2006/relationships/hyperlink" Target="http://www.sec.gov/Archives/edgar/data/723125/000072312519000003/a20188-k01142019.htm" TargetMode="External"/><Relationship Id="rId85" Type="http://schemas.openxmlformats.org/officeDocument/2006/relationships/hyperlink" Target="http://www.sec.gov/Archives/edgar/data/723125/000072312519000005/a8-k2018votingresultsandam.htm" TargetMode="External"/><Relationship Id="rId86" Type="http://schemas.openxmlformats.org/officeDocument/2006/relationships/hyperlink" Target="http://www.sec.gov/Archives/edgar/data/723125/000072312519000007/a20198-k10b5x1tradingpland.htm" TargetMode="External"/><Relationship Id="rId87" Type="http://schemas.openxmlformats.org/officeDocument/2006/relationships/hyperlink" Target="http://www.sec.gov/Archives/edgar/data/723125/000110465919006069/a18-36862_48k.htm" TargetMode="External"/><Relationship Id="rId88" Type="http://schemas.openxmlformats.org/officeDocument/2006/relationships/hyperlink" Target="http://www.sec.gov/Archives/edgar/data/723125/000072312519000020/a20198-k10b5x1tradingplana.htm" TargetMode="External"/><Relationship Id="rId89" Type="http://schemas.openxmlformats.org/officeDocument/2006/relationships/hyperlink" Target="http://www.sec.gov/Archives/edgar/data/723125/000072312519000023/a20198-kimftclosingdate.htm" TargetMode="External"/><Relationship Id="rId90" Type="http://schemas.openxmlformats.org/officeDocument/2006/relationships/hyperlink" Target="http://www.sec.gov/Archives/edgar/data/723125/000072312519000037/a20198-kwrightbodappointme.htm" TargetMode="External"/><Relationship Id="rId91" Type="http://schemas.openxmlformats.org/officeDocument/2006/relationships/hyperlink" Target="http://www.sec.gov/Archives/edgar/data/723125/000110465919039711/a19-12603_18k.htm" TargetMode="External"/><Relationship Id="rId99" Type="http://schemas.openxmlformats.org/officeDocument/2006/relationships/hyperlink" Target="http://www.sec.gov/Archives/edgar/data/723125/000110465917061554/a17-18241_38k.htm" TargetMode="External"/><Relationship Id="rId100" Type="http://schemas.openxmlformats.org/officeDocument/2006/relationships/hyperlink" Target="http://www.sec.gov/Archives/edgar/data/723125/000072312517000005/a2017q1.htm" TargetMode="External"/><Relationship Id="rId101" Type="http://schemas.openxmlformats.org/officeDocument/2006/relationships/hyperlink" Target="http://www.sec.gov/Archives/edgar/data/723125/000072312517000037/a2017q2.htm" TargetMode="External"/><Relationship Id="rId102" Type="http://schemas.openxmlformats.org/officeDocument/2006/relationships/hyperlink" Target="http://www.sec.gov/Archives/edgar/data/723125/000072312517000085/a2017q3.htm" TargetMode="External"/><Relationship Id="rId103" Type="http://schemas.openxmlformats.org/officeDocument/2006/relationships/hyperlink" Target="http://www.sec.gov/Archives/edgar/data/723125/000072312516000269/a2016q4.htm" TargetMode="External"/><Relationship Id="rId104" Type="http://schemas.openxmlformats.org/officeDocument/2006/relationships/hyperlink" Target="http://www.sec.gov/Archives/edgar/data/723125/000072312516000296/a2016definitiveproxy.htm" TargetMode="External"/><Relationship Id="rId106" Type="http://schemas.openxmlformats.org/officeDocument/2006/relationships/hyperlink" Target="http://www.sec.gov/Archives/edgar/data/723125/000072312516000272/a20168-k1192016.htm" TargetMode="External"/><Relationship Id="rId107" Type="http://schemas.openxmlformats.org/officeDocument/2006/relationships/hyperlink" Target="http://www.sec.gov/Archives/edgar/data/723125/000072312517000053/a20178-kmehrotraceo.htm" TargetMode="External"/><Relationship Id="rId108" Type="http://schemas.openxmlformats.org/officeDocument/2006/relationships/hyperlink" Target="http://www.sec.gov/Archives/edgar/data/723125/000072312517000060/a20178-k10b5x105162017.htm" TargetMode="External"/><Relationship Id="rId109" Type="http://schemas.openxmlformats.org/officeDocument/2006/relationships/hyperlink" Target="http://www.sec.gov/Archives/edgar/data/723125/000072312517000076/a20178-kofficerchange.htm" TargetMode="External"/><Relationship Id="rId110" Type="http://schemas.openxmlformats.org/officeDocument/2006/relationships/hyperlink" Target="http://www.sec.gov/Archives/edgar/data/723125/000072312517000092/a20178-kdurcanamendedandre.htm" TargetMode="External"/><Relationship Id="rId111" Type="http://schemas.openxmlformats.org/officeDocument/2006/relationships/hyperlink" Target="http://www.sec.gov/Archives/edgar/data/723125/000072312516000208/a8-arights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2019-12-01T02:21:43Z</dcterms:created>
  <dcterms:modified xsi:type="dcterms:W3CDTF">2019-12-01T02:21:43Z</dcterms:modified>
</cp:coreProperties>
</file>