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-230505</wp:posOffset>
            </wp:positionV>
            <wp:extent cx="126365" cy="126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5207635</wp:posOffset>
            </wp:positionH>
            <wp:positionV relativeFrom="paragraph">
              <wp:posOffset>-605155</wp:posOffset>
            </wp:positionV>
            <wp:extent cx="57150" cy="6184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3918585</wp:posOffset>
            </wp:positionH>
            <wp:positionV relativeFrom="paragraph">
              <wp:posOffset>-605155</wp:posOffset>
            </wp:positionV>
            <wp:extent cx="57150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26035</wp:posOffset>
            </wp:positionV>
            <wp:extent cx="6998335" cy="8761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8761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80"/>
            <w:col w:w="8420"/>
          </w:cols>
          <w:pgMar w:left="460" w:top="214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Bokan Michael W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720" w:firstLine="3"/>
        <w:spacing w:after="0" w:line="270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8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SVP, Worldwide Sales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60" w:space="683"/>
            <w:col w:w="3337"/>
          </w:cols>
          <w:pgMar w:left="460" w:top="214" w:right="359" w:bottom="0" w:gutter="0" w:footer="0" w:header="0"/>
          <w:type w:val="continuous"/>
        </w:sectPr>
      </w:pPr>
    </w:p>
    <w:p>
      <w:pPr>
        <w:spacing w:after="0" w:line="6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83716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jc w:val="right"/>
              <w:ind w:righ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45,024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164,150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18,124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182,274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7,794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52.75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174,480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0"/>
              </w:rPr>
              <w:t>480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174,960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0"/>
              </w:rPr>
              <w:t>207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52.75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174,753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16,846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191,599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8,036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52.75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183,563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6,548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190,111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3,124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52.75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186,987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3,868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52.75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183,119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10/16/2022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3,254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52.72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179,865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10/16/2022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5,094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52.72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174,771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17,201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18,124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8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5,179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2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2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w w:val="82"/>
                <w:vertAlign w:val="subscript"/>
              </w:rPr>
              <w:t>480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2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8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4,124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2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(9)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(9)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16,846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8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8,423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8,423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6,548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8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7,117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7,118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17,753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8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17,753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17,753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11,256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8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11,256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6"/>
              </w:rPr>
              <w:t>11,256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11,256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8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11,256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6"/>
              </w:rPr>
              <w:t>11,256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-3664585</wp:posOffset>
            </wp:positionV>
            <wp:extent cx="28575" cy="3669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66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Restricted Stock Award vests 33 1/3% on October 15, 2023, and 1/12 of the total restricted stock award vests quarterly thereafter.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00" w:hanging="3"/>
        <w:spacing w:after="0" w:line="259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the pre-established performance goals at a level resulting in a vest of 100% of the total target shares under the performance-based restricted stock units previously awarded on October 16, 2019. As reported at grant, the performance-based restricted stock unit could result in a payout that varies based on actual achievement of the goals, subject to a 200% aggregate limit on the payout of target shares.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Withholding of shares of common stock to satisfy tax withholding obligations in connection with the vesting of previously granted awards.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0" w:gutter="0" w:footer="0" w:header="0"/>
          <w:type w:val="continuous"/>
        </w:sectPr>
      </w:pPr>
    </w:p>
    <w:bookmarkStart w:id="1" w:name="page2"/>
    <w:bookmarkEnd w:id="1"/>
    <w:p>
      <w:pPr>
        <w:ind w:left="3" w:right="40" w:hanging="3"/>
        <w:spacing w:after="0" w:line="259" w:lineRule="auto"/>
        <w:tabs>
          <w:tab w:leader="none" w:pos="127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NAND delivery and solutions at a level resulting in a vest of 100% of the total target shares under the performance-based restricted stock units previously awarded on October 16, 2020. As reported at grant, the performance-based restricted stock unit could result in a payout that varies based on actual achievement of the goals, subject to a 200% aggregate limit on the payout of target shares.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3" w:right="40" w:hanging="3"/>
        <w:spacing w:after="0" w:line="259" w:lineRule="auto"/>
        <w:tabs>
          <w:tab w:leader="none" w:pos="127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relative total shareholder return at a level resulting in a vest of 46% of the total target shares under the performance-based restricted stock units previously awarded on October 16, 2020. As reported at grant, the performance-based restricted stock unit could result in a payout that varies based on actual achievement of the goals, subject to a 200% aggregate limit on the payout of target shares.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23" w:hanging="123"/>
        <w:spacing w:after="0"/>
        <w:tabs>
          <w:tab w:leader="none" w:pos="12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Shares held in a Trust for the benefit of the reporting person and his family, with the reporting person as a co-trustee with his spouse.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3" w:right="60" w:hanging="3"/>
        <w:spacing w:after="0" w:line="259" w:lineRule="auto"/>
        <w:tabs>
          <w:tab w:leader="none" w:pos="127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NAND delivery and solutions over a 3-year performance period beginning August 30, 2019 and ending September 1, 2022 (subject to a 200% aggregate limit on the total target shares that may be received under the performance-based restricted stock units awarded on October 16, 2019), and certification of such performance by the Compensation Committee.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3" w:right="60" w:hanging="3"/>
        <w:spacing w:after="0" w:line="259" w:lineRule="auto"/>
        <w:tabs>
          <w:tab w:leader="none" w:pos="127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relative total shareholder return over a 3-year performance period beginning August 30, 2019 and ending September 1, 2022 (subject to a 200% aggregate limit on the total target shares that may be received under the performance-based restricted stock units awarded on October 16, 2019), and certification of such performance by the Compensation Committee.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3" w:right="60" w:hanging="3"/>
        <w:spacing w:after="0" w:line="259" w:lineRule="auto"/>
        <w:tabs>
          <w:tab w:leader="none" w:pos="127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NAND delivery and solutions over a 3-year performance period beginning September 4, 2020 and ending August 31, 2023 (subject to a 200% aggregate limit on the total target shares that may be received under the performance-based restricted stock units awarded on October 16, 2020), and certification of such performance by the Compensation Committee.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3" w:right="20" w:hanging="3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relative total shareholder return over a 3-year performance period beginning September 4, 2020 and ending August 31, 2023 (subject to a 200% aggregate limit on the total target shares that may be received under the performance-based restricted stock units awarded on October 16, 2020), and certification of such performance by the Compensation Committee.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3" w:hanging="3"/>
        <w:spacing w:after="0" w:line="259" w:lineRule="auto"/>
        <w:tabs>
          <w:tab w:leader="none" w:pos="185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relative total shareholder return over a 3-year period beginning September 2, 2022 and ending August 28, 2025 (subject to a 200% aggregate limit on the total target shares that may be received under the performance-based restricted stock units awarded on October 13, 2022), and certification of such performance by the Compensation Committee.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3" w:right="60" w:hanging="3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NAND delivery and solutions over a 3-year period beginning September 2, 2022 and ending August 28, 2025 (subject to a 200% aggregate limit on the total target shares that may be received under the performance-based restricted stock units awarded on October 13, 2022), and certification of such performance by the Compensation Committee.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3" w:right="120" w:hanging="3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DRAM revenue over a 3-year period beginning September 2, 2022 and ending August 28, 2025 (subject to a 200% aggregate limit on the total target shares that may be received under the performance-based restricted stock units awarded on October 13, 2022), and certification of such performance by the Compensation Committee.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56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Rob Beard,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10/17/2022</w:t>
            </w:r>
          </w:p>
        </w:tc>
      </w:tr>
      <w:tr>
        <w:trPr>
          <w:trHeight w:val="219"/>
        </w:trPr>
        <w:tc>
          <w:tcPr>
            <w:tcW w:w="18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3" w:right="3720" w:hanging="3"/>
        <w:spacing w:after="0" w:line="324" w:lineRule="auto"/>
        <w:tabs>
          <w:tab w:leader="none" w:pos="134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3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03"/>
      </w:cols>
      <w:pgMar w:left="497" w:top="127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466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2022-10-17T16:00:35Z</dcterms:created>
  <dcterms:modified xsi:type="dcterms:W3CDTF">2022-10-17T16:00:35Z</dcterms:modified>
</cp:coreProperties>
</file>