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75-1618004</w:t>
            </w:r>
          </w:p>
        </w:tc>
      </w:tr>
      <w:tr>
        <w:trPr>
          <w:trHeight w:val="230"/>
        </w:trPr>
        <w:tc>
          <w:tcPr>
            <w:tcW w:w="5800" w:type="dxa"/>
            <w:vAlign w:val="bottom"/>
          </w:tcPr>
          <w:p>
            <w:pPr>
              <w:jc w:val="center"/>
              <w:ind w:right="430"/>
              <w:spacing w:after="0"/>
              <w:rPr>
                <w:sz w:val="20"/>
                <w:szCs w:val="20"/>
                <w:color w:val="auto"/>
              </w:rPr>
            </w:pPr>
            <w:r>
              <w:rPr>
                <w:rFonts w:ascii="Arial" w:cs="Arial" w:eastAsia="Arial" w:hAnsi="Arial"/>
                <w:sz w:val="18"/>
                <w:szCs w:val="18"/>
                <w:color w:val="auto"/>
                <w:w w:val="92"/>
              </w:rPr>
              <w:t>(State or other jurisdiction of incorporation)</w:t>
            </w:r>
          </w:p>
        </w:tc>
        <w:tc>
          <w:tcPr>
            <w:tcW w:w="5620" w:type="dxa"/>
            <w:vAlign w:val="bottom"/>
          </w:tcPr>
          <w:p>
            <w:pPr>
              <w:jc w:val="center"/>
              <w:ind w:right="430"/>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58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8000 South Federal Way, P.O. Box 6, Boise, Idaho</w:t>
            </w:r>
          </w:p>
        </w:tc>
        <w:tc>
          <w:tcPr>
            <w:tcW w:w="56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83707-0006</w:t>
            </w:r>
          </w:p>
        </w:tc>
      </w:tr>
      <w:tr>
        <w:trPr>
          <w:trHeight w:val="230"/>
        </w:trPr>
        <w:tc>
          <w:tcPr>
            <w:tcW w:w="580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620" w:type="dxa"/>
            <w:vAlign w:val="bottom"/>
          </w:tcPr>
          <w:p>
            <w:pPr>
              <w:jc w:val="center"/>
              <w:ind w:right="43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 2007 Equity Incentive Plan</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Roderic W. Lewis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V.P. of Legal Affairs,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208-368-4000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64"/>
              <w:spacing w:after="0"/>
              <w:rPr>
                <w:sz w:val="20"/>
                <w:szCs w:val="20"/>
                <w:color w:val="auto"/>
              </w:rPr>
            </w:pPr>
            <w:r>
              <w:rPr>
                <w:rFonts w:ascii="Arial" w:cs="Arial" w:eastAsia="Arial" w:hAnsi="Arial"/>
                <w:sz w:val="18"/>
                <w:szCs w:val="18"/>
                <w:b w:val="1"/>
                <w:bCs w:val="1"/>
                <w:color w:val="auto"/>
                <w:w w:val="86"/>
              </w:rPr>
              <w:t>Proposed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44"/>
              <w:spacing w:after="0"/>
              <w:rPr>
                <w:sz w:val="20"/>
                <w:szCs w:val="20"/>
                <w:color w:val="auto"/>
              </w:rPr>
            </w:pPr>
            <w:r>
              <w:rPr>
                <w:rFonts w:ascii="Arial" w:cs="Arial" w:eastAsia="Arial" w:hAnsi="Arial"/>
                <w:sz w:val="18"/>
                <w:szCs w:val="18"/>
                <w:b w:val="1"/>
                <w:bCs w:val="1"/>
                <w:color w:val="auto"/>
                <w:w w:val="92"/>
              </w:rPr>
              <w:t>maximum</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5040" w:type="dxa"/>
            <w:vAlign w:val="bottom"/>
          </w:tcPr>
          <w:p>
            <w:pPr>
              <w:ind w:left="2700"/>
              <w:spacing w:after="0"/>
              <w:rPr>
                <w:sz w:val="20"/>
                <w:szCs w:val="20"/>
                <w:color w:val="auto"/>
              </w:rPr>
            </w:pPr>
            <w:r>
              <w:rPr>
                <w:rFonts w:ascii="Arial" w:cs="Arial" w:eastAsia="Arial" w:hAnsi="Arial"/>
                <w:sz w:val="18"/>
                <w:szCs w:val="18"/>
                <w:b w:val="1"/>
                <w:bCs w:val="1"/>
                <w:color w:val="auto"/>
              </w:rPr>
              <w:t>Title of</w:t>
            </w:r>
          </w:p>
        </w:tc>
        <w:tc>
          <w:tcPr>
            <w:tcW w:w="2320" w:type="dxa"/>
            <w:vAlign w:val="bottom"/>
          </w:tcPr>
          <w:p>
            <w:pPr>
              <w:ind w:left="1080"/>
              <w:spacing w:after="0"/>
              <w:rPr>
                <w:sz w:val="20"/>
                <w:szCs w:val="20"/>
                <w:color w:val="auto"/>
              </w:rPr>
            </w:pPr>
            <w:r>
              <w:rPr>
                <w:rFonts w:ascii="Arial" w:cs="Arial" w:eastAsia="Arial" w:hAnsi="Arial"/>
                <w:sz w:val="18"/>
                <w:szCs w:val="18"/>
                <w:b w:val="1"/>
                <w:bCs w:val="1"/>
                <w:color w:val="auto"/>
              </w:rPr>
              <w:t>Amount to be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registration</w:t>
            </w:r>
          </w:p>
        </w:tc>
      </w:tr>
      <w:tr>
        <w:trPr>
          <w:trHeight w:val="241"/>
        </w:trPr>
        <w:tc>
          <w:tcPr>
            <w:tcW w:w="5040" w:type="dxa"/>
            <w:vAlign w:val="bottom"/>
          </w:tcPr>
          <w:p>
            <w:pPr>
              <w:ind w:left="2000"/>
              <w:spacing w:after="0"/>
              <w:rPr>
                <w:sz w:val="20"/>
                <w:szCs w:val="20"/>
                <w:color w:val="auto"/>
              </w:rPr>
            </w:pPr>
            <w:r>
              <w:rPr>
                <w:rFonts w:ascii="Arial" w:cs="Arial" w:eastAsia="Arial" w:hAnsi="Arial"/>
                <w:sz w:val="18"/>
                <w:szCs w:val="18"/>
                <w:b w:val="1"/>
                <w:bCs w:val="1"/>
                <w:color w:val="auto"/>
              </w:rPr>
              <w:t>securities to be registered</w:t>
            </w:r>
          </w:p>
        </w:tc>
        <w:tc>
          <w:tcPr>
            <w:tcW w:w="2320" w:type="dxa"/>
            <w:vAlign w:val="bottom"/>
          </w:tcPr>
          <w:p>
            <w:pPr>
              <w:ind w:left="1100"/>
              <w:spacing w:after="0"/>
              <w:rPr>
                <w:sz w:val="20"/>
                <w:szCs w:val="20"/>
                <w:color w:val="auto"/>
              </w:rPr>
            </w:pPr>
            <w:r>
              <w:rPr>
                <w:rFonts w:ascii="Arial" w:cs="Arial" w:eastAsia="Arial" w:hAnsi="Arial"/>
                <w:sz w:val="18"/>
                <w:szCs w:val="18"/>
                <w:b w:val="1"/>
                <w:bCs w:val="1"/>
                <w:color w:val="auto"/>
              </w:rPr>
              <w:t>registered (1)</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 share (2)</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price (2)</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fee</w:t>
            </w:r>
          </w:p>
        </w:tc>
      </w:tr>
      <w:tr>
        <w:trPr>
          <w:trHeight w:val="465"/>
        </w:trPr>
        <w:tc>
          <w:tcPr>
            <w:tcW w:w="5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Common Stock $.10 par</w:t>
            </w:r>
          </w:p>
        </w:tc>
        <w:tc>
          <w:tcPr>
            <w:tcW w:w="2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value per share, to be</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issued pursuant to the</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40" w:type="dxa"/>
            <w:vAlign w:val="bottom"/>
          </w:tcPr>
          <w:p>
            <w:pPr>
              <w:spacing w:after="0" w:line="243" w:lineRule="exact"/>
              <w:rPr>
                <w:sz w:val="20"/>
                <w:szCs w:val="20"/>
                <w:color w:val="auto"/>
              </w:rPr>
            </w:pPr>
            <w:r>
              <w:rPr>
                <w:rFonts w:ascii="Arial" w:cs="Arial" w:eastAsia="Arial" w:hAnsi="Arial"/>
                <w:sz w:val="22"/>
                <w:szCs w:val="22"/>
                <w:color w:val="auto"/>
              </w:rPr>
              <w:t>Micron Technology, Inc.</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5040" w:type="dxa"/>
            <w:vAlign w:val="bottom"/>
          </w:tcPr>
          <w:p>
            <w:pPr>
              <w:spacing w:after="0"/>
              <w:rPr>
                <w:sz w:val="20"/>
                <w:szCs w:val="20"/>
                <w:color w:val="auto"/>
              </w:rPr>
            </w:pPr>
            <w:r>
              <w:rPr>
                <w:rFonts w:ascii="Arial" w:cs="Arial" w:eastAsia="Arial" w:hAnsi="Arial"/>
                <w:sz w:val="22"/>
                <w:szCs w:val="22"/>
                <w:color w:val="auto"/>
              </w:rPr>
              <w:t>2007 Equity Incentive Plan</w:t>
            </w:r>
          </w:p>
        </w:tc>
        <w:tc>
          <w:tcPr>
            <w:tcW w:w="2320" w:type="dxa"/>
            <w:vAlign w:val="bottom"/>
          </w:tcPr>
          <w:p>
            <w:pPr>
              <w:jc w:val="right"/>
              <w:ind w:right="24"/>
              <w:spacing w:after="0"/>
              <w:rPr>
                <w:sz w:val="20"/>
                <w:szCs w:val="20"/>
                <w:color w:val="auto"/>
              </w:rPr>
            </w:pPr>
            <w:r>
              <w:rPr>
                <w:rFonts w:ascii="Arial" w:cs="Arial" w:eastAsia="Arial" w:hAnsi="Arial"/>
                <w:sz w:val="22"/>
                <w:szCs w:val="22"/>
                <w:color w:val="auto"/>
              </w:rPr>
              <w:t>10,000,000</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4"/>
              <w:spacing w:after="0"/>
              <w:rPr>
                <w:sz w:val="20"/>
                <w:szCs w:val="20"/>
                <w:color w:val="auto"/>
              </w:rPr>
            </w:pPr>
            <w:r>
              <w:rPr>
                <w:rFonts w:ascii="Arial" w:cs="Arial" w:eastAsia="Arial" w:hAnsi="Arial"/>
                <w:sz w:val="22"/>
                <w:szCs w:val="22"/>
                <w:color w:val="auto"/>
              </w:rPr>
              <w:t>4.94</w:t>
            </w:r>
          </w:p>
        </w:tc>
        <w:tc>
          <w:tcPr>
            <w:tcW w:w="1340" w:type="dxa"/>
            <w:vAlign w:val="bottom"/>
          </w:tcPr>
          <w:p>
            <w:pPr>
              <w:jc w:val="center"/>
              <w:spacing w:after="0"/>
              <w:rPr>
                <w:sz w:val="20"/>
                <w:szCs w:val="20"/>
                <w:color w:val="auto"/>
              </w:rPr>
            </w:pPr>
            <w:r>
              <w:rPr>
                <w:rFonts w:ascii="Arial" w:cs="Arial" w:eastAsia="Arial" w:hAnsi="Arial"/>
                <w:sz w:val="22"/>
                <w:szCs w:val="22"/>
                <w:color w:val="auto"/>
                <w:w w:val="88"/>
              </w:rPr>
              <w:t>$ 49,400,000</w:t>
            </w:r>
          </w:p>
        </w:tc>
        <w:tc>
          <w:tcPr>
            <w:tcW w:w="1360" w:type="dxa"/>
            <w:vAlign w:val="bottom"/>
            <w:gridSpan w:val="2"/>
          </w:tcPr>
          <w:p>
            <w:pPr>
              <w:jc w:val="center"/>
              <w:spacing w:after="0"/>
              <w:rPr>
                <w:sz w:val="20"/>
                <w:szCs w:val="20"/>
                <w:color w:val="auto"/>
              </w:rPr>
            </w:pPr>
            <w:r>
              <w:rPr>
                <w:rFonts w:ascii="Arial" w:cs="Arial" w:eastAsia="Arial" w:hAnsi="Arial"/>
                <w:sz w:val="22"/>
                <w:szCs w:val="22"/>
                <w:color w:val="auto"/>
                <w:w w:val="98"/>
              </w:rPr>
              <w:t>$   2,757.00</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380" w:hanging="367"/>
        <w:spacing w:after="0" w:line="238"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212" w:lineRule="exact"/>
        <w:rPr>
          <w:rFonts w:ascii="Arial" w:cs="Arial" w:eastAsia="Arial" w:hAnsi="Arial"/>
          <w:sz w:val="22"/>
          <w:szCs w:val="22"/>
          <w:color w:val="auto"/>
        </w:rPr>
      </w:pPr>
    </w:p>
    <w:p>
      <w:pPr>
        <w:jc w:val="both"/>
        <w:ind w:left="380" w:hanging="367"/>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Estimated in accordance with Rules 457(c) and 457(h) under the Securities Act, solely for the purpose of calculating the registration fee on the basis of $4.94 per share, which is the average of the high and low prices of the Company’s Common Stock as reported on the New York Stock Exchange on May 29, 2009.</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REQUIRED IN THE SECTION 10(a) PROSPECTUS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documents containing the information specified in Part I of Form S-8 are not required to be filed with the Securities and Exchange Commission either as part of this Registration Statement or as a prospectus or prospectus supplements pursuant to the Note to Part I of Form S-8 and Rule 424 under the Securities Act.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t>PART II</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200" w:lineRule="exact"/>
        <w:rPr>
          <w:sz w:val="20"/>
          <w:szCs w:val="20"/>
          <w:color w:val="auto"/>
        </w:rPr>
      </w:pPr>
    </w:p>
    <w:p>
      <w:pPr>
        <w:spacing w:after="0" w:line="27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Incorporation of Documents by Reference.</w:t>
      </w:r>
    </w:p>
    <w:p>
      <w:pPr>
        <w:spacing w:after="0" w:line="239" w:lineRule="exact"/>
        <w:rPr>
          <w:sz w:val="20"/>
          <w:szCs w:val="20"/>
          <w:color w:val="auto"/>
        </w:rPr>
      </w:pPr>
    </w:p>
    <w:p>
      <w:pPr>
        <w:ind w:right="760" w:firstLine="648"/>
        <w:spacing w:after="0" w:line="251" w:lineRule="auto"/>
        <w:rPr>
          <w:sz w:val="20"/>
          <w:szCs w:val="20"/>
          <w:color w:val="auto"/>
        </w:rPr>
      </w:pPr>
      <w:r>
        <w:rPr>
          <w:rFonts w:ascii="Arial" w:cs="Arial" w:eastAsia="Arial" w:hAnsi="Arial"/>
          <w:sz w:val="22"/>
          <w:szCs w:val="22"/>
          <w:color w:val="auto"/>
        </w:rPr>
        <w:t>The following documents filed by the Company with the Securities and Exchange Commission are incorporated by reference in this Registration Statement:</w:t>
      </w:r>
    </w:p>
    <w:p>
      <w:pPr>
        <w:spacing w:after="0" w:line="200" w:lineRule="exact"/>
        <w:rPr>
          <w:sz w:val="20"/>
          <w:szCs w:val="20"/>
          <w:color w:val="auto"/>
        </w:rPr>
      </w:pPr>
    </w:p>
    <w:p>
      <w:pPr>
        <w:ind w:firstLine="332"/>
        <w:spacing w:after="0" w:line="251" w:lineRule="auto"/>
        <w:tabs>
          <w:tab w:leader="none" w:pos="7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latest Annual Report on Form 10-K for the year ended August 28, 2008, filed pursuant to Section 13(a) of the Securities Exchange Act of 1934, as amended (the “Exchange Act”) (File No. 1-10658).</w:t>
      </w:r>
    </w:p>
    <w:p>
      <w:pPr>
        <w:spacing w:after="0" w:line="200" w:lineRule="exact"/>
        <w:rPr>
          <w:rFonts w:ascii="Arial" w:cs="Arial" w:eastAsia="Arial" w:hAnsi="Arial"/>
          <w:sz w:val="22"/>
          <w:szCs w:val="22"/>
          <w:color w:val="auto"/>
        </w:rPr>
      </w:pPr>
    </w:p>
    <w:p>
      <w:pPr>
        <w:ind w:left="800" w:hanging="468"/>
        <w:spacing w:after="0"/>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Company’s Current Report on Form 8-K filed pursuant to Section 13(a) of the Exchange Act dated April 15, 2009.</w:t>
      </w:r>
    </w:p>
    <w:p>
      <w:pPr>
        <w:spacing w:after="0" w:line="267" w:lineRule="exact"/>
        <w:rPr>
          <w:rFonts w:ascii="Arial" w:cs="Arial" w:eastAsia="Arial" w:hAnsi="Arial"/>
          <w:sz w:val="19"/>
          <w:szCs w:val="19"/>
          <w:color w:val="auto"/>
        </w:rPr>
      </w:pPr>
    </w:p>
    <w:p>
      <w:pPr>
        <w:ind w:left="780" w:hanging="448"/>
        <w:spacing w:after="0"/>
        <w:tabs>
          <w:tab w:leader="none" w:pos="7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Company’s Current Report on Form 8-K filed pursuant to Section 13(a) of the Exchange Act dated April 8, 2009.</w:t>
      </w:r>
    </w:p>
    <w:p>
      <w:pPr>
        <w:spacing w:after="0" w:line="267" w:lineRule="exact"/>
        <w:rPr>
          <w:rFonts w:ascii="Arial" w:cs="Arial" w:eastAsia="Arial" w:hAnsi="Arial"/>
          <w:sz w:val="19"/>
          <w:szCs w:val="19"/>
          <w:color w:val="auto"/>
        </w:rPr>
      </w:pPr>
    </w:p>
    <w:p>
      <w:pPr>
        <w:ind w:left="800" w:hanging="468"/>
        <w:spacing w:after="0"/>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Company’s Current Report on Form 8-K filed pursuant to Section 13(a) of the Exchange Act dated April 2, 2009.</w:t>
      </w:r>
    </w:p>
    <w:p>
      <w:pPr>
        <w:spacing w:after="0" w:line="267" w:lineRule="exact"/>
        <w:rPr>
          <w:rFonts w:ascii="Arial" w:cs="Arial" w:eastAsia="Arial" w:hAnsi="Arial"/>
          <w:sz w:val="19"/>
          <w:szCs w:val="19"/>
          <w:color w:val="auto"/>
        </w:rPr>
      </w:pPr>
    </w:p>
    <w:p>
      <w:pPr>
        <w:ind w:left="780" w:hanging="448"/>
        <w:spacing w:after="0"/>
        <w:tabs>
          <w:tab w:leader="none" w:pos="7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Company’s two Current Reports on Form 8-K filed pursuant to Section 13(a) of the Exchange Act dated February 23,</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2009.</w:t>
      </w:r>
    </w:p>
    <w:p>
      <w:pPr>
        <w:spacing w:after="0" w:line="215" w:lineRule="exact"/>
        <w:rPr>
          <w:rFonts w:ascii="Arial" w:cs="Arial" w:eastAsia="Arial" w:hAnsi="Arial"/>
          <w:sz w:val="19"/>
          <w:szCs w:val="19"/>
          <w:color w:val="auto"/>
        </w:rPr>
      </w:pPr>
    </w:p>
    <w:p>
      <w:pPr>
        <w:ind w:left="760" w:hanging="428"/>
        <w:spacing w:after="0"/>
        <w:tabs>
          <w:tab w:leader="none" w:pos="7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Company’s Current Report on Form 8-K filed pursuant to Section 13(a) of the Exchange Act dated December 23,</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2009.</w:t>
      </w:r>
    </w:p>
    <w:p>
      <w:pPr>
        <w:spacing w:after="0" w:line="215" w:lineRule="exact"/>
        <w:rPr>
          <w:rFonts w:ascii="Arial" w:cs="Arial" w:eastAsia="Arial" w:hAnsi="Arial"/>
          <w:sz w:val="19"/>
          <w:szCs w:val="19"/>
          <w:color w:val="auto"/>
        </w:rPr>
      </w:pPr>
    </w:p>
    <w:p>
      <w:pPr>
        <w:ind w:right="200" w:firstLine="332"/>
        <w:spacing w:after="0" w:line="251" w:lineRule="auto"/>
        <w:tabs>
          <w:tab w:leader="none" w:pos="79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two Current Reports on Form 8-K filed pursuant to Section 13(a) of the Exchange Act dated November 26, 2009.</w:t>
      </w:r>
    </w:p>
    <w:p>
      <w:pPr>
        <w:spacing w:after="0" w:line="200" w:lineRule="exact"/>
        <w:rPr>
          <w:rFonts w:ascii="Arial" w:cs="Arial" w:eastAsia="Arial" w:hAnsi="Arial"/>
          <w:sz w:val="22"/>
          <w:szCs w:val="22"/>
          <w:color w:val="auto"/>
        </w:rPr>
      </w:pPr>
    </w:p>
    <w:p>
      <w:pPr>
        <w:ind w:left="800" w:hanging="468"/>
        <w:spacing w:after="0"/>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Company’s Current Report on Form 8-K filed pursuant to Section 13(a) of the Exchange Act dated October 11, 2009.</w:t>
      </w:r>
    </w:p>
    <w:p>
      <w:pPr>
        <w:spacing w:after="0" w:line="267" w:lineRule="exact"/>
        <w:rPr>
          <w:rFonts w:ascii="Arial" w:cs="Arial" w:eastAsia="Arial" w:hAnsi="Arial"/>
          <w:sz w:val="19"/>
          <w:szCs w:val="19"/>
          <w:color w:val="auto"/>
        </w:rPr>
      </w:pPr>
    </w:p>
    <w:p>
      <w:pPr>
        <w:ind w:left="760" w:hanging="428"/>
        <w:spacing w:after="0"/>
        <w:tabs>
          <w:tab w:leader="none" w:pos="7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Company’s Current Report on Form 8-K filed pursuant to Section 13(a) of the Exchange Act dated October 9, 2009.</w:t>
      </w:r>
    </w:p>
    <w:p>
      <w:pPr>
        <w:spacing w:after="0" w:line="267" w:lineRule="exact"/>
        <w:rPr>
          <w:rFonts w:ascii="Arial" w:cs="Arial" w:eastAsia="Arial" w:hAnsi="Arial"/>
          <w:sz w:val="19"/>
          <w:szCs w:val="19"/>
          <w:color w:val="auto"/>
        </w:rPr>
      </w:pPr>
    </w:p>
    <w:p>
      <w:pPr>
        <w:ind w:left="760" w:hanging="428"/>
        <w:spacing w:after="0"/>
        <w:tabs>
          <w:tab w:leader="none" w:pos="7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Company’s Current Report on Form 8-K filed pursuant to Section 13(a) of the Exchange Act dated October 1, 2009.</w:t>
      </w:r>
    </w:p>
    <w:p>
      <w:pPr>
        <w:spacing w:after="0" w:line="267" w:lineRule="exact"/>
        <w:rPr>
          <w:rFonts w:ascii="Arial" w:cs="Arial" w:eastAsia="Arial" w:hAnsi="Arial"/>
          <w:sz w:val="19"/>
          <w:szCs w:val="19"/>
          <w:color w:val="auto"/>
        </w:rPr>
      </w:pPr>
    </w:p>
    <w:p>
      <w:pPr>
        <w:ind w:right="740" w:firstLine="332"/>
        <w:spacing w:after="0" w:line="251" w:lineRule="auto"/>
        <w:tabs>
          <w:tab w:leader="none" w:pos="79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Quarterly Report on Form 10-Q filed pursuant to Section 13 or 15(d) of the Exchange Act for the quarterly period ended December 4, 2008.</w:t>
      </w:r>
    </w:p>
    <w:p>
      <w:pPr>
        <w:spacing w:after="0" w:line="200" w:lineRule="exact"/>
        <w:rPr>
          <w:rFonts w:ascii="Arial" w:cs="Arial" w:eastAsia="Arial" w:hAnsi="Arial"/>
          <w:sz w:val="22"/>
          <w:szCs w:val="22"/>
          <w:color w:val="auto"/>
        </w:rPr>
      </w:pPr>
    </w:p>
    <w:p>
      <w:pPr>
        <w:ind w:right="800" w:firstLine="332"/>
        <w:spacing w:after="0" w:line="251" w:lineRule="auto"/>
        <w:tabs>
          <w:tab w:leader="none" w:pos="74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Quarterly Report on Form 10-Q filed pursuant to Section 13 or 15(d) of the Exchange Act for the quarterly period ended March 5, 2009.</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4" w:right="279" w:bottom="1440" w:gutter="0" w:footer="0" w:header="0"/>
        </w:sectPr>
      </w:pPr>
    </w:p>
    <w:bookmarkStart w:id="4" w:name="page5"/>
    <w:bookmarkEnd w:id="4"/>
    <w:p>
      <w:pPr>
        <w:ind w:right="80" w:firstLine="332"/>
        <w:spacing w:after="0" w:line="258" w:lineRule="auto"/>
        <w:tabs>
          <w:tab w:leader="none" w:pos="852"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Description of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Interests of Named Experts and Counsel.</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Indemnification of Directors and Officers.</w:t>
      </w:r>
    </w:p>
    <w:p>
      <w:pPr>
        <w:spacing w:after="0" w:line="23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Exemption from Registration Claimed.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829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line="19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Micron Technology, Inc. 2007 Equity Incentive Plan.(1)</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Micron Technology, Inc. 2007 Equity Incentive Plan Forms of Agreement.(2)</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Opinion of Counsel.</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Consent of Independent Registered Public Accounting Firm.</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color w:val="auto"/>
        </w:rPr>
        <w:t>Consent of Counsel (contained in Exhibit 5.1).</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Power of Attorney (included on signature page).</w:t>
      </w:r>
    </w:p>
    <w:p>
      <w:pPr>
        <w:spacing w:after="0" w:line="238" w:lineRule="auto"/>
        <w:rPr>
          <w:sz w:val="20"/>
          <w:szCs w:val="20"/>
          <w:color w:val="auto"/>
        </w:rPr>
      </w:pPr>
      <w:r>
        <w:rPr>
          <w:rFonts w:ascii="Arial" w:cs="Arial" w:eastAsia="Arial" w:hAnsi="Arial"/>
          <w:sz w:val="22"/>
          <w:szCs w:val="22"/>
          <w:color w:val="auto"/>
        </w:rPr>
        <w:t>______________</w:t>
      </w:r>
    </w:p>
    <w:p>
      <w:pPr>
        <w:ind w:left="500" w:hanging="366"/>
        <w:spacing w:after="0" w:line="230" w:lineRule="auto"/>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Incorporated by reference to Quarterly Report on Form 10-Q for the fiscal quarter ended December 4, 2008.</w:t>
      </w:r>
    </w:p>
    <w:p>
      <w:pPr>
        <w:spacing w:after="0" w:line="1" w:lineRule="exact"/>
        <w:rPr>
          <w:rFonts w:ascii="Arial" w:cs="Arial" w:eastAsia="Arial" w:hAnsi="Arial"/>
          <w:sz w:val="22"/>
          <w:szCs w:val="22"/>
          <w:color w:val="auto"/>
        </w:rPr>
      </w:pPr>
    </w:p>
    <w:p>
      <w:pPr>
        <w:ind w:left="500" w:hanging="366"/>
        <w:spacing w:after="0"/>
        <w:tabs>
          <w:tab w:leader="none" w:pos="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Incorporated by reference to Registration Statement on Form S-8 (Registration No. 333-148357).</w:t>
      </w:r>
    </w:p>
    <w:p>
      <w:pPr>
        <w:spacing w:after="0" w:line="200" w:lineRule="exact"/>
        <w:rPr>
          <w:sz w:val="20"/>
          <w:szCs w:val="20"/>
          <w:color w:val="auto"/>
        </w:rPr>
      </w:pP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Undertakings.</w:t>
      </w:r>
    </w:p>
    <w:p>
      <w:pPr>
        <w:spacing w:after="0" w:line="239" w:lineRule="exact"/>
        <w:rPr>
          <w:sz w:val="20"/>
          <w:szCs w:val="20"/>
          <w:color w:val="auto"/>
        </w:rPr>
      </w:pPr>
    </w:p>
    <w:p>
      <w:pPr>
        <w:ind w:left="1120" w:hanging="464"/>
        <w:spacing w:after="0"/>
        <w:tabs>
          <w:tab w:leader="none" w:pos="11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undersigned Company hereby undertakes:</w:t>
      </w:r>
    </w:p>
    <w:p>
      <w:pPr>
        <w:spacing w:after="0" w:line="233" w:lineRule="exact"/>
        <w:rPr>
          <w:rFonts w:ascii="Arial" w:cs="Arial" w:eastAsia="Arial" w:hAnsi="Arial"/>
          <w:sz w:val="22"/>
          <w:szCs w:val="22"/>
          <w:color w:val="auto"/>
        </w:rPr>
      </w:pPr>
    </w:p>
    <w:p>
      <w:pPr>
        <w:ind w:left="660" w:right="240" w:firstLine="1293"/>
        <w:spacing w:after="0" w:line="251" w:lineRule="auto"/>
        <w:tabs>
          <w:tab w:leader="none" w:pos="2425" w:val="left"/>
        </w:tabs>
        <w:numPr>
          <w:ilvl w:val="1"/>
          <w:numId w:val="5"/>
        </w:numPr>
        <w:rPr>
          <w:rFonts w:ascii="Arial" w:cs="Arial" w:eastAsia="Arial" w:hAnsi="Arial"/>
          <w:sz w:val="22"/>
          <w:szCs w:val="22"/>
          <w:color w:val="auto"/>
        </w:rPr>
      </w:pPr>
      <w:r>
        <w:rPr>
          <w:rFonts w:ascii="Arial" w:cs="Arial" w:eastAsia="Arial" w:hAnsi="Arial"/>
          <w:sz w:val="22"/>
          <w:szCs w:val="22"/>
          <w:color w:val="auto"/>
        </w:rPr>
        <w:t>To file, during any period in which offers or sales are being made, a post-effective amendment to this Registration Statement:</w:t>
      </w:r>
    </w:p>
    <w:p>
      <w:pPr>
        <w:spacing w:after="0" w:line="200" w:lineRule="exact"/>
        <w:rPr>
          <w:rFonts w:ascii="Arial" w:cs="Arial" w:eastAsia="Arial" w:hAnsi="Arial"/>
          <w:sz w:val="22"/>
          <w:szCs w:val="22"/>
          <w:color w:val="auto"/>
        </w:rPr>
      </w:pPr>
    </w:p>
    <w:p>
      <w:pPr>
        <w:ind w:left="3660" w:hanging="411"/>
        <w:spacing w:after="0"/>
        <w:tabs>
          <w:tab w:leader="none" w:pos="3660" w:val="left"/>
        </w:tabs>
        <w:numPr>
          <w:ilvl w:val="2"/>
          <w:numId w:val="5"/>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Securities Act;</w:t>
      </w:r>
    </w:p>
    <w:p>
      <w:pPr>
        <w:spacing w:after="0" w:line="233" w:lineRule="exact"/>
        <w:rPr>
          <w:rFonts w:ascii="Arial" w:cs="Arial" w:eastAsia="Arial" w:hAnsi="Arial"/>
          <w:sz w:val="22"/>
          <w:szCs w:val="22"/>
          <w:color w:val="auto"/>
        </w:rPr>
      </w:pPr>
    </w:p>
    <w:p>
      <w:pPr>
        <w:ind w:left="1300" w:right="520" w:firstLine="1949"/>
        <w:spacing w:after="0" w:line="247" w:lineRule="auto"/>
        <w:tabs>
          <w:tab w:leader="none" w:pos="3725" w:val="left"/>
        </w:tabs>
        <w:numPr>
          <w:ilvl w:val="2"/>
          <w:numId w:val="5"/>
        </w:numPr>
        <w:rPr>
          <w:rFonts w:ascii="Arial" w:cs="Arial" w:eastAsia="Arial" w:hAnsi="Arial"/>
          <w:sz w:val="21"/>
          <w:szCs w:val="21"/>
          <w:color w:val="auto"/>
        </w:rPr>
      </w:pPr>
      <w:r>
        <w:rPr>
          <w:rFonts w:ascii="Arial" w:cs="Arial" w:eastAsia="Arial" w:hAnsi="Arial"/>
          <w:sz w:val="21"/>
          <w:szCs w:val="21"/>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w:t>
      </w:r>
    </w:p>
    <w:p>
      <w:pPr>
        <w:spacing w:after="0" w:line="1" w:lineRule="exact"/>
        <w:rPr>
          <w:rFonts w:ascii="Arial" w:cs="Arial" w:eastAsia="Arial" w:hAnsi="Arial"/>
          <w:sz w:val="21"/>
          <w:szCs w:val="21"/>
          <w:color w:val="auto"/>
        </w:rPr>
      </w:pPr>
    </w:p>
    <w:p>
      <w:pPr>
        <w:ind w:left="1300" w:right="120"/>
        <w:spacing w:after="0" w:line="232" w:lineRule="auto"/>
        <w:rPr>
          <w:rFonts w:ascii="Arial" w:cs="Arial" w:eastAsia="Arial" w:hAnsi="Arial"/>
          <w:sz w:val="21"/>
          <w:szCs w:val="21"/>
          <w:color w:val="auto"/>
        </w:rPr>
      </w:pPr>
      <w:r>
        <w:rPr>
          <w:rFonts w:ascii="Arial" w:cs="Arial" w:eastAsia="Arial" w:hAnsi="Arial"/>
          <w:sz w:val="22"/>
          <w:szCs w:val="22"/>
          <w:color w:val="auto"/>
        </w:rPr>
        <w:t>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216" w:lineRule="exact"/>
        <w:rPr>
          <w:rFonts w:ascii="Arial" w:cs="Arial" w:eastAsia="Arial" w:hAnsi="Arial"/>
          <w:sz w:val="21"/>
          <w:szCs w:val="21"/>
          <w:color w:val="auto"/>
        </w:rPr>
      </w:pPr>
    </w:p>
    <w:p>
      <w:pPr>
        <w:ind w:left="1300" w:right="340" w:firstLine="1949"/>
        <w:spacing w:after="0"/>
        <w:tabs>
          <w:tab w:leader="none" w:pos="3785" w:val="left"/>
        </w:tabs>
        <w:numPr>
          <w:ilvl w:val="2"/>
          <w:numId w:val="5"/>
        </w:numPr>
        <w:rPr>
          <w:rFonts w:ascii="Arial" w:cs="Arial" w:eastAsia="Arial" w:hAnsi="Arial"/>
          <w:sz w:val="22"/>
          <w:szCs w:val="22"/>
          <w:color w:val="auto"/>
        </w:rPr>
      </w:pPr>
      <w:r>
        <w:rPr>
          <w:rFonts w:ascii="Arial" w:cs="Arial" w:eastAsia="Arial" w:hAnsi="Arial"/>
          <w:sz w:val="22"/>
          <w:szCs w:val="22"/>
          <w:color w:val="auto"/>
        </w:rPr>
        <w:t>to include any material information with respect to the plan of distribution not previously disclosed in the Registration Statement or any material change to such information in the Registration Statement;</w:t>
      </w:r>
    </w:p>
    <w:p>
      <w:pPr>
        <w:spacing w:after="0" w:line="213"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paragraphs (a)(1)(i) and (a)(1)(ii) do not apply if the information required to be included in a</w:t>
      </w:r>
      <w:r>
        <w:rPr>
          <w:rFonts w:ascii="Arial" w:cs="Arial" w:eastAsia="Arial" w:hAnsi="Arial"/>
          <w:sz w:val="22"/>
          <w:szCs w:val="22"/>
          <w:i w:val="1"/>
          <w:iCs w:val="1"/>
          <w:color w:val="auto"/>
        </w:rPr>
        <w:t xml:space="preserve"> </w:t>
      </w:r>
      <w:r>
        <w:rPr>
          <w:rFonts w:ascii="Arial" w:cs="Arial" w:eastAsia="Arial" w:hAnsi="Arial"/>
          <w:sz w:val="22"/>
          <w:szCs w:val="22"/>
          <w:color w:val="auto"/>
        </w:rPr>
        <w:t>post-effective amendment by those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6" w:name="page7"/>
    <w:bookmarkEnd w:id="6"/>
    <w:p>
      <w:pPr>
        <w:ind w:left="1200" w:right="400"/>
        <w:spacing w:after="0" w:line="241" w:lineRule="auto"/>
        <w:rPr>
          <w:sz w:val="20"/>
          <w:szCs w:val="20"/>
          <w:color w:val="auto"/>
        </w:rPr>
      </w:pPr>
      <w:r>
        <w:rPr>
          <w:rFonts w:ascii="Arial" w:cs="Arial" w:eastAsia="Arial" w:hAnsi="Arial"/>
          <w:sz w:val="22"/>
          <w:szCs w:val="22"/>
          <w:color w:val="auto"/>
        </w:rPr>
        <w:t>paragraphs is contained in reports filed with or furnished to the Securities and Exchange Commission by the Company pursuant to Section 13 or Section 15(d) of the Exchange Act that are incorporated by reference in the Registration Statement.</w:t>
      </w:r>
    </w:p>
    <w:p>
      <w:pPr>
        <w:spacing w:after="0" w:line="211" w:lineRule="exact"/>
        <w:rPr>
          <w:sz w:val="20"/>
          <w:szCs w:val="20"/>
          <w:color w:val="auto"/>
        </w:rPr>
      </w:pPr>
    </w:p>
    <w:p>
      <w:pPr>
        <w:ind w:left="560" w:right="100" w:firstLine="1293"/>
        <w:spacing w:after="0" w:line="258" w:lineRule="auto"/>
        <w:tabs>
          <w:tab w:leader="none" w:pos="2325" w:val="left"/>
        </w:tabs>
        <w:numPr>
          <w:ilvl w:val="1"/>
          <w:numId w:val="6"/>
        </w:numPr>
        <w:rPr>
          <w:rFonts w:ascii="Arial" w:cs="Arial" w:eastAsia="Arial" w:hAnsi="Arial"/>
          <w:sz w:val="21"/>
          <w:szCs w:val="21"/>
          <w:color w:val="auto"/>
        </w:rPr>
      </w:pPr>
      <w:r>
        <w:rPr>
          <w:rFonts w:ascii="Arial" w:cs="Arial" w:eastAsia="Arial" w:hAnsi="Arial"/>
          <w:sz w:val="21"/>
          <w:szCs w:val="21"/>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3" w:lineRule="exact"/>
        <w:rPr>
          <w:rFonts w:ascii="Arial" w:cs="Arial" w:eastAsia="Arial" w:hAnsi="Arial"/>
          <w:sz w:val="21"/>
          <w:szCs w:val="21"/>
          <w:color w:val="auto"/>
        </w:rPr>
      </w:pPr>
    </w:p>
    <w:p>
      <w:pPr>
        <w:ind w:left="560" w:right="600" w:firstLine="1293"/>
        <w:spacing w:after="0" w:line="251" w:lineRule="auto"/>
        <w:tabs>
          <w:tab w:leader="none" w:pos="2325" w:val="left"/>
        </w:tabs>
        <w:numPr>
          <w:ilvl w:val="1"/>
          <w:numId w:val="6"/>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200" w:lineRule="exact"/>
        <w:rPr>
          <w:rFonts w:ascii="Arial" w:cs="Arial" w:eastAsia="Arial" w:hAnsi="Arial"/>
          <w:sz w:val="22"/>
          <w:szCs w:val="22"/>
          <w:color w:val="auto"/>
        </w:rPr>
      </w:pPr>
    </w:p>
    <w:p>
      <w:pPr>
        <w:ind w:left="-100" w:firstLine="656"/>
        <w:spacing w:after="0" w:line="282" w:lineRule="auto"/>
        <w:tabs>
          <w:tab w:leader="none" w:pos="101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Arial" w:cs="Arial" w:eastAsia="Arial" w:hAnsi="Arial"/>
          <w:sz w:val="19"/>
          <w:szCs w:val="19"/>
          <w:color w:val="auto"/>
        </w:rPr>
      </w:pPr>
    </w:p>
    <w:p>
      <w:pPr>
        <w:ind w:left="-100" w:right="80" w:firstLine="656"/>
        <w:spacing w:after="0" w:line="274" w:lineRule="auto"/>
        <w:tabs>
          <w:tab w:leader="none" w:pos="1004" w:val="left"/>
        </w:tabs>
        <w:numPr>
          <w:ilvl w:val="0"/>
          <w:numId w:val="7"/>
        </w:numPr>
        <w:rPr>
          <w:rFonts w:ascii="Arial" w:cs="Arial" w:eastAsia="Arial" w:hAnsi="Arial"/>
          <w:sz w:val="19"/>
          <w:szCs w:val="19"/>
          <w:color w:val="auto"/>
        </w:rPr>
      </w:pPr>
      <w:r>
        <w:rPr>
          <w:rFonts w:ascii="Arial" w:cs="Arial" w:eastAsia="Arial" w:hAnsi="Arial"/>
          <w:sz w:val="19"/>
          <w:szCs w:val="19"/>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73660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118" w:right="319" w:bottom="1440" w:gutter="0" w:footer="0" w:header="0"/>
        </w:sectPr>
      </w:pPr>
    </w:p>
    <w:bookmarkStart w:id="7" w:name="page8"/>
    <w:bookmarkEnd w:id="7"/>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78" w:lineRule="auto"/>
        <w:rPr>
          <w:sz w:val="20"/>
          <w:szCs w:val="20"/>
          <w:color w:val="auto"/>
        </w:rPr>
      </w:pPr>
      <w:r>
        <w:rPr>
          <w:rFonts w:ascii="Arial" w:cs="Arial" w:eastAsia="Arial" w:hAnsi="Arial"/>
          <w:sz w:val="19"/>
          <w:szCs w:val="19"/>
          <w:color w:val="auto"/>
        </w:rPr>
        <w:t>Pursuant to the requirements of the Securities Act, the Company certifies that it has reasonable grounds to believe that it meets all of the requirements for filing on Form S-8 and has duly caused this Registration Statement to be signed on its behalf by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thereunto duly authorized, in the City of Boise, State of Idaho, on this 2</w:t>
      </w:r>
      <w:r>
        <w:rPr>
          <w:rFonts w:ascii="Arial" w:cs="Arial" w:eastAsia="Arial" w:hAnsi="Arial"/>
          <w:sz w:val="30"/>
          <w:szCs w:val="30"/>
          <w:color w:val="auto"/>
          <w:vertAlign w:val="superscript"/>
        </w:rPr>
        <w:t>nd</w:t>
      </w:r>
      <w:r>
        <w:rPr>
          <w:rFonts w:ascii="Arial" w:cs="Arial" w:eastAsia="Arial" w:hAnsi="Arial"/>
          <w:sz w:val="22"/>
          <w:szCs w:val="22"/>
          <w:color w:val="auto"/>
        </w:rPr>
        <w:t xml:space="preserve"> day of June 2009.</w:t>
      </w:r>
    </w:p>
    <w:p>
      <w:pPr>
        <w:spacing w:after="0" w:line="14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MICRON TECHNOLOGY, INC.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72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Ronald C. Foster</w:t>
      </w:r>
    </w:p>
    <w:p>
      <w:pPr>
        <w:ind w:left="5720"/>
        <w:spacing w:after="0" w:line="230" w:lineRule="auto"/>
        <w:rPr>
          <w:sz w:val="20"/>
          <w:szCs w:val="20"/>
          <w:color w:val="auto"/>
        </w:rPr>
      </w:pPr>
      <w:r>
        <w:rPr>
          <w:rFonts w:ascii="Arial" w:cs="Arial" w:eastAsia="Arial" w:hAnsi="Arial"/>
          <w:sz w:val="22"/>
          <w:szCs w:val="22"/>
          <w:color w:val="auto"/>
        </w:rPr>
        <w:t>Chief Financial Officer and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Vice President of Finance</w:t>
      </w: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747"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KNOW ALL PERSONS BY THESE PRESENTS, that each person whose signature appears below constitutes and appoints Steven R. Appleton and Ronald C. Foster, jointly and severally, his attorneys-in-fact, each with the power of substitution, for him in any and all</w:t>
      </w:r>
    </w:p>
    <w:p>
      <w:pPr>
        <w:spacing w:after="0" w:line="1"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1"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Pursuant to the requirements of the Securities Act, this Registration Statement has been signed by the following persons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3540" w:type="dxa"/>
            <w:vAlign w:val="bottom"/>
            <w:tcBorders>
              <w:bottom w:val="single" w:sz="8" w:color="auto"/>
            </w:tcBorders>
          </w:tcPr>
          <w:p>
            <w:pPr>
              <w:ind w:left="1320"/>
              <w:spacing w:after="0"/>
              <w:rPr>
                <w:sz w:val="20"/>
                <w:szCs w:val="20"/>
                <w:color w:val="auto"/>
              </w:rPr>
            </w:pPr>
            <w:r>
              <w:rPr>
                <w:rFonts w:ascii="Arial" w:cs="Arial" w:eastAsia="Arial" w:hAnsi="Arial"/>
                <w:sz w:val="22"/>
                <w:szCs w:val="22"/>
                <w:b w:val="1"/>
                <w:bCs w:val="1"/>
                <w:color w:val="auto"/>
              </w:rPr>
              <w:t>Signature</w:t>
            </w:r>
          </w:p>
        </w:tc>
        <w:tc>
          <w:tcPr>
            <w:tcW w:w="3960" w:type="dxa"/>
            <w:vAlign w:val="bottom"/>
            <w:tcBorders>
              <w:bottom w:val="single" w:sz="8" w:color="auto"/>
            </w:tcBorders>
          </w:tcPr>
          <w:p>
            <w:pPr>
              <w:ind w:left="2300"/>
              <w:spacing w:after="0"/>
              <w:rPr>
                <w:sz w:val="20"/>
                <w:szCs w:val="20"/>
                <w:color w:val="auto"/>
              </w:rPr>
            </w:pPr>
            <w:r>
              <w:rPr>
                <w:rFonts w:ascii="Arial" w:cs="Arial" w:eastAsia="Arial" w:hAnsi="Arial"/>
                <w:sz w:val="22"/>
                <w:szCs w:val="22"/>
                <w:b w:val="1"/>
                <w:bCs w:val="1"/>
                <w:color w:val="auto"/>
              </w:rPr>
              <w:t>Title</w:t>
            </w:r>
          </w:p>
        </w:tc>
        <w:tc>
          <w:tcPr>
            <w:tcW w:w="3900" w:type="dxa"/>
            <w:vAlign w:val="bottom"/>
            <w:tcBorders>
              <w:bottom w:val="single" w:sz="8" w:color="auto"/>
            </w:tcBorders>
          </w:tcPr>
          <w:p>
            <w:pPr>
              <w:ind w:left="2280"/>
              <w:spacing w:after="0"/>
              <w:rPr>
                <w:sz w:val="20"/>
                <w:szCs w:val="20"/>
                <w:color w:val="auto"/>
              </w:rPr>
            </w:pPr>
            <w:r>
              <w:rPr>
                <w:rFonts w:ascii="Arial" w:cs="Arial" w:eastAsia="Arial" w:hAnsi="Arial"/>
                <w:sz w:val="22"/>
                <w:szCs w:val="22"/>
                <w:b w:val="1"/>
                <w:bCs w:val="1"/>
                <w:color w:val="auto"/>
              </w:rPr>
              <w:t>Date</w:t>
            </w:r>
          </w:p>
        </w:tc>
        <w:tc>
          <w:tcPr>
            <w:tcW w:w="0" w:type="dxa"/>
            <w:vAlign w:val="bottom"/>
          </w:tcPr>
          <w:p>
            <w:pPr>
              <w:spacing w:after="0"/>
              <w:rPr>
                <w:sz w:val="1"/>
                <w:szCs w:val="1"/>
                <w:color w:val="auto"/>
              </w:rPr>
            </w:pPr>
          </w:p>
        </w:tc>
      </w:tr>
      <w:tr>
        <w:trPr>
          <w:trHeight w:val="459"/>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rPr>
              <w:t>/s/ Steven R. Appleton</w:t>
            </w:r>
          </w:p>
        </w:tc>
        <w:tc>
          <w:tcPr>
            <w:tcW w:w="3960" w:type="dxa"/>
            <w:vAlign w:val="bottom"/>
          </w:tcPr>
          <w:p>
            <w:pPr>
              <w:spacing w:after="0"/>
              <w:rPr>
                <w:sz w:val="20"/>
                <w:szCs w:val="20"/>
                <w:color w:val="auto"/>
              </w:rPr>
            </w:pPr>
            <w:r>
              <w:rPr>
                <w:rFonts w:ascii="Arial" w:cs="Arial" w:eastAsia="Arial" w:hAnsi="Arial"/>
                <w:sz w:val="22"/>
                <w:szCs w:val="22"/>
                <w:color w:val="auto"/>
              </w:rPr>
              <w:t>Chairman of the Board and Chief</w:t>
            </w:r>
          </w:p>
        </w:tc>
        <w:tc>
          <w:tcPr>
            <w:tcW w:w="3900" w:type="dxa"/>
            <w:vAlign w:val="bottom"/>
          </w:tcPr>
          <w:p>
            <w:pPr>
              <w:ind w:left="1080"/>
              <w:spacing w:after="0"/>
              <w:rPr>
                <w:sz w:val="20"/>
                <w:szCs w:val="20"/>
                <w:color w:val="auto"/>
              </w:rPr>
            </w:pPr>
            <w:r>
              <w:rPr>
                <w:rFonts w:ascii="Arial" w:cs="Arial" w:eastAsia="Arial" w:hAnsi="Arial"/>
                <w:sz w:val="22"/>
                <w:szCs w:val="22"/>
                <w:color w:val="auto"/>
              </w:rPr>
              <w:t>June 2, 2009</w:t>
            </w:r>
          </w:p>
        </w:tc>
        <w:tc>
          <w:tcPr>
            <w:tcW w:w="0" w:type="dxa"/>
            <w:vAlign w:val="bottom"/>
          </w:tcPr>
          <w:p>
            <w:pPr>
              <w:spacing w:after="0"/>
              <w:rPr>
                <w:sz w:val="1"/>
                <w:szCs w:val="1"/>
                <w:color w:val="auto"/>
              </w:rPr>
            </w:pPr>
          </w:p>
        </w:tc>
      </w:tr>
      <w:tr>
        <w:trPr>
          <w:trHeight w:val="215"/>
        </w:trPr>
        <w:tc>
          <w:tcPr>
            <w:tcW w:w="3560" w:type="dxa"/>
            <w:vAlign w:val="bottom"/>
            <w:gridSpan w:val="2"/>
          </w:tcPr>
          <w:p>
            <w:pPr>
              <w:spacing w:after="0" w:line="216" w:lineRule="exact"/>
              <w:rPr>
                <w:sz w:val="20"/>
                <w:szCs w:val="20"/>
                <w:color w:val="auto"/>
              </w:rPr>
            </w:pPr>
            <w:r>
              <w:rPr>
                <w:rFonts w:ascii="Arial" w:cs="Arial" w:eastAsia="Arial" w:hAnsi="Arial"/>
                <w:sz w:val="22"/>
                <w:szCs w:val="22"/>
                <w:color w:val="auto"/>
              </w:rPr>
              <w:t>Steven R. Appleton</w:t>
            </w:r>
          </w:p>
        </w:tc>
        <w:tc>
          <w:tcPr>
            <w:tcW w:w="3960" w:type="dxa"/>
            <w:vAlign w:val="bottom"/>
          </w:tcPr>
          <w:p>
            <w:pPr>
              <w:spacing w:after="0" w:line="216" w:lineRule="exact"/>
              <w:rPr>
                <w:sz w:val="20"/>
                <w:szCs w:val="20"/>
                <w:color w:val="auto"/>
              </w:rPr>
            </w:pPr>
            <w:r>
              <w:rPr>
                <w:rFonts w:ascii="Arial" w:cs="Arial" w:eastAsia="Arial" w:hAnsi="Arial"/>
                <w:sz w:val="22"/>
                <w:szCs w:val="22"/>
                <w:color w:val="auto"/>
              </w:rPr>
              <w:t>Executive Officer (Principal</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22"/>
                <w:szCs w:val="22"/>
                <w:color w:val="auto"/>
              </w:rPr>
              <w:t>Executive Officer)</w:t>
            </w: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5"/>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rPr>
              <w:t>/s/ Ronald C. Foster</w:t>
            </w:r>
          </w:p>
        </w:tc>
        <w:tc>
          <w:tcPr>
            <w:tcW w:w="396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3900" w:type="dxa"/>
            <w:vAlign w:val="bottom"/>
          </w:tcPr>
          <w:p>
            <w:pPr>
              <w:ind w:left="1080"/>
              <w:spacing w:after="0"/>
              <w:rPr>
                <w:sz w:val="20"/>
                <w:szCs w:val="20"/>
                <w:color w:val="auto"/>
              </w:rPr>
            </w:pPr>
            <w:r>
              <w:rPr>
                <w:rFonts w:ascii="Arial" w:cs="Arial" w:eastAsia="Arial" w:hAnsi="Arial"/>
                <w:sz w:val="22"/>
                <w:szCs w:val="22"/>
                <w:color w:val="auto"/>
              </w:rPr>
              <w:t>June 2, 2009</w:t>
            </w:r>
          </w:p>
        </w:tc>
        <w:tc>
          <w:tcPr>
            <w:tcW w:w="0" w:type="dxa"/>
            <w:vAlign w:val="bottom"/>
          </w:tcPr>
          <w:p>
            <w:pPr>
              <w:spacing w:after="0"/>
              <w:rPr>
                <w:sz w:val="1"/>
                <w:szCs w:val="1"/>
                <w:color w:val="auto"/>
              </w:rPr>
            </w:pPr>
          </w:p>
        </w:tc>
      </w:tr>
      <w:tr>
        <w:trPr>
          <w:trHeight w:val="268"/>
        </w:trPr>
        <w:tc>
          <w:tcPr>
            <w:tcW w:w="3560" w:type="dxa"/>
            <w:vAlign w:val="bottom"/>
            <w:gridSpan w:val="2"/>
          </w:tcPr>
          <w:p>
            <w:pPr>
              <w:spacing w:after="0"/>
              <w:rPr>
                <w:sz w:val="20"/>
                <w:szCs w:val="20"/>
                <w:color w:val="auto"/>
              </w:rPr>
            </w:pPr>
            <w:r>
              <w:rPr>
                <w:rFonts w:ascii="Arial" w:cs="Arial" w:eastAsia="Arial" w:hAnsi="Arial"/>
                <w:sz w:val="22"/>
                <w:szCs w:val="22"/>
                <w:color w:val="auto"/>
              </w:rPr>
              <w:t>Ronald C. Foster</w:t>
            </w:r>
          </w:p>
        </w:tc>
        <w:tc>
          <w:tcPr>
            <w:tcW w:w="3960" w:type="dxa"/>
            <w:vAlign w:val="bottom"/>
          </w:tcPr>
          <w:p>
            <w:pPr>
              <w:spacing w:after="0"/>
              <w:rPr>
                <w:sz w:val="20"/>
                <w:szCs w:val="20"/>
                <w:color w:val="auto"/>
              </w:rPr>
            </w:pPr>
            <w:r>
              <w:rPr>
                <w:rFonts w:ascii="Arial" w:cs="Arial" w:eastAsia="Arial" w:hAnsi="Arial"/>
                <w:sz w:val="22"/>
                <w:szCs w:val="22"/>
                <w:color w:val="auto"/>
              </w:rPr>
              <w:t>(Principal Financial Officer)</w:t>
            </w: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rPr>
              <w:t>/s/ Teruaki Aoki</w:t>
            </w:r>
          </w:p>
        </w:tc>
        <w:tc>
          <w:tcPr>
            <w:tcW w:w="3960" w:type="dxa"/>
            <w:vAlign w:val="bottom"/>
            <w:vMerge w:val="restart"/>
          </w:tcPr>
          <w:p>
            <w:pPr>
              <w:spacing w:after="0"/>
              <w:rPr>
                <w:sz w:val="20"/>
                <w:szCs w:val="20"/>
                <w:color w:val="auto"/>
              </w:rPr>
            </w:pPr>
            <w:r>
              <w:rPr>
                <w:rFonts w:ascii="Arial" w:cs="Arial" w:eastAsia="Arial" w:hAnsi="Arial"/>
                <w:sz w:val="22"/>
                <w:szCs w:val="22"/>
                <w:color w:val="auto"/>
              </w:rPr>
              <w:t>Director</w:t>
            </w:r>
          </w:p>
        </w:tc>
        <w:tc>
          <w:tcPr>
            <w:tcW w:w="3900" w:type="dxa"/>
            <w:vAlign w:val="bottom"/>
          </w:tcPr>
          <w:p>
            <w:pPr>
              <w:ind w:left="1080"/>
              <w:spacing w:after="0"/>
              <w:rPr>
                <w:sz w:val="20"/>
                <w:szCs w:val="20"/>
                <w:color w:val="auto"/>
              </w:rPr>
            </w:pPr>
            <w:r>
              <w:rPr>
                <w:rFonts w:ascii="Arial" w:cs="Arial" w:eastAsia="Arial" w:hAnsi="Arial"/>
                <w:sz w:val="22"/>
                <w:szCs w:val="22"/>
                <w:color w:val="auto"/>
              </w:rPr>
              <w:t>June 2, 2009</w:t>
            </w:r>
          </w:p>
        </w:tc>
        <w:tc>
          <w:tcPr>
            <w:tcW w:w="0" w:type="dxa"/>
            <w:vAlign w:val="bottom"/>
          </w:tcPr>
          <w:p>
            <w:pPr>
              <w:spacing w:after="0"/>
              <w:rPr>
                <w:sz w:val="1"/>
                <w:szCs w:val="1"/>
                <w:color w:val="auto"/>
              </w:rPr>
            </w:pPr>
          </w:p>
        </w:tc>
      </w:tr>
      <w:tr>
        <w:trPr>
          <w:trHeight w:val="268"/>
        </w:trPr>
        <w:tc>
          <w:tcPr>
            <w:tcW w:w="3560" w:type="dxa"/>
            <w:vAlign w:val="bottom"/>
            <w:gridSpan w:val="2"/>
          </w:tcPr>
          <w:p>
            <w:pPr>
              <w:spacing w:after="0"/>
              <w:rPr>
                <w:sz w:val="20"/>
                <w:szCs w:val="20"/>
                <w:color w:val="auto"/>
              </w:rPr>
            </w:pPr>
            <w:r>
              <w:rPr>
                <w:rFonts w:ascii="Arial" w:cs="Arial" w:eastAsia="Arial" w:hAnsi="Arial"/>
                <w:sz w:val="22"/>
                <w:szCs w:val="22"/>
                <w:color w:val="auto"/>
              </w:rPr>
              <w:t>Teruaki Aoki</w:t>
            </w:r>
          </w:p>
        </w:tc>
        <w:tc>
          <w:tcPr>
            <w:tcW w:w="3960" w:type="dxa"/>
            <w:vAlign w:val="bottom"/>
            <w:vMerge w:val="continue"/>
          </w:tcPr>
          <w:p>
            <w:pPr>
              <w:spacing w:after="0"/>
              <w:rPr>
                <w:sz w:val="23"/>
                <w:szCs w:val="23"/>
                <w:color w:val="auto"/>
              </w:rPr>
            </w:pP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rPr>
              <w:t>/s/ James W. Bagley</w:t>
            </w:r>
          </w:p>
        </w:tc>
        <w:tc>
          <w:tcPr>
            <w:tcW w:w="3960" w:type="dxa"/>
            <w:vAlign w:val="bottom"/>
            <w:vMerge w:val="restart"/>
          </w:tcPr>
          <w:p>
            <w:pPr>
              <w:spacing w:after="0"/>
              <w:rPr>
                <w:sz w:val="20"/>
                <w:szCs w:val="20"/>
                <w:color w:val="auto"/>
              </w:rPr>
            </w:pPr>
            <w:r>
              <w:rPr>
                <w:rFonts w:ascii="Arial" w:cs="Arial" w:eastAsia="Arial" w:hAnsi="Arial"/>
                <w:sz w:val="22"/>
                <w:szCs w:val="22"/>
                <w:color w:val="auto"/>
              </w:rPr>
              <w:t>Director</w:t>
            </w:r>
          </w:p>
        </w:tc>
        <w:tc>
          <w:tcPr>
            <w:tcW w:w="3900" w:type="dxa"/>
            <w:vAlign w:val="bottom"/>
          </w:tcPr>
          <w:p>
            <w:pPr>
              <w:ind w:left="1080"/>
              <w:spacing w:after="0"/>
              <w:rPr>
                <w:sz w:val="20"/>
                <w:szCs w:val="20"/>
                <w:color w:val="auto"/>
              </w:rPr>
            </w:pPr>
            <w:r>
              <w:rPr>
                <w:rFonts w:ascii="Arial" w:cs="Arial" w:eastAsia="Arial" w:hAnsi="Arial"/>
                <w:sz w:val="22"/>
                <w:szCs w:val="22"/>
                <w:color w:val="auto"/>
              </w:rPr>
              <w:t>June 2, 2009</w:t>
            </w:r>
          </w:p>
        </w:tc>
        <w:tc>
          <w:tcPr>
            <w:tcW w:w="0" w:type="dxa"/>
            <w:vAlign w:val="bottom"/>
          </w:tcPr>
          <w:p>
            <w:pPr>
              <w:spacing w:after="0"/>
              <w:rPr>
                <w:sz w:val="1"/>
                <w:szCs w:val="1"/>
                <w:color w:val="auto"/>
              </w:rPr>
            </w:pPr>
          </w:p>
        </w:tc>
      </w:tr>
      <w:tr>
        <w:trPr>
          <w:trHeight w:val="268"/>
        </w:trPr>
        <w:tc>
          <w:tcPr>
            <w:tcW w:w="3560" w:type="dxa"/>
            <w:vAlign w:val="bottom"/>
            <w:gridSpan w:val="2"/>
          </w:tcPr>
          <w:p>
            <w:pPr>
              <w:spacing w:after="0"/>
              <w:rPr>
                <w:sz w:val="20"/>
                <w:szCs w:val="20"/>
                <w:color w:val="auto"/>
              </w:rPr>
            </w:pPr>
            <w:r>
              <w:rPr>
                <w:rFonts w:ascii="Arial" w:cs="Arial" w:eastAsia="Arial" w:hAnsi="Arial"/>
                <w:sz w:val="22"/>
                <w:szCs w:val="22"/>
                <w:color w:val="auto"/>
              </w:rPr>
              <w:t>James W. Bagley</w:t>
            </w:r>
          </w:p>
        </w:tc>
        <w:tc>
          <w:tcPr>
            <w:tcW w:w="3960" w:type="dxa"/>
            <w:vAlign w:val="bottom"/>
            <w:vMerge w:val="continue"/>
          </w:tcPr>
          <w:p>
            <w:pPr>
              <w:spacing w:after="0"/>
              <w:rPr>
                <w:sz w:val="23"/>
                <w:szCs w:val="23"/>
                <w:color w:val="auto"/>
              </w:rPr>
            </w:pP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rPr>
              <w:t>/s/ Robert L. Bailey</w:t>
            </w:r>
          </w:p>
        </w:tc>
        <w:tc>
          <w:tcPr>
            <w:tcW w:w="3960" w:type="dxa"/>
            <w:vAlign w:val="bottom"/>
            <w:vMerge w:val="restart"/>
          </w:tcPr>
          <w:p>
            <w:pPr>
              <w:spacing w:after="0"/>
              <w:rPr>
                <w:sz w:val="20"/>
                <w:szCs w:val="20"/>
                <w:color w:val="auto"/>
              </w:rPr>
            </w:pPr>
            <w:r>
              <w:rPr>
                <w:rFonts w:ascii="Arial" w:cs="Arial" w:eastAsia="Arial" w:hAnsi="Arial"/>
                <w:sz w:val="22"/>
                <w:szCs w:val="22"/>
                <w:color w:val="auto"/>
              </w:rPr>
              <w:t>Director</w:t>
            </w:r>
          </w:p>
        </w:tc>
        <w:tc>
          <w:tcPr>
            <w:tcW w:w="3900" w:type="dxa"/>
            <w:vAlign w:val="bottom"/>
          </w:tcPr>
          <w:p>
            <w:pPr>
              <w:ind w:left="1080"/>
              <w:spacing w:after="0"/>
              <w:rPr>
                <w:sz w:val="20"/>
                <w:szCs w:val="20"/>
                <w:color w:val="auto"/>
              </w:rPr>
            </w:pPr>
            <w:r>
              <w:rPr>
                <w:rFonts w:ascii="Arial" w:cs="Arial" w:eastAsia="Arial" w:hAnsi="Arial"/>
                <w:sz w:val="22"/>
                <w:szCs w:val="22"/>
                <w:color w:val="auto"/>
              </w:rPr>
              <w:t>June 2, 2009</w:t>
            </w:r>
          </w:p>
        </w:tc>
        <w:tc>
          <w:tcPr>
            <w:tcW w:w="0" w:type="dxa"/>
            <w:vAlign w:val="bottom"/>
          </w:tcPr>
          <w:p>
            <w:pPr>
              <w:spacing w:after="0"/>
              <w:rPr>
                <w:sz w:val="1"/>
                <w:szCs w:val="1"/>
                <w:color w:val="auto"/>
              </w:rPr>
            </w:pPr>
          </w:p>
        </w:tc>
      </w:tr>
      <w:tr>
        <w:trPr>
          <w:trHeight w:val="268"/>
        </w:trPr>
        <w:tc>
          <w:tcPr>
            <w:tcW w:w="3560" w:type="dxa"/>
            <w:vAlign w:val="bottom"/>
            <w:gridSpan w:val="2"/>
          </w:tcPr>
          <w:p>
            <w:pPr>
              <w:spacing w:after="0"/>
              <w:rPr>
                <w:sz w:val="20"/>
                <w:szCs w:val="20"/>
                <w:color w:val="auto"/>
              </w:rPr>
            </w:pPr>
            <w:r>
              <w:rPr>
                <w:rFonts w:ascii="Arial" w:cs="Arial" w:eastAsia="Arial" w:hAnsi="Arial"/>
                <w:sz w:val="22"/>
                <w:szCs w:val="22"/>
                <w:color w:val="auto"/>
              </w:rPr>
              <w:t>Robert L. Bailey</w:t>
            </w:r>
          </w:p>
        </w:tc>
        <w:tc>
          <w:tcPr>
            <w:tcW w:w="3960" w:type="dxa"/>
            <w:vAlign w:val="bottom"/>
            <w:vMerge w:val="continue"/>
          </w:tcPr>
          <w:p>
            <w:pPr>
              <w:spacing w:after="0"/>
              <w:rPr>
                <w:sz w:val="23"/>
                <w:szCs w:val="23"/>
                <w:color w:val="auto"/>
              </w:rPr>
            </w:pP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rPr>
              <w:t>/s/ Mercedes Johnson</w:t>
            </w:r>
          </w:p>
        </w:tc>
        <w:tc>
          <w:tcPr>
            <w:tcW w:w="3960" w:type="dxa"/>
            <w:vAlign w:val="bottom"/>
            <w:vMerge w:val="restart"/>
          </w:tcPr>
          <w:p>
            <w:pPr>
              <w:spacing w:after="0"/>
              <w:rPr>
                <w:sz w:val="20"/>
                <w:szCs w:val="20"/>
                <w:color w:val="auto"/>
              </w:rPr>
            </w:pPr>
            <w:r>
              <w:rPr>
                <w:rFonts w:ascii="Arial" w:cs="Arial" w:eastAsia="Arial" w:hAnsi="Arial"/>
                <w:sz w:val="22"/>
                <w:szCs w:val="22"/>
                <w:color w:val="auto"/>
              </w:rPr>
              <w:t>Director</w:t>
            </w:r>
          </w:p>
        </w:tc>
        <w:tc>
          <w:tcPr>
            <w:tcW w:w="3900" w:type="dxa"/>
            <w:vAlign w:val="bottom"/>
          </w:tcPr>
          <w:p>
            <w:pPr>
              <w:ind w:left="1080"/>
              <w:spacing w:after="0"/>
              <w:rPr>
                <w:sz w:val="20"/>
                <w:szCs w:val="20"/>
                <w:color w:val="auto"/>
              </w:rPr>
            </w:pPr>
            <w:r>
              <w:rPr>
                <w:rFonts w:ascii="Arial" w:cs="Arial" w:eastAsia="Arial" w:hAnsi="Arial"/>
                <w:sz w:val="22"/>
                <w:szCs w:val="22"/>
                <w:color w:val="auto"/>
              </w:rPr>
              <w:t>June 2, 2009</w:t>
            </w:r>
          </w:p>
        </w:tc>
        <w:tc>
          <w:tcPr>
            <w:tcW w:w="0" w:type="dxa"/>
            <w:vAlign w:val="bottom"/>
          </w:tcPr>
          <w:p>
            <w:pPr>
              <w:spacing w:after="0"/>
              <w:rPr>
                <w:sz w:val="1"/>
                <w:szCs w:val="1"/>
                <w:color w:val="auto"/>
              </w:rPr>
            </w:pPr>
          </w:p>
        </w:tc>
      </w:tr>
      <w:tr>
        <w:trPr>
          <w:trHeight w:val="268"/>
        </w:trPr>
        <w:tc>
          <w:tcPr>
            <w:tcW w:w="3560" w:type="dxa"/>
            <w:vAlign w:val="bottom"/>
            <w:gridSpan w:val="2"/>
          </w:tcPr>
          <w:p>
            <w:pPr>
              <w:spacing w:after="0"/>
              <w:rPr>
                <w:sz w:val="20"/>
                <w:szCs w:val="20"/>
                <w:color w:val="auto"/>
              </w:rPr>
            </w:pPr>
            <w:r>
              <w:rPr>
                <w:rFonts w:ascii="Arial" w:cs="Arial" w:eastAsia="Arial" w:hAnsi="Arial"/>
                <w:sz w:val="22"/>
                <w:szCs w:val="22"/>
                <w:color w:val="auto"/>
              </w:rPr>
              <w:t>Mercedes Johnson</w:t>
            </w:r>
          </w:p>
        </w:tc>
        <w:tc>
          <w:tcPr>
            <w:tcW w:w="3960" w:type="dxa"/>
            <w:vAlign w:val="bottom"/>
            <w:vMerge w:val="continue"/>
          </w:tcPr>
          <w:p>
            <w:pPr>
              <w:spacing w:after="0"/>
              <w:rPr>
                <w:sz w:val="23"/>
                <w:szCs w:val="23"/>
                <w:color w:val="auto"/>
              </w:rPr>
            </w:pP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i w:val="1"/>
                <w:iCs w:val="1"/>
                <w:color w:val="auto"/>
              </w:rPr>
              <w:t>/s/ Lawrence N. Mondry</w:t>
            </w:r>
          </w:p>
        </w:tc>
        <w:tc>
          <w:tcPr>
            <w:tcW w:w="3960" w:type="dxa"/>
            <w:vAlign w:val="bottom"/>
            <w:vMerge w:val="restart"/>
          </w:tcPr>
          <w:p>
            <w:pPr>
              <w:spacing w:after="0"/>
              <w:rPr>
                <w:sz w:val="20"/>
                <w:szCs w:val="20"/>
                <w:color w:val="auto"/>
              </w:rPr>
            </w:pPr>
            <w:r>
              <w:rPr>
                <w:rFonts w:ascii="Arial" w:cs="Arial" w:eastAsia="Arial" w:hAnsi="Arial"/>
                <w:sz w:val="22"/>
                <w:szCs w:val="22"/>
                <w:color w:val="auto"/>
              </w:rPr>
              <w:t>Director</w:t>
            </w:r>
          </w:p>
        </w:tc>
        <w:tc>
          <w:tcPr>
            <w:tcW w:w="3900" w:type="dxa"/>
            <w:vAlign w:val="bottom"/>
          </w:tcPr>
          <w:p>
            <w:pPr>
              <w:ind w:left="1080"/>
              <w:spacing w:after="0"/>
              <w:rPr>
                <w:sz w:val="20"/>
                <w:szCs w:val="20"/>
                <w:color w:val="auto"/>
              </w:rPr>
            </w:pPr>
            <w:r>
              <w:rPr>
                <w:rFonts w:ascii="Arial" w:cs="Arial" w:eastAsia="Arial" w:hAnsi="Arial"/>
                <w:sz w:val="22"/>
                <w:szCs w:val="22"/>
                <w:color w:val="auto"/>
              </w:rPr>
              <w:t>June 2, 2009</w:t>
            </w:r>
          </w:p>
        </w:tc>
        <w:tc>
          <w:tcPr>
            <w:tcW w:w="0" w:type="dxa"/>
            <w:vAlign w:val="bottom"/>
          </w:tcPr>
          <w:p>
            <w:pPr>
              <w:spacing w:after="0"/>
              <w:rPr>
                <w:sz w:val="1"/>
                <w:szCs w:val="1"/>
                <w:color w:val="auto"/>
              </w:rPr>
            </w:pPr>
          </w:p>
        </w:tc>
      </w:tr>
      <w:tr>
        <w:trPr>
          <w:trHeight w:val="268"/>
        </w:trPr>
        <w:tc>
          <w:tcPr>
            <w:tcW w:w="3560" w:type="dxa"/>
            <w:vAlign w:val="bottom"/>
            <w:gridSpan w:val="2"/>
          </w:tcPr>
          <w:p>
            <w:pPr>
              <w:spacing w:after="0"/>
              <w:rPr>
                <w:sz w:val="20"/>
                <w:szCs w:val="20"/>
                <w:color w:val="auto"/>
              </w:rPr>
            </w:pPr>
            <w:r>
              <w:rPr>
                <w:rFonts w:ascii="Arial" w:cs="Arial" w:eastAsia="Arial" w:hAnsi="Arial"/>
                <w:sz w:val="22"/>
                <w:szCs w:val="22"/>
                <w:color w:val="auto"/>
              </w:rPr>
              <w:t>Lawrence N. Mondry</w:t>
            </w:r>
          </w:p>
        </w:tc>
        <w:tc>
          <w:tcPr>
            <w:tcW w:w="3960" w:type="dxa"/>
            <w:vAlign w:val="bottom"/>
            <w:vMerge w:val="continue"/>
          </w:tcPr>
          <w:p>
            <w:pPr>
              <w:spacing w:after="0"/>
              <w:rPr>
                <w:sz w:val="23"/>
                <w:szCs w:val="23"/>
                <w:color w:val="auto"/>
              </w:rPr>
            </w:pP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35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Robert E. Switz</w:t>
            </w:r>
          </w:p>
        </w:tc>
        <w:tc>
          <w:tcPr>
            <w:tcW w:w="3960" w:type="dxa"/>
            <w:vAlign w:val="bottom"/>
            <w:vMerge w:val="restart"/>
          </w:tcPr>
          <w:p>
            <w:pPr>
              <w:spacing w:after="0"/>
              <w:rPr>
                <w:sz w:val="20"/>
                <w:szCs w:val="20"/>
                <w:color w:val="auto"/>
              </w:rPr>
            </w:pPr>
            <w:r>
              <w:rPr>
                <w:rFonts w:ascii="Arial" w:cs="Arial" w:eastAsia="Arial" w:hAnsi="Arial"/>
                <w:sz w:val="22"/>
                <w:szCs w:val="22"/>
                <w:color w:val="auto"/>
              </w:rPr>
              <w:t>Director</w:t>
            </w:r>
          </w:p>
        </w:tc>
        <w:tc>
          <w:tcPr>
            <w:tcW w:w="3900" w:type="dxa"/>
            <w:vAlign w:val="bottom"/>
          </w:tcPr>
          <w:p>
            <w:pPr>
              <w:ind w:left="1120"/>
              <w:spacing w:after="0"/>
              <w:rPr>
                <w:sz w:val="20"/>
                <w:szCs w:val="20"/>
                <w:color w:val="auto"/>
              </w:rPr>
            </w:pPr>
            <w:r>
              <w:rPr>
                <w:rFonts w:ascii="Arial" w:cs="Arial" w:eastAsia="Arial" w:hAnsi="Arial"/>
                <w:sz w:val="22"/>
                <w:szCs w:val="22"/>
                <w:color w:val="auto"/>
              </w:rPr>
              <w:t>June 2, 2009</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spacing w:after="0"/>
              <w:rPr>
                <w:sz w:val="20"/>
                <w:szCs w:val="20"/>
                <w:color w:val="auto"/>
              </w:rPr>
            </w:pPr>
            <w:r>
              <w:rPr>
                <w:rFonts w:ascii="Arial" w:cs="Arial" w:eastAsia="Arial" w:hAnsi="Arial"/>
                <w:sz w:val="22"/>
                <w:szCs w:val="22"/>
                <w:color w:val="auto"/>
              </w:rPr>
              <w:t>Robert E. Switz</w:t>
            </w:r>
          </w:p>
        </w:tc>
        <w:tc>
          <w:tcPr>
            <w:tcW w:w="3960" w:type="dxa"/>
            <w:vAlign w:val="bottom"/>
            <w:vMerge w:val="continue"/>
          </w:tcPr>
          <w:p>
            <w:pPr>
              <w:spacing w:after="0"/>
              <w:rPr>
                <w:sz w:val="23"/>
                <w:szCs w:val="23"/>
                <w:color w:val="auto"/>
              </w:rPr>
            </w:pP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960" w:type="dxa"/>
            <w:vAlign w:val="bottom"/>
          </w:tcPr>
          <w:p>
            <w:pPr>
              <w:ind w:left="2100"/>
              <w:spacing w:after="0"/>
              <w:rPr>
                <w:sz w:val="20"/>
                <w:szCs w:val="20"/>
                <w:color w:val="auto"/>
              </w:rPr>
            </w:pPr>
            <w:r>
              <w:rPr>
                <w:rFonts w:ascii="Arial" w:cs="Arial" w:eastAsia="Arial" w:hAnsi="Arial"/>
                <w:sz w:val="22"/>
                <w:szCs w:val="22"/>
                <w:color w:val="auto"/>
              </w:rPr>
              <w:t>9</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9" w:name="page10"/>
    <w:bookmarkEnd w:id="9"/>
    <w:p>
      <w:pPr>
        <w:ind w:left="4880"/>
        <w:spacing w:after="0"/>
        <w:rPr>
          <w:sz w:val="20"/>
          <w:szCs w:val="20"/>
          <w:color w:val="auto"/>
        </w:rPr>
      </w:pPr>
      <w:r>
        <w:rPr>
          <w:rFonts w:ascii="Arial" w:cs="Arial" w:eastAsia="Arial" w:hAnsi="Arial"/>
          <w:sz w:val="22"/>
          <w:szCs w:val="22"/>
          <w:b w:val="1"/>
          <w:bCs w:val="1"/>
          <w:color w:val="auto"/>
        </w:rPr>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829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line="19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Micron Technology, Inc. 2007 Equity Incentive Plan. (1)</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Micron Technology, Inc. 2007 Equity Incentive Plan Forms of Agreement.(2)</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Opinion of Counsel.</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Consent of Independent Registered Public Accounting Firm.</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color w:val="auto"/>
        </w:rPr>
        <w:t>Consent of Counsel (contained in Exhibit 5.1).</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Power of Attorney (included on signature page).</w:t>
      </w:r>
    </w:p>
    <w:p>
      <w:pPr>
        <w:spacing w:after="0" w:line="238" w:lineRule="auto"/>
        <w:rPr>
          <w:sz w:val="20"/>
          <w:szCs w:val="20"/>
          <w:color w:val="auto"/>
        </w:rPr>
      </w:pPr>
      <w:r>
        <w:rPr>
          <w:rFonts w:ascii="Arial" w:cs="Arial" w:eastAsia="Arial" w:hAnsi="Arial"/>
          <w:sz w:val="22"/>
          <w:szCs w:val="22"/>
          <w:color w:val="auto"/>
        </w:rPr>
        <w:t>______________</w:t>
      </w:r>
    </w:p>
    <w:p>
      <w:pPr>
        <w:ind w:left="500" w:hanging="366"/>
        <w:spacing w:after="0"/>
        <w:tabs>
          <w:tab w:leader="none" w:pos="50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Incorporated by reference to Quarterly Report on Form 10-Q for the fiscal quarter ended December 4, 2008.</w:t>
      </w:r>
    </w:p>
    <w:p>
      <w:pPr>
        <w:spacing w:after="0" w:line="24" w:lineRule="exact"/>
        <w:rPr>
          <w:rFonts w:ascii="Arial" w:cs="Arial" w:eastAsia="Arial" w:hAnsi="Arial"/>
          <w:sz w:val="19"/>
          <w:szCs w:val="19"/>
          <w:color w:val="auto"/>
        </w:rPr>
      </w:pPr>
    </w:p>
    <w:p>
      <w:pPr>
        <w:ind w:left="500" w:hanging="366"/>
        <w:spacing w:after="0"/>
        <w:tabs>
          <w:tab w:leader="none" w:pos="50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Incorporated by reference to Registration Statement on Form S-8 (Registration No. 333-148357).</w:t>
      </w:r>
    </w:p>
    <w:p>
      <w:pPr>
        <w:spacing w:after="0" w:line="200" w:lineRule="exact"/>
        <w:rPr>
          <w:sz w:val="20"/>
          <w:szCs w:val="20"/>
          <w:color w:val="auto"/>
        </w:rPr>
      </w:pPr>
    </w:p>
    <w:p>
      <w:pPr>
        <w:spacing w:after="0" w:line="27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9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June 3, 2009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Micron Technology, Inc.</w:t>
      </w:r>
    </w:p>
    <w:p>
      <w:pPr>
        <w:spacing w:after="0" w:line="238" w:lineRule="auto"/>
        <w:rPr>
          <w:sz w:val="20"/>
          <w:szCs w:val="20"/>
          <w:color w:val="auto"/>
        </w:rPr>
      </w:pPr>
      <w:r>
        <w:rPr>
          <w:rFonts w:ascii="Arial" w:cs="Arial" w:eastAsia="Arial" w:hAnsi="Arial"/>
          <w:sz w:val="22"/>
          <w:szCs w:val="22"/>
          <w:color w:val="auto"/>
        </w:rPr>
        <w:t>8000 South Federal Way</w:t>
      </w:r>
    </w:p>
    <w:p>
      <w:pPr>
        <w:spacing w:after="0"/>
        <w:rPr>
          <w:sz w:val="20"/>
          <w:szCs w:val="20"/>
          <w:color w:val="auto"/>
        </w:rPr>
      </w:pPr>
      <w:r>
        <w:rPr>
          <w:rFonts w:ascii="Arial" w:cs="Arial" w:eastAsia="Arial" w:hAnsi="Arial"/>
          <w:sz w:val="22"/>
          <w:szCs w:val="22"/>
          <w:color w:val="auto"/>
        </w:rPr>
        <w:t>Boise, ID 83707-0006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We have examined the Registration Statement on Form S-8 to be filed by you with the Securities and Exchange Commission on or about June 3, 2009 (the “Registration Statement”) in connection with the registration under the Securities Act of 1933, as amended, of 10,000,000 shares of your Common Stock, $0.10 par value (the “Shares”) reserved for issuance under the Micron Technology, Inc. 2007 Equity Incentive Plan (the “Plan”). As your legal counsel, we have examined the proceedings taken and are familiar with the proceedings proposed to be taken by you in connection with the sale and issuance of the Shares under the Plan.</w:t>
      </w:r>
    </w:p>
    <w:p>
      <w:pPr>
        <w:spacing w:after="0" w:line="215"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7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9"/>
          <w:szCs w:val="19"/>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2"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Very truly yours,</w:t>
      </w:r>
    </w:p>
    <w:p>
      <w:pPr>
        <w:spacing w:after="0" w:line="215"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WILSON SONSINI GOODRICH &amp; ROSATI,</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Professional Corporation</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 Wilson Sonsini Goodrich &amp; Rosati, P.C.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4719778_2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33"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We hereby consent to the incorporation by reference in this Registration Statement on Form S-8 of our report dated October 27, 2008 relating to the financial statements and the effectiveness of internal control over financial reporting, which appears in Micron Technology, Inc.'s Annual Report on Form 10-K for the year ended August 28,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LLP</w:t>
      </w:r>
    </w:p>
    <w:p>
      <w:pPr>
        <w:spacing w:after="0" w:line="238" w:lineRule="auto"/>
        <w:rPr>
          <w:sz w:val="20"/>
          <w:szCs w:val="20"/>
          <w:color w:val="auto"/>
        </w:rPr>
      </w:pPr>
      <w:r>
        <w:rPr>
          <w:rFonts w:ascii="Arial" w:cs="Arial" w:eastAsia="Arial" w:hAnsi="Arial"/>
          <w:sz w:val="22"/>
          <w:szCs w:val="22"/>
          <w:color w:val="auto"/>
        </w:rPr>
        <w:t>San Jose, CA</w:t>
      </w:r>
    </w:p>
    <w:p>
      <w:pPr>
        <w:spacing w:after="0"/>
        <w:rPr>
          <w:sz w:val="20"/>
          <w:szCs w:val="20"/>
          <w:color w:val="auto"/>
        </w:rPr>
      </w:pPr>
      <w:r>
        <w:rPr>
          <w:rFonts w:ascii="Arial" w:cs="Arial" w:eastAsia="Arial" w:hAnsi="Arial"/>
          <w:sz w:val="22"/>
          <w:szCs w:val="22"/>
          <w:color w:val="auto"/>
        </w:rPr>
        <w:t>June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3"/>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2019-12-10T05:02:52Z</dcterms:created>
  <dcterms:modified xsi:type="dcterms:W3CDTF">2019-12-10T05:02:52Z</dcterms:modified>
</cp:coreProperties>
</file>