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ectPr>
          <w:pgSz w:w="11900" w:h="16838" w:orient="portrait"/>
          <w:cols w:equalWidth="0" w:num="1">
            <w:col w:w="11420"/>
          </w:cols>
          <w:pgMar w:left="240" w:top="976" w:right="239" w:bottom="1440" w:gutter="0" w:footer="0" w:header="0"/>
        </w:sectPr>
      </w:pPr>
    </w:p>
    <w:p>
      <w:pPr>
        <w:spacing w:after="0" w:line="162"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(Mark One)</w:t>
      </w:r>
    </w:p>
    <w:p>
      <w:pPr>
        <w:spacing w:after="0" w:line="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64"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For the quarterly period ended May 30, 2019</w:t>
      </w:r>
    </w:p>
    <w:p>
      <w:pPr>
        <w:spacing w:after="0" w:line="22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9" w:lineRule="exact"/>
        <w:rPr>
          <w:sz w:val="24"/>
          <w:szCs w:val="24"/>
          <w:color w:val="auto"/>
        </w:rPr>
      </w:pPr>
    </w:p>
    <w:p>
      <w:pPr>
        <w:ind w:left="2440"/>
        <w:spacing w:after="0"/>
        <w:tabs>
          <w:tab w:leader="none" w:pos="5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Commission file number 1-10658</w:t>
      </w:r>
    </w:p>
    <w:p>
      <w:pPr>
        <w:spacing w:after="0" w:line="121" w:lineRule="exact"/>
        <w:rPr>
          <w:sz w:val="24"/>
          <w:szCs w:val="24"/>
          <w:color w:val="auto"/>
        </w:rPr>
      </w:pPr>
    </w:p>
    <w:p>
      <w:pPr>
        <w:sectPr>
          <w:pgSz w:w="11900" w:h="16838" w:orient="portrait"/>
          <w:cols w:equalWidth="0" w:num="2">
            <w:col w:w="1320" w:space="440"/>
            <w:col w:w="9660"/>
          </w:cols>
          <w:pgMar w:left="240" w:top="976"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820" w:type="dxa"/>
            <w:vAlign w:val="bottom"/>
            <w:gridSpan w:val="2"/>
          </w:tcPr>
          <w:p>
            <w:pPr>
              <w:jc w:val="center"/>
              <w:ind w:left="859"/>
              <w:spacing w:after="0"/>
              <w:rPr>
                <w:sz w:val="20"/>
                <w:szCs w:val="20"/>
                <w:color w:val="auto"/>
              </w:rPr>
            </w:pPr>
            <w:r>
              <w:rPr>
                <w:rFonts w:ascii="Arial" w:cs="Arial" w:eastAsia="Arial" w:hAnsi="Arial"/>
                <w:sz w:val="16"/>
                <w:szCs w:val="16"/>
                <w:b w:val="1"/>
                <w:bCs w:val="1"/>
                <w:color w:val="auto"/>
                <w:w w:val="91"/>
              </w:rPr>
              <w:t>Delaware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75-1618004</w:t>
            </w:r>
          </w:p>
        </w:tc>
      </w:tr>
      <w:tr>
        <w:trPr>
          <w:trHeight w:val="257"/>
        </w:trPr>
        <w:tc>
          <w:tcPr>
            <w:tcW w:w="4820" w:type="dxa"/>
            <w:vAlign w:val="bottom"/>
            <w:gridSpan w:val="2"/>
          </w:tcPr>
          <w:p>
            <w:pPr>
              <w:jc w:val="center"/>
              <w:ind w:left="85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tcPr>
          <w:p>
            <w:pPr>
              <w:jc w:val="center"/>
              <w:ind w:right="959"/>
              <w:spacing w:after="0"/>
              <w:rPr>
                <w:sz w:val="20"/>
                <w:szCs w:val="20"/>
                <w:color w:val="auto"/>
              </w:rPr>
            </w:pPr>
            <w:r>
              <w:rPr>
                <w:rFonts w:ascii="Arial" w:cs="Arial" w:eastAsia="Arial" w:hAnsi="Arial"/>
                <w:sz w:val="16"/>
                <w:szCs w:val="16"/>
                <w:color w:val="auto"/>
                <w:w w:val="96"/>
              </w:rPr>
              <w:t>(IRS Employer Identification No.)</w:t>
            </w:r>
          </w:p>
        </w:tc>
      </w:tr>
      <w:tr>
        <w:trPr>
          <w:trHeight w:val="257"/>
        </w:trPr>
        <w:tc>
          <w:tcPr>
            <w:tcW w:w="4820" w:type="dxa"/>
            <w:vAlign w:val="bottom"/>
            <w:gridSpan w:val="2"/>
          </w:tcPr>
          <w:p>
            <w:pPr>
              <w:jc w:val="center"/>
              <w:ind w:left="859"/>
              <w:spacing w:after="0"/>
              <w:rPr>
                <w:sz w:val="20"/>
                <w:szCs w:val="20"/>
                <w:color w:val="auto"/>
              </w:rPr>
            </w:pPr>
            <w:r>
              <w:rPr>
                <w:rFonts w:ascii="Arial" w:cs="Arial" w:eastAsia="Arial" w:hAnsi="Arial"/>
                <w:sz w:val="16"/>
                <w:szCs w:val="16"/>
                <w:b w:val="1"/>
                <w:bCs w:val="1"/>
                <w:color w:val="auto"/>
                <w:w w:val="91"/>
              </w:rPr>
              <w:t>8000 S. Federal Way, Boise, Idaho</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83716-9632</w:t>
            </w:r>
          </w:p>
        </w:tc>
      </w:tr>
      <w:tr>
        <w:trPr>
          <w:trHeight w:val="257"/>
        </w:trPr>
        <w:tc>
          <w:tcPr>
            <w:tcW w:w="4820" w:type="dxa"/>
            <w:vAlign w:val="bottom"/>
            <w:gridSpan w:val="2"/>
          </w:tcPr>
          <w:p>
            <w:pPr>
              <w:jc w:val="center"/>
              <w:ind w:left="859"/>
              <w:spacing w:after="0"/>
              <w:rPr>
                <w:sz w:val="20"/>
                <w:szCs w:val="20"/>
                <w:color w:val="auto"/>
              </w:rPr>
            </w:pPr>
            <w:r>
              <w:rPr>
                <w:rFonts w:ascii="Arial" w:cs="Arial" w:eastAsia="Arial" w:hAnsi="Arial"/>
                <w:sz w:val="16"/>
                <w:szCs w:val="16"/>
                <w:color w:val="auto"/>
                <w:w w:val="93"/>
              </w:rPr>
              <w:t>(Address of principal executive offices)</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tcPr>
          <w:p>
            <w:pPr>
              <w:jc w:val="center"/>
              <w:ind w:right="959"/>
              <w:spacing w:after="0"/>
              <w:rPr>
                <w:sz w:val="20"/>
                <w:szCs w:val="20"/>
                <w:color w:val="auto"/>
              </w:rPr>
            </w:pPr>
            <w:r>
              <w:rPr>
                <w:rFonts w:ascii="Arial" w:cs="Arial" w:eastAsia="Arial" w:hAnsi="Arial"/>
                <w:sz w:val="16"/>
                <w:szCs w:val="16"/>
                <w:color w:val="auto"/>
                <w:w w:val="95"/>
              </w:rPr>
              <w:t>(Zip Code)</w:t>
            </w:r>
          </w:p>
        </w:tc>
      </w:tr>
      <w:tr>
        <w:trPr>
          <w:trHeight w:val="257"/>
        </w:trPr>
        <w:tc>
          <w:tcPr>
            <w:tcW w:w="4820" w:type="dxa"/>
            <w:vAlign w:val="bottom"/>
            <w:gridSpan w:val="2"/>
          </w:tcPr>
          <w:p>
            <w:pPr>
              <w:jc w:val="center"/>
              <w:ind w:left="859"/>
              <w:spacing w:after="0"/>
              <w:rPr>
                <w:sz w:val="20"/>
                <w:szCs w:val="20"/>
                <w:color w:val="auto"/>
              </w:rPr>
            </w:pPr>
            <w:r>
              <w:rPr>
                <w:rFonts w:ascii="Arial" w:cs="Arial" w:eastAsia="Arial" w:hAnsi="Arial"/>
                <w:sz w:val="16"/>
                <w:szCs w:val="16"/>
                <w:color w:val="auto"/>
                <w:w w:val="90"/>
              </w:rPr>
              <w:t>Registrant's telephone number, including area code</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tcPr>
          <w:p>
            <w:pPr>
              <w:jc w:val="center"/>
              <w:ind w:right="959"/>
              <w:spacing w:after="0"/>
              <w:rPr>
                <w:sz w:val="20"/>
                <w:szCs w:val="20"/>
                <w:color w:val="auto"/>
              </w:rPr>
            </w:pPr>
            <w:r>
              <w:rPr>
                <w:rFonts w:ascii="Arial" w:cs="Arial" w:eastAsia="Arial" w:hAnsi="Arial"/>
                <w:sz w:val="16"/>
                <w:szCs w:val="16"/>
                <w:color w:val="auto"/>
                <w:w w:val="91"/>
              </w:rPr>
              <w:t>(208) 368-4000</w:t>
            </w:r>
          </w:p>
        </w:tc>
      </w:tr>
      <w:tr>
        <w:trPr>
          <w:trHeight w:val="351"/>
        </w:trPr>
        <w:tc>
          <w:tcPr>
            <w:tcW w:w="48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65"/>
        </w:trPr>
        <w:tc>
          <w:tcPr>
            <w:tcW w:w="4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Trading symbol</w:t>
            </w:r>
          </w:p>
        </w:tc>
        <w:tc>
          <w:tcPr>
            <w:tcW w:w="46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7"/>
        </w:trPr>
        <w:tc>
          <w:tcPr>
            <w:tcW w:w="48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par value $0.10 per share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MU</w:t>
            </w:r>
          </w:p>
        </w:tc>
        <w:tc>
          <w:tcPr>
            <w:tcW w:w="468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270"/>
        </w:trPr>
        <w:tc>
          <w:tcPr>
            <w:tcW w:w="48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Purchase Rights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MU</w:t>
            </w:r>
          </w:p>
        </w:tc>
        <w:tc>
          <w:tcPr>
            <w:tcW w:w="468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181"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T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p>
      <w:pPr>
        <w:ind w:left="420"/>
        <w:spacing w:after="0"/>
        <w:tabs>
          <w:tab w:leader="none" w:pos="2820" w:val="left"/>
          <w:tab w:leader="none" w:pos="4840" w:val="left"/>
          <w:tab w:leader="none" w:pos="6940" w:val="left"/>
          <w:tab w:leader="none" w:pos="934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181"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17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June 19, 2019 was 1,103,803,379.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1" w:name="page2"/>
    <w:bookmarkEnd w:id="1"/>
    <w:p>
      <w:pPr>
        <w:ind w:right="12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w:t>
      </w:r>
    </w:p>
    <w:p>
      <w:pPr>
        <w:spacing w:after="0" w:line="20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Micron, Crucial, Ballistix, any associated logos, and all other Micron trademarks are the property of Micron. 3D XPoint is a trademark of Intel in the United States and/or other countries. Other product names or trademarks that are not owned by Micron are for identification purposes only and may be the registered or unregistered trademarks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Commonly Used Terms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460" w:type="dxa"/>
            <w:vAlign w:val="bottom"/>
            <w:gridSpan w:val="2"/>
          </w:tcPr>
          <w:p>
            <w:pPr>
              <w:ind w:left="300"/>
              <w:spacing w:after="0"/>
              <w:rPr>
                <w:sz w:val="20"/>
                <w:szCs w:val="20"/>
                <w:color w:val="auto"/>
              </w:rPr>
            </w:pPr>
            <w:r>
              <w:rPr>
                <w:rFonts w:ascii="Arial" w:cs="Arial" w:eastAsia="Arial" w:hAnsi="Arial"/>
                <w:sz w:val="16"/>
                <w:szCs w:val="16"/>
                <w:b w:val="1"/>
                <w:bCs w:val="1"/>
                <w:color w:val="auto"/>
              </w:rPr>
              <w:t>Term</w:t>
            </w:r>
          </w:p>
        </w:tc>
        <w:tc>
          <w:tcPr>
            <w:tcW w:w="480" w:type="dxa"/>
            <w:vAlign w:val="bottom"/>
          </w:tcPr>
          <w:p>
            <w:pPr>
              <w:spacing w:after="0"/>
              <w:rPr>
                <w:sz w:val="18"/>
                <w:szCs w:val="18"/>
                <w:color w:val="auto"/>
              </w:rPr>
            </w:pPr>
          </w:p>
        </w:tc>
        <w:tc>
          <w:tcPr>
            <w:tcW w:w="3300" w:type="dxa"/>
            <w:vAlign w:val="bottom"/>
          </w:tcPr>
          <w:p>
            <w:pPr>
              <w:ind w:left="1060"/>
              <w:spacing w:after="0"/>
              <w:rPr>
                <w:sz w:val="20"/>
                <w:szCs w:val="20"/>
                <w:color w:val="auto"/>
              </w:rPr>
            </w:pPr>
            <w:r>
              <w:rPr>
                <w:rFonts w:ascii="Arial" w:cs="Arial" w:eastAsia="Arial" w:hAnsi="Arial"/>
                <w:sz w:val="16"/>
                <w:szCs w:val="16"/>
                <w:b w:val="1"/>
                <w:bCs w:val="1"/>
                <w:color w:val="auto"/>
              </w:rPr>
              <w:t>Definition</w:t>
            </w:r>
          </w:p>
        </w:tc>
        <w:tc>
          <w:tcPr>
            <w:tcW w:w="120" w:type="dxa"/>
            <w:vAlign w:val="bottom"/>
          </w:tcPr>
          <w:p>
            <w:pPr>
              <w:spacing w:after="0"/>
              <w:rPr>
                <w:sz w:val="18"/>
                <w:szCs w:val="18"/>
                <w:color w:val="auto"/>
              </w:rPr>
            </w:pPr>
          </w:p>
        </w:tc>
        <w:tc>
          <w:tcPr>
            <w:tcW w:w="1920" w:type="dxa"/>
            <w:vAlign w:val="bottom"/>
            <w:gridSpan w:val="2"/>
          </w:tcPr>
          <w:p>
            <w:pPr>
              <w:ind w:left="720"/>
              <w:spacing w:after="0"/>
              <w:rPr>
                <w:sz w:val="20"/>
                <w:szCs w:val="20"/>
                <w:color w:val="auto"/>
              </w:rPr>
            </w:pPr>
            <w:r>
              <w:rPr>
                <w:rFonts w:ascii="Arial" w:cs="Arial" w:eastAsia="Arial" w:hAnsi="Arial"/>
                <w:sz w:val="16"/>
                <w:szCs w:val="16"/>
                <w:b w:val="1"/>
                <w:bCs w:val="1"/>
                <w:color w:val="auto"/>
              </w:rPr>
              <w:t>Term</w:t>
            </w:r>
          </w:p>
        </w:tc>
        <w:tc>
          <w:tcPr>
            <w:tcW w:w="3760" w:type="dxa"/>
            <w:vAlign w:val="bottom"/>
          </w:tcPr>
          <w:p>
            <w:pPr>
              <w:ind w:left="1540"/>
              <w:spacing w:after="0"/>
              <w:rPr>
                <w:sz w:val="20"/>
                <w:szCs w:val="20"/>
                <w:color w:val="auto"/>
              </w:rPr>
            </w:pPr>
            <w:r>
              <w:rPr>
                <w:rFonts w:ascii="Arial" w:cs="Arial" w:eastAsia="Arial" w:hAnsi="Arial"/>
                <w:sz w:val="16"/>
                <w:szCs w:val="16"/>
                <w:b w:val="1"/>
                <w:bCs w:val="1"/>
                <w:color w:val="auto"/>
              </w:rPr>
              <w:t>Definition</w:t>
            </w:r>
          </w:p>
        </w:tc>
      </w:tr>
      <w:tr>
        <w:trPr>
          <w:trHeight w:val="47"/>
        </w:trPr>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3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2022</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 B due 2022</w:t>
            </w:r>
          </w:p>
        </w:tc>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Micron</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Inc. (Parent Company)</w:t>
            </w:r>
          </w:p>
        </w:tc>
      </w:tr>
      <w:tr>
        <w:trPr>
          <w:trHeight w:val="237"/>
        </w:trPr>
        <w:tc>
          <w:tcPr>
            <w:tcW w:w="380" w:type="dxa"/>
            <w:vAlign w:val="bottom"/>
          </w:tcPr>
          <w:p>
            <w:pPr>
              <w:ind w:left="40"/>
              <w:spacing w:after="0"/>
              <w:rPr>
                <w:sz w:val="20"/>
                <w:szCs w:val="20"/>
                <w:color w:val="auto"/>
              </w:rPr>
            </w:pPr>
            <w:r>
              <w:rPr>
                <w:rFonts w:ascii="Arial" w:cs="Arial" w:eastAsia="Arial" w:hAnsi="Arial"/>
                <w:sz w:val="16"/>
                <w:szCs w:val="16"/>
                <w:color w:val="auto"/>
                <w:w w:val="89"/>
              </w:rPr>
              <w:t>2024</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4.64%</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Unsecured Notes due 2024</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MMJ</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Japan, G.K.</w:t>
            </w:r>
          </w:p>
        </w:tc>
      </w:tr>
      <w:tr>
        <w:trPr>
          <w:trHeight w:val="33"/>
        </w:trPr>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2025</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5.50%</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Unsecured Notes due 2025</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MMJ Group</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MMJ and its subsidiaries</w:t>
            </w:r>
          </w:p>
        </w:tc>
      </w:tr>
      <w:tr>
        <w:trPr>
          <w:trHeight w:val="224"/>
        </w:trPr>
        <w:tc>
          <w:tcPr>
            <w:tcW w:w="380" w:type="dxa"/>
            <w:vAlign w:val="bottom"/>
          </w:tcPr>
          <w:p>
            <w:pPr>
              <w:ind w:left="40"/>
              <w:spacing w:after="0"/>
              <w:rPr>
                <w:sz w:val="20"/>
                <w:szCs w:val="20"/>
                <w:color w:val="auto"/>
              </w:rPr>
            </w:pPr>
            <w:r>
              <w:rPr>
                <w:rFonts w:ascii="Arial" w:cs="Arial" w:eastAsia="Arial" w:hAnsi="Arial"/>
                <w:sz w:val="16"/>
                <w:szCs w:val="16"/>
                <w:color w:val="auto"/>
                <w:w w:val="89"/>
              </w:rPr>
              <w:t>2026</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4.98%</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Unsecured Notes due 2026</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MMT</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Taiwan Co., Ltd.</w:t>
            </w:r>
          </w:p>
        </w:tc>
      </w:tr>
      <w:tr>
        <w:trPr>
          <w:trHeight w:val="47"/>
        </w:trPr>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2029</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5.33%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Unsecured Notes due 2029</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MTTW</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Taiwan, Inc.</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2032D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3.13%</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2032</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Qimonda</w:t>
            </w:r>
          </w:p>
        </w:tc>
        <w:tc>
          <w:tcPr>
            <w:tcW w:w="3760" w:type="dxa"/>
            <w:vAlign w:val="bottom"/>
          </w:tcPr>
          <w:p>
            <w:pPr>
              <w:ind w:left="40"/>
              <w:spacing w:after="0"/>
              <w:rPr>
                <w:sz w:val="20"/>
                <w:szCs w:val="20"/>
                <w:color w:val="auto"/>
              </w:rPr>
            </w:pPr>
            <w:r>
              <w:rPr>
                <w:rFonts w:ascii="Arial" w:cs="Arial" w:eastAsia="Arial" w:hAnsi="Arial"/>
                <w:sz w:val="16"/>
                <w:szCs w:val="16"/>
                <w:color w:val="auto"/>
              </w:rPr>
              <w:t>Qimonda AG</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2033F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2.13%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due 2033</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2043G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3.00%</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2043</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SG&amp;A</w:t>
            </w:r>
          </w:p>
        </w:tc>
        <w:tc>
          <w:tcPr>
            <w:tcW w:w="37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IMFT</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IM Flash Technologies, LLC</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SSD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Solid-State Drive</w:t>
            </w: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Huawei</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Huawei Technologies Co., Ltd.</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TLC</w:t>
            </w:r>
          </w:p>
        </w:tc>
        <w:tc>
          <w:tcPr>
            <w:tcW w:w="3760" w:type="dxa"/>
            <w:vAlign w:val="bottom"/>
          </w:tcPr>
          <w:p>
            <w:pPr>
              <w:ind w:left="40"/>
              <w:spacing w:after="0"/>
              <w:rPr>
                <w:sz w:val="20"/>
                <w:szCs w:val="20"/>
                <w:color w:val="auto"/>
              </w:rPr>
            </w:pPr>
            <w:r>
              <w:rPr>
                <w:rFonts w:ascii="Arial" w:cs="Arial" w:eastAsia="Arial" w:hAnsi="Arial"/>
                <w:sz w:val="16"/>
                <w:szCs w:val="16"/>
                <w:color w:val="auto"/>
              </w:rPr>
              <w:t>Triple-Level Cell</w:t>
            </w:r>
          </w:p>
        </w:tc>
      </w:tr>
      <w:tr>
        <w:trPr>
          <w:trHeight w:val="33"/>
        </w:trPr>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Inotera</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Inotera Memories, Inc.</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VIE</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Entity</w:t>
            </w:r>
          </w:p>
        </w:tc>
      </w:tr>
      <w:tr>
        <w:trPr>
          <w:trHeight w:val="237"/>
        </w:trPr>
        <w:tc>
          <w:tcPr>
            <w:tcW w:w="380" w:type="dxa"/>
            <w:vAlign w:val="bottom"/>
          </w:tcPr>
          <w:p>
            <w:pPr>
              <w:ind w:left="40"/>
              <w:spacing w:after="0"/>
              <w:rPr>
                <w:sz w:val="20"/>
                <w:szCs w:val="20"/>
                <w:color w:val="auto"/>
              </w:rPr>
            </w:pPr>
            <w:r>
              <w:rPr>
                <w:rFonts w:ascii="Arial" w:cs="Arial" w:eastAsia="Arial" w:hAnsi="Arial"/>
                <w:sz w:val="16"/>
                <w:szCs w:val="16"/>
                <w:color w:val="auto"/>
              </w:rPr>
              <w:t>Intel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Intel Corporation</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Micron subsidiaries appear throughout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Consumer Products Group, Inc.</w:t>
            </w:r>
          </w:p>
        </w:tc>
        <w:tc>
          <w:tcPr>
            <w:tcW w:w="10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Semiconductor Products, Inc.</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Micron Europe Limited</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Micron Semiconductor (Shanghai) Co. Ltd.</w:t>
            </w:r>
          </w:p>
        </w:tc>
      </w:tr>
      <w:tr>
        <w:trPr>
          <w:trHeight w:val="47"/>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Semiconductor B.V.,</w:t>
            </w:r>
          </w:p>
        </w:tc>
        <w:tc>
          <w:tcPr>
            <w:tcW w:w="10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Semiconductor (Xi'an) Co., Ltd.</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Micron Semiconductor (Deutschland) GmbH</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7"/>
          <w:szCs w:val="17"/>
          <w:color w:val="auto"/>
        </w:rPr>
        <w:t>This Form 10-Q contains trend information and other forward-looking statements that involve a number of risks and uncertainties. Forward-looking statements include, but are not limited to, statements such as those made regarding our expected 3D XPoint</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development activities with Intel; the amount we expect to pay to purchase Intel's interest in IMFT; our expectation, from time to time, to engage in additional financing transactions; the sufficiency of our cash and investments, cash flows from operations, and available financing to meet our requirements at least through the next 12 months; capital spending in 2019; and capital commitments.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9,211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w:t>
            </w:r>
          </w:p>
        </w:tc>
      </w:tr>
      <w:tr>
        <w:trPr>
          <w:trHeight w:val="297"/>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1,574</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10,617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9,961</w:t>
            </w:r>
          </w:p>
        </w:tc>
      </w:tr>
      <w:tr>
        <w:trPr>
          <w:trHeight w:val="297"/>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9,812</w:t>
            </w:r>
          </w:p>
        </w:tc>
      </w:tr>
      <w:tr>
        <w:trPr>
          <w:trHeight w:val="297"/>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Micron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5,752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9,810</w:t>
            </w:r>
          </w:p>
        </w:tc>
      </w:tr>
      <w:tr>
        <w:trPr>
          <w:trHeight w:val="284"/>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7.96</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00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1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9,812</w:t>
            </w:r>
          </w:p>
        </w:tc>
      </w:tr>
      <w:tr>
        <w:trPr>
          <w:trHeight w:val="291"/>
        </w:trPr>
        <w:tc>
          <w:tcPr>
            <w:tcW w:w="51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Gains (losses) on investments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(losses) on derivative instruments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liability adjustments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Micron</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9,803</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August 30,</w:t>
            </w:r>
          </w:p>
        </w:tc>
      </w:t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6,506</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3,595</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16,039</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23,672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43,376</w:t>
            </w:r>
          </w:p>
        </w:tc>
      </w:tr>
      <w:tr>
        <w:trPr>
          <w:trHeight w:val="20"/>
        </w:trPr>
        <w:tc>
          <w:tcPr>
            <w:tcW w:w="8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3,777</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unearned government incentives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10,112</w:t>
            </w:r>
          </w:p>
        </w:tc>
      </w:tr>
      <w:tr>
        <w:trPr>
          <w:trHeight w:val="291"/>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97"/>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convertible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Micron shareholders' equity</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Common stock, $0.10 par value, 3,000 shares authorized, 1,180 shares issued and 1,104 outstanding (1,170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shares issued and 1,161 outstanding as of August 30, 2018)</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Additional capital</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8,201</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24,395</w:t>
            </w:r>
          </w:p>
        </w:tc>
      </w:tr>
      <w:tr>
        <w:trPr>
          <w:trHeight w:val="243"/>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Treasury stock, 76 shares held (9 shares as of August 30, 2018)</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8160" w:type="dxa"/>
            <w:vAlign w:val="bottom"/>
            <w:gridSpan w:val="2"/>
          </w:tcPr>
          <w:p>
            <w:pPr>
              <w:ind w:left="500"/>
              <w:spacing w:after="0"/>
              <w:rPr>
                <w:sz w:val="20"/>
                <w:szCs w:val="20"/>
                <w:color w:val="auto"/>
              </w:rPr>
            </w:pPr>
            <w:r>
              <w:rPr>
                <w:rFonts w:ascii="Arial" w:cs="Arial" w:eastAsia="Arial" w:hAnsi="Arial"/>
                <w:sz w:val="18"/>
                <w:szCs w:val="18"/>
                <w:color w:val="auto"/>
              </w:rPr>
              <w:t>Total Micron shareholders' equity</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32,294</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37"/>
        </w:trPr>
        <w:tc>
          <w:tcPr>
            <w:tcW w:w="8160" w:type="dxa"/>
            <w:vAlign w:val="bottom"/>
            <w:gridSpan w:val="2"/>
          </w:tcPr>
          <w:p>
            <w:pPr>
              <w:ind w:left="50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33,164</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43,376</w:t>
            </w:r>
          </w:p>
        </w:tc>
      </w:tr>
      <w:tr>
        <w:trPr>
          <w:trHeight w:val="20"/>
        </w:trPr>
        <w:tc>
          <w:tcPr>
            <w:tcW w:w="8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160"/>
          </w:cols>
          <w:pgMar w:left="240" w:top="580"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580" w:right="4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Micron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19685</wp:posOffset>
            </wp:positionV>
            <wp:extent cx="4296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40" w:type="dxa"/>
            <w:vAlign w:val="bottom"/>
          </w:tcPr>
          <w:p>
            <w:pPr>
              <w:spacing w:after="0"/>
              <w:rPr>
                <w:sz w:val="13"/>
                <w:szCs w:val="13"/>
                <w:color w:val="auto"/>
              </w:rPr>
            </w:pPr>
          </w:p>
        </w:tc>
        <w:tc>
          <w:tcPr>
            <w:tcW w:w="1640" w:type="dxa"/>
            <w:vAlign w:val="bottom"/>
            <w:gridSpan w:val="5"/>
          </w:tcPr>
          <w:p>
            <w:pPr>
              <w:ind w:left="40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8"/>
              </w:rPr>
              <w:t>Accumulated Other</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Total Micron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Additional</w:t>
            </w: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Treasury</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of Shares</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Capital</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30, 2018</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24,395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32,294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33,164</w:t>
            </w: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Cumulative effect of adopting new</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2"/>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accounting standards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w w:val="97"/>
              </w:rPr>
              <w:t>Other comprehensive income (loss), net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convertible notes</w:t>
            </w: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50"/>
        </w:trPr>
        <w:tc>
          <w:tcPr>
            <w:tcW w:w="2640" w:type="dxa"/>
            <w:vAlign w:val="bottom"/>
          </w:tcPr>
          <w:p>
            <w:pPr>
              <w:ind w:left="40"/>
              <w:spacing w:after="0"/>
              <w:rPr>
                <w:sz w:val="20"/>
                <w:szCs w:val="20"/>
                <w:color w:val="auto"/>
              </w:rPr>
            </w:pPr>
            <w:r>
              <w:rPr>
                <w:rFonts w:ascii="Arial" w:cs="Arial" w:eastAsia="Arial" w:hAnsi="Arial"/>
                <w:sz w:val="15"/>
                <w:szCs w:val="15"/>
                <w:b w:val="1"/>
                <w:bCs w:val="1"/>
                <w:color w:val="auto"/>
              </w:rPr>
              <w:t>Balance at November 29, 2018</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8,350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27,769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33,869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34,739</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w w:val="97"/>
              </w:rPr>
              <w:t>Other comprehensive income (loss), net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Acquisitions of noncontrolling interest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Conversion of convertible notes</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February 28, 2019</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29,364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34,567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35,430</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Repurchase of stock</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Acquisitions of noncontrolling interest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6"/>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Conversion of convertible notes</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May 30, 2019</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30,201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35,323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36,190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Micron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19685</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60" w:type="dxa"/>
            <w:vAlign w:val="bottom"/>
          </w:tcPr>
          <w:p>
            <w:pPr>
              <w:spacing w:after="0"/>
              <w:rPr>
                <w:sz w:val="13"/>
                <w:szCs w:val="13"/>
                <w:color w:val="auto"/>
              </w:rPr>
            </w:pPr>
          </w:p>
        </w:tc>
        <w:tc>
          <w:tcPr>
            <w:tcW w:w="1660" w:type="dxa"/>
            <w:vAlign w:val="bottom"/>
            <w:gridSpan w:val="5"/>
          </w:tcPr>
          <w:p>
            <w:pPr>
              <w:ind w:left="40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8"/>
              </w:rPr>
              <w:t>Accumulated Other</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Total Micron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76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Additional</w:t>
            </w: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7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Treasury</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of Shares</w:t>
            </w:r>
          </w:p>
        </w:tc>
        <w:tc>
          <w:tcPr>
            <w:tcW w:w="1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Capital</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31, 2017</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10,260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18,621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19,470</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2760" w:type="dxa"/>
            <w:vAlign w:val="bottom"/>
          </w:tcPr>
          <w:p>
            <w:pPr>
              <w:ind w:left="40"/>
              <w:spacing w:after="0"/>
              <w:rPr>
                <w:sz w:val="20"/>
                <w:szCs w:val="20"/>
                <w:color w:val="auto"/>
              </w:rPr>
            </w:pPr>
            <w:r>
              <w:rPr>
                <w:rFonts w:ascii="Arial" w:cs="Arial" w:eastAsia="Arial" w:hAnsi="Arial"/>
                <w:sz w:val="15"/>
                <w:szCs w:val="15"/>
                <w:color w:val="auto"/>
              </w:rPr>
              <w:t>Contributions from noncontrolling</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5"/>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8"/>
        </w:trPr>
        <w:tc>
          <w:tcPr>
            <w:tcW w:w="2760" w:type="dxa"/>
            <w:vAlign w:val="bottom"/>
          </w:tcPr>
          <w:p>
            <w:pPr>
              <w:ind w:left="200"/>
              <w:spacing w:after="0"/>
              <w:rPr>
                <w:sz w:val="20"/>
                <w:szCs w:val="20"/>
                <w:color w:val="auto"/>
              </w:rPr>
            </w:pPr>
            <w:r>
              <w:rPr>
                <w:rFonts w:ascii="Arial" w:cs="Arial" w:eastAsia="Arial" w:hAnsi="Arial"/>
                <w:sz w:val="15"/>
                <w:szCs w:val="15"/>
                <w:color w:val="auto"/>
              </w:rPr>
              <w:t>interests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in public offering</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Conversion of convertible notes</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5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November 30, 2017</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12,938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22,526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23,393</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760" w:type="dxa"/>
            <w:vAlign w:val="bottom"/>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8"/>
        </w:trPr>
        <w:tc>
          <w:tcPr>
            <w:tcW w:w="2760" w:type="dxa"/>
            <w:vAlign w:val="bottom"/>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convertible notes</w:t>
            </w: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50"/>
        </w:trPr>
        <w:tc>
          <w:tcPr>
            <w:tcW w:w="2760" w:type="dxa"/>
            <w:vAlign w:val="bottom"/>
          </w:tcPr>
          <w:p>
            <w:pPr>
              <w:ind w:left="40"/>
              <w:spacing w:after="0"/>
              <w:rPr>
                <w:sz w:val="20"/>
                <w:szCs w:val="20"/>
                <w:color w:val="auto"/>
              </w:rPr>
            </w:pPr>
            <w:r>
              <w:rPr>
                <w:rFonts w:ascii="Arial" w:cs="Arial" w:eastAsia="Arial" w:hAnsi="Arial"/>
                <w:sz w:val="15"/>
                <w:szCs w:val="15"/>
                <w:b w:val="1"/>
                <w:bCs w:val="1"/>
                <w:color w:val="auto"/>
              </w:rPr>
              <w:t>Balance at March 1, 2018</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9,604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16,247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25,697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26,566</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3,823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of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0"/>
              <w:spacing w:after="0"/>
              <w:rPr>
                <w:sz w:val="20"/>
                <w:szCs w:val="20"/>
                <w:color w:val="auto"/>
              </w:rPr>
            </w:pPr>
            <w:r>
              <w:rPr>
                <w:rFonts w:ascii="Arial" w:cs="Arial" w:eastAsia="Arial" w:hAnsi="Arial"/>
                <w:sz w:val="15"/>
                <w:szCs w:val="15"/>
                <w:color w:val="auto"/>
                <w:w w:val="97"/>
              </w:rPr>
              <w:t>Conversion and repurchase of convertible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198"/>
        </w:trPr>
        <w:tc>
          <w:tcPr>
            <w:tcW w:w="27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notes</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May 31, 2018</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8,869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20,070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28,649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29,518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3,474</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other costs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debt prepayments, repurchases, and conversions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12,245</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to acquire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Repayments of debt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5,216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August 30, 2018, except for changes related to recently adopted accounting standards. See "Recently Adopted Accounting Standards" note. Prior year information is presented in accordance with the accounting guidance in effect during that period and has not been recast for recently adopted accounting standards.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7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Our fiscal year is the 52 or 53-week period ending on the Thursday closest to August 31. Fiscal years 2019 and 2018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30, 2018.</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VIEs</w:t>
      </w:r>
    </w:p>
    <w:p>
      <w:pPr>
        <w:spacing w:after="0" w:line="225" w:lineRule="exact"/>
        <w:rPr>
          <w:sz w:val="20"/>
          <w:szCs w:val="20"/>
          <w:color w:val="auto"/>
        </w:rPr>
      </w:pPr>
    </w:p>
    <w:p>
      <w:pPr>
        <w:ind w:right="120" w:firstLine="324"/>
        <w:spacing w:after="0" w:line="274" w:lineRule="auto"/>
        <w:rPr>
          <w:sz w:val="20"/>
          <w:szCs w:val="20"/>
          <w:color w:val="auto"/>
        </w:rPr>
      </w:pPr>
      <w:r>
        <w:rPr>
          <w:rFonts w:ascii="Arial" w:cs="Arial" w:eastAsia="Arial" w:hAnsi="Arial"/>
          <w:sz w:val="17"/>
          <w:szCs w:val="17"/>
          <w:b w:val="1"/>
          <w:bCs w:val="1"/>
          <w:i w:val="1"/>
          <w:iCs w:val="1"/>
          <w:color w:val="auto"/>
        </w:rPr>
        <w:t>PTI Xi'an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Powertech Technology Inc. Xi'an ("PTI Xi'an") is a wholly-owned subsidiary of Powertech Technology Inc. ("PTI") and was created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assembly services to us at our manufacturing site in Xi'an, China. We do not have an equity interest in PTI Xi'an. PTI Xi'an is a VIE because of the terms of its service agreement with us and its dependency on PTI to finance its operations. We do not have the power to direct the activities of PTI Xi'an that most significantly impact its economic performance, primarily because we do not have governance rights. Therefore, we do not consolidate PTI Xi'an. In connection with our assembly services with PTI, as of May 30, 2019 and August 30, 2018, we had net property, plant, and equipment of $53 million and $63 million, respectively, and capital lease obligations of $51 million and $63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VIE</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IMFT is a VIE because all of its costs are passed to us and its other member, Intel, through product purchase agreements and because IMFT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dependent upon us or Intel for additional cash requirements. The primary activities of IMFT are driven by the constant introduction of product and process technology. Because we perform a significant majority of the technology development, we have the power to direct its key activities. We consolidate IMFT because we have the power to direct the activities of IMFT that most significantly impact its economic performance and because we have the obligation to absorb losses and the right to receive benefits from IMFT that could potentially be significant to it. In January 2019, we exercised our option to acquire Intel's interest in IMFT and, in the third quarter of 2019, Intel set the closing date to occur on October 31, 2019. (See "Equity – Noncontrolling Interests in Subsidiaries – IMFT" note.)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 </w:t>
      </w:r>
      <w:r>
        <w:rPr>
          <w:rFonts w:ascii="Arial" w:cs="Arial" w:eastAsia="Arial" w:hAnsi="Arial"/>
          <w:sz w:val="18"/>
          <w:szCs w:val="18"/>
          <w:i w:val="1"/>
          <w:iCs w:val="1"/>
          <w:color w:val="auto"/>
        </w:rPr>
        <w:t>Intra-Entity 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Than Inventory </w:t>
      </w:r>
      <w:r>
        <w:rPr>
          <w:rFonts w:ascii="Arial" w:cs="Arial" w:eastAsia="Arial" w:hAnsi="Arial"/>
          <w:sz w:val="18"/>
          <w:szCs w:val="18"/>
          <w:color w:val="auto"/>
        </w:rPr>
        <w:t>("ASU 2016-16"), which requires an entity to recognize the income tax consequences of an intra-entity transfer of an asset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when the transfer occurs. We adopted this ASU in the first quarter of 2019 under the modified retrospective method and, in connection therewith, made certain adjustments as noted in the table below.</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January 2016, the FASB issued ASU 2016-01 –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provides guidance for the recognition, measurement, presentation, and disclosure of financial assets and liabilities. We adopted this ASU in the first quarter of 2019 under the modified retrospective method, with prospective adoption for amendments related to equity securities without readily determinable fair values. The adoption of this ASU did not have a material impact on our financial statements.</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In May 2014, the FASB issued ASU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control of promised goods or services to customers in an amount that reflects the consideration to which the entity expects to be entitled in exchange for those goods or services. ASC 606 also requires additional disclosure about the nature, amount, timing, and uncertainty of revenue and cash flows arising from customer contracts, including significant judgments and changes in judgments, and assets recognized from costs incurred to obtain or fulfill a contract. We adopted ASC 606 in the first quarter of 2019 under the modified retrospective method and, in connection therewith, made certain adjustments as noted in the table below. We applied ASC 606 to contracts with customers that had not yet been completed as of the adoption date.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adopting ASU 2016-16 and ASC 606:</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Ending Balance</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Opening Balance</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as of</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as of</w:t>
            </w: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August 30, 2018</w:t>
            </w:r>
          </w:p>
        </w:tc>
        <w:tc>
          <w:tcPr>
            <w:tcW w:w="260" w:type="dxa"/>
            <w:vAlign w:val="bottom"/>
          </w:tcPr>
          <w:p>
            <w:pPr>
              <w:spacing w:after="0"/>
              <w:rPr>
                <w:sz w:val="20"/>
                <w:szCs w:val="20"/>
                <w:color w:val="auto"/>
              </w:rPr>
            </w:pPr>
          </w:p>
        </w:tc>
        <w:tc>
          <w:tcPr>
            <w:tcW w:w="2020" w:type="dxa"/>
            <w:vAlign w:val="bottom"/>
            <w:gridSpan w:val="3"/>
          </w:tcPr>
          <w:p>
            <w:pPr>
              <w:ind w:left="140"/>
              <w:spacing w:after="0"/>
              <w:rPr>
                <w:sz w:val="20"/>
                <w:szCs w:val="20"/>
                <w:color w:val="auto"/>
              </w:rPr>
            </w:pPr>
            <w:r>
              <w:rPr>
                <w:rFonts w:ascii="Arial" w:cs="Arial" w:eastAsia="Arial" w:hAnsi="Arial"/>
                <w:sz w:val="18"/>
                <w:szCs w:val="18"/>
                <w:b w:val="1"/>
                <w:bCs w:val="1"/>
                <w:color w:val="auto"/>
              </w:rPr>
              <w:t>ASU 2016-16</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ASC 606</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August 31, 2018</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3,590</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986</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24,487</w:t>
            </w:r>
          </w:p>
        </w:tc>
      </w:tr>
      <w:tr>
        <w:trPr>
          <w:trHeight w:val="27"/>
        </w:trPr>
        <w:tc>
          <w:tcPr>
            <w:tcW w:w="3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a result of the adoption of ASC 606, the opening balances as of August 31, 2018 for receivables, other current assets, and other current liabilities increased due to the reclassification of allowances for rebates, pricing adjustments, and returns to conform to the new presentation requirements. In addition, the margin from previously deferred sales to distributors was reclassified from other current liabilities to retained earnings. The tax effects of the adoption of ASC 606 were recorded primarily as a reduction of net deferred tax assets, substantially as a result of recognizing income for accounting purposes earlier under ASC 606 than for tax purposes in various jurisdictions.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The effects of ASC 606 to our consolidated statement of operations and balance sheet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92"/>
              </w:rPr>
              <w:t>Quarter ended May 30, 2019</w:t>
            </w:r>
          </w:p>
        </w:tc>
        <w:tc>
          <w:tcPr>
            <w:tcW w:w="140" w:type="dxa"/>
            <w:vAlign w:val="bottom"/>
          </w:tcPr>
          <w:p>
            <w:pPr>
              <w:spacing w:after="0"/>
              <w:rPr>
                <w:sz w:val="20"/>
                <w:szCs w:val="20"/>
                <w:color w:val="auto"/>
              </w:rPr>
            </w:pPr>
          </w:p>
        </w:tc>
        <w:tc>
          <w:tcPr>
            <w:tcW w:w="39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Nine months ended May 30, 2019</w:t>
            </w: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Amounts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Without the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Without the</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Effects of</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Effects of</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Adoption of</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ASC 606</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ASC 606</w:t>
            </w: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9,164</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r>
      <w:tr>
        <w:trPr>
          <w:trHeight w:val="57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Without the</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Effects of</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As of May 30, 2019</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ASC 606</w:t>
            </w:r>
          </w:p>
        </w:tc>
      </w:tr>
      <w:tr>
        <w:trPr>
          <w:trHeight w:val="27"/>
        </w:trPr>
        <w:tc>
          <w:tcPr>
            <w:tcW w:w="3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w w:val="92"/>
              </w:rPr>
              <w:t>Accounts payable and accrued expenses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3,497</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30,136</w:t>
            </w:r>
          </w:p>
        </w:tc>
      </w:tr>
      <w:tr>
        <w:trPr>
          <w:trHeight w:val="27"/>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 xml:space="preserve">In November 2018, the FASB issued ASU 2018-18 –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will be effective for us in the first quarter of 2021 with early adoption permitted. This ASU requires retrospective adoption to the date we adopted ASC 606, August 31, 2018, by recognizing a cumulative-effect adjustment to the opening balance of retained earnings of the earliest annual period presented. We are evaluating the timing and effects of our adoption of this ASU on our financial statements.</w:t>
      </w:r>
    </w:p>
    <w:p>
      <w:pPr>
        <w:spacing w:after="0" w:line="178"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adoption permitted as early as the first quarter of 2020.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17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 xml:space="preserve">In February 2016, the FASB issued ASU 2016-02 – </w:t>
      </w:r>
      <w:r>
        <w:rPr>
          <w:rFonts w:ascii="Arial" w:cs="Arial" w:eastAsia="Arial" w:hAnsi="Arial"/>
          <w:sz w:val="16"/>
          <w:szCs w:val="16"/>
          <w:i w:val="1"/>
          <w:iCs w:val="1"/>
          <w:color w:val="auto"/>
        </w:rPr>
        <w:t>Leases</w:t>
      </w:r>
      <w:r>
        <w:rPr>
          <w:rFonts w:ascii="Arial" w:cs="Arial" w:eastAsia="Arial" w:hAnsi="Arial"/>
          <w:sz w:val="16"/>
          <w:szCs w:val="16"/>
          <w:color w:val="auto"/>
        </w:rPr>
        <w:t>, which amends a number of aspects of lease accounting, including requiring lessees to recognize operating leases with a term greater than one year on their balance sheet as a right-of-use asset and corresponding liability, measured at the present value of lease payments. This ASU, as amended, will be effective for us in the first quarter of 2020 with early adoption permitted and allows for either a modified retrospective adoption or a retrospective adoption by recognizing a cumulative-effect adjustment to the opening balance of retained earnings in the period of adoption. The adoption of this ASU will result in an increase to our consolidated balance sheets for these right-of-use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and corresponding liabilities. We are evaluating the timing and other effects of our adoption of this ASU on our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Investments</w:t>
      </w:r>
    </w:p>
    <w:p>
      <w:pPr>
        <w:spacing w:after="0" w:line="21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480"/>
              <w:spacing w:after="0"/>
              <w:rPr>
                <w:sz w:val="20"/>
                <w:szCs w:val="20"/>
                <w:color w:val="auto"/>
              </w:rPr>
            </w:pPr>
            <w:r>
              <w:rPr>
                <w:rFonts w:ascii="Arial" w:cs="Arial" w:eastAsia="Arial" w:hAnsi="Arial"/>
                <w:sz w:val="18"/>
                <w:szCs w:val="18"/>
                <w:b w:val="1"/>
                <w:bCs w:val="1"/>
                <w:color w:val="auto"/>
              </w:rPr>
              <w:t>May 30, 2019</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5"/>
          </w:tcPr>
          <w:p>
            <w:pPr>
              <w:ind w:left="420"/>
              <w:spacing w:after="0"/>
              <w:rPr>
                <w:sz w:val="20"/>
                <w:szCs w:val="20"/>
                <w:color w:val="auto"/>
              </w:rPr>
            </w:pPr>
            <w:r>
              <w:rPr>
                <w:rFonts w:ascii="Arial" w:cs="Arial" w:eastAsia="Arial" w:hAnsi="Arial"/>
                <w:sz w:val="18"/>
                <w:szCs w:val="18"/>
                <w:b w:val="1"/>
                <w:bCs w:val="1"/>
                <w:color w:val="auto"/>
              </w:rPr>
              <w:t>August 30, 2018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Fair</w:t>
            </w:r>
          </w:p>
        </w:tc>
        <w:tc>
          <w:tcPr>
            <w:tcW w:w="14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Investments</w:t>
            </w:r>
            <w:r>
              <w:rPr>
                <w:rFonts w:ascii="Arial" w:cs="Arial" w:eastAsia="Arial" w:hAnsi="Arial"/>
                <w:sz w:val="8"/>
                <w:szCs w:val="8"/>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color w:val="auto"/>
                <w:w w:val="91"/>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1</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2</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7"/>
        </w:trPr>
        <w:tc>
          <w:tcPr>
            <w:tcW w:w="2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5,157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7,856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ind w:left="40"/>
              <w:spacing w:after="0"/>
              <w:rPr>
                <w:sz w:val="20"/>
                <w:szCs w:val="20"/>
                <w:color w:val="auto"/>
              </w:rPr>
            </w:pPr>
            <w:r>
              <w:rPr>
                <w:rFonts w:ascii="Arial" w:cs="Arial" w:eastAsia="Arial" w:hAnsi="Arial"/>
                <w:sz w:val="18"/>
                <w:szCs w:val="18"/>
                <w:color w:val="auto"/>
                <w:w w:val="94"/>
              </w:rPr>
              <w:t>Cash, cash equivalents,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8890</wp:posOffset>
            </wp:positionV>
            <wp:extent cx="651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8890</wp:posOffset>
            </wp:positionV>
            <wp:extent cx="677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580" w:hanging="248"/>
        <w:spacing w:after="0" w:line="225"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i w:val="1"/>
          <w:iCs w:val="1"/>
          <w:color w:val="auto"/>
        </w:rPr>
        <w:t>The fair value of Level 1 securities is measured based on quoted prices in active markets for identical assets.</w:t>
      </w:r>
    </w:p>
    <w:p>
      <w:pPr>
        <w:spacing w:after="0" w:line="2" w:lineRule="exact"/>
        <w:rPr>
          <w:rFonts w:ascii="Arial" w:cs="Arial" w:eastAsia="Arial" w:hAnsi="Arial"/>
          <w:sz w:val="24"/>
          <w:szCs w:val="24"/>
          <w:color w:val="auto"/>
          <w:vertAlign w:val="superscript"/>
        </w:rPr>
      </w:pPr>
    </w:p>
    <w:p>
      <w:pPr>
        <w:ind w:left="580" w:right="60" w:hanging="248"/>
        <w:spacing w:after="0"/>
        <w:tabs>
          <w:tab w:leader="none" w:pos="580" w:val="left"/>
        </w:tabs>
        <w:numPr>
          <w:ilvl w:val="0"/>
          <w:numId w:val="1"/>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analyses to validate information obtained from these pricing services. No adjustments were made to the fair values indicated by such pricing information as of May 30, 2019 or August 30, 2018.</w:t>
      </w:r>
    </w:p>
    <w:p>
      <w:pPr>
        <w:ind w:left="580" w:right="100" w:hanging="248"/>
        <w:spacing w:after="0" w:line="209"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Restricted cash is included in other noncurrent assets and primarily consisted of balances related to the MMJ Creditor Payments. The restrictions on the MMJ Creditor Payments lapse upon approval by the trustees and/or Tokyo District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-1104900</wp:posOffset>
            </wp:positionV>
            <wp:extent cx="651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-1104900</wp:posOffset>
            </wp:positionV>
            <wp:extent cx="677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8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Gross realized gains and losses from sales of available-for-sale securities were not material for any period presented. As of May 30, 2019, there were no available-for-sale securities that had been in a loss position for longer than 12 months.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4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and other taxes</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470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80" w:type="dxa"/>
            <w:vAlign w:val="bottom"/>
            <w:vMerge w:val="restart"/>
          </w:tcPr>
          <w:p>
            <w:pPr>
              <w:jc w:val="right"/>
              <w:ind w:right="23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5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Equipment</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38,249</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1,162</w:t>
            </w: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49,091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(25,419)</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 w:lineRule="exact"/>
        <w:rPr>
          <w:sz w:val="20"/>
          <w:szCs w:val="20"/>
          <w:color w:val="auto"/>
        </w:rPr>
      </w:pPr>
    </w:p>
    <w:p>
      <w:pPr>
        <w:ind w:left="580" w:hanging="248"/>
        <w:spacing w:after="0"/>
        <w:tabs>
          <w:tab w:leader="none" w:pos="580" w:val="left"/>
        </w:tabs>
        <w:numPr>
          <w:ilvl w:val="0"/>
          <w:numId w:val="2"/>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costs related to equipment not placed into service of $2.24 billion and $1.73 billion, as of May 30, 2019 and August 30, 2018, respectively.</w:t>
      </w:r>
    </w:p>
    <w:p>
      <w:pPr>
        <w:spacing w:after="0" w:line="1" w:lineRule="exact"/>
        <w:rPr>
          <w:rFonts w:ascii="Arial" w:cs="Arial" w:eastAsia="Arial" w:hAnsi="Arial"/>
          <w:sz w:val="22"/>
          <w:szCs w:val="22"/>
          <w:i w:val="1"/>
          <w:iCs w:val="1"/>
          <w:color w:val="auto"/>
          <w:vertAlign w:val="superscript"/>
        </w:rPr>
      </w:pPr>
    </w:p>
    <w:p>
      <w:pPr>
        <w:ind w:left="580" w:hanging="248"/>
        <w:spacing w:after="0" w:line="186" w:lineRule="auto"/>
        <w:tabs>
          <w:tab w:leader="none" w:pos="580" w:val="left"/>
        </w:tabs>
        <w:numPr>
          <w:ilvl w:val="0"/>
          <w:numId w:val="2"/>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building-related construction, tool installation, and software costs for assets not yet placed into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-281940</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 and Goodwill</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20"/>
                <w:szCs w:val="20"/>
                <w:color w:val="auto"/>
              </w:rPr>
            </w:pPr>
          </w:p>
        </w:tc>
        <w:tc>
          <w:tcPr>
            <w:tcW w:w="2220" w:type="dxa"/>
            <w:vAlign w:val="bottom"/>
            <w:gridSpan w:val="5"/>
          </w:tcPr>
          <w:p>
            <w:pPr>
              <w:ind w:left="60"/>
              <w:spacing w:after="0"/>
              <w:rPr>
                <w:sz w:val="20"/>
                <w:szCs w:val="20"/>
                <w:color w:val="auto"/>
              </w:rPr>
            </w:pPr>
            <w:r>
              <w:rPr>
                <w:rFonts w:ascii="Arial" w:cs="Arial" w:eastAsia="Arial" w:hAnsi="Arial"/>
                <w:sz w:val="18"/>
                <w:szCs w:val="18"/>
                <w:b w:val="1"/>
                <w:bCs w:val="1"/>
                <w:color w:val="auto"/>
              </w:rPr>
              <w:t>May 30, 2019</w:t>
            </w:r>
          </w:p>
        </w:tc>
        <w:tc>
          <w:tcPr>
            <w:tcW w:w="260" w:type="dxa"/>
            <w:vAlign w:val="bottom"/>
          </w:tcPr>
          <w:p>
            <w:pPr>
              <w:spacing w:after="0"/>
              <w:rPr>
                <w:sz w:val="20"/>
                <w:szCs w:val="20"/>
                <w:color w:val="auto"/>
              </w:rPr>
            </w:pPr>
          </w:p>
        </w:tc>
        <w:tc>
          <w:tcPr>
            <w:tcW w:w="28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Gross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Amortizing assets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Product and process technology</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Non-amortizing assets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In-process R&amp;D</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04"/>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Total intangible assets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84"/>
        </w:trPr>
        <w:tc>
          <w:tcPr>
            <w:tcW w:w="50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4"/>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1,228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In the first nine months of 2019 and 2018, we capitalized $71 million and $27 million, respectively, for product and process technology with weighted-average useful lives of 8 years and 11 years, respectively, and placed in service $108 million of in-process R&amp;D in the first quarter of 2019, which is being amortized on a straight-line basis over six years. Expected amortization expense is $18 million for the remainder of 2019, $68 million for 2020, $59 million for 2021, $48 million for 2022, and $43 million for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5"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payables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and other taxes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ind w:left="1080"/>
              <w:spacing w:after="0"/>
              <w:rPr>
                <w:sz w:val="20"/>
                <w:szCs w:val="20"/>
                <w:color w:val="auto"/>
              </w:rPr>
            </w:pPr>
            <w:r>
              <w:rPr>
                <w:rFonts w:ascii="Arial" w:cs="Arial" w:eastAsia="Arial" w:hAnsi="Arial"/>
                <w:sz w:val="18"/>
                <w:szCs w:val="18"/>
                <w:b w:val="1"/>
                <w:bCs w:val="1"/>
                <w:color w:val="auto"/>
              </w:rPr>
              <w:t>May 30, 2019</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August 30, 2018</w:t>
            </w:r>
          </w:p>
        </w:tc>
        <w:tc>
          <w:tcPr>
            <w:tcW w:w="72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8"/>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3"/>
              </w:rPr>
              <w:t>Net Carrying Amount</w:t>
            </w:r>
          </w:p>
        </w:tc>
        <w:tc>
          <w:tcPr>
            <w:tcW w:w="120" w:type="dxa"/>
            <w:vAlign w:val="bottom"/>
          </w:tcPr>
          <w:p>
            <w:pPr>
              <w:spacing w:after="0"/>
              <w:rPr>
                <w:sz w:val="20"/>
                <w:szCs w:val="20"/>
                <w:color w:val="auto"/>
              </w:rPr>
            </w:pPr>
          </w:p>
        </w:tc>
        <w:tc>
          <w:tcPr>
            <w:tcW w:w="2800" w:type="dxa"/>
            <w:vAlign w:val="bottom"/>
            <w:gridSpan w:val="8"/>
          </w:tcPr>
          <w:p>
            <w:pPr>
              <w:jc w:val="center"/>
              <w:ind w:right="10"/>
              <w:spacing w:after="0"/>
              <w:rPr>
                <w:sz w:val="20"/>
                <w:szCs w:val="20"/>
                <w:color w:val="auto"/>
              </w:rPr>
            </w:pPr>
            <w:r>
              <w:rPr>
                <w:rFonts w:ascii="Arial" w:cs="Arial" w:eastAsia="Arial" w:hAnsi="Arial"/>
                <w:sz w:val="18"/>
                <w:szCs w:val="18"/>
                <w:b w:val="1"/>
                <w:bCs w:val="1"/>
                <w:color w:val="auto"/>
                <w:w w:val="93"/>
              </w:rPr>
              <w:t>Net Carrying Amount</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Stated</w:t>
            </w:r>
          </w:p>
        </w:tc>
        <w:tc>
          <w:tcPr>
            <w:tcW w:w="1320" w:type="dxa"/>
            <w:vAlign w:val="bottom"/>
            <w:gridSpan w:val="3"/>
          </w:tcPr>
          <w:p>
            <w:pPr>
              <w:ind w:left="200"/>
              <w:spacing w:after="0"/>
              <w:rPr>
                <w:sz w:val="20"/>
                <w:szCs w:val="20"/>
                <w:color w:val="auto"/>
              </w:rPr>
            </w:pPr>
            <w:r>
              <w:rPr>
                <w:rFonts w:ascii="Arial" w:cs="Arial" w:eastAsia="Arial" w:hAnsi="Arial"/>
                <w:sz w:val="18"/>
                <w:szCs w:val="18"/>
                <w:b w:val="1"/>
                <w:bCs w:val="1"/>
                <w:color w:val="auto"/>
              </w:rPr>
              <w:t>Effective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26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Instrument</w:t>
            </w:r>
          </w:p>
        </w:tc>
        <w:tc>
          <w:tcPr>
            <w:tcW w:w="980" w:type="dxa"/>
            <w:vAlign w:val="bottom"/>
            <w:gridSpan w:val="2"/>
          </w:tcPr>
          <w:p>
            <w:pPr>
              <w:ind w:left="260"/>
              <w:spacing w:after="0"/>
              <w:rPr>
                <w:sz w:val="20"/>
                <w:szCs w:val="20"/>
                <w:color w:val="auto"/>
              </w:rPr>
            </w:pPr>
            <w:r>
              <w:rPr>
                <w:rFonts w:ascii="Arial" w:cs="Arial" w:eastAsia="Arial" w:hAnsi="Arial"/>
                <w:sz w:val="18"/>
                <w:szCs w:val="18"/>
                <w:b w:val="1"/>
                <w:bCs w:val="1"/>
                <w:color w:val="auto"/>
              </w:rPr>
              <w:t>Rate</w:t>
            </w:r>
          </w:p>
        </w:tc>
        <w:tc>
          <w:tcPr>
            <w:tcW w:w="1320" w:type="dxa"/>
            <w:vAlign w:val="bottom"/>
            <w:gridSpan w:val="3"/>
          </w:tcPr>
          <w:p>
            <w:pPr>
              <w:ind w:left="360"/>
              <w:spacing w:after="0"/>
              <w:rPr>
                <w:sz w:val="20"/>
                <w:szCs w:val="20"/>
                <w:color w:val="auto"/>
              </w:rPr>
            </w:pPr>
            <w:r>
              <w:rPr>
                <w:rFonts w:ascii="Arial" w:cs="Arial" w:eastAsia="Arial" w:hAnsi="Arial"/>
                <w:sz w:val="18"/>
                <w:szCs w:val="18"/>
                <w:b w:val="1"/>
                <w:bCs w:val="1"/>
                <w:color w:val="auto"/>
              </w:rPr>
              <w:t>Rate</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Current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32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IMFT Member Debt</w:t>
            </w:r>
            <w:r>
              <w:rPr>
                <w:rFonts w:ascii="Arial" w:cs="Arial" w:eastAsia="Arial" w:hAnsi="Arial"/>
                <w:sz w:val="25"/>
                <w:szCs w:val="25"/>
                <w:color w:val="auto"/>
                <w:vertAlign w:val="superscript"/>
              </w:rPr>
              <w:t>(1)</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N/A$</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4.20%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MMJ Creditor Payments</w:t>
            </w:r>
          </w:p>
        </w:tc>
        <w:tc>
          <w:tcPr>
            <w:tcW w:w="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2022 Term Loan B</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4.65%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2025 Notes</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5.50%</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5.56%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2026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2029 Notes</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5.33%</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2032D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2033F Notes</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2.13%</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4.93%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2043G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37"/>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17145</wp:posOffset>
            </wp:positionV>
            <wp:extent cx="3790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ind w:left="580" w:hanging="248"/>
        <w:spacing w:after="0" w:line="236" w:lineRule="auto"/>
        <w:tabs>
          <w:tab w:leader="none" w:pos="580" w:val="left"/>
        </w:tabs>
        <w:numPr>
          <w:ilvl w:val="0"/>
          <w:numId w:val="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IMFT Member Debt was classified as current as of May 30, 2019 as a result of exercising our option to acquire Intel's interest in IMFT.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-144780</wp:posOffset>
            </wp:positionV>
            <wp:extent cx="3790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Unsecured Notes</w:t>
      </w:r>
    </w:p>
    <w:p>
      <w:pPr>
        <w:spacing w:after="0" w:line="229"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On February 6, 2019, we issued our 2024 Notes, 2026 Notes, and 2029 Notes in a public offering. Issuance costs for these notes were $11 million. We may redeem some or all of these notes at our option prior to their maturity at a redemption price equal to accrued interest plus the present value of the remaining scheduled payments and we may redeem some or all of these notes at par between one and three months prior to maturity.</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Each of the 2024 Notes, 2026 Notes, and 2029 Notes contain covenants that, among other things, limit, in certain circumstances, our ability and/or the ability of our restricted subsidiaries (which are generally domestic subsidiaries in which we own at least 80% of the voting stock) to (1) create or incur certain liens, (2) enter into certain sale and lease-back transactions; and (3) consolidate with or merge with or into, or convey, transfer or lease all or substantially all of our assets, to another entity. These covenants are subject to a number of limitations and exceptions. Additionally, if a change in control triggering event occurs, as defined in the indenture governing such notes, we will be required to offer to purchase such notes at 101% of the outstanding aggregate principal amount plus accrued interest up to the purchase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w:t>
      </w:r>
    </w:p>
    <w:p>
      <w:pPr>
        <w:spacing w:after="0" w:line="229"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On February 8, 2019, we notified holders of our 2043G Notes that we would redeem all of the outstanding 2043G Notes on March 13, 2019. Holders could elect to convert these notes prior to March 12, 2019 at a conversion rate of 34.2936 shares of our common stock per $1,000 of principal amount. In connection with our notice, we made an irrevocable election to settle any</w:t>
      </w:r>
    </w:p>
    <w:p>
      <w:pPr>
        <w:sectPr>
          <w:pgSz w:w="11900" w:h="16838" w:orient="portrait"/>
          <w:cols w:equalWidth="0" w:num="1">
            <w:col w:w="11420"/>
          </w:cols>
          <w:pgMar w:left="240" w:top="58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5" w:right="239" w:bottom="1440" w:gutter="0" w:footer="0" w:header="0"/>
          <w:type w:val="continuous"/>
        </w:sectPr>
      </w:pPr>
    </w:p>
    <w:bookmarkStart w:id="14" w:name="page15"/>
    <w:bookmarkEnd w:id="14"/>
    <w:p>
      <w:pPr>
        <w:ind w:right="260"/>
        <w:spacing w:after="0" w:line="264" w:lineRule="auto"/>
        <w:rPr>
          <w:sz w:val="20"/>
          <w:szCs w:val="20"/>
          <w:color w:val="auto"/>
        </w:rPr>
      </w:pPr>
      <w:r>
        <w:rPr>
          <w:rFonts w:ascii="Arial" w:cs="Arial" w:eastAsia="Arial" w:hAnsi="Arial"/>
          <w:sz w:val="18"/>
          <w:szCs w:val="18"/>
          <w:color w:val="auto"/>
        </w:rPr>
        <w:t>conversions in cash and, as a result, we reclassified $336 million from equity to a derivative debt liability. Holders converted substantially all of the 2043G Notes and, on March 13, 2019, we paid $1.43 billion to settle the conversions. We incurred losses of $316 million and $84 million in the third and second quarters of 2019, respectively, in connection with these transactions.</w:t>
      </w:r>
    </w:p>
    <w:p>
      <w:pPr>
        <w:spacing w:after="0" w:line="18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Holders of our convertible notes may convert their notes during any calendar quarter if the closing price of our common stock for at least 20 trading days in the 30 consecutive trading days ending on the last trading day of the preceding calendar quarter is more than 130% of the conversion price. As of May 30, 2019, the trading price of our common stock was higher than the conversion prices of our 2032D Notes and our 2033F Notes and, as a result, the aggregate conversion value of $641 million exceeded the aggregate principal amount of $198 million by $443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Revolving Credit Facility</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November 27, 2018, we increased the amount available to draw under our existing revolving credit facility expiring in July 2023 from $2.0 billion to $2.5 billion. As of May 30, 2019, there were no outstanding amounts drawn under this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Activity</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When we receive a notice of conversion for any of our convertible notes and elect to settle in cash any portion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effects of conversions, settlements, and issuance of debt in the first nine months of 2019:</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Increase</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Increase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(Decrease) in</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(Decrease) in</w:t>
            </w: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(Decrease) in</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Decrease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 ended May 30, 2019</w:t>
            </w: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w:t>
            </w: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Carrying Value</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Cash</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Gain (Loss)</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Settled conversions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2032D Notes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2033F Notes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2043G Notes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2024 Notes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2026 Notes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2029 Notes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August 12, 2014, MLC Intellectual Property, LLC ("MLC") filed a patent infringement action against Micron in the United States District Court for the Northern District of California. The complaint alleges that Micron infringes a single U.S. patent and seeks damages, attorneys' fees, and costs. The matter is scheduled for trial beginning on August 12,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ind w:right="260" w:firstLine="324"/>
        <w:spacing w:after="0" w:line="259"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July 23, 2018, IMS served a patent infringement complaint on Micron Semiconductor (Deutschland) GmbH and Micron Europe Limited alleging that products including our SSDs infringe a European patent. The complaint seeks unspecified damages and an order forbidding Micron Semiconductor (Deutschland) GmbH and Micron Europe Limited from offering to sell, using, and importing the accused products. On August 31, 2018, Micron was served with a complaint filed by IMS in Shenzhen Intermediate People's Court in Guangdong Province, China. The complaint alleges that certain of our NAND flash products infringe a Chinese patent. The complaint seeks an order requiring Micron to stop manufacturing, using, selling, and offering for sale the accused products in China, and to pay damages of 1 million Chinese yuan plus expenses.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1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166"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July 5, 2018, MXA and MSS were notified that the Fuzhou Court granted a preliminary injunction against those entities that enjoins them from manufacturing, selling, or importing certain Crucial and Ballistic-branded DRAM modules and solid-state drives in China. The affected products make up slightly more than 1% of our annualized revenues. We are complying with the ruling and have requested the Fuzhou Court to reconsider or stay its decision.</w:t>
      </w:r>
    </w:p>
    <w:p>
      <w:pPr>
        <w:spacing w:after="0" w:line="14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Qimonda</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May 30, 2019, and seeks an order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6" w:name="page17"/>
    <w:bookmarkEnd w:id="16"/>
    <w:p>
      <w:pPr>
        <w:ind w:right="180"/>
        <w:spacing w:after="0" w:line="264" w:lineRule="auto"/>
        <w:rPr>
          <w:sz w:val="20"/>
          <w:szCs w:val="20"/>
          <w:color w:val="auto"/>
        </w:rPr>
      </w:pPr>
      <w:r>
        <w:rPr>
          <w:rFonts w:ascii="Arial" w:cs="Arial" w:eastAsia="Arial" w:hAnsi="Arial"/>
          <w:sz w:val="18"/>
          <w:szCs w:val="18"/>
          <w:color w:val="auto"/>
        </w:rPr>
        <w:t>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8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40" w:firstLine="8"/>
        <w:spacing w:after="0" w:line="268"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Antitrust Matters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April 27, 2018, a complaint was filed against Micron and other DRAM suppliers in the U.S. District Court for the Northern District of California. Subsequently two substantially identical cases were filed in the same court. The lawsuits purport to be on behalf of a nationwide class of indirect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June 26, 2018, a complaint was filed against Micron and other DRAM suppliers in the U.S. District Court for the Northern District of California. Subsequently four substantially identical cases were filed in the same court. The lawsuits purport to be on behalf of a nationwide class of 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Matters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alleges that defendants committed securities fraud through misrepresentations and omissions about purported anticompetitive behavior in the DRAM industry and seek compensatory and punitive damages, fees, interest, costs, and other appropriate relief.</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March 5, 2019, a shareholder derivative complaint was filed in the U.S. District Court for the District of Delaware, allegedly on behalf of and for the benefit of Micron, against certain current and former officers and directors of Micron for alleged breaches of their fiduciary duties and other violations of law. The allegations are based on, among other things, purported false and misleading statements regarding anticompetitive behavior in the DRAM industry. The complaint seeks damages, fees, interest, costs, and other appropriate relief.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June 13, 2019, current Micron employee Chris Manning filed a putative class action lawsuit on behalf of Micron employees subject to the Idaho Claim Act who earned a performance-based bonus after the conclusion of fiscal year 2018 whose performance rating was calculated based upon a mandatory percentage distribution range of performance ratings. On behalf of himself and the putative class, Manning asserts claims for violation of the Idaho Wage Claim Act, breach of contract, breach of the covenant of good faith and fair dealing, and fraud.</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87" w:lineRule="exact"/>
        <w:rPr>
          <w:sz w:val="20"/>
          <w:szCs w:val="20"/>
          <w:color w:val="auto"/>
        </w:rPr>
      </w:pPr>
    </w:p>
    <w:p>
      <w:pPr>
        <w:jc w:val="both"/>
        <w:ind w:right="140" w:firstLine="324"/>
        <w:spacing w:after="0" w:line="276" w:lineRule="auto"/>
        <w:rPr>
          <w:sz w:val="20"/>
          <w:szCs w:val="20"/>
          <w:color w:val="auto"/>
        </w:rPr>
      </w:pPr>
      <w:r>
        <w:rPr>
          <w:rFonts w:ascii="Arial" w:cs="Arial" w:eastAsia="Arial" w:hAnsi="Arial"/>
          <w:sz w:val="17"/>
          <w:szCs w:val="17"/>
          <w:color w:val="auto"/>
        </w:rPr>
        <w:t>We are unable to predict the outcome of the patent matters, the Qimonda matter, antitrust matters, securities matters, and other matters noted above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Shareholders' Equity</w:t>
      </w:r>
    </w:p>
    <w:p>
      <w:pPr>
        <w:spacing w:after="0" w:line="22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in our fiscal 2019. We may purchase shares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 acquire any common stock.</w:t>
      </w:r>
    </w:p>
    <w:p>
      <w:pPr>
        <w:spacing w:after="0" w:line="18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the third quarter and first nine months of 2019, we repurchased 4 million shares of our common stock for $157 million and 67 million shares of our common stock for $2.66 billion, respectively, under an accelerated share repurchase agreement, Rule 10b5-1 plans, and through open market repurchases. The shares were recorded as treasury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Noncontrolling Interests in Subsidiaries</w:t>
            </w:r>
          </w:p>
        </w:tc>
        <w:tc>
          <w:tcPr>
            <w:tcW w:w="15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30, 2019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3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ind w:left="400"/>
              <w:spacing w:after="0"/>
              <w:rPr>
                <w:sz w:val="20"/>
                <w:szCs w:val="20"/>
                <w:color w:val="auto"/>
              </w:rPr>
            </w:pPr>
            <w:r>
              <w:rPr>
                <w:rFonts w:ascii="Arial" w:cs="Arial" w:eastAsia="Arial" w:hAnsi="Arial"/>
                <w:sz w:val="18"/>
                <w:szCs w:val="18"/>
                <w:b w:val="1"/>
                <w:bCs w:val="1"/>
                <w:color w:val="auto"/>
                <w:w w:val="86"/>
              </w:rPr>
              <w:t>Percentage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IMFT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950"/>
              <w:spacing w:after="0"/>
              <w:rPr>
                <w:sz w:val="20"/>
                <w:szCs w:val="20"/>
                <w:color w:val="auto"/>
              </w:rPr>
            </w:pPr>
            <w:r>
              <w:rPr>
                <w:rFonts w:ascii="Arial" w:cs="Arial" w:eastAsia="Arial" w:hAnsi="Arial"/>
                <w:sz w:val="18"/>
                <w:szCs w:val="18"/>
                <w:color w:val="auto"/>
              </w:rPr>
              <w:t>49%  $</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853</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1820" w:type="dxa"/>
            <w:vAlign w:val="bottom"/>
            <w:gridSpan w:val="3"/>
          </w:tcPr>
          <w:p>
            <w:pPr>
              <w:jc w:val="right"/>
              <w:ind w:right="139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3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Various</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3"/>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b w:val="1"/>
          <w:bCs w:val="1"/>
          <w:i w:val="1"/>
          <w:iCs w:val="1"/>
          <w:color w:val="auto"/>
        </w:rPr>
        <w:t>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we have owned 51% of IMFT, a joint venture between us and Intel. IMFT is governed by a Board of Managers, for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managers appointed by each member varies based on the members' respective ownership interests. IMFT manufactures semiconductor products exclusively for its members under a long-term supply agreement at prices approximating cost. In the first quarter of 2018, IMFT discontinued production of NAND and subsequent to that time has manufactured 3D XPoint memory. In the fourth quarter of 2018, we announced that we and Intel will no longer jointly develop 3D XPoint technology beyond the second generation. We expect development of the second generation of 3D XPoint technology to be substantially completed in the first quarter of 2020. IMFT sales to Intel were $184 million and $531 million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ind w:right="220"/>
        <w:spacing w:after="0" w:line="277" w:lineRule="auto"/>
        <w:rPr>
          <w:sz w:val="20"/>
          <w:szCs w:val="20"/>
          <w:color w:val="auto"/>
        </w:rPr>
      </w:pPr>
      <w:r>
        <w:rPr>
          <w:rFonts w:ascii="Arial" w:cs="Arial" w:eastAsia="Arial" w:hAnsi="Arial"/>
          <w:sz w:val="18"/>
          <w:szCs w:val="18"/>
          <w:color w:val="auto"/>
        </w:rPr>
        <w:t>for the third quarter and first nine months of 2019, respectively, and were $114 million and $341 million for the third quarter and first nine months of 2018, respectively.</w:t>
      </w:r>
    </w:p>
    <w:p>
      <w:pPr>
        <w:spacing w:after="0" w:line="17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January 2019, we exercised our option to acquire Intel's interest in IMFT and, in the third quarter of 2019, Intel set the closing date to occur on October 31, 2019. At closing, we expect to pay Intel approximately $1.4 billion in cash for Intel's noncontrolling interest in IMFT and IMFT Member Debt. As of May 30, 2019, current debt included $858 million of IMFT Member Debt. Subsequent to setting the closing date, Intel notified us of its election to receive supply from IMFT from the closing date through April 2020 at a volume equal to approximately 50% of their volume from IMFT in the six-month period prior to closing.</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IMFT's capital requirements are generally determined based on an annual plan approved by the members, and capital contributions to IMFT are requested as needed. Capital requests are made to the members in proportion to their then-current ownership interest. Members may elect to not contribute their proportional share, and in such event, the contributing member may elect to contribute any amount of the capital request, either in the form of an equity contribution or member debt financing. Under the supply agreement, the members have rights and obligations to the capacity of IMFT in proportion to their investment, including member debt financing. Any capital contribution or member debt financing results in a proportionate adjustment to the sharing of output on an eight-month lag. Members pay their proportionate share of fixed costs associated with IMFT's capacity.</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Creditors of IMFT have recourse only to IMFT's assets and do not have recourse to any other of our assets. The following table presents the assets and liabilities of IMFT included in our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97"/>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3,025</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debt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estimated fair values of our convertible and other notes in the table below were determined based on Level 2 inputs, and together with the carrying value of our outstanding debt instruments (excluding the carrying value of equity and mezzanine equity components of our convertible notes)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40" w:type="dxa"/>
            <w:vAlign w:val="bottom"/>
            <w:gridSpan w:val="5"/>
          </w:tcPr>
          <w:p>
            <w:pPr>
              <w:spacing w:after="0"/>
              <w:rPr>
                <w:sz w:val="20"/>
                <w:szCs w:val="20"/>
                <w:color w:val="auto"/>
              </w:rPr>
            </w:pPr>
            <w:r>
              <w:rPr>
                <w:rFonts w:ascii="Arial" w:cs="Arial" w:eastAsia="Arial" w:hAnsi="Arial"/>
                <w:sz w:val="18"/>
                <w:szCs w:val="18"/>
                <w:b w:val="1"/>
                <w:bCs w:val="1"/>
                <w:color w:val="auto"/>
              </w:rPr>
              <w:t>May 30, 2019</w:t>
            </w:r>
          </w:p>
        </w:tc>
        <w:tc>
          <w:tcPr>
            <w:tcW w:w="300" w:type="dxa"/>
            <w:vAlign w:val="bottom"/>
          </w:tcPr>
          <w:p>
            <w:pPr>
              <w:spacing w:after="0"/>
              <w:rPr>
                <w:sz w:val="20"/>
                <w:szCs w:val="20"/>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center"/>
              <w:ind w:left="70"/>
              <w:spacing w:after="0"/>
              <w:rPr>
                <w:sz w:val="20"/>
                <w:szCs w:val="20"/>
                <w:color w:val="auto"/>
              </w:rPr>
            </w:pPr>
            <w:r>
              <w:rPr>
                <w:rFonts w:ascii="Arial" w:cs="Arial" w:eastAsia="Arial" w:hAnsi="Arial"/>
                <w:sz w:val="18"/>
                <w:szCs w:val="18"/>
                <w:b w:val="1"/>
                <w:bCs w:val="1"/>
                <w:color w:val="auto"/>
              </w:rPr>
              <w:t>Fair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Value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and MMJ Creditor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1,049</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Fair Value of</w:t>
            </w:r>
          </w:p>
        </w:tc>
      </w:tr>
      <w:tr>
        <w:trPr>
          <w:trHeight w:val="27"/>
        </w:trPr>
        <w:tc>
          <w:tcPr>
            <w:tcW w:w="74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Gross Notional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Current</w:t>
            </w:r>
          </w:p>
        </w:tc>
      </w:tr>
      <w:tr>
        <w:trPr>
          <w:trHeight w:val="261"/>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2"/>
                <w:szCs w:val="22"/>
                <w:color w:val="auto"/>
              </w:rPr>
            </w:pPr>
          </w:p>
        </w:tc>
        <w:tc>
          <w:tcPr>
            <w:tcW w:w="1140" w:type="dxa"/>
            <w:vAlign w:val="bottom"/>
            <w:gridSpan w:val="2"/>
          </w:tcPr>
          <w:p>
            <w:pPr>
              <w:ind w:left="100"/>
              <w:spacing w:after="0" w:line="26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5"/>
                <w:szCs w:val="25"/>
                <w:b w:val="1"/>
                <w:bCs w:val="1"/>
                <w:color w:val="auto"/>
                <w:vertAlign w:val="superscript"/>
              </w:rPr>
              <w:t>(1)</w:t>
            </w:r>
          </w:p>
        </w:tc>
        <w:tc>
          <w:tcPr>
            <w:tcW w:w="140" w:type="dxa"/>
            <w:vAlign w:val="bottom"/>
          </w:tcPr>
          <w:p>
            <w:pPr>
              <w:spacing w:after="0"/>
              <w:rPr>
                <w:sz w:val="22"/>
                <w:szCs w:val="22"/>
                <w:color w:val="auto"/>
              </w:rPr>
            </w:pPr>
          </w:p>
        </w:tc>
        <w:tc>
          <w:tcPr>
            <w:tcW w:w="1120" w:type="dxa"/>
            <w:vAlign w:val="bottom"/>
          </w:tcPr>
          <w:p>
            <w:pPr>
              <w:jc w:val="right"/>
              <w:ind w:right="70"/>
              <w:spacing w:after="0" w:line="262" w:lineRule="exact"/>
              <w:rPr>
                <w:sz w:val="20"/>
                <w:szCs w:val="20"/>
                <w:color w:val="auto"/>
              </w:rPr>
            </w:pPr>
            <w:r>
              <w:rPr>
                <w:rFonts w:ascii="Arial" w:cs="Arial" w:eastAsia="Arial" w:hAnsi="Arial"/>
                <w:sz w:val="18"/>
                <w:szCs w:val="18"/>
                <w:b w:val="1"/>
                <w:bCs w:val="1"/>
                <w:color w:val="auto"/>
                <w:w w:val="90"/>
              </w:rPr>
              <w:t>Liabilities</w:t>
            </w:r>
            <w:r>
              <w:rPr>
                <w:rFonts w:ascii="Arial" w:cs="Arial" w:eastAsia="Arial" w:hAnsi="Arial"/>
                <w:sz w:val="25"/>
                <w:szCs w:val="25"/>
                <w:b w:val="1"/>
                <w:bCs w:val="1"/>
                <w:color w:val="auto"/>
                <w:w w:val="90"/>
                <w:vertAlign w:val="superscript"/>
              </w:rPr>
              <w:t>(2)</w:t>
            </w: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May 30, 2019</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flow currency hedges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Non-designated currency hedges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As of August 30, 2018</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Cash flow currency hedges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Non-designated currency hedges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440" w:type="dxa"/>
            <w:vAlign w:val="bottom"/>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64"/>
        </w:trPr>
        <w:tc>
          <w:tcPr>
            <w:tcW w:w="7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91"/>
        </w:trPr>
        <w:tc>
          <w:tcPr>
            <w:tcW w:w="7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ind w:left="580" w:hanging="248"/>
        <w:spacing w:after="0" w:line="202" w:lineRule="auto"/>
        <w:tabs>
          <w:tab w:leader="none" w:pos="580" w:val="left"/>
        </w:tabs>
        <w:numPr>
          <w:ilvl w:val="0"/>
          <w:numId w:val="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in receivables – other.</w:t>
      </w:r>
    </w:p>
    <w:p>
      <w:pPr>
        <w:spacing w:after="0" w:line="2" w:lineRule="exact"/>
        <w:rPr>
          <w:rFonts w:ascii="Arial" w:cs="Arial" w:eastAsia="Arial" w:hAnsi="Arial"/>
          <w:sz w:val="25"/>
          <w:szCs w:val="25"/>
          <w:i w:val="1"/>
          <w:iCs w:val="1"/>
          <w:color w:val="auto"/>
          <w:vertAlign w:val="superscript"/>
        </w:rPr>
      </w:pPr>
    </w:p>
    <w:p>
      <w:pPr>
        <w:ind w:left="580" w:hanging="248"/>
        <w:spacing w:after="0" w:line="203" w:lineRule="auto"/>
        <w:tabs>
          <w:tab w:leader="none" w:pos="580" w:val="left"/>
        </w:tabs>
        <w:numPr>
          <w:ilvl w:val="0"/>
          <w:numId w:val="5"/>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in accounts payable and accrued expenses – other for forward contracts and in current debt for convertible notes settlement obligations.</w:t>
      </w:r>
    </w:p>
    <w:p>
      <w:pPr>
        <w:spacing w:after="0" w:line="2" w:lineRule="exact"/>
        <w:rPr>
          <w:rFonts w:ascii="Arial" w:cs="Arial" w:eastAsia="Arial" w:hAnsi="Arial"/>
          <w:sz w:val="22"/>
          <w:szCs w:val="22"/>
          <w:i w:val="1"/>
          <w:iCs w:val="1"/>
          <w:color w:val="auto"/>
          <w:vertAlign w:val="superscript"/>
        </w:rPr>
      </w:pPr>
    </w:p>
    <w:p>
      <w:pPr>
        <w:ind w:left="580" w:hanging="248"/>
        <w:spacing w:after="0" w:line="186" w:lineRule="auto"/>
        <w:tabs>
          <w:tab w:leader="none" w:pos="580" w:val="left"/>
        </w:tabs>
        <w:numPr>
          <w:ilvl w:val="0"/>
          <w:numId w:val="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The notional amount of convertible notes settlement obligations as of August 30, 2018 was 3 million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-419100</wp:posOffset>
            </wp:positionV>
            <wp:extent cx="1663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 Hedge Accounting Designation</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utilize currency forward contracts that generally mature within 12 months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17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designated as cash flow hedges, the effective portion of the realized and unrealized gains or losses on derivatives is included as a component of accumulated other comprehensive income. Amounts in accumulated other comprehensive income are reclassified into earnings in the same line items and in the same periods in</w:t>
      </w:r>
    </w:p>
    <w:p>
      <w:pPr>
        <w:sectPr>
          <w:pgSz w:w="11900" w:h="16838" w:orient="portrait"/>
          <w:cols w:equalWidth="0" w:num="1">
            <w:col w:w="11420"/>
          </w:cols>
          <w:pgMar w:left="240" w:top="58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5" w:right="239" w:bottom="1440" w:gutter="0" w:footer="0" w:header="0"/>
          <w:type w:val="continuous"/>
        </w:sectPr>
      </w:pPr>
    </w:p>
    <w:bookmarkStart w:id="20" w:name="page21"/>
    <w:bookmarkEnd w:id="20"/>
    <w:p>
      <w:pPr>
        <w:ind w:right="260"/>
        <w:spacing w:after="0" w:line="302" w:lineRule="auto"/>
        <w:rPr>
          <w:sz w:val="20"/>
          <w:szCs w:val="20"/>
          <w:color w:val="auto"/>
        </w:rPr>
      </w:pPr>
      <w:r>
        <w:rPr>
          <w:rFonts w:ascii="Arial" w:cs="Arial" w:eastAsia="Arial" w:hAnsi="Arial"/>
          <w:sz w:val="16"/>
          <w:szCs w:val="16"/>
          <w:color w:val="auto"/>
        </w:rPr>
        <w:t>which the underlying transactions affect earnings. For the periods presented prior to the second quarter of 2018, the ineffective and excluded portion of the realized and unrealized gain or loss was included in other non-operating income (expense). As a result of adopting ASU 2017-12, beginning in the second quarter of 2018, the excluded portion of such amounts is included in the same line item in which the underlying transactions affect earnings and the ineffective portion of the realized and unrealized gains or losses on derivatives is included as a component of accumulated other comprehensive income.</w:t>
      </w:r>
    </w:p>
    <w:p>
      <w:pPr>
        <w:spacing w:after="0" w:line="15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recognized gains of $1 million and losses of $5 million for the third quarter and first nine months of 2019, respectively, and losses of $23 million and $6 million for the third quarter and first nine months of 2018, respectively, in accumulated other comprehensive income from the effective portion of cash flow hedges. Neither the amount excluded from hedge effectiveness nor the reclassifications from accumulated other comprehensive income to earnings were material in the third quarters or first nine months of 2019 or 2018. The amounts from cash flow hedges included in accumulated other comprehensive income that are expected to be reclassified into earnings in the next 12 months were also not material.</w:t>
      </w:r>
    </w:p>
    <w:p>
      <w:pPr>
        <w:spacing w:after="0" w:line="16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b w:val="1"/>
          <w:bCs w:val="1"/>
          <w:i w:val="1"/>
          <w:iCs w:val="1"/>
          <w:color w:val="auto"/>
        </w:rPr>
        <w:t>Fair Value Hedges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second and third quarters of 2018, we utilized fair value hedges for our exposure from changes in currency exchange rates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monetary assets and liabilities. For derivative forward contracts designated as fair value hedges, hedge effectiveness was determined by the change in the fair value of the undiscounted spot rate of the forward contract. The changes in fair values of hedge instruments attributed to changes in undiscounted spot rates were recognized in other non-operating income (expense). The time value associated with hedge instruments is excluded from the assessment of the effectiveness of hedges and was recognized on a straight-line basis over the life of hedges to other non-operating income (expense). Amounts recorded to other comprehensive income (loss) for the third quarter and first nine months of 2018 were not material. The effects of fair value hedges on our consolidated statements of operations are included in other non-operating income (expense) and were as follows: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Nine months ended</w:t>
            </w:r>
          </w:p>
        </w:tc>
      </w:tr>
      <w:tr>
        <w:trPr>
          <w:trHeight w:val="270"/>
        </w:trPr>
        <w:tc>
          <w:tcPr>
            <w:tcW w:w="71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May 31, 2018</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31, 2018</w:t>
            </w:r>
          </w:p>
        </w:tc>
      </w:tr>
      <w:tr>
        <w:trPr>
          <w:trHeight w:val="27"/>
        </w:trPr>
        <w:tc>
          <w:tcPr>
            <w:tcW w:w="71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remeasurement of hedged assets and liabilities</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Gain (loss) on derivatives designated as hedging instruments</w:t>
            </w:r>
          </w:p>
        </w:tc>
        <w:tc>
          <w:tcPr>
            <w:tcW w:w="16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amounts excluded from hedge effectiveness</w:t>
            </w:r>
          </w:p>
        </w:tc>
        <w:tc>
          <w:tcPr>
            <w:tcW w:w="16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7180" w:type="dxa"/>
            <w:vAlign w:val="bottom"/>
          </w:tcPr>
          <w:p>
            <w:pPr>
              <w:spacing w:after="0"/>
              <w:rPr>
                <w:sz w:val="20"/>
                <w:szCs w:val="20"/>
                <w:color w:val="auto"/>
              </w:rPr>
            </w:pPr>
          </w:p>
        </w:tc>
        <w:tc>
          <w:tcPr>
            <w:tcW w:w="1640" w:type="dxa"/>
            <w:vAlign w:val="bottom"/>
            <w:tcBorders>
              <w:top w:val="single" w:sz="8" w:color="auto"/>
            </w:tcBorders>
          </w:tcPr>
          <w:p>
            <w:pPr>
              <w:jc w:val="right"/>
              <w:ind w:right="14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without Hedge Accounting Designation</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Currency Derivatives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generally utilize a rolling hedge strategy with currency forward contracts that mature within three months to hedge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For derivative instruments without hedge accounting designation, we recognized losses of $23 million in the third quarter and first nine months of 2019, and losses of $52 million in the third quarter of 2018, which offset $52 million of gains recognized during the first six months of 2018.</w:t>
      </w:r>
    </w:p>
    <w:p>
      <w:pPr>
        <w:spacing w:after="0" w:line="17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note.) We recognized gains of $11 million and losses of $55 million in the third quarter and first nine months of 2019, respectively, and losses of $119 million and $143 million for the third quarter and first nine months of 2018, respectively, in other non-operating income (expense), net for the changes in fair value of the derivative settlement obligations.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30, 2019, 113 million shares of our common stock were available for future awards under our equity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granted and assumptions used in the Black-Scholes option valuation model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220" w:type="dxa"/>
            <w:vAlign w:val="bottom"/>
            <w:gridSpan w:val="6"/>
          </w:tcPr>
          <w:p>
            <w:pPr>
              <w:ind w:left="100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20"/>
                <w:szCs w:val="20"/>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Arial" w:cs="Arial" w:eastAsia="Arial" w:hAnsi="Arial"/>
                <w:sz w:val="18"/>
                <w:szCs w:val="18"/>
                <w:b w:val="1"/>
                <w:bCs w:val="1"/>
                <w:color w:val="auto"/>
              </w:rPr>
              <w:t>May 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w:t>
            </w: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31,</w:t>
            </w:r>
          </w:p>
        </w:tc>
      </w:tr>
      <w:tr>
        <w:trPr>
          <w:trHeight w:val="234"/>
        </w:trPr>
        <w:tc>
          <w:tcPr>
            <w:tcW w:w="6120" w:type="dxa"/>
            <w:vAlign w:val="bottom"/>
            <w:gridSpan w:val="2"/>
          </w:tcPr>
          <w:p>
            <w:pPr>
              <w:ind w:left="556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5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granted</w:t>
            </w: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18.61</w:t>
            </w:r>
          </w:p>
        </w:tc>
      </w:tr>
      <w:tr>
        <w:trPr>
          <w:trHeight w:val="27"/>
        </w:trPr>
        <w:tc>
          <w:tcPr>
            <w:tcW w:w="5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Weighted-average expected volatility</w:t>
            </w: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and Restricted Stock Units ("Restricted Stock Awards")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Restricted Stock Awards activity is summarized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4"/>
                <w:szCs w:val="24"/>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 shares granted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Stock Purchase Plan ("ESPP")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first ESPP offering period ended in January 2019 and we issued 1 million shares to employees at a purchase price per share of $32.50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ESPP. Assumptions used in the Black-Scholes option valuation model for the offering period beginning February 2019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5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Average expected life in years</w:t>
            </w:r>
          </w:p>
        </w:tc>
        <w:tc>
          <w:tcPr>
            <w:tcW w:w="58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w:t>
            </w:r>
          </w:p>
        </w:tc>
      </w:tr>
      <w:tr>
        <w:trPr>
          <w:trHeight w:val="27"/>
        </w:trPr>
        <w:tc>
          <w:tcPr>
            <w:tcW w:w="45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5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58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5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5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675"/>
        </w:trPr>
        <w:tc>
          <w:tcPr>
            <w:tcW w:w="4580" w:type="dxa"/>
            <w:vAlign w:val="bottom"/>
          </w:tcPr>
          <w:p>
            <w:pPr>
              <w:spacing w:after="0"/>
              <w:rPr>
                <w:sz w:val="24"/>
                <w:szCs w:val="24"/>
                <w:color w:val="auto"/>
              </w:rPr>
            </w:pPr>
          </w:p>
        </w:tc>
        <w:tc>
          <w:tcPr>
            <w:tcW w:w="5820" w:type="dxa"/>
            <w:vAlign w:val="bottom"/>
          </w:tcPr>
          <w:p>
            <w:pPr>
              <w:jc w:val="right"/>
              <w:ind w:right="451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4"/>
                <w:szCs w:val="24"/>
                <w:color w:val="auto"/>
              </w:rPr>
            </w:pPr>
          </w:p>
        </w:tc>
      </w:tr>
    </w:tbl>
    <w:p>
      <w:pPr>
        <w:sectPr>
          <w:pgSz w:w="11900" w:h="16838" w:orient="portrait"/>
          <w:cols w:equalWidth="0" w:num="1">
            <w:col w:w="11420"/>
          </w:cols>
          <w:pgMar w:left="240" w:top="841"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15"/>
        </w:trPr>
        <w:tc>
          <w:tcPr>
            <w:tcW w:w="27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27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Restricted stock awards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Employee Stock Purchase Plan</w:t>
            </w:r>
          </w:p>
        </w:tc>
        <w:tc>
          <w:tcPr>
            <w:tcW w:w="11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Income tax benefits related to share-based payment arrangements were $4 million and $57 million for the third quarter and first nine months of 2019, respectively, and $26 million and $142 million for the third quarter and first nine months of 2018, respectively. Income tax benefits related to share-based compensation for the first quarter of 2018 were offset by an increase in the U.S. valuation allowance. As of May 30, 2019, $385 million of total unrecognized compensation costs for unvested awards, before the effect of any future forfeitures, was expected to be recognized through the third quarter of 2023, resulting in a weighted-average period of 1.3 years.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Contract Liabilities</w:t>
      </w:r>
    </w:p>
    <w:p>
      <w:pPr>
        <w:spacing w:after="0" w:line="21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revenues are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estimate the amount of consideration we expect to be entitled to from sales to distributors, using the expected value method, based on historical price adjustments and current pricing trends. Differences between the estimated and actual amounts are recognized as adjustments to revenue. (See "Segment and Other Information" note for disclosure of disaggregated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Liabilities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Opening Balance</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as of 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from customer advances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contract liabilities</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contract liabilities are for advance payments received from customers to secure product in future periods and for other arrangements where we have received amounts in advance of satisfying performance obligations and are reported in the accompanying consolidated balance sheets within other current liabilities and other noncurrent liabilities. Revenue and interest expense associated with contract liabilities for the time value of advance payments was not material in any period presented. As of May 30, 2019, our future performance obligations beyond one year were not material.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6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Changes in contract liabilities for the first nine months of 2019 were as follows: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 balance as of August 31, 2018</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Revenue recognized from beginning balance</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9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and other activity</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Contract liabilities balance as of May 30, 2019</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r>
      <w:tr>
        <w:trPr>
          <w:trHeight w:val="20"/>
        </w:trPr>
        <w:tc>
          <w:tcPr>
            <w:tcW w:w="9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Contract liabilities increase as a result of receiving new advance payments from customers and decrease as revenue is recognized from customers purchasing product under advance payment arrangements. Additions and other activity included new customer advances, payments received from license and other arrangements in advance of performance, and interest accrued for financing components on advance payments. Revenue recognized for the first nine months of 2019 from the beginning balance included $183 million from shipments against customer advances and $28 million from meeting other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Consideration Payable to Customers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May 30, 2019, other current liabilities included $303 million for estimates of consideration payable to customers, including estimates for pricing adjustments and returns.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share the cost of certain product and process development activities with development partners. Our R&amp;D expenses were reduced by $6 million and $59 million for the third quarter and first nine months of 2019, respectively, and by $53 million and $167 million for the third quarter and first nine months of 2018, respectively, pursuant to reimbursements under these arrangements.</w:t>
      </w:r>
    </w:p>
    <w:p>
      <w:pPr>
        <w:spacing w:after="0" w:line="18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the second quarter of 2018, we and Intel agreed to independently develop subsequent generations of 3D NAND. Our 3D NAND joint development agreement with Intel was substantially completed in the third quarter of 2019. In the fourth quarter of 2018, we announced that we and Intel will no longer jointly develop 3D XPoint technology beyond the second generation. We expect development of the second generation of 3D XPoint technology to be substantially completed in the first quarter of 2020.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7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Quarter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May 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16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Restructure and asset impairments primarily relate to our continued emphasis to centralize certain key functions. As of May 30, 2019 and August 30, 2018, other current liabilities included $23 million and $12 million, respectively, for such restructure activities. Subsequent to the end of the third quarter of 2019, we finalized the sale of our 200mm fabrication facility in Singapore and expect to recognize a gain of approximately $120 million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Other Non-Operating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Quarter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prepayments, repurchases, and conversions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1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(317)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22, 2017, the United States enacted comprehensive tax legislation, commonly referred to as the Tax Cuts and Jobs Act (the "Tax Act"), which imposed a one-time transition tax in 2018 (the "Repatriation Tax") and, beginning in 2019, created a new minimum tax on certain foreign earnings (the "Foreign Minimum Tax"). SEC Staff Accounting Bulletin No. 118 ("SAB 118") allows the use of provisional amounts (reasonable estimates) if the analyses of the impacts of the Tax Act have not been completed when financial statements are issued. During the first quarter of 2019, we finalized the computations of the income tax effects of the Tax Act. As such, in accordance with SAB 118, our accounting for the effects of the Tax Act is complete.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w w:val="99"/>
              </w:rPr>
              <w:t>Our income tax (provision) benefit consisted of the following:</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26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1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 excluding items below</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Utilization of and other changes in net deferred tax assets of MMJ,</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MMT, and MTTW</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Repatriation Tax, net of adjustments related to uncertain tax positions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Release of the valuation allowance on net deferred tax assets of our</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U.S. operations</w:t>
            </w:r>
          </w:p>
        </w:tc>
        <w:tc>
          <w:tcPr>
            <w:tcW w:w="108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Remeasurement of deferred tax assets and liabilities reflecting lower</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tax rates</w:t>
            </w:r>
          </w:p>
        </w:tc>
        <w:tc>
          <w:tcPr>
            <w:tcW w:w="1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516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135</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income tax benefit in the third quarter of 2019 was primarily due to reductions in our effective tax rate, profit before tax, and the Foreign Minimum Tax. In addition, in the third quarter of 2019, we recorded tax benefits related to our deferred tax liabilities on unremitted earnings due to Tax Act-related law changes made effective during the third quarter.</w:t>
      </w:r>
    </w:p>
    <w:p>
      <w:pPr>
        <w:spacing w:after="0" w:line="181"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As of May 30, 2019, gross unrecognized income tax benefits were $390 million, substantially all of which would affect our effective tax rate in the future, if recognized. The amount accrued for interest and penalties related to uncertain tax positions was not material for any period presented.</w:t>
      </w:r>
    </w:p>
    <w:p>
      <w:pPr>
        <w:spacing w:after="0" w:line="12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operate in a number of tax jurisdictions outside the United States, including Singapore, where we have tax incentive arrangements, which expire in whole or in part at various dates through 2034, that are conditional, in part, upon meeting certain business operations and employment thresholds. The effect of tax incentive arrangements reduced our tax provision by $71 million (benefiting our diluted earnings per share by $0.06) and $742 million ($0.65 per diluted share) for the third quarter and first nine months of 2019, respectively, and by $527 million ($0.43 per diluted share) and $1.35 billion ($1.10 per diluted share) for the third quarter and first nine months of 2018,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5"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Earnings Per Share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72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7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31,</w:t>
            </w: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Assumed conversion of debt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9,810</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Dilutive effect of equity plans and convertible notes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6 million and 7 million for the third quarter and first nine months of 2019, respectively, and 2 million and 3 million for the third quarter and first nine months of 2018,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and Other Information</w:t>
      </w:r>
    </w:p>
    <w:p>
      <w:pPr>
        <w:spacing w:after="0" w:line="21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Compute and Networking Business Unit ("CNBU")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memory products sold into data center, client, graphics, and networking markets.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340" w:right="80" w:hanging="323"/>
        <w:spacing w:after="0" w:line="281" w:lineRule="auto"/>
        <w:rPr>
          <w:sz w:val="20"/>
          <w:szCs w:val="20"/>
          <w:color w:val="auto"/>
        </w:rPr>
      </w:pPr>
      <w:r>
        <w:rPr>
          <w:rFonts w:ascii="Arial" w:cs="Arial" w:eastAsia="Arial" w:hAnsi="Arial"/>
          <w:sz w:val="16"/>
          <w:szCs w:val="16"/>
          <w:b w:val="1"/>
          <w:bCs w:val="1"/>
          <w:i w:val="1"/>
          <w:iCs w:val="1"/>
          <w:color w:val="auto"/>
        </w:rPr>
        <w:t>Storage Business Unit ("SBU")</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SSDs and other storage products, including component-level solutions, sold into data center, client,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SSD markets, other discrete storage products sold in component and wafer forms to the removable storage markets, and sales of 3D XPoint memory.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5"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May 30,</w:t>
            </w: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May 31,</w:t>
            </w: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May 30,</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May 31,</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Start-up and preproduction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Employee severance</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91"/>
        </w:trPr>
        <w:tc>
          <w:tcPr>
            <w:tcW w:w="51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40"/>
              <w:spacing w:after="0"/>
              <w:rPr>
                <w:sz w:val="20"/>
                <w:szCs w:val="20"/>
                <w:color w:val="auto"/>
              </w:rPr>
            </w:pPr>
            <w:r>
              <w:rPr>
                <w:rFonts w:ascii="Arial" w:cs="Arial" w:eastAsia="Arial" w:hAnsi="Arial"/>
                <w:sz w:val="18"/>
                <w:szCs w:val="18"/>
                <w:color w:val="auto"/>
              </w:rPr>
              <w:t>Revenue by product type was as follows: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4"/>
                <w:szCs w:val="24"/>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May 30,</w:t>
            </w: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May 31,</w:t>
            </w: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May 30,</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May 31,</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NAND</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(primarily 3D XPoint memory and NOR)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Concentrations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Huawei was 13% of total revenue for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ind w:left="900" w:right="860" w:hanging="89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August 30, 2018. All period references are to our fiscal periods unless otherwise indicated. Our fiscal year is the 52 or 53-week period ending on the Thursday closest to August 31. Our fiscal 2019 and 2018 each contain 52 weeks. All production data includes the production of IMFT. All tabular dollar amounts are in millions, except per share amounts.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10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w:t>
      </w:r>
    </w:p>
    <w:p>
      <w:pPr>
        <w:spacing w:after="0" w:line="20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revenues. We generally develop firmware and, in the first quarter of 2019, introduced proprietary controllers into our SSDs. Development of advanced technologies enables us to diversify our product portfolio toward a richer mix of differentiated, high-value solutions and to target high-growth markets.</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market our products through our internal sales force, independent sales representatives, distributors, and e-tailers, primarily to original equipment manufacturers and retailers located around the world. We face intense competition in the semiconductor memory and storage markets and, in order to remain competitive, we must continuously develop and implement new products and technologies and decrease manufacturing costs. Our success is largely dependent on market acceptance of our diversified portfolio of semiconductor-based memory and storage solutions, efficient utilization of our manufacturing infrastructure, successful ongoing development and integration of advanced product and process technology, return-driven capital spending, and successful R&amp;D investments.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5" w:right="25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Third Quarter</w:t>
            </w:r>
          </w:p>
        </w:tc>
        <w:tc>
          <w:tcPr>
            <w:tcW w:w="200" w:type="dxa"/>
            <w:vAlign w:val="bottom"/>
          </w:tcPr>
          <w:p>
            <w:pPr>
              <w:spacing w:after="0"/>
              <w:rPr>
                <w:sz w:val="20"/>
                <w:szCs w:val="20"/>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Second Quarter</w:t>
            </w:r>
          </w:p>
        </w:tc>
        <w:tc>
          <w:tcPr>
            <w:tcW w:w="220" w:type="dxa"/>
            <w:vAlign w:val="bottom"/>
          </w:tcPr>
          <w:p>
            <w:pPr>
              <w:spacing w:after="0"/>
              <w:rPr>
                <w:sz w:val="20"/>
                <w:szCs w:val="20"/>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Third Quarter</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4,788</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7,797</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18,536</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21,951</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2,960</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3,074</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9,229</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9,211</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4,723</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9,307</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97"/>
        </w:trPr>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w w:val="97"/>
              </w:rPr>
              <w:t>Research and development</w:t>
            </w:r>
          </w:p>
        </w:tc>
        <w:tc>
          <w:tcPr>
            <w:tcW w:w="2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1,818</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20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1,957</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3,953</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6,726</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10,617</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non-operating income</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benefit</w:t>
            </w:r>
          </w:p>
        </w:tc>
        <w:tc>
          <w:tcPr>
            <w:tcW w:w="2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Equity in net income (loss) of</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method investees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3,823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5,752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9,810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Micron</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Revenue</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Total revenue for the third quarter of 2019 decreased 18% as compared to the second quarter of 2019 as a result of decreases in sales of both DRAM and NAND products primarily due to broad industry supply and demand imbalance that resulted in declines in average selling prices. Sales of DRAM products for the third quarter of 2019 decreased 19% from the second quarter of 2019 primarily due to declines in average selling prices resulting from inventory corrections at the customer level, supply and demand imbalances, and continued CPU shortages. Sales of NAND products for the third quarter of 2019 decreased 18% from the second quarter of 2019 primarily due to pricing declines in the mid-teens percentage range. NAND markets remained challenged by supply growth from the industry's transition from 2D to 3D NAND. Additionally, both DRAM and NAND sales were adversely impacted by the May 19, 2019 addition of Huawei to the U.S. Entity List.</w:t>
      </w:r>
    </w:p>
    <w:p>
      <w:pPr>
        <w:spacing w:after="0" w:line="18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Total revenue for the third quarter and first nine months of 2019 decreased 39% and 16%, respectively, as compared to the corresponding periods of 2018 primarily due to pricing declines resulting from the challenging memory market environment in 2019. Sales of DRAM products for the third quarter and first nine months of 2019 decreased 45% and 21%, respectively, as compared to the corresponding periods of 2018 primarily due to declines in average selling prices resulting from supply and demand imbalances as well as customer inventory corrections. Sales of NAND products for the third quarter and first nine months of 2019 decreased 25% and 4%, respectively, as compared to the corresponding periods of 2018 primarily due to declines in average selling prices resulting from supply and demand imbalances, which were partially offset by increases in sales volumes. The higher sales volumes in 2019 were driven by increases in sales of high-value mobile managed NAND products enabled by our transition to products featuring advanced TLC 3D NAND.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Gross Margin</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overall gross margin percentage decreased to 38% for the third quarter of 2019 from 49% for the second quarter of 2019 primarily due to declines in selling prices for DRAM and NAND products.</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5" w:right="239" w:bottom="1440" w:gutter="0" w:footer="0" w:header="0"/>
          <w:type w:val="continuous"/>
        </w:sectPr>
      </w:pPr>
    </w:p>
    <w:bookmarkStart w:id="29" w:name="page30"/>
    <w:bookmarkEnd w:id="29"/>
    <w:p>
      <w:pPr>
        <w:ind w:right="120" w:firstLine="324"/>
        <w:spacing w:after="0" w:line="259" w:lineRule="auto"/>
        <w:rPr>
          <w:sz w:val="20"/>
          <w:szCs w:val="20"/>
          <w:color w:val="auto"/>
        </w:rPr>
      </w:pPr>
      <w:r>
        <w:rPr>
          <w:rFonts w:ascii="Arial" w:cs="Arial" w:eastAsia="Arial" w:hAnsi="Arial"/>
          <w:sz w:val="18"/>
          <w:szCs w:val="18"/>
          <w:color w:val="auto"/>
        </w:rPr>
        <w:t>Our overall gross margin percentage decreased to 38% for the third quarter of 2019 from 61% for the third quarter of 2018 and decreased to 50% for the first nine months of 2019 from 58% for the first nine months of 2018 primarily due to declines in average selling prices. Declines in selling prices were partially offset by cost reductions resulting from strong execution in delivering products featuring advanced technologies and from continuous improvement initiatives to reduce production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by Business Unit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Third Quarter</w:t>
            </w:r>
          </w:p>
        </w:tc>
        <w:tc>
          <w:tcPr>
            <w:tcW w:w="200" w:type="dxa"/>
            <w:vAlign w:val="bottom"/>
          </w:tcPr>
          <w:p>
            <w:pPr>
              <w:spacing w:after="0"/>
              <w:rPr>
                <w:sz w:val="20"/>
                <w:szCs w:val="2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Second Quarter</w:t>
            </w:r>
          </w:p>
        </w:tc>
        <w:tc>
          <w:tcPr>
            <w:tcW w:w="220" w:type="dxa"/>
            <w:vAlign w:val="bottom"/>
          </w:tcPr>
          <w:p>
            <w:pPr>
              <w:spacing w:after="0"/>
              <w:rPr>
                <w:sz w:val="20"/>
                <w:szCs w:val="20"/>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7"/>
              </w:rPr>
              <w:t>Third Quarter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Nine Months</w:t>
            </w:r>
          </w:p>
        </w:tc>
        <w:tc>
          <w:tcPr>
            <w:tcW w:w="52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8,065</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10,891</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1,174</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4,997</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4,684</w:t>
            </w: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EBU</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799</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897</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2,432</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2,556</w:t>
            </w: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4,788</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5,835</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7,797</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18,536</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21,951</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17145</wp:posOffset>
            </wp:positionV>
            <wp:extent cx="5746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17145</wp:posOffset>
            </wp:positionV>
            <wp:extent cx="574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17145</wp:posOffset>
            </wp:positionV>
            <wp:extent cx="565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17145</wp:posOffset>
            </wp:positionV>
            <wp:extent cx="5657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17145</wp:posOffset>
            </wp:positionV>
            <wp:extent cx="565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are of total revenue but may not total 100%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-130175</wp:posOffset>
            </wp:positionV>
            <wp:extent cx="5746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-130175</wp:posOffset>
            </wp:positionV>
            <wp:extent cx="574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-130175</wp:posOffset>
            </wp:positionV>
            <wp:extent cx="565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-130175</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-130175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CNBU revenue for the third quarter of 2019 decreased 13% as compared to the second quarter of 2019 primarily due to lower pricing across major markets, partially offset by shipment volume growth driven by depleted customer inventory levels. MBU revenue for the third quarter of 2019 decreased 27% as compared to the second quarter of 2019 primarily due to lower pricing and LPDRAM shipment volumes, including a reduction in shipments to Huawei as a result of the May 19, 2019 addition of Huawei to the U.S. Entity List. MBU revenue was primarily comprised of mobile LPDRAM and managed NAND products. SBU revenue for the third quarter of 2019 decreased 20% as compared to the second quarter of 2019 primarily due to pricing declines and lower component sales after a large one-time sale in the second quarter of 2019. EBU revenue for the third quarter of 2019 decreased 12% from the second quarter of 2019 primarily due to broad macroeconomic weakness, lower pricing, and ongoing customer inventory reductions in consumer markets.</w:t>
      </w:r>
    </w:p>
    <w:p>
      <w:pPr>
        <w:spacing w:after="0" w:line="167"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CNBU revenue for the third quarter and first nine months of 2019 decreased 48% and 26%, respectively, as compared to the corresponding periods of 2018 due to challenging market conditions in 2019, which drove price declines and reductions in sales volumes. MBU revenue for the third quarter of 2019 decreased 33% as compared to the third quarter of 2018 primarily due to declines in pricing, continued weakness in smartphone markets, and a reduction in LPDRAM shipments to Huawei, partially offset by increases in shipments of mobile managed NAND products. MBU revenue for the first nine months of 2019 increased 7% as compared to the first nine months of 2018 despite pricing pressure and market challenges, primarily due to strong execution in developing and qualifying mobile managed NAND products. SBU revenue for the third quarter and first nine months of 2019 decreased 29% and 21%, respectively, as compared to corresponding periods of 2018 primarily due to price declines, partially offset by significant growth in shipment volumes. EBU revenue for the third quarter and first nine months of 2019 decreased 22% and 5%, respectively, as compared to the corresponding periods of 2018 primarily due to lower sales to consumer markets as a result of weak demand and pricing, partially offset by increases in sales to automotive and industrial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(Loss) by Business Unit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Third Quarter</w:t>
            </w:r>
          </w:p>
        </w:tc>
        <w:tc>
          <w:tcPr>
            <w:tcW w:w="200" w:type="dxa"/>
            <w:vAlign w:val="bottom"/>
          </w:tcPr>
          <w:p>
            <w:pPr>
              <w:spacing w:after="0"/>
              <w:rPr>
                <w:sz w:val="20"/>
                <w:szCs w:val="20"/>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Second Quarter</w:t>
            </w:r>
          </w:p>
        </w:tc>
        <w:tc>
          <w:tcPr>
            <w:tcW w:w="200" w:type="dxa"/>
            <w:vAlign w:val="bottom"/>
          </w:tcPr>
          <w:p>
            <w:pPr>
              <w:spacing w:after="0"/>
              <w:rPr>
                <w:sz w:val="20"/>
                <w:szCs w:val="20"/>
                <w:color w:val="auto"/>
              </w:rPr>
            </w:pPr>
          </w:p>
        </w:tc>
        <w:tc>
          <w:tcPr>
            <w:tcW w:w="16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Third Quarter</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w:t>
            </w:r>
          </w:p>
        </w:tc>
        <w:tc>
          <w:tcPr>
            <w:tcW w:w="60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4,171</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52 %  $</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6,858</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4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2,241</w:t>
            </w:r>
          </w:p>
        </w:tc>
        <w:tc>
          <w:tcPr>
            <w:tcW w:w="4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2,054</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4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4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2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1,110</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2,110</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7,107</w:t>
            </w:r>
          </w:p>
        </w:tc>
        <w:tc>
          <w:tcPr>
            <w:tcW w:w="44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10,804</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17145</wp:posOffset>
            </wp:positionV>
            <wp:extent cx="506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17145</wp:posOffset>
            </wp:positionV>
            <wp:extent cx="4972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17145</wp:posOffset>
            </wp:positionV>
            <wp:extent cx="4972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17145</wp:posOffset>
            </wp:positionV>
            <wp:extent cx="497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17145</wp:posOffset>
            </wp:positionV>
            <wp:extent cx="4972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-130175</wp:posOffset>
            </wp:positionV>
            <wp:extent cx="506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-130175</wp:posOffset>
            </wp:positionV>
            <wp:extent cx="497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-130175</wp:posOffset>
            </wp:positionV>
            <wp:extent cx="4972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-130175</wp:posOffset>
            </wp:positionV>
            <wp:extent cx="4972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-130175</wp:posOffset>
            </wp:positionV>
            <wp:extent cx="4972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CNBU operating income for the third quarter of 2019 decreased from the second quarter of 2019 primarily due to declines in pricing partially offset by cost reductions. MBU operating income for the third quarter of 2019 decreased from the second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ind w:right="20"/>
        <w:spacing w:after="0" w:line="259" w:lineRule="auto"/>
        <w:rPr>
          <w:sz w:val="20"/>
          <w:szCs w:val="20"/>
          <w:color w:val="auto"/>
        </w:rPr>
      </w:pPr>
      <w:r>
        <w:rPr>
          <w:rFonts w:ascii="Arial" w:cs="Arial" w:eastAsia="Arial" w:hAnsi="Arial"/>
          <w:sz w:val="18"/>
          <w:szCs w:val="18"/>
          <w:color w:val="auto"/>
        </w:rPr>
        <w:t>quarter of 2019 primarily due to declines in pricing for LPDRAM and managed NAND products partially offset by cost reductions for managed NAND products. SBU operating margin for the third quarter of 2019 declined from the second quarter of 2019 primarily due to declines in pricing and lower component sales. EBU operating income for the third quarter of 2019 declined from the second quarter of 2019 primarily due to declines in pricing and lower sales volumes.</w:t>
      </w:r>
    </w:p>
    <w:p>
      <w:pPr>
        <w:spacing w:after="0" w:line="187"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CNBU operating income for the third quarter and first nine months of 2019 decreased from the corresponding periods of 2018 primarily due to declines in pricing and higher R&amp;D costs, partially offset by cost reductions. MBU operating income for the third quarter of 2019 decreased from the third quarter of 2018 primarily due to declines in pricing partially offset by increases in sales of high-value managed NAND products and manufacturing cost reductions.</w:t>
      </w:r>
    </w:p>
    <w:p>
      <w:pPr>
        <w:spacing w:after="0" w:line="270" w:lineRule="auto"/>
        <w:rPr>
          <w:sz w:val="20"/>
          <w:szCs w:val="20"/>
          <w:color w:val="auto"/>
        </w:rPr>
      </w:pPr>
      <w:r>
        <w:rPr>
          <w:rFonts w:ascii="Arial" w:cs="Arial" w:eastAsia="Arial" w:hAnsi="Arial"/>
          <w:sz w:val="17"/>
          <w:szCs w:val="17"/>
          <w:color w:val="auto"/>
        </w:rPr>
        <w:t>MBU operating income for the first nine months of 2019 increased from the first nine months of 2018 primarily due to increases in sales of high-value managed NAND products and manufacturing cost reductions, which more than offset declines in pricing. SBU operating margin for the third quarter and first nine months of 2019 declined from the corresponding periods of 2018 primarily due to declines in pricing, which were partially offset by manufacturing cost reductions and increases in sales volumes. SBU operating margins for 2019 and 2018 were adversely impacted by fixed costs associated with underutilization of our share of IMFT's capacity. EBU operating income for the third quarter and first nine months of 2019 decreased from the corresponding periods of 2018 as a result of declines in pricing and higher R&amp;D costs partially offset by manufacturing cost reductions.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SG&amp;A expenses for the third quarter of 2019 were relatively unchanged from the second quarter of 2019 and third quarter of 2018. SG&amp;A expenses for the first nine months of 2019 were 4% higher, as compared to the corresponding period of 2018 primarily due to increases in consulting fees and legal costs.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R&amp;D expenses for the third quarter of 2019 were relatively unchanged as compared to the second quarter of 2019 and third quarter of 2018. R&amp;D expenses for the first nine months of 2019 were 16% higher as compared to the first nine months of 2018 primarily due to decreases in reimbursements from our R&amp;D cost-sharing arrangements, increases in volumes of development and pre-qualification wafers, increases in depreciation expense as a result of increases in capital spending, and increases in labor costs.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share the cost of certain product and process development activities under development agreements with partners, including agreements to jointly develop 3D NAND and 3D XPoint technologies with Intel. Our R&amp;D expenses were reduced by reimbursements under these development partner arrangements of $6 million in the third quarter of 2019, $23 million in the second quarter of 2019, and $53 million in the third quarter of 2018. The decrease in R&amp;D reimbursements in the third and second quarters of 2019 was primarily due to reductions in our joint development activities with Intel for 3D NAND and 3D XPoint technologies. In the second quarter of 2018, we and Intel agreed to independently develop subsequent generations of 3D NAND. Our 3D NAND joint development agreement with Intel was substantially completed in the third quarter of 2019. In the fourth quarter of 2018, we announced that we and Intel will no longer jointly develop 3D XPoint technology beyond the second generation. We expect development of the second generation of 3D XPoint technology to be substantially completed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27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Income Taxes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6320" w:type="dxa"/>
            <w:vAlign w:val="bottom"/>
            <w:gridSpan w:val="7"/>
          </w:tcPr>
          <w:p>
            <w:pPr>
              <w:ind w:left="340"/>
              <w:spacing w:after="0"/>
              <w:rPr>
                <w:sz w:val="20"/>
                <w:szCs w:val="20"/>
                <w:color w:val="auto"/>
              </w:rPr>
            </w:pPr>
            <w:r>
              <w:rPr>
                <w:rFonts w:ascii="Arial" w:cs="Arial" w:eastAsia="Arial" w:hAnsi="Arial"/>
                <w:sz w:val="18"/>
                <w:szCs w:val="18"/>
                <w:color w:val="auto"/>
              </w:rPr>
              <w:t>Our income tax (provision) benefit consisted of the following:</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Third Quarter</w:t>
            </w:r>
          </w:p>
        </w:tc>
        <w:tc>
          <w:tcPr>
            <w:tcW w:w="18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Second Quarter</w:t>
            </w:r>
          </w:p>
        </w:tc>
        <w:tc>
          <w:tcPr>
            <w:tcW w:w="20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Third Quarter</w:t>
            </w:r>
          </w:p>
        </w:tc>
        <w:tc>
          <w:tcPr>
            <w:tcW w:w="360" w:type="dxa"/>
            <w:vAlign w:val="bottom"/>
          </w:tcPr>
          <w:p>
            <w:pPr>
              <w:spacing w:after="0"/>
              <w:rPr>
                <w:sz w:val="24"/>
                <w:szCs w:val="24"/>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Pr>
          <w:p>
            <w:pPr>
              <w:spacing w:after="0"/>
              <w:rPr>
                <w:sz w:val="24"/>
                <w:szCs w:val="24"/>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excluding items below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8"/>
              </w:rPr>
              <w:t>Utilization of and other changes in</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740" w:type="dxa"/>
            <w:vAlign w:val="bottom"/>
          </w:tcPr>
          <w:p>
            <w:pPr>
              <w:ind w:left="200"/>
              <w:spacing w:after="0"/>
              <w:rPr>
                <w:sz w:val="20"/>
                <w:szCs w:val="20"/>
                <w:color w:val="auto"/>
              </w:rPr>
            </w:pPr>
            <w:r>
              <w:rPr>
                <w:rFonts w:ascii="Arial" w:cs="Arial" w:eastAsia="Arial" w:hAnsi="Arial"/>
                <w:sz w:val="18"/>
                <w:szCs w:val="18"/>
                <w:color w:val="auto"/>
                <w:w w:val="99"/>
              </w:rPr>
              <w:t>net deferred tax assets of MMJ,</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740" w:type="dxa"/>
            <w:vAlign w:val="bottom"/>
          </w:tcPr>
          <w:p>
            <w:pPr>
              <w:ind w:left="200"/>
              <w:spacing w:after="0"/>
              <w:rPr>
                <w:sz w:val="20"/>
                <w:szCs w:val="20"/>
                <w:color w:val="auto"/>
              </w:rPr>
            </w:pPr>
            <w:r>
              <w:rPr>
                <w:rFonts w:ascii="Arial" w:cs="Arial" w:eastAsia="Arial" w:hAnsi="Arial"/>
                <w:sz w:val="18"/>
                <w:szCs w:val="18"/>
                <w:color w:val="auto"/>
              </w:rPr>
              <w:t>MMT, and MTTW</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Repatriation Tax, net of adjustments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related to uncertain tax positions</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6"/>
              </w:rPr>
              <w:t>Release of the valuation allowance</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740" w:type="dxa"/>
            <w:vAlign w:val="bottom"/>
          </w:tcPr>
          <w:p>
            <w:pPr>
              <w:ind w:left="200"/>
              <w:spacing w:after="0"/>
              <w:rPr>
                <w:sz w:val="20"/>
                <w:szCs w:val="20"/>
                <w:color w:val="auto"/>
              </w:rPr>
            </w:pPr>
            <w:r>
              <w:rPr>
                <w:rFonts w:ascii="Arial" w:cs="Arial" w:eastAsia="Arial" w:hAnsi="Arial"/>
                <w:sz w:val="18"/>
                <w:szCs w:val="18"/>
                <w:color w:val="auto"/>
                <w:w w:val="97"/>
              </w:rPr>
              <w:t>on net deferred tax assets of our</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740" w:type="dxa"/>
            <w:vAlign w:val="bottom"/>
          </w:tcPr>
          <w:p>
            <w:pPr>
              <w:ind w:left="200"/>
              <w:spacing w:after="0"/>
              <w:rPr>
                <w:sz w:val="20"/>
                <w:szCs w:val="20"/>
                <w:color w:val="auto"/>
              </w:rPr>
            </w:pPr>
            <w:r>
              <w:rPr>
                <w:rFonts w:ascii="Arial" w:cs="Arial" w:eastAsia="Arial" w:hAnsi="Arial"/>
                <w:sz w:val="18"/>
                <w:szCs w:val="18"/>
                <w:color w:val="auto"/>
              </w:rPr>
              <w:t>U.S. operations</w:t>
            </w:r>
          </w:p>
        </w:tc>
        <w:tc>
          <w:tcPr>
            <w:tcW w:w="18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1,337</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Remeasurement of deferred tax</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and liabilities reflecting</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lower U.S. corporate tax rates</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r>
      <w:tr>
        <w:trPr>
          <w:trHeight w:val="237"/>
        </w:trPr>
        <w:tc>
          <w:tcPr>
            <w:tcW w:w="27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67"/>
        </w:trPr>
        <w:tc>
          <w:tcPr>
            <w:tcW w:w="27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decrease in our income tax provision in the third quarter of 2019 as compared to the second quarter of 2019 was due primarily to a reduction in profit before tax and a related reduction in the Foreign Minimum Tax. The Repatriation Tax and our deferred tax liabilities on unremitted earnings were also reduced in the third quarter of 2019 due to Tax Act-related law changes. Our provision for income tax and the effective tax rate increased in the first nine months of 2019 as compared to the corresponding period of 2018 primarily as a result of the Foreign Minimum Tax.</w:t>
      </w:r>
    </w:p>
    <w:p>
      <w:pPr>
        <w:spacing w:after="0" w:line="17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operate in a number of tax jurisdictions outside the Unites States, including Singapore, where we have tax incentive arrangements, which expire in whole or in part at various dates through 2034, that are conditional, in part, upon meeting certain business operations and employment thresholds. The effect of tax incentive arrangements reduced our tax provision by $71 million (benefiting our diluted earnings per share by $0.06) for the third quarter of 2019, $244 million ($0.21 per diluted share) for the second quarter of 2019, and $527 million ($0.43 per diluted share) for the third quarter of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Interest income for the third quarter and first nine months of 2019 increased 44% and 72% as compared to the corresponding periods of 2018, respectively, primarily due to increases in interest rates.</w:t>
      </w:r>
    </w:p>
    <w:p>
      <w:pPr>
        <w:spacing w:after="0" w:line="170" w:lineRule="exact"/>
        <w:rPr>
          <w:sz w:val="20"/>
          <w:szCs w:val="20"/>
          <w:color w:val="auto"/>
        </w:rPr>
      </w:pPr>
    </w:p>
    <w:p>
      <w:pPr>
        <w:ind w:right="800" w:firstLine="324"/>
        <w:spacing w:after="0" w:line="342" w:lineRule="auto"/>
        <w:rPr>
          <w:sz w:val="20"/>
          <w:szCs w:val="20"/>
          <w:color w:val="auto"/>
        </w:rPr>
      </w:pPr>
      <w:r>
        <w:rPr>
          <w:rFonts w:ascii="Arial" w:cs="Arial" w:eastAsia="Arial" w:hAnsi="Arial"/>
          <w:sz w:val="16"/>
          <w:szCs w:val="16"/>
          <w:color w:val="auto"/>
        </w:rPr>
        <w:t>Interest expense for the third quarter and first nine months of 2019 decreased 64% and 70% as compared to the corresponding periods of 2018, respectively, primarily due to decreases in debt obligations and increases in capitalized interest from higher levels of capital spending.</w:t>
      </w:r>
    </w:p>
    <w:p>
      <w:pPr>
        <w:spacing w:after="0" w:line="124"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Further discussion of other operating and non-operating income and expenses can be found in "Item 1. Financial Statements – Notes to Consolidated Financial Statements – Equity Plans, Other Operating Income (Expense), Net, and Other Non-Operating Income (Expense), Net" notes.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We have an undrawn revolving credit facility that expires in July 2023 and provides for borrowings of up to $2.50 billion. We expect that our cash and investments, cash flows from operations, and available financing will be sufficient to meet our requirements at least through the next 12 months.</w:t>
      </w:r>
    </w:p>
    <w:p>
      <w:pPr>
        <w:spacing w:after="0" w:line="19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2019 for property, plant, and equipment, net of partner contributions, to be approximately $9 billion, focused on technology transitions and product enablement. The actual amounts for 2019 will vary depending on market conditions. As of May 30, 2019, we had commitments of approximately $3.9 billion for the acquisition of property, plant, and equipment, approximately $3.0 billion of which is expected to be paid within one year.</w:t>
      </w:r>
    </w:p>
    <w:p>
      <w:pPr>
        <w:spacing w:after="0" w:line="17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beginning in our fiscal 2019, which we may purchase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 acquire any common stock. In the third quarter and first nine months of 2019, we repurchased 4 million and 67 million shares of our common stock, respectively, for $157 million and $2.66 billion, respectively, under an accelerated share repurchase agreement, Rule 10b5-1 plans, and through open market repurchases.</w:t>
      </w:r>
    </w:p>
    <w:p>
      <w:pPr>
        <w:spacing w:after="0" w:line="19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January 2019, we exercised our option to acquire Intel's interest in IMFT and, in the third quarter of 2019, Intel set the closing date of the transaction to occur on October 31, 2019. At closing, we expect to pay Intel approximately $1.4 billion in cash for Intel's noncontrolling interest in IMFT and IMFT Member Debt. As of May 30, 2019, current debt included $858 million of IMFT Member Debt.</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Cash and marketable investments totaled $7.86 billion and $7.28 billion as of May 30, 2019 and August 30, 2018, respectively. Our investments consist primarily of money market funds and liquid, investment-grade,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Use of Cash and Investments</w:t>
      </w:r>
    </w:p>
    <w:p>
      <w:pPr>
        <w:spacing w:after="0" w:line="225" w:lineRule="exact"/>
        <w:rPr>
          <w:sz w:val="20"/>
          <w:szCs w:val="20"/>
          <w:color w:val="auto"/>
        </w:rPr>
      </w:pPr>
    </w:p>
    <w:p>
      <w:pPr>
        <w:ind w:right="200" w:firstLine="324"/>
        <w:spacing w:after="0" w:line="295" w:lineRule="auto"/>
        <w:rPr>
          <w:sz w:val="20"/>
          <w:szCs w:val="20"/>
          <w:color w:val="auto"/>
        </w:rPr>
      </w:pPr>
      <w:r>
        <w:rPr>
          <w:rFonts w:ascii="Arial" w:cs="Arial" w:eastAsia="Arial" w:hAnsi="Arial"/>
          <w:sz w:val="16"/>
          <w:szCs w:val="16"/>
          <w:b w:val="1"/>
          <w:bCs w:val="1"/>
          <w:i w:val="1"/>
          <w:iCs w:val="1"/>
          <w:color w:val="auto"/>
        </w:rPr>
        <w:t>MMJ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marketable investments as of May 30, 2019 included $564 million held by the MMJ Group. As a result of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reorganization proceedings of MMJ initiated in March 2012, and for so long as such proceedings are continuing, the MMJ Group is prohibited from paying dividends to us. In addition, pursuant to an order of the Tokyo District Court, the MMJ Group cannot make loans or advances, other than certain ordinary course advances, to us without the consent of the Tokyo District Court and may, under certain circumstances, be subject to the approval of the legal trustee. As a result, the assets of the MMJ Group are not available for use by us in our other operations. Furthermore, certain uses of the assets of the MMJ Group, including investments in certain capital expenditures, may require consent of MMJ's trustees and/or the Tokyo District Court.</w:t>
      </w:r>
    </w:p>
    <w:p>
      <w:pPr>
        <w:spacing w:after="0" w:line="156"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included $184 million held by IMFT as of May 30, 2019. Our ability to access funds held by IMFT to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other operations is subject to agreement by Intel and contractual limitations. Amounts held by IMFT are not anticipated to be available to finance our other operations.</w:t>
      </w:r>
    </w:p>
    <w:p>
      <w:pPr>
        <w:spacing w:after="0" w:line="176" w:lineRule="exact"/>
        <w:rPr>
          <w:sz w:val="20"/>
          <w:szCs w:val="20"/>
          <w:color w:val="auto"/>
        </w:rPr>
      </w:pPr>
    </w:p>
    <w:p>
      <w:pPr>
        <w:jc w:val="both"/>
        <w:ind w:right="260" w:firstLine="324"/>
        <w:spacing w:after="0" w:line="266" w:lineRule="auto"/>
        <w:rPr>
          <w:sz w:val="20"/>
          <w:szCs w:val="20"/>
          <w:color w:val="auto"/>
        </w:rPr>
      </w:pPr>
      <w:r>
        <w:rPr>
          <w:rFonts w:ascii="Arial" w:cs="Arial" w:eastAsia="Arial" w:hAnsi="Arial"/>
          <w:sz w:val="18"/>
          <w:szCs w:val="18"/>
          <w:b w:val="1"/>
          <w:bCs w:val="1"/>
          <w:i w:val="1"/>
          <w:iCs w:val="1"/>
          <w:color w:val="auto"/>
        </w:rPr>
        <w:t>Indefinitely Reinvested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May 30, 2019, $214 million of cash and marketable investments, including substantially all of the amounts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MMJ Group, was held by foreign subsidiaries whose earnings were considered to be indefinitely reinvested. Determination of the amount of unrecognized deferred tax liabilities related to investments in these foreign subsidiaries is not practicable.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5"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5"/>
        </w:trPr>
        <w:tc>
          <w:tcPr>
            <w:tcW w:w="900" w:type="dxa"/>
            <w:vAlign w:val="bottom"/>
            <w:tcBorders>
              <w:top w:val="single" w:sz="8" w:color="auto"/>
            </w:tcBorders>
          </w:tcPr>
          <w:p>
            <w:pPr>
              <w:spacing w:after="0"/>
              <w:rPr>
                <w:sz w:val="24"/>
                <w:szCs w:val="24"/>
                <w:color w:val="auto"/>
              </w:rPr>
            </w:pPr>
          </w:p>
        </w:tc>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First Nine Months</w:t>
            </w:r>
          </w:p>
        </w:tc>
      </w:tr>
      <w:tr>
        <w:trPr>
          <w:trHeight w:val="27"/>
        </w:trPr>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9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(6,087)</w:t>
            </w:r>
          </w:p>
        </w:tc>
      </w:tr>
      <w:tr>
        <w:trPr>
          <w:trHeight w:val="27"/>
        </w:trPr>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r>
      <w:tr>
        <w:trPr>
          <w:trHeight w:val="20"/>
        </w:trPr>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nine months of 2019, cash provided by operating activities was due primarily to net income and the effect of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adjustments, which included a $2.37 billion decrease in receivables as a result of lower levels of revenue, a $1.32 billion increase in inventory due to higher levels of work in process and raw materials inventories, a $703 million decrease in accounts payable and accrued expenses, and a $195 million decrease in deferred income taxes due primarily to the utilization of deferred tax assets. For the first nine months of 2018, cash provided by operating activities was due primarily to cash generated by our operations and the effect of working capital adjustments, which included $1.18 billion of cash used for increases in receivables.</w:t>
      </w:r>
    </w:p>
    <w:p>
      <w:pPr>
        <w:spacing w:after="0" w:line="188" w:lineRule="exact"/>
        <w:rPr>
          <w:sz w:val="20"/>
          <w:szCs w:val="20"/>
          <w:color w:val="auto"/>
        </w:rPr>
      </w:pPr>
    </w:p>
    <w:p>
      <w:pPr>
        <w:ind w:right="120" w:firstLine="324"/>
        <w:spacing w:after="0" w:line="303" w:lineRule="auto"/>
        <w:rPr>
          <w:sz w:val="20"/>
          <w:szCs w:val="20"/>
          <w:color w:val="auto"/>
        </w:rPr>
      </w:pPr>
      <w:r>
        <w:rPr>
          <w:rFonts w:ascii="Arial" w:cs="Arial" w:eastAsia="Arial" w:hAnsi="Arial"/>
          <w:sz w:val="16"/>
          <w:szCs w:val="16"/>
          <w:b w:val="1"/>
          <w:bCs w:val="1"/>
          <w:i w:val="1"/>
          <w:iCs w:val="1"/>
          <w:color w:val="auto"/>
        </w:rPr>
        <w:t>Investing Activities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first nine months of 2019, net cash used for investing activities consisted primarily of $7.08 billion of expenditures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plant, and equipment (net of partner contributions) and $1.92 billion of net outflows from sales, maturities, and purchases of available-for-sale securities. For the first nine months of 2018, net cash used for investing activities consisted primarily of $5.96 billion of expenditures for property, plant, and equipment (net of partner contributions), partially offset by $182 million of net inflows from sales, maturities, and purchases of available-for-sale securities.</w:t>
      </w:r>
    </w:p>
    <w:p>
      <w:pPr>
        <w:spacing w:after="0" w:line="15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nine months of 2019, net cash used for financing activities consisted primarily of $2.66 billion for the acquisition of 67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shares of treasury stock under our $10 billion share repurchase authorization and cash payments to reduce our debt, including $1.65 billion to settle conversions of notes and $731 million for scheduled repayment of other notes and capital leases, partially offset by net proceeds of $1.79 billion from the aggregate issuance of the 2024 Notes, 2026 Notes, and 2029 Notes. For the first nine months of 2018, net cash used for financing activities consisted primarily of cash payments of $6.15 billion to reduce our debt, including $4.85 billion to prepay or repurchase our debt and $1.31 billion to settle conversions of notes, and $614 million for repayments of other notes and capital leases. Cash paid for financing activities was partially offset by net proceeds of $1.36 billion from the issuance of 34 million shares of our common stock for $41.00 per share in a public offering and $969 million of proceeds from IMFT Member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Settlement Obligations of Convertible Notes</w:t>
      </w:r>
    </w:p>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Since the closing price of our common stock exceeded 130% of the conversion price per share of 2032D Notes and 2033F Notes for at least 20 trading days in the 30 trading day period ended on March 31, 2019, holders may convert such notes at any time through the calendar quarter ended June 30, 2019. Additionally, the closing price of our common stock also exceeded the thresholds for our 2032D Notes and 2033F Notes for the calendar quarter ended June 30, 2019; therefore, such notes are convertible by the holders at any time through September 30, 2019. The following table summarizes the potential settlements that we could be required to make for the calendar quarter ending June 30, 2019 if all holders converted their notes. The amounts in the table below are based on our closing share price of $33.32 as of May 30,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3"/>
              </w:rPr>
              <w:t>If Settled with Minimum Cash</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3600" w:type="dxa"/>
            <w:vAlign w:val="bottom"/>
            <w:gridSpan w:val="3"/>
          </w:tcPr>
          <w:p>
            <w:pPr>
              <w:ind w:left="1140"/>
              <w:spacing w:after="0"/>
              <w:rPr>
                <w:sz w:val="20"/>
                <w:szCs w:val="20"/>
                <w:color w:val="auto"/>
              </w:rPr>
            </w:pPr>
            <w:r>
              <w:rPr>
                <w:rFonts w:ascii="Arial" w:cs="Arial" w:eastAsia="Arial" w:hAnsi="Arial"/>
                <w:sz w:val="18"/>
                <w:szCs w:val="18"/>
                <w:b w:val="1"/>
                <w:bCs w:val="1"/>
                <w:color w:val="auto"/>
              </w:rPr>
              <w:t>Settlement Option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Required</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8"/>
        </w:trPr>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Amount in Excess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Remainder in</w:t>
            </w:r>
          </w:p>
        </w:tc>
        <w:tc>
          <w:tcPr>
            <w:tcW w:w="12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If Settled Entirely</w:t>
            </w:r>
          </w:p>
        </w:tc>
      </w:tr>
      <w:tr>
        <w:trPr>
          <w:trHeight w:val="234"/>
        </w:trPr>
        <w:tc>
          <w:tcPr>
            <w:tcW w:w="200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Amount</w:t>
            </w:r>
          </w:p>
        </w:tc>
        <w:tc>
          <w:tcPr>
            <w:tcW w:w="170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with Cash</w:t>
            </w:r>
          </w:p>
        </w:tc>
      </w:tr>
      <w:tr>
        <w:trPr>
          <w:trHeight w:val="27"/>
        </w:trPr>
        <w:tc>
          <w:tcPr>
            <w:tcW w:w="20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2032D Notes</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2033F Notes</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1700" w:type="dxa"/>
            <w:vAlign w:val="bottom"/>
          </w:tcPr>
          <w:p>
            <w:pPr>
              <w:ind w:left="20"/>
              <w:spacing w:after="0"/>
              <w:rPr>
                <w:sz w:val="20"/>
                <w:szCs w:val="20"/>
                <w:color w:val="auto"/>
              </w:rPr>
            </w:pPr>
            <w:r>
              <w:rPr>
                <w:rFonts w:ascii="Arial" w:cs="Arial" w:eastAsia="Arial" w:hAnsi="Arial"/>
                <w:sz w:val="18"/>
                <w:szCs w:val="18"/>
                <w:color w:val="auto"/>
              </w:rPr>
              <w:t>Cash and/or shares</w:t>
            </w: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20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gridSpan w:val="3"/>
          </w:tcPr>
          <w:p>
            <w:pPr>
              <w:jc w:val="right"/>
              <w:ind w:right="1150"/>
              <w:spacing w:after="0"/>
              <w:rPr>
                <w:sz w:val="20"/>
                <w:szCs w:val="20"/>
                <w:color w:val="auto"/>
              </w:rPr>
            </w:pPr>
            <w:r>
              <w:rPr>
                <w:rFonts w:ascii="Arial" w:cs="Arial" w:eastAsia="Arial" w:hAnsi="Arial"/>
                <w:sz w:val="18"/>
                <w:szCs w:val="18"/>
                <w:color w:val="auto"/>
                <w:w w:val="89"/>
              </w:rPr>
              <w:t>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5"/>
        </w:trPr>
        <w:tc>
          <w:tcPr>
            <w:tcW w:w="188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1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1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Remainder of</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 and</w:t>
            </w:r>
          </w:p>
        </w:tc>
      </w:tr>
      <w:tr>
        <w:trPr>
          <w:trHeight w:val="234"/>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May 30, 2019</w:t>
            </w: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2020 - 2021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2022 - 2023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18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7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i w:val="1"/>
                <w:iCs w:val="1"/>
                <w:color w:val="auto"/>
                <w:vertAlign w:val="superscript"/>
              </w:rPr>
              <w:t>(1)(2)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2,642</w:t>
            </w: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5"/>
                <w:szCs w:val="25"/>
                <w:i w:val="1"/>
                <w:iCs w:val="1"/>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50"/>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8890</wp:posOffset>
            </wp:positionV>
            <wp:extent cx="42621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ind w:left="580" w:hanging="248"/>
        <w:spacing w:after="0" w:line="225" w:lineRule="auto"/>
        <w:tabs>
          <w:tab w:leader="none" w:pos="580" w:val="left"/>
        </w:tabs>
        <w:numPr>
          <w:ilvl w:val="0"/>
          <w:numId w:val="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Amounts include MMJ Creditor Payments, convertible notes, and other notes.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Amounts include principal and interest.</w:t>
      </w:r>
    </w:p>
    <w:p>
      <w:pPr>
        <w:spacing w:after="0" w:line="2" w:lineRule="exact"/>
        <w:rPr>
          <w:rFonts w:ascii="Arial" w:cs="Arial" w:eastAsia="Arial" w:hAnsi="Arial"/>
          <w:sz w:val="24"/>
          <w:szCs w:val="24"/>
          <w:i w:val="1"/>
          <w:iCs w:val="1"/>
          <w:color w:val="auto"/>
          <w:vertAlign w:val="superscript"/>
        </w:rPr>
      </w:pPr>
    </w:p>
    <w:p>
      <w:pPr>
        <w:ind w:left="580" w:hanging="248"/>
        <w:spacing w:after="0" w:line="203" w:lineRule="auto"/>
        <w:tabs>
          <w:tab w:leader="none" w:pos="58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Amounts include contractually obligated minimum lease payments for operating leases having an initial noncancelable term in excess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-419100</wp:posOffset>
            </wp:positionV>
            <wp:extent cx="4262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a discussion of our critical accounting estimates, see "Part I – Item 7. Management's Discussion and Analysis of Financial Condition and Results of Operations" of our Annual Report on Form 10-K for the year ended August 30, 2018. Except for the critical accounting estimates associated with revenue recognition as discussed below, there have been no material changes to our critical accounting estimates since our Annual Report on Form 10-K for the year ended August 30, 2018.</w:t>
      </w:r>
    </w:p>
    <w:p>
      <w:pPr>
        <w:spacing w:after="0" w:line="183" w:lineRule="exact"/>
        <w:rPr>
          <w:sz w:val="20"/>
          <w:szCs w:val="20"/>
          <w:color w:val="auto"/>
        </w:rPr>
      </w:pPr>
    </w:p>
    <w:p>
      <w:pPr>
        <w:ind w:right="120" w:firstLine="324"/>
        <w:spacing w:after="0" w:line="295"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is primarily recognized at a point in time when control of the promised goods is transferred to our customers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estimate the amount of consideration we expect to be entitled to from sales to distributors, using the expected value method, based on historical price adjustments and current pricing trends. Differences between the estimated and actual amount is recognized as an adjustment to revenue.</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 Financial Statements – Notes to Consolidated Financial Statements – Recently Issued Accounting Standards Not Yet Adopted."</w:t>
      </w:r>
    </w:p>
    <w:p>
      <w:pPr>
        <w:spacing w:after="0" w:line="200" w:lineRule="exact"/>
        <w:rPr>
          <w:sz w:val="20"/>
          <w:szCs w:val="20"/>
          <w:color w:val="auto"/>
        </w:rPr>
      </w:pPr>
    </w:p>
    <w:p>
      <w:pPr>
        <w:spacing w:after="0" w:line="253" w:lineRule="exact"/>
        <w:rPr>
          <w:sz w:val="20"/>
          <w:szCs w:val="20"/>
          <w:color w:val="auto"/>
        </w:rPr>
      </w:pPr>
    </w:p>
    <w:p>
      <w:pPr>
        <w:ind w:right="2820"/>
        <w:spacing w:after="0" w:line="448" w:lineRule="auto"/>
        <w:rPr>
          <w:sz w:val="20"/>
          <w:szCs w:val="20"/>
          <w:color w:val="auto"/>
        </w:rPr>
      </w:pPr>
      <w:r>
        <w:rPr>
          <w:rFonts w:ascii="Arial" w:cs="Arial" w:eastAsia="Arial" w:hAnsi="Arial"/>
          <w:sz w:val="22"/>
          <w:szCs w:val="22"/>
          <w:b w:val="1"/>
          <w:bCs w:val="1"/>
          <w:color w:val="auto"/>
        </w:rPr>
        <w:t>ITEM 3. QUANTITATIVE AND QUALITATIVE DISCLOSURES ABOUT MARKET RISK Interest Rate Risk</w:t>
      </w:r>
    </w:p>
    <w:p>
      <w:pPr>
        <w:spacing w:after="0" w:line="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May 30, 2019 and August 30, 2018, we had fixed-rate debt of $3.5 billion and $3.1 billion, respectively, and as a result, the fair value of our debt fluctuates with changes in market interest rates. We estimate that, as of May 30, 2019 and August 30, 2018, a decrease in market interest rates of 1% would increase the fair value of our fixed-rate debt by approximately $145 million and $79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67"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are affected by changes in currency exchange rates. For further discussion about market risk and sensitivity analysis related to changes in currency exchange rates, see "Part II - Item 7A. Quantitative and Qualitative Disclosures About Market Risk" of our Annual Report on Form 10-K for the year ended August 30, 2018.</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17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During the third quarter of 2019,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30, 2018 and "Part I. Financial Information – Item 1. Financial Statements – Notes to Consolidated Financial Statements – Contingencies" and "Item 1A. Risk Factors" herein.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5"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420" w:type="dxa"/>
            <w:vAlign w:val="bottom"/>
          </w:tcPr>
          <w:p>
            <w:pPr>
              <w:ind w:left="740"/>
              <w:spacing w:after="0"/>
              <w:rPr>
                <w:sz w:val="20"/>
                <w:szCs w:val="20"/>
                <w:color w:val="auto"/>
              </w:rPr>
            </w:pPr>
            <w:r>
              <w:rPr>
                <w:rFonts w:ascii="Arial" w:cs="Arial" w:eastAsia="Arial" w:hAnsi="Arial"/>
                <w:sz w:val="18"/>
                <w:szCs w:val="18"/>
                <w:b w:val="1"/>
                <w:bCs w:val="1"/>
                <w:color w:val="auto"/>
              </w:rPr>
              <w:t>DRAM</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Trade NAND</w:t>
            </w:r>
          </w:p>
        </w:tc>
        <w:tc>
          <w:tcPr>
            <w:tcW w:w="5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58"/>
        </w:trPr>
        <w:tc>
          <w:tcPr>
            <w:tcW w:w="7020" w:type="dxa"/>
            <w:vAlign w:val="bottom"/>
          </w:tcPr>
          <w:p>
            <w:pPr>
              <w:spacing w:after="0"/>
              <w:rPr>
                <w:sz w:val="24"/>
                <w:szCs w:val="24"/>
                <w:color w:val="auto"/>
              </w:rPr>
            </w:pPr>
          </w:p>
        </w:tc>
        <w:tc>
          <w:tcPr>
            <w:tcW w:w="3880" w:type="dxa"/>
            <w:vAlign w:val="bottom"/>
            <w:gridSpan w:val="4"/>
          </w:tcPr>
          <w:p>
            <w:pPr>
              <w:jc w:val="right"/>
              <w:spacing w:after="0"/>
              <w:rPr>
                <w:sz w:val="20"/>
                <w:szCs w:val="20"/>
                <w:color w:val="auto"/>
              </w:rPr>
            </w:pPr>
            <w:r>
              <w:rPr>
                <w:rFonts w:ascii="Arial" w:cs="Arial" w:eastAsia="Arial" w:hAnsi="Arial"/>
                <w:sz w:val="18"/>
                <w:szCs w:val="18"/>
                <w:color w:val="auto"/>
              </w:rPr>
              <w:t>(percentage change in average selling prices)</w:t>
            </w:r>
          </w:p>
        </w:tc>
        <w:tc>
          <w:tcPr>
            <w:tcW w:w="520" w:type="dxa"/>
            <w:vAlign w:val="bottom"/>
          </w:tcPr>
          <w:p>
            <w:pPr>
              <w:spacing w:after="0"/>
              <w:rPr>
                <w:sz w:val="24"/>
                <w:szCs w:val="24"/>
                <w:color w:val="auto"/>
              </w:rPr>
            </w:pP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from 2017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2017 from 2016</w:t>
            </w: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 from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2015 from 2014</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(17)%</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2014 from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w:t>
            </w:r>
          </w:p>
        </w:tc>
      </w:tr>
      <w:tr>
        <w:trPr>
          <w:trHeight w:val="27"/>
        </w:trPr>
        <w:tc>
          <w:tcPr>
            <w:tcW w:w="7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improve gross margins.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reduce costs include, but are not limited to, strategic product diversification decisions affecting product mix, the increasing complexity of manufacturing processes, difficulties in transitioning to smaller line-width process technologies, 3D memory layers, NAND cell levels, transitioning to replacement gate technology for NAND, process complexity including number of mask layers and fabrication steps, manufacturing yield, technological barriers, changes in process technologies, and new products that may require relatively larger die sizes. Per gigabit manufacturing costs may be affected by any decisions to reduce our production output, which may cause per gigabit costs to increase. 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As a result, we may incur charges in connection with obsolete or excess inventories, which could have a material adverse effect on our business, results of operations, or financial condition. Our inability to maintain or improve gross margins could have a material adverse effect on our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Intel; Samsung Electronics Co., Ltd.; SK Hynix Inc.;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would lead to further declines in average selling prices for our products and would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7" w:name="page38"/>
    <w:bookmarkEnd w:id="37"/>
    <w:p>
      <w:pPr>
        <w:ind w:right="36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and make adequate capital investments.</w:t>
      </w:r>
    </w:p>
    <w:p>
      <w:pPr>
        <w:spacing w:after="0" w:line="166"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estimate that capital expenditures in 2019 for property, plant, and equipment, net of partner contributions, to be approximately $9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 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178"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the past we have utilized external sources of financing when needed. As a result of our debt levels, expected debt amortization, and general economic conditions, it may be difficult for us to obtain financing on terms acceptable to us.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on our ability to develop and produce competitive new memory and storage technologies.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In addition, we may face challenges in transitioning to replacement gate technology for NAND.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18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concentration of our revenue is to a select number of customers.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 inability to meet our customers'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8" w:name="page39"/>
    <w:bookmarkEnd w:id="38"/>
    <w:p>
      <w:pPr>
        <w:ind w:right="120"/>
        <w:spacing w:after="0" w:line="264" w:lineRule="auto"/>
        <w:rPr>
          <w:sz w:val="20"/>
          <w:szCs w:val="20"/>
          <w:color w:val="auto"/>
        </w:rPr>
      </w:pPr>
      <w:r>
        <w:rPr>
          <w:rFonts w:ascii="Arial" w:cs="Arial" w:eastAsia="Arial" w:hAnsi="Arial"/>
          <w:sz w:val="18"/>
          <w:szCs w:val="18"/>
          <w:color w:val="auto"/>
        </w:rPr>
        <w:t>requirements or to qualify our products with them could adversely impact our revenue. The loss of one or more of our major customers or any significant reduction in orders from, or a shift in product mix by, these customers could have a material adverse effect on our business, results of operations, or financial condition.</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Increases in tariffs or other trade restrictions or taxes on our or our customers' products or equipment and supplies could have an adverse impact on our operations.</w:t>
      </w:r>
    </w:p>
    <w:p>
      <w:pPr>
        <w:spacing w:after="0" w:line="166"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In 2018, 88%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Taiwan, Singapore, Japan, and China.</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United States and other countries have levied tariffs and taxes on certain goods. General trade tensions between the U.S.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U.S. has threatened to impose tariffs on goods imported from other countries, which could also impact our or certain of our customers' operations. If the U.S.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167"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government has restricted our ability to sell our products to a significant customer.</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May 16, 2019, the Bureau of Industry and Security ("BIS") of the U.S. Department of Commerce added Huawei to the BIS's Entity List, which imposes limitations on the supply of certain U.S. items and product support to Huawei. Our sales to Huawei accounted for 13% of our total revenue for the first nine months of 2019. To ensure compliance with the Entity List restrictions, we suspended shipments of all products to Huawei, effective May 16, 2019. We are reviewing our product portfolio to determine whether our products and related support are subject to the Export Administration Regulations ("EAR"), and therefore within the scope of the Entity List restrictions. We have determined that certain products Huawei purchases from us are not subject to the EAR and consequently can be lawfully sold and shipped to Huawei. Accordingly, we resumed shipping certain products to Huawei in the fourth quarter of 2019.</w:t>
      </w:r>
    </w:p>
    <w:p>
      <w:pPr>
        <w:spacing w:after="0" w:line="16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While Huawei remains on the Entity List, and in the absence of a license from the BIS, we may be unable to work with Huawei on future product development, which may have a negative effect on our ability to sell products to Huawei in the future. Entity List restrictions may also encourage Huawei to seek to obtain a greater supply of similar or substitute products from our competitors that are not subject to these restrictions, thereby decreasing our long-term competitiveness as a supplier to Huawei. Moreover, although Huawei is not prohibited from paying (and we are not restricted from collecting) accounts receivable for products we sell to Huawei, the credit risks associated with these accounts may have increased as a result of the BIS's actions.</w:t>
      </w:r>
    </w:p>
    <w:p>
      <w:pPr>
        <w:spacing w:after="0" w:line="158"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We cannot predict what additional actions the U.S. government may take with respect to Huawei, including modifications to or interpretations of Entity List restrictions, export restrictions, tariffs, or other trade limitations or barriers. Due to the customized nature of certain of the products we manufacture, we may be unable to sell certain finished goods inventory to an alternative customer or manufacture in-process inventory to different specifications, which may result in excess and obsolescence charges in future periods.</w:t>
      </w:r>
    </w:p>
    <w:p>
      <w:pPr>
        <w:spacing w:after="0" w:line="18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Entity List trade restrictions enacted during our third quarter of 2019 had an adverse effect on our business. We are unable to predict the duration of the export restrictions imposed with respect to Huawei or the long-term effects on our business. Additionally, other companies may be added to the Entity List and/or subject to trade restrictions. In addition, there may be indirect impacts to our business which we cannot reasonably quantify, including that some of our other customer's products which incorporate our solutions may also be impacted by these and other trade restrictions that may be imposed by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ind w:right="200"/>
        <w:spacing w:after="0" w:line="277" w:lineRule="auto"/>
        <w:rPr>
          <w:sz w:val="20"/>
          <w:szCs w:val="20"/>
          <w:color w:val="auto"/>
        </w:rPr>
      </w:pPr>
      <w:r>
        <w:rPr>
          <w:rFonts w:ascii="Arial" w:cs="Arial" w:eastAsia="Arial" w:hAnsi="Arial"/>
          <w:sz w:val="18"/>
          <w:szCs w:val="18"/>
          <w:color w:val="auto"/>
        </w:rPr>
        <w:t>U.S., China, or other countries. Restrictions on our ability to sell and ship our products to Huawei have had, and may continue to have, an adverse effect on our business, results of operations, or financial condition.</w:t>
      </w:r>
    </w:p>
    <w:p>
      <w:pPr>
        <w:spacing w:after="0" w:line="16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 substantial majority of our consolidated revenue is from products shipped to customer locations outside the United States. In addition, a substantial portion of our manufacturing operations are located outside the United States. In particular, a significant portion of our manufacturing operations are concentrated in Singapore, Taiwan, Japan, and China. Many of our customers, suppliers, and vendors operate internationally and are also subject to the risks described below.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 We have experienced restrictions on our ability to sell products to certain foreign customers where sales of products require export licenses or are prohibited by government action. Possible future U.S. government actions could lead to additional or enhanced controls on exports from the United States to China or other countries, bans on sales to other key customers, or other similar restrictions.</w:t>
      </w:r>
    </w:p>
    <w:p>
      <w:pPr>
        <w:spacing w:after="0" w:line="18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Trade-related government actions, by China or other countries, that impose barriers or restrictions that would impact our ability to sell or ship products to Huawei or other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served with complaints in Chinese courts alleging patent infringement.</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16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have a material adverse effect on our business, results of operations, or financial condition. (See "Part I. Financial Information – Item 1. Financial Statements – Notes to Consolidated Financial Statements –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allegations of anticompetitive conduct.</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April 27, 2018, a complaint was filed against Micron and other DRAM suppliers in the U.S. District Court for the Northern District of California. Subsequently two substantially identical cases were filed in the same court. The lawsuits purport to be on behalf of a nationwide class of indirect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June 26, 2018, a complaint was filed against Micron and other DRAM suppliers in the U.S. District Court for the Northern District of California. Subsequently four substantially identical cases were filed in the same court. The lawsuits purport to be on behalf of a nationwide class of 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4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limited availability and quality of materials, supplies, and capital equipment, or the dependency on third-party service providers.</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Certain materials are primarily available in certain countries, including rare earth elements, minerals, and metals available primarily from China. Trade disputes or other political or economic conditions may limit our availability to obtain such materials. Although these rare earth and other materials are generally available from multiple suppliers, China is the predominant producer of certain of these materials. If China were to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18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and responsible sourcing practices, which could limit the supply of our materials and/or increase the cost. In addition, disruptions in transportation lines could delay our receipt of materials. Lead times for the supply of materials have been extended in the past. The disruption of our supply of materials, components,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ind w:right="20" w:firstLine="324"/>
        <w:spacing w:after="0" w:line="293"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allegations of securities violations and related wrongful acts.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alleges that defendants committed securities fraud through misrepresentations and omissions about purported anticompetitive behavior in the DRAM industry and seek compensatory and punitive damages, fees, interest, costs, and other appropriate relief.</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March 5, 2019, a shareholder derivative complaint was filed in the U.S. District Court for the District of Delaware, allegedly on behalf of and for the benefit of Micron, against certain current and former officers and directors of Micron for alleged breaches of their fiduciary duties and other violations of law. The allegations are based on, among other things, purported false and misleading statements regarding anticompetitive behavior in the DRAM industry. The complaint seeks damages, fees, interest, costs, and other appropriate relief.</w:t>
      </w:r>
    </w:p>
    <w:p>
      <w:pPr>
        <w:spacing w:after="0" w:line="18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and market development may be unsuccessful.</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end-customer's needs and preferences. As a result, our product demand forecasts may be impacted significantly by the strategic actions of our customers. In order to continue our success, we must develop, manufacture, and qualify the products our customers need at the time they need those products. The process to develop new products requires us to demonstrate advanced functionality and performance, often well in advance of a planned ramp of production, in order to secure design wins with our customers.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with specific chip set or design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Our joint ventures and strategic relationships involve numerous risks.</w:t>
      </w:r>
    </w:p>
    <w:p>
      <w:pPr>
        <w:spacing w:after="0" w:line="229"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We have entered into strategic relationships to develop new manufacturing process technologies and products and to manufacture certain products, including our joint development partnership and our IMFT joint venture with Intel. In January 2019, we exercised our option to acquire Intel's interest in IMFT and, in the third quarter of 2019, Intel set the closing date of the transaction to occur on October 31, 2019. At closing, we expect to pay Intel approximately $1.4 billion in cash for Intel's noncontrolling interest in IMFT and IMFT Member Debt. As of May 30, 2019, current debt included $858 million of IMFT Member Debt.</w:t>
      </w:r>
    </w:p>
    <w:p>
      <w:pPr>
        <w:spacing w:after="0" w:line="18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joint ventures and strategic relationships are subject to various risks that could adversely affect the value of our investments and our results of operations, including the following:</w:t>
      </w:r>
    </w:p>
    <w:p>
      <w:pPr>
        <w:spacing w:after="0" w:line="197"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diverging interests between us and our partners and disagreements on the following: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ongoing or future development, manufacturing, or operational activities;</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amount, timing, or nature of further investments;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commercial terms in our joint ventures or strategic relationships;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our partners;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by our partners to our proprietary product and process technology which they may use;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transferring technology to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delays in ramping production at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control over the operations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of our partners to meet their commitments to us or our joint ventures;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differences in participation on funding capital investments in our joint ventures due to differing business models or long-term business goals;</w:t>
      </w:r>
    </w:p>
    <w:p>
      <w:pPr>
        <w:spacing w:after="0" w:line="46" w:lineRule="exact"/>
        <w:rPr>
          <w:rFonts w:ascii="Arial" w:cs="Arial" w:eastAsia="Arial" w:hAnsi="Arial"/>
          <w:sz w:val="17"/>
          <w:szCs w:val="17"/>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inadequate cash flows to fund increased capital requirements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or delays in collecting amounts due to us from our joint ventures and partners;</w:t>
      </w:r>
    </w:p>
    <w:p>
      <w:pPr>
        <w:spacing w:after="0" w:line="23" w:lineRule="exact"/>
        <w:rPr>
          <w:rFonts w:ascii="Arial" w:cs="Arial" w:eastAsia="Arial" w:hAnsi="Arial"/>
          <w:sz w:val="18"/>
          <w:szCs w:val="18"/>
          <w:color w:val="auto"/>
        </w:rPr>
      </w:pPr>
    </w:p>
    <w:p>
      <w:pPr>
        <w:ind w:left="660" w:right="140" w:hanging="328"/>
        <w:spacing w:after="0" w:line="26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disputes with partners regarding the terms of arrangements, including the termination or discontinuance of our joint ventures, or that terms of such arrangements are unfavorable; and</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that necessitate changes in the agreements with our partners.</w:t>
      </w:r>
    </w:p>
    <w:p>
      <w:pPr>
        <w:spacing w:after="0" w:line="23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Our pending acquisition of Intel's noncontrolling interest in IMFT may involve additional risks, including, but not limited to, an inability to sell the product IMFT produces, increases in underutilization charges, increase in R&amp;D expenses, retention of key employees, and successful integration of IMFT.</w:t>
      </w:r>
    </w:p>
    <w:p>
      <w:pPr>
        <w:spacing w:after="0" w:line="1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and qualify our system solutions.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revenues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78"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580" w:right="319" w:bottom="1440" w:gutter="0" w:footer="0" w:header="0"/>
        </w:sectPr>
      </w:pPr>
    </w:p>
    <w:bookmarkStart w:id="43" w:name="page44"/>
    <w:bookmarkEnd w:id="43"/>
    <w:p>
      <w:pPr>
        <w:ind w:right="60"/>
        <w:spacing w:after="0" w:line="312" w:lineRule="auto"/>
        <w:rPr>
          <w:sz w:val="20"/>
          <w:szCs w:val="20"/>
          <w:color w:val="auto"/>
        </w:rPr>
      </w:pPr>
      <w:r>
        <w:rPr>
          <w:rFonts w:ascii="Arial" w:cs="Arial" w:eastAsia="Arial" w:hAnsi="Arial"/>
          <w:sz w:val="16"/>
          <w:szCs w:val="16"/>
          <w:color w:val="auto"/>
        </w:rPr>
        <w:t>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functions in our customers' products and may result in sharing or shifting of product or financial liability from our customers to us for costs incurred by the end user as a result of our customers' products failing to perform as specified. We could be adversely affected in several ways, including the following:</w:t>
      </w:r>
    </w:p>
    <w:p>
      <w:pPr>
        <w:spacing w:after="0" w:line="178" w:lineRule="exact"/>
        <w:rPr>
          <w:sz w:val="20"/>
          <w:szCs w:val="20"/>
          <w:color w:val="auto"/>
        </w:rPr>
      </w:pPr>
    </w:p>
    <w:p>
      <w:pPr>
        <w:ind w:left="660" w:right="3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could incur a decrease in revenue or adjustment to pricing commensurate with the reimbursement of such costs or alleged damages; and</w:t>
      </w:r>
    </w:p>
    <w:p>
      <w:pPr>
        <w:spacing w:after="0" w:line="20" w:lineRule="exact"/>
        <w:rPr>
          <w:rFonts w:ascii="Arial" w:cs="Arial" w:eastAsia="Arial" w:hAnsi="Arial"/>
          <w:sz w:val="17"/>
          <w:szCs w:val="17"/>
          <w:color w:val="auto"/>
        </w:rPr>
      </w:pPr>
    </w:p>
    <w:p>
      <w:pPr>
        <w:ind w:left="660" w:right="5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of and develop our intellectual property.</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93"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19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ind w:right="200"/>
        <w:spacing w:after="0" w:line="266"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8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could have a material adverse effect on our business, results of operations, or financial condition.</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Additionally, our control over operations at IMFT is limited by our agreements with Intel. From time to time, there have been disruptions in the manufacturing process as a result of power outages, improperly functioning equipment, disruptions in supply of raw materials or components, equipment failures, earthquakes, or other environmental events. If production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restructuring of our capital structure. As of May 30, 2019, we had debt with a carrying value of $4.91 billion and may borrow up to an additional $2.50 billion under an undrawn revolving credit facility. In addition, as of May 30, 2019, the conversion value in excess of principal of our convertible notes was $443 million, based on the trading price of our common stock of $33.32 per share on such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25" w:lineRule="exact"/>
        <w:rPr>
          <w:sz w:val="20"/>
          <w:szCs w:val="20"/>
          <w:color w:val="auto"/>
        </w:rPr>
      </w:pPr>
    </w:p>
    <w:p>
      <w:pPr>
        <w:ind w:left="660" w:right="20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To remain competitive, we must attract, retain, and motivate executives and other highly skilled employees. Hiring and retaining qualified executives, engineers, technical staff, and sales representatives are critical to our business, and competition for experienced employees in our industry can be intense. Our inability to attract and retain key employees may inhibit our ability to maintain or expand our business operations. Additionally, changes to immigration policies in the numerous countries in which we operate, including the United States, may limit our ability to hire and/or retain talent in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17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acquisition of our ownership interest in Inotera from Qimonda has been challenged by the administrator of the insolvency proceedings for Qimonda.</w:t>
      </w:r>
    </w:p>
    <w:p>
      <w:pPr>
        <w:spacing w:after="0" w:line="166"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96" w:right="259" w:bottom="1440" w:gutter="0" w:footer="0" w:header="0"/>
        </w:sectPr>
      </w:pPr>
    </w:p>
    <w:bookmarkStart w:id="46" w:name="page47"/>
    <w:bookmarkEnd w:id="46"/>
    <w:p>
      <w:pPr>
        <w:ind w:right="100"/>
        <w:spacing w:after="0" w:line="259" w:lineRule="auto"/>
        <w:rPr>
          <w:sz w:val="20"/>
          <w:szCs w:val="20"/>
          <w:color w:val="auto"/>
        </w:rPr>
      </w:pPr>
      <w:r>
        <w:rPr>
          <w:rFonts w:ascii="Arial" w:cs="Arial" w:eastAsia="Arial" w:hAnsi="Arial"/>
          <w:sz w:val="18"/>
          <w:szCs w:val="18"/>
          <w:color w:val="auto"/>
        </w:rPr>
        <w:t>"Inotera Shares"), representing approximately 18% of Inotera's outstanding shares as of May 30, 2019,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20" w:firstLine="8"/>
        <w:spacing w:after="0" w:line="26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Breaches of our security systems, or those of our customers, suppliers, or business partners, could expose us to losses.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forgoing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Across our global operations, significant transactions and balances are denominated in currencies other than the U.S. dollar (our reporting currency), primarily the euro, Singapore dollar, New Taiwan dollar, and yen.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make future acquisitions and/or alliances, which involve numerous risks.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4" w:right="259" w:bottom="1440" w:gutter="0" w:footer="0" w:header="0"/>
        </w:sectPr>
      </w:pPr>
    </w:p>
    <w:bookmarkStart w:id="47" w:name="page48"/>
    <w:bookmarkEnd w:id="47"/>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0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previous years, supply of memory and storage products has significantly exceeded customer demand resulting in significant declines in average selling prices.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the worldwide economy may harm our business.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could be affected by natural disasters and other events in the locations in which we or our customers or suppliers operate.</w:t>
      </w:r>
    </w:p>
    <w:p>
      <w:pPr>
        <w:spacing w:after="0" w:line="29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including earthquakes or tsunamis, that could disrupt operations or result in construction delays. In addition, our suppliers and customers also have operations in such locations. A natural disaster, fire, explosion, or other event that results in a prolonged disruption to our operations, or the operations of our customers or suppliers, could have a material adverse effect on our business, results of operations, or financial condition.</w:t>
      </w:r>
    </w:p>
    <w:p>
      <w:pPr>
        <w:spacing w:after="0" w:line="16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obligations and are subject to reduction, termination, or clawback.</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 change in tax laws in key jurisdictions could materially increase our tax expense.</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 from operating activities and otherwise have a material adverse effect on our financial condition. For example, as a result of the Tax Cuts and Jobs Act (the "Tax Act") enacted on December 22, 2017 by the United States, our effective tax rate was 9.7% in the first nine months of 2019. The U.S. Treasury Department continues to issue interpretive guidance on the Tax Act, including the Repatriation Tax, foreign tax credits, Foreign Minimum Tax, foreign derived intangible income, and interest expense deduction limitations. It is anticipated that the guidance will be finalized over the next several months. Additionally, various levels of government are increasingly focused on tax reform and other legislative actions to increase tax revenue. Further changes in the tax laws of foreign jurisdictions could arise as a result of the base erosion and profit shifting project undertaken by the Organization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tax expense or become subject to additional tax exposure.</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restructuring charges in future periods.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customer requirements and regulations regarding the use of conflict minerals could limit the supply and increase the cost of certain metals used in manufacturing our products.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Increased focus on environmental protection and social responsibility initiatives led to the passage of Section 1502 of the Dodd-Frank Wall Street Reform and Consumer Protection Act of 2010 (the "Dodd-Frank Act") and its implementing SEC regulations. The Dodd-Frank Act imposes supply chain diligence and disclosure requirements for certain manufacturers of products containing specific minerals that may originate in or near the Democratic Republic of the Congo ("DRC") and finance or benefit local armed groups. These "conflict minerals" are commonly found in materials used in the manufacture of semiconductors. The implementation of these regulations may limit the sourcing and availability of some of these materials. This in turn may affect our ability to obtain materials necessary for the manufacture of our products in sufficient quantities and may affect related material pricing. Some of our customers may elect to disqualify us as a supplier or reduce purchases from us if we are unable to verify that our products are DRC conflict free. In addition, many of our customers have or are planning to adopt responsible sourcing programs with requirements that are broader in terms of minerals and geographies than DRC conflict minerals programs. Our inability to comply with requirements regarding the use of conflict and other minerals could have a material adverse effect on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We and others are subject to a variety of laws and regulations that may result in additional costs and liabilities.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engage various third parties to represent us or otherwise act on our behalf and we partner with other companies in our joint ventures, all of whom are also subject to a broad array of laws and regulations. Our engagement with these third parties and our ownership in these joint ventures may also expose us to risks associated with their respective compliance with these laws and regulations. As a result of these items, we could experience the following:</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failure, or the failure of our third-party agents or joint ventures, to comply with these laws and regulations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7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The operations of MMJ are subject to continued oversight by the Tokyo District Court during the pendency of the corporate reorganization proceedings.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our acquisition of MMJ,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MMJ's reorganization proceedings in Japan, and oversight of the Tokyo District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Tokyo District Court for an early termination of the reorganization proceedings once two-thirds of all payments under the plan of reorganization are made. Although such early terminations are customarily granted, there can be no assurance that the Tokyo District Court will grant any such petition in this particular case.</w:t>
      </w:r>
    </w:p>
    <w:p>
      <w:pPr>
        <w:spacing w:after="0" w:line="17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80" w:right="279" w:bottom="1440" w:gutter="0" w:footer="0" w:header="0"/>
        </w:sectPr>
      </w:pPr>
    </w:p>
    <w:bookmarkStart w:id="50" w:name="page51"/>
    <w:bookmarkEnd w:id="50"/>
    <w:p>
      <w:pPr>
        <w:ind w:right="260"/>
        <w:spacing w:after="0" w:line="277" w:lineRule="auto"/>
        <w:rPr>
          <w:sz w:val="20"/>
          <w:szCs w:val="20"/>
          <w:color w:val="auto"/>
        </w:rPr>
      </w:pPr>
      <w:r>
        <w:rPr>
          <w:rFonts w:ascii="Arial" w:cs="Arial" w:eastAsia="Arial" w:hAnsi="Arial"/>
          <w:sz w:val="18"/>
          <w:szCs w:val="18"/>
          <w:color w:val="auto"/>
        </w:rPr>
        <w:t>deem advisable for its business could be adversely affected if the Tokyo District Court or the legal trustee is unwilling to consent to various actions that we may wish to take with respect to MMJ.</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00" w:lineRule="exact"/>
        <w:rPr>
          <w:sz w:val="20"/>
          <w:szCs w:val="20"/>
          <w:color w:val="auto"/>
        </w:rPr>
      </w:pPr>
    </w:p>
    <w:p>
      <w:pPr>
        <w:spacing w:after="0" w:line="235"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In May 2018, we announced that our Board of Directors had authorized the discretionary repurchase of up to $10 billion of our outstanding common stock beginning in 2019. We may purchase shares on a discretionary basis through open-market purchases, block trades, privately-negotiated transactions, and/or derivative transactions, subject to market conditions and our ongoing determination of the best use of available cash. The repurchase authorization does not obligate us to acquire any common stock.</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(c) Total number of</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(d) Maximum number (or</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shares (or units)</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(a) Total number</w:t>
            </w:r>
          </w:p>
        </w:tc>
        <w:tc>
          <w:tcPr>
            <w:tcW w:w="14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 Average</w:t>
            </w:r>
          </w:p>
        </w:tc>
        <w:tc>
          <w:tcPr>
            <w:tcW w:w="2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shares (or units) that may yet be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price paid</w:t>
            </w: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publicly announced plans</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 under publicly</w:t>
            </w:r>
          </w:p>
        </w:tc>
      </w:tr>
      <w:tr>
        <w:trPr>
          <w:trHeight w:val="234"/>
        </w:trPr>
        <w:tc>
          <w:tcPr>
            <w:tcW w:w="1360" w:type="dxa"/>
            <w:vAlign w:val="bottom"/>
          </w:tcPr>
          <w:p>
            <w:pPr>
              <w:spacing w:after="0"/>
              <w:rPr>
                <w:sz w:val="20"/>
                <w:szCs w:val="20"/>
                <w:color w:val="auto"/>
              </w:rPr>
            </w:pPr>
          </w:p>
        </w:tc>
        <w:tc>
          <w:tcPr>
            <w:tcW w:w="2560" w:type="dxa"/>
            <w:vAlign w:val="bottom"/>
            <w:gridSpan w:val="3"/>
          </w:tcPr>
          <w:p>
            <w:pPr>
              <w:ind w:left="280"/>
              <w:spacing w:after="0"/>
              <w:rPr>
                <w:sz w:val="20"/>
                <w:szCs w:val="20"/>
                <w:color w:val="auto"/>
              </w:rPr>
            </w:pPr>
            <w:r>
              <w:rPr>
                <w:rFonts w:ascii="Arial" w:cs="Arial" w:eastAsia="Arial" w:hAnsi="Arial"/>
                <w:sz w:val="18"/>
                <w:szCs w:val="18"/>
                <w:b w:val="1"/>
                <w:bCs w:val="1"/>
                <w:color w:val="auto"/>
              </w:rPr>
              <w:t>Period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 share</w:t>
            </w: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or programs</w:t>
            </w:r>
          </w:p>
        </w:tc>
        <w:tc>
          <w:tcPr>
            <w:tcW w:w="26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announced plans or programs</w:t>
            </w: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2019</w:t>
            </w:r>
          </w:p>
        </w:tc>
        <w:tc>
          <w:tcPr>
            <w:tcW w:w="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4, 2019</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1360" w:type="dxa"/>
            <w:vAlign w:val="bottom"/>
          </w:tcPr>
          <w:p>
            <w:pPr>
              <w:ind w:left="40"/>
              <w:spacing w:after="0"/>
              <w:rPr>
                <w:sz w:val="20"/>
                <w:szCs w:val="20"/>
                <w:color w:val="auto"/>
              </w:rPr>
            </w:pPr>
            <w:r>
              <w:rPr>
                <w:rFonts w:ascii="Arial" w:cs="Arial" w:eastAsia="Arial" w:hAnsi="Arial"/>
                <w:sz w:val="18"/>
                <w:szCs w:val="18"/>
                <w:color w:val="auto"/>
              </w:rPr>
              <w:t>April 5, 2019</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May 2, 2019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2,118,700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2,118,700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7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3, 2019</w:t>
            </w:r>
          </w:p>
        </w:tc>
        <w:tc>
          <w:tcPr>
            <w:tcW w:w="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30, 2019</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1,431,200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1,431,200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spacing w:after="0"/>
              <w:rPr>
                <w:sz w:val="23"/>
                <w:szCs w:val="23"/>
                <w:color w:val="auto"/>
              </w:rPr>
            </w:pPr>
          </w:p>
        </w:tc>
      </w:tr>
      <w:tr>
        <w:trPr>
          <w:trHeight w:val="257"/>
        </w:trPr>
        <w:tc>
          <w:tcPr>
            <w:tcW w:w="1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3,774,900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7,337,838,234</w:t>
            </w: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6. 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Filed</w:t>
            </w:r>
          </w:p>
        </w:tc>
        <w:tc>
          <w:tcPr>
            <w:tcW w:w="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5360" w:type="dxa"/>
            <w:vAlign w:val="bottom"/>
            <w:gridSpan w:val="7"/>
          </w:tcPr>
          <w:p>
            <w:pPr>
              <w:ind w:left="1980"/>
              <w:spacing w:after="0"/>
              <w:rPr>
                <w:sz w:val="20"/>
                <w:szCs w:val="20"/>
                <w:color w:val="auto"/>
              </w:rPr>
            </w:pPr>
            <w:r>
              <w:rPr>
                <w:rFonts w:ascii="Arial" w:cs="Arial" w:eastAsia="Arial" w:hAnsi="Arial"/>
                <w:sz w:val="18"/>
                <w:szCs w:val="18"/>
                <w:b w:val="1"/>
                <w:bCs w:val="1"/>
                <w:color w:val="auto"/>
              </w:rPr>
              <w:t>Description of Exhibit</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4"/>
              </w:rPr>
              <w:t>Herewith</w:t>
            </w:r>
          </w:p>
        </w:tc>
        <w:tc>
          <w:tcPr>
            <w:tcW w:w="86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Appendix</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3.1</w:t>
            </w:r>
          </w:p>
        </w:tc>
        <w:tc>
          <w:tcPr>
            <w:tcW w:w="5360" w:type="dxa"/>
            <w:vAlign w:val="bottom"/>
            <w:gridSpan w:val="7"/>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Restated Certificate of Incorporation of the Registrant</w:t>
              </w:r>
            </w:hyperlink>
          </w:p>
        </w:tc>
        <w:tc>
          <w:tcPr>
            <w:tcW w:w="1280" w:type="dxa"/>
            <w:vAlign w:val="bottom"/>
            <w:shd w:val="clear" w:color="auto" w:fill="CCEEFF"/>
          </w:tcPr>
          <w:p>
            <w:pPr>
              <w:spacing w:after="0"/>
              <w:rPr>
                <w:sz w:val="21"/>
                <w:szCs w:val="21"/>
                <w:color w:val="auto"/>
              </w:rPr>
            </w:pPr>
          </w:p>
        </w:tc>
        <w:tc>
          <w:tcPr>
            <w:tcW w:w="8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8-K</w:t>
            </w:r>
          </w:p>
        </w:tc>
        <w:tc>
          <w:tcPr>
            <w:tcW w:w="8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99.2</w:t>
            </w:r>
          </w:p>
        </w:tc>
        <w:tc>
          <w:tcPr>
            <w:tcW w:w="9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1/26/15</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3.2</w:t>
            </w:r>
          </w:p>
        </w:tc>
        <w:tc>
          <w:tcPr>
            <w:tcW w:w="3880" w:type="dxa"/>
            <w:vAlign w:val="bottom"/>
            <w:tcBorders>
              <w:top w:val="single" w:sz="8" w:color="0000FF"/>
            </w:tcBorders>
            <w:gridSpan w:val="2"/>
          </w:tcPr>
          <w:p>
            <w:pPr>
              <w:spacing w:after="0" w:line="202" w:lineRule="exact"/>
              <w:rPr>
                <w:rFonts w:ascii="Arial" w:cs="Arial" w:eastAsia="Arial" w:hAnsi="Arial"/>
                <w:sz w:val="18"/>
                <w:szCs w:val="18"/>
                <w:color w:val="0000FF"/>
                <w:w w:val="98"/>
              </w:rPr>
            </w:pPr>
            <w:hyperlink r:id="rId46">
              <w:r>
                <w:rPr>
                  <w:rFonts w:ascii="Arial" w:cs="Arial" w:eastAsia="Arial" w:hAnsi="Arial"/>
                  <w:sz w:val="18"/>
                  <w:szCs w:val="18"/>
                  <w:color w:val="0000FF"/>
                  <w:w w:val="98"/>
                </w:rPr>
                <w:t>Bylaws of the Registrant, Amended and Restated</w:t>
              </w:r>
            </w:hyperlink>
          </w:p>
        </w:tc>
        <w:tc>
          <w:tcPr>
            <w:tcW w:w="1480" w:type="dxa"/>
            <w:vAlign w:val="bottom"/>
            <w:tcBorders>
              <w:top w:val="single" w:sz="8" w:color="CCEEFF"/>
            </w:tcBorders>
            <w:gridSpan w:val="5"/>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jc w:val="right"/>
              <w:ind w:right="530"/>
              <w:spacing w:after="0" w:line="202" w:lineRule="exact"/>
              <w:rPr>
                <w:sz w:val="20"/>
                <w:szCs w:val="20"/>
                <w:color w:val="auto"/>
              </w:rPr>
            </w:pPr>
            <w:r>
              <w:rPr>
                <w:rFonts w:ascii="Arial" w:cs="Arial" w:eastAsia="Arial" w:hAnsi="Arial"/>
                <w:sz w:val="18"/>
                <w:szCs w:val="18"/>
                <w:color w:val="auto"/>
              </w:rPr>
              <w:t>99.1</w:t>
            </w:r>
          </w:p>
        </w:tc>
        <w:tc>
          <w:tcPr>
            <w:tcW w:w="960" w:type="dxa"/>
            <w:vAlign w:val="bottom"/>
            <w:tcBorders>
              <w:top w:val="single" w:sz="8" w:color="CCEEFF"/>
            </w:tcBorders>
          </w:tcPr>
          <w:p>
            <w:pPr>
              <w:jc w:val="right"/>
              <w:ind w:right="230"/>
              <w:spacing w:after="0" w:line="202" w:lineRule="exact"/>
              <w:rPr>
                <w:sz w:val="20"/>
                <w:szCs w:val="20"/>
                <w:color w:val="auto"/>
              </w:rPr>
            </w:pPr>
            <w:r>
              <w:rPr>
                <w:rFonts w:ascii="Arial" w:cs="Arial" w:eastAsia="Arial" w:hAnsi="Arial"/>
                <w:sz w:val="18"/>
                <w:szCs w:val="18"/>
                <w:color w:val="auto"/>
              </w:rPr>
              <w:t>1/22/19</w:t>
            </w:r>
          </w:p>
        </w:tc>
      </w:tr>
      <w:tr>
        <w:trPr>
          <w:trHeight w:val="48"/>
        </w:trPr>
        <w:tc>
          <w:tcPr>
            <w:tcW w:w="108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400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54">
              <w:r>
                <w:rPr>
                  <w:rFonts w:ascii="Arial" w:cs="Arial" w:eastAsia="Arial" w:hAnsi="Arial"/>
                  <w:sz w:val="18"/>
                  <w:szCs w:val="18"/>
                  <w:color w:val="0000FF"/>
                  <w:w w:val="92"/>
                </w:rPr>
                <w:t>Rule 13a-14(a) Certification of Chief Executive Officer</w:t>
              </w:r>
            </w:hyperlink>
          </w:p>
        </w:tc>
        <w:tc>
          <w:tcPr>
            <w:tcW w:w="1360" w:type="dxa"/>
            <w:vAlign w:val="bottom"/>
            <w:tcBorders>
              <w:bottom w:val="single" w:sz="8" w:color="CCEEFF"/>
            </w:tcBorders>
            <w:gridSpan w:val="3"/>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5360" w:type="dxa"/>
            <w:vAlign w:val="bottom"/>
            <w:gridSpan w:val="7"/>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Rule 13a-14(a) Certification of Chief Financial Officer</w:t>
              </w:r>
            </w:hyperlink>
          </w:p>
        </w:tc>
        <w:tc>
          <w:tcPr>
            <w:tcW w:w="128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490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of Chief Executive Officer Pursuant to 18 U.S.C. 1350</w:t>
              </w:r>
            </w:hyperlink>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32.2</w:t>
            </w:r>
          </w:p>
        </w:tc>
        <w:tc>
          <w:tcPr>
            <w:tcW w:w="5360" w:type="dxa"/>
            <w:vAlign w:val="bottom"/>
            <w:gridSpan w:val="7"/>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Certification of Chief Financial Officer Pursuant to 18 U.S.C. 1350</w:t>
              </w:r>
            </w:hyperlink>
          </w:p>
        </w:tc>
        <w:tc>
          <w:tcPr>
            <w:tcW w:w="128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3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128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53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1280" w:type="dxa"/>
            <w:vAlign w:val="bottom"/>
          </w:tcPr>
          <w:p>
            <w:pPr>
              <w:jc w:val="center"/>
              <w:ind w:left="290"/>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3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8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53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80" w:type="dxa"/>
            <w:vAlign w:val="bottom"/>
          </w:tcPr>
          <w:p>
            <w:pPr>
              <w:jc w:val="center"/>
              <w:ind w:left="290"/>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3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128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53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80" w:type="dxa"/>
            <w:vAlign w:val="bottom"/>
          </w:tcPr>
          <w:p>
            <w:pPr>
              <w:jc w:val="center"/>
              <w:ind w:left="290"/>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702"/>
        </w:trPr>
        <w:tc>
          <w:tcPr>
            <w:tcW w:w="1080" w:type="dxa"/>
            <w:vAlign w:val="bottom"/>
          </w:tcPr>
          <w:p>
            <w:pPr>
              <w:spacing w:after="0"/>
              <w:rPr>
                <w:sz w:val="24"/>
                <w:szCs w:val="24"/>
                <w:color w:val="auto"/>
              </w:rPr>
            </w:pPr>
          </w:p>
        </w:tc>
        <w:tc>
          <w:tcPr>
            <w:tcW w:w="4840" w:type="dxa"/>
            <w:vAlign w:val="bottom"/>
            <w:gridSpan w:val="5"/>
          </w:tcPr>
          <w:p>
            <w:pPr>
              <w:ind w:left="454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52" w:name="page53"/>
    <w:bookmarkEnd w:id="52"/>
    <w:p>
      <w:pPr>
        <w:ind w:left="5080"/>
        <w:spacing w:after="0"/>
        <w:rPr>
          <w:sz w:val="20"/>
          <w:szCs w:val="20"/>
          <w:color w:val="auto"/>
        </w:rPr>
      </w:pPr>
      <w:r>
        <w:rPr>
          <w:rFonts w:ascii="Arial" w:cs="Arial" w:eastAsia="Arial" w:hAnsi="Arial"/>
          <w:sz w:val="22"/>
          <w:szCs w:val="22"/>
          <w:b w:val="1"/>
          <w:bCs w:val="1"/>
          <w:color w:val="auto"/>
        </w:rPr>
        <w:t>SIGNATURE</w:t>
      </w: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26,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600"/>
          </w:cols>
          <w:pgMar w:left="240" w:top="585" w:right="10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26, 2019</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95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26,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6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3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May 30, 2019,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26, 2019</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Sanjay Mehrotra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May 30, 2019,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26,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5" Type="http://schemas.openxmlformats.org/officeDocument/2006/relationships/hyperlink" Target="http://www.sec.gov/Archives/edgar/data/723125/000110465915004447/a15-3005_2ex99d2.htm" TargetMode="External"/><Relationship Id="rId46" Type="http://schemas.openxmlformats.org/officeDocument/2006/relationships/hyperlink" Target="http://www.sec.gov/Archives/edgar/data/723125/000072312519000005/ex991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2019-12-28T10:52:28Z</dcterms:created>
  <dcterms:modified xsi:type="dcterms:W3CDTF">2019-12-28T10:52:28Z</dcterms:modified>
</cp:coreProperties>
</file>