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</w:sectPr>
      </w:pP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520" w:type="dxa"/>
            <w:vAlign w:val="bottom"/>
          </w:tcPr>
          <w:p>
            <w:pPr>
              <w:jc w:val="center"/>
              <w:ind w:right="19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-930910</wp:posOffset>
            </wp:positionV>
            <wp:extent cx="7324090" cy="54286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28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4" w:right="139" w:bottom="144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BAGLEY JAMES W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06/30/2003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0"/>
        <w:spacing w:after="0"/>
        <w:tabs>
          <w:tab w:leader="none" w:pos="529" w:val="left"/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0"/>
        <w:spacing w:after="0"/>
        <w:tabs>
          <w:tab w:leader="none" w:pos="214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30"/>
            <w:col w:w="3470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jc w:val="center"/>
              <w:ind w:left="5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08/08/1988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1,075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11.63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06/30/2003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10,394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Deferred stk rights issued under the 98 Nonemployee Director Stock Incentive Plan.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Katie Reid Attorney-in-Fact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07/01/2003</w:t>
            </w: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016317" TargetMode="External"/><Relationship Id="rId11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2019-12-16T16:58:45Z</dcterms:created>
  <dcterms:modified xsi:type="dcterms:W3CDTF">2019-12-16T16:58:45Z</dcterms:modified>
</cp:coreProperties>
</file>