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40"/>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40"/>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8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52"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(Amendment No. _______)</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Tower Semiconductor Ltd.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Ordinary Shares, NIS 1.00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M87915-10-0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June 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720"/>
        <w:spacing w:after="0"/>
        <w:rPr>
          <w:sz w:val="20"/>
          <w:szCs w:val="20"/>
          <w:color w:val="auto"/>
        </w:rPr>
      </w:pPr>
      <w:r>
        <w:rPr>
          <w:rFonts w:ascii="Arial" w:cs="Arial" w:eastAsia="Arial" w:hAnsi="Arial"/>
          <w:sz w:val="18"/>
          <w:szCs w:val="18"/>
          <w:color w:val="auto"/>
        </w:rPr>
        <w:t>o Rule 13d-1(b)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x Rule 13d-1(c)</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Rule 13d-1(d)</w:t>
      </w:r>
    </w:p>
    <w:p>
      <w:pPr>
        <w:spacing w:after="0" w:line="252"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Page 1 of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 w:name="page2"/>
    <w:bookmarkEnd w:id="1"/>
    <w:p>
      <w:pPr>
        <w:ind w:left="180"/>
        <w:spacing w:after="0"/>
        <w:tabs>
          <w:tab w:leader="none" w:pos="11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M87915-10-0</w:t>
      </w:r>
    </w:p>
    <w:p>
      <w:pPr>
        <w:spacing w:after="0" w:line="225" w:lineRule="exact"/>
        <w:rPr>
          <w:sz w:val="20"/>
          <w:szCs w:val="20"/>
          <w:color w:val="auto"/>
        </w:rPr>
      </w:pPr>
    </w:p>
    <w:p>
      <w:pPr>
        <w:ind w:left="1180" w:right="7940" w:hanging="362"/>
        <w:spacing w:after="0" w:line="581" w:lineRule="auto"/>
        <w:tabs>
          <w:tab w:leader="none" w:pos="1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Names of Reporting Persons. Micron Technology, Inc.</w:t>
      </w:r>
    </w:p>
    <w:p>
      <w:pPr>
        <w:ind w:left="1180" w:hanging="362"/>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560" w:hanging="283"/>
        <w:spacing w:after="0"/>
        <w:tabs>
          <w:tab w:leader="none" w:pos="1560" w:val="left"/>
        </w:tabs>
        <w:numPr>
          <w:ilvl w:val="1"/>
          <w:numId w:val="1"/>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580" w:hanging="303"/>
        <w:spacing w:after="0"/>
        <w:tabs>
          <w:tab w:leader="none" w:pos="1580" w:val="left"/>
        </w:tabs>
        <w:numPr>
          <w:ilvl w:val="1"/>
          <w:numId w:val="1"/>
        </w:numPr>
        <w:rPr>
          <w:rFonts w:ascii="Arial" w:cs="Arial" w:eastAsia="Arial" w:hAnsi="Arial"/>
          <w:sz w:val="18"/>
          <w:szCs w:val="18"/>
          <w:color w:val="auto"/>
        </w:rPr>
      </w:pPr>
      <w:r>
        <w:rPr>
          <w:rFonts w:ascii="Arial" w:cs="Arial" w:eastAsia="Arial" w:hAnsi="Arial"/>
          <w:sz w:val="18"/>
          <w:szCs w:val="18"/>
          <w:color w:val="auto"/>
        </w:rPr>
        <w:t>o</w:t>
      </w:r>
    </w:p>
    <w:p>
      <w:pPr>
        <w:spacing w:after="0" w:line="21" w:lineRule="exact"/>
        <w:rPr>
          <w:rFonts w:ascii="Arial" w:cs="Arial" w:eastAsia="Arial" w:hAnsi="Arial"/>
          <w:sz w:val="18"/>
          <w:szCs w:val="18"/>
          <w:color w:val="auto"/>
        </w:rPr>
      </w:pPr>
    </w:p>
    <w:p>
      <w:pPr>
        <w:ind w:left="1180" w:hanging="362"/>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1180" w:hanging="362"/>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Citizenship or Place of Organization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-859155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2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color w:val="auto"/>
                <w:w w:val="91"/>
              </w:rPr>
              <w:t>Number of Shares 5.</w:t>
            </w:r>
          </w:p>
        </w:tc>
        <w:tc>
          <w:tcPr>
            <w:tcW w:w="97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Sole Voting Power 19,678,322</w:t>
            </w:r>
          </w:p>
        </w:tc>
        <w:tc>
          <w:tcPr>
            <w:tcW w:w="0" w:type="dxa"/>
            <w:vAlign w:val="bottom"/>
          </w:tcPr>
          <w:p>
            <w:pPr>
              <w:spacing w:after="0"/>
              <w:rPr>
                <w:sz w:val="1"/>
                <w:szCs w:val="1"/>
                <w:color w:val="auto"/>
              </w:rPr>
            </w:pPr>
          </w:p>
        </w:tc>
      </w:tr>
      <w:tr>
        <w:trPr>
          <w:trHeight w:val="237"/>
        </w:trPr>
        <w:tc>
          <w:tcPr>
            <w:tcW w:w="1480" w:type="dxa"/>
            <w:vAlign w:val="bottom"/>
          </w:tcPr>
          <w:p>
            <w:pPr>
              <w:ind w:left="180"/>
              <w:spacing w:after="0"/>
              <w:rPr>
                <w:sz w:val="20"/>
                <w:szCs w:val="20"/>
                <w:color w:val="auto"/>
              </w:rPr>
            </w:pPr>
            <w:r>
              <w:rPr>
                <w:rFonts w:ascii="Arial" w:cs="Arial" w:eastAsia="Arial" w:hAnsi="Arial"/>
                <w:sz w:val="18"/>
                <w:szCs w:val="18"/>
                <w:color w:val="auto"/>
              </w:rPr>
              <w:t>Beneficially</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480" w:type="dxa"/>
            <w:vAlign w:val="bottom"/>
          </w:tcPr>
          <w:p>
            <w:pPr>
              <w:ind w:left="180"/>
              <w:spacing w:after="0" w:line="175" w:lineRule="exact"/>
              <w:rPr>
                <w:sz w:val="20"/>
                <w:szCs w:val="20"/>
                <w:color w:val="auto"/>
              </w:rPr>
            </w:pPr>
            <w:r>
              <w:rPr>
                <w:rFonts w:ascii="Arial" w:cs="Arial" w:eastAsia="Arial" w:hAnsi="Arial"/>
                <w:sz w:val="18"/>
                <w:szCs w:val="18"/>
                <w:color w:val="auto"/>
              </w:rPr>
              <w:t>Owned by Each</w:t>
            </w:r>
          </w:p>
        </w:tc>
        <w:tc>
          <w:tcPr>
            <w:tcW w:w="60" w:type="dxa"/>
            <w:vAlign w:val="bottom"/>
          </w:tcPr>
          <w:p>
            <w:pPr>
              <w:spacing w:after="0"/>
              <w:rPr>
                <w:sz w:val="15"/>
                <w:szCs w:val="15"/>
                <w:color w:val="auto"/>
              </w:rPr>
            </w:pPr>
          </w:p>
        </w:tc>
        <w:tc>
          <w:tcPr>
            <w:tcW w:w="180" w:type="dxa"/>
            <w:vAlign w:val="bottom"/>
          </w:tcPr>
          <w:p>
            <w:pPr>
              <w:jc w:val="right"/>
              <w:spacing w:after="0" w:line="175" w:lineRule="exact"/>
              <w:rPr>
                <w:sz w:val="20"/>
                <w:szCs w:val="20"/>
                <w:color w:val="auto"/>
              </w:rPr>
            </w:pPr>
            <w:r>
              <w:rPr>
                <w:rFonts w:ascii="Arial" w:cs="Arial" w:eastAsia="Arial" w:hAnsi="Arial"/>
                <w:sz w:val="18"/>
                <w:szCs w:val="18"/>
                <w:color w:val="auto"/>
                <w:w w:val="79"/>
              </w:rPr>
              <w:t>6.</w:t>
            </w:r>
          </w:p>
        </w:tc>
        <w:tc>
          <w:tcPr>
            <w:tcW w:w="9700" w:type="dxa"/>
            <w:vAlign w:val="bottom"/>
          </w:tcPr>
          <w:p>
            <w:pPr>
              <w:ind w:left="60"/>
              <w:spacing w:after="0" w:line="17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ind w:left="180"/>
              <w:spacing w:after="0"/>
              <w:rPr>
                <w:sz w:val="20"/>
                <w:szCs w:val="20"/>
                <w:color w:val="auto"/>
              </w:rPr>
            </w:pPr>
            <w:r>
              <w:rPr>
                <w:rFonts w:ascii="Arial" w:cs="Arial" w:eastAsia="Arial" w:hAnsi="Arial"/>
                <w:sz w:val="18"/>
                <w:szCs w:val="18"/>
                <w:color w:val="auto"/>
                <w:w w:val="91"/>
              </w:rPr>
              <w:t>Reporting Person</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480" w:type="dxa"/>
            <w:vAlign w:val="bottom"/>
            <w:vMerge w:val="restart"/>
          </w:tcPr>
          <w:p>
            <w:pPr>
              <w:ind w:left="180"/>
              <w:spacing w:after="0"/>
              <w:rPr>
                <w:sz w:val="20"/>
                <w:szCs w:val="20"/>
                <w:color w:val="auto"/>
              </w:rPr>
            </w:pPr>
            <w:r>
              <w:rPr>
                <w:rFonts w:ascii="Arial" w:cs="Arial" w:eastAsia="Arial" w:hAnsi="Arial"/>
                <w:sz w:val="18"/>
                <w:szCs w:val="18"/>
                <w:color w:val="auto"/>
              </w:rPr>
              <w:t>With:</w:t>
            </w:r>
          </w:p>
        </w:tc>
        <w:tc>
          <w:tcPr>
            <w:tcW w:w="240" w:type="dxa"/>
            <w:vAlign w:val="bottom"/>
            <w:gridSpan w:val="2"/>
          </w:tcPr>
          <w:p>
            <w:pPr>
              <w:spacing w:after="0"/>
              <w:rPr>
                <w:sz w:val="4"/>
                <w:szCs w:val="4"/>
                <w:color w:val="auto"/>
              </w:rPr>
            </w:pPr>
          </w:p>
        </w:tc>
        <w:tc>
          <w:tcPr>
            <w:tcW w:w="9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4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7.</w:t>
            </w:r>
          </w:p>
        </w:tc>
        <w:tc>
          <w:tcPr>
            <w:tcW w:w="97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Sole Dispositive Power 19,678,322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128270</wp:posOffset>
            </wp:positionV>
            <wp:extent cx="62687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68720" cy="17145"/>
                    </a:xfrm>
                    <a:prstGeom prst="rect">
                      <a:avLst/>
                    </a:prstGeom>
                    <a:noFill/>
                  </pic:spPr>
                </pic:pic>
              </a:graphicData>
            </a:graphic>
          </wp:anchor>
        </w:drawing>
      </w:r>
    </w:p>
    <w:p>
      <w:pPr>
        <w:spacing w:after="0" w:line="194" w:lineRule="exact"/>
        <w:rPr>
          <w:sz w:val="20"/>
          <w:szCs w:val="20"/>
          <w:color w:val="auto"/>
        </w:rPr>
      </w:pPr>
    </w:p>
    <w:p>
      <w:pPr>
        <w:ind w:left="1780" w:hanging="232"/>
        <w:spacing w:after="0"/>
        <w:tabs>
          <w:tab w:leader="none" w:pos="1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52" w:lineRule="exact"/>
        <w:rPr>
          <w:rFonts w:ascii="Arial" w:cs="Arial" w:eastAsia="Arial" w:hAnsi="Arial"/>
          <w:sz w:val="18"/>
          <w:szCs w:val="18"/>
          <w:color w:val="auto"/>
        </w:rPr>
      </w:pPr>
    </w:p>
    <w:p>
      <w:pPr>
        <w:ind w:left="1140" w:hanging="322"/>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19,678,322 ordinary shares</w:t>
      </w:r>
    </w:p>
    <w:p>
      <w:pPr>
        <w:spacing w:after="0" w:line="252" w:lineRule="exact"/>
        <w:rPr>
          <w:rFonts w:ascii="Arial" w:cs="Arial" w:eastAsia="Arial" w:hAnsi="Arial"/>
          <w:sz w:val="18"/>
          <w:szCs w:val="18"/>
          <w:color w:val="auto"/>
        </w:rPr>
      </w:pPr>
    </w:p>
    <w:p>
      <w:pPr>
        <w:ind w:left="1140" w:hanging="322"/>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52" w:lineRule="exact"/>
        <w:rPr>
          <w:rFonts w:ascii="Arial" w:cs="Arial" w:eastAsia="Arial" w:hAnsi="Arial"/>
          <w:sz w:val="18"/>
          <w:szCs w:val="18"/>
          <w:color w:val="auto"/>
        </w:rPr>
      </w:pPr>
    </w:p>
    <w:p>
      <w:pPr>
        <w:ind w:left="1120" w:hanging="302"/>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6.7%*</w:t>
      </w:r>
    </w:p>
    <w:p>
      <w:pPr>
        <w:spacing w:after="0" w:line="252" w:lineRule="exact"/>
        <w:rPr>
          <w:rFonts w:ascii="Arial" w:cs="Arial" w:eastAsia="Arial" w:hAnsi="Arial"/>
          <w:sz w:val="18"/>
          <w:szCs w:val="18"/>
          <w:color w:val="auto"/>
        </w:rPr>
      </w:pPr>
    </w:p>
    <w:p>
      <w:pPr>
        <w:ind w:left="1140" w:hanging="322"/>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9" w:lineRule="exact"/>
        <w:rPr>
          <w:rFonts w:ascii="Arial" w:cs="Arial" w:eastAsia="Arial" w:hAnsi="Arial"/>
          <w:sz w:val="18"/>
          <w:szCs w:val="18"/>
          <w:color w:val="auto"/>
        </w:rPr>
      </w:pPr>
    </w:p>
    <w:p>
      <w:pPr>
        <w:ind w:left="660" w:right="420" w:hanging="324"/>
        <w:spacing w:after="0" w:line="308" w:lineRule="auto"/>
        <w:rPr>
          <w:rFonts w:ascii="Arial" w:cs="Arial" w:eastAsia="Arial" w:hAnsi="Arial"/>
          <w:sz w:val="18"/>
          <w:szCs w:val="18"/>
          <w:color w:val="auto"/>
        </w:rPr>
      </w:pPr>
      <w:r>
        <w:rPr>
          <w:rFonts w:ascii="Arial" w:cs="Arial" w:eastAsia="Arial" w:hAnsi="Arial"/>
          <w:sz w:val="17"/>
          <w:szCs w:val="17"/>
          <w:color w:val="auto"/>
        </w:rPr>
        <w:t>* Percentage is obtained by dividing (i) 19,678,322 by (ii) 295,152,170, representing the number of ordinary shares of Tower Semiconductor Ltd. (“Tower”) issued and outstanding as of May 25, 2011, based upon information provided by Tower to 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-2195830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-1903730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-1612265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-1320800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2" w:name="page3"/>
    <w:bookmarkEnd w:id="2"/>
    <w:p>
      <w:pPr>
        <w:ind w:left="100"/>
        <w:spacing w:after="0"/>
        <w:rPr>
          <w:sz w:val="20"/>
          <w:szCs w:val="20"/>
          <w:color w:val="auto"/>
        </w:rPr>
      </w:pPr>
      <w:r>
        <w:rPr>
          <w:rFonts w:ascii="Arial" w:cs="Arial" w:eastAsia="Arial" w:hAnsi="Arial"/>
          <w:sz w:val="18"/>
          <w:szCs w:val="18"/>
          <w:b w:val="1"/>
          <w:bCs w:val="1"/>
          <w:color w:val="auto"/>
        </w:rPr>
        <w:t>Item 1.</w:t>
      </w:r>
    </w:p>
    <w:p>
      <w:pPr>
        <w:spacing w:after="0" w:line="252" w:lineRule="exact"/>
        <w:rPr>
          <w:sz w:val="20"/>
          <w:szCs w:val="20"/>
          <w:color w:val="auto"/>
        </w:rPr>
      </w:pPr>
    </w:p>
    <w:p>
      <w:pPr>
        <w:ind w:left="1140" w:hanging="297"/>
        <w:spacing w:after="0"/>
        <w:tabs>
          <w:tab w:leader="none" w:pos="11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256" w:lineRule="exact"/>
        <w:rPr>
          <w:rFonts w:ascii="Arial" w:cs="Arial" w:eastAsia="Arial" w:hAnsi="Arial"/>
          <w:sz w:val="18"/>
          <w:szCs w:val="18"/>
          <w:b w:val="1"/>
          <w:bCs w:val="1"/>
          <w:color w:val="auto"/>
        </w:rPr>
      </w:pPr>
    </w:p>
    <w:p>
      <w:pPr>
        <w:ind w:left="1140"/>
        <w:spacing w:after="0"/>
        <w:rPr>
          <w:rFonts w:ascii="Arial" w:cs="Arial" w:eastAsia="Arial" w:hAnsi="Arial"/>
          <w:sz w:val="18"/>
          <w:szCs w:val="18"/>
          <w:b w:val="1"/>
          <w:bCs w:val="1"/>
          <w:color w:val="auto"/>
        </w:rPr>
      </w:pPr>
      <w:r>
        <w:rPr>
          <w:rFonts w:ascii="Arial" w:cs="Arial" w:eastAsia="Arial" w:hAnsi="Arial"/>
          <w:sz w:val="18"/>
          <w:szCs w:val="18"/>
          <w:color w:val="auto"/>
        </w:rPr>
        <w:t>Tower Semiconductor Ltd. (“Tower”)</w:t>
      </w:r>
    </w:p>
    <w:p>
      <w:pPr>
        <w:spacing w:after="0" w:line="248" w:lineRule="exact"/>
        <w:rPr>
          <w:rFonts w:ascii="Arial" w:cs="Arial" w:eastAsia="Arial" w:hAnsi="Arial"/>
          <w:sz w:val="18"/>
          <w:szCs w:val="18"/>
          <w:b w:val="1"/>
          <w:bCs w:val="1"/>
          <w:color w:val="auto"/>
        </w:rPr>
      </w:pPr>
    </w:p>
    <w:p>
      <w:pPr>
        <w:ind w:left="1140" w:hanging="308"/>
        <w:spacing w:after="0"/>
        <w:tabs>
          <w:tab w:leader="none" w:pos="11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56" w:lineRule="exact"/>
        <w:rPr>
          <w:rFonts w:ascii="Arial" w:cs="Arial" w:eastAsia="Arial" w:hAnsi="Arial"/>
          <w:sz w:val="18"/>
          <w:szCs w:val="18"/>
          <w:b w:val="1"/>
          <w:bCs w:val="1"/>
          <w:color w:val="auto"/>
        </w:rPr>
      </w:pPr>
    </w:p>
    <w:p>
      <w:pPr>
        <w:ind w:left="1140"/>
        <w:spacing w:after="0"/>
        <w:rPr>
          <w:rFonts w:ascii="Arial" w:cs="Arial" w:eastAsia="Arial" w:hAnsi="Arial"/>
          <w:sz w:val="18"/>
          <w:szCs w:val="18"/>
          <w:b w:val="1"/>
          <w:bCs w:val="1"/>
          <w:color w:val="auto"/>
        </w:rPr>
      </w:pPr>
      <w:r>
        <w:rPr>
          <w:rFonts w:ascii="Arial" w:cs="Arial" w:eastAsia="Arial" w:hAnsi="Arial"/>
          <w:sz w:val="18"/>
          <w:szCs w:val="18"/>
          <w:color w:val="auto"/>
        </w:rPr>
        <w:t>Ramat Gavriel Industrial Park, P.O. Box 619, Migdal Haemek 23105, Israel</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w:t>
      </w:r>
    </w:p>
    <w:p>
      <w:pPr>
        <w:spacing w:after="0" w:line="252" w:lineRule="exact"/>
        <w:rPr>
          <w:sz w:val="20"/>
          <w:szCs w:val="20"/>
          <w:color w:val="auto"/>
        </w:rPr>
      </w:pPr>
    </w:p>
    <w:p>
      <w:pPr>
        <w:ind w:left="1140" w:hanging="297"/>
        <w:spacing w:after="0"/>
        <w:tabs>
          <w:tab w:leader="none" w:pos="11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256" w:lineRule="exact"/>
        <w:rPr>
          <w:rFonts w:ascii="Arial" w:cs="Arial" w:eastAsia="Arial" w:hAnsi="Arial"/>
          <w:sz w:val="18"/>
          <w:szCs w:val="18"/>
          <w:b w:val="1"/>
          <w:bCs w:val="1"/>
          <w:color w:val="auto"/>
        </w:rPr>
      </w:pPr>
    </w:p>
    <w:p>
      <w:pPr>
        <w:ind w:left="1140"/>
        <w:spacing w:after="0"/>
        <w:rPr>
          <w:rFonts w:ascii="Arial" w:cs="Arial" w:eastAsia="Arial" w:hAnsi="Arial"/>
          <w:sz w:val="18"/>
          <w:szCs w:val="18"/>
          <w:b w:val="1"/>
          <w:bCs w:val="1"/>
          <w:color w:val="auto"/>
        </w:rPr>
      </w:pPr>
      <w:r>
        <w:rPr>
          <w:rFonts w:ascii="Arial" w:cs="Arial" w:eastAsia="Arial" w:hAnsi="Arial"/>
          <w:sz w:val="18"/>
          <w:szCs w:val="18"/>
          <w:color w:val="auto"/>
        </w:rPr>
        <w:t>Micron Technology, Inc. (“Micron”)</w:t>
      </w:r>
    </w:p>
    <w:p>
      <w:pPr>
        <w:spacing w:after="0" w:line="248" w:lineRule="exact"/>
        <w:rPr>
          <w:rFonts w:ascii="Arial" w:cs="Arial" w:eastAsia="Arial" w:hAnsi="Arial"/>
          <w:sz w:val="18"/>
          <w:szCs w:val="18"/>
          <w:b w:val="1"/>
          <w:bCs w:val="1"/>
          <w:color w:val="auto"/>
        </w:rPr>
      </w:pPr>
    </w:p>
    <w:p>
      <w:pPr>
        <w:ind w:left="1140" w:right="5800" w:hanging="308"/>
        <w:spacing w:after="0" w:line="638" w:lineRule="auto"/>
        <w:tabs>
          <w:tab w:leader="none" w:pos="114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Address of Principal Business Office or, if none, Residence </w:t>
      </w:r>
      <w:r>
        <w:rPr>
          <w:rFonts w:ascii="Arial" w:cs="Arial" w:eastAsia="Arial" w:hAnsi="Arial"/>
          <w:sz w:val="15"/>
          <w:szCs w:val="15"/>
          <w:color w:val="auto"/>
        </w:rPr>
        <w:t>8000 South Federal Way, Boise, Idaho 83716-9632</w:t>
      </w:r>
    </w:p>
    <w:p>
      <w:pPr>
        <w:spacing w:after="0" w:line="1" w:lineRule="exact"/>
        <w:rPr>
          <w:rFonts w:ascii="Arial" w:cs="Arial" w:eastAsia="Arial" w:hAnsi="Arial"/>
          <w:sz w:val="15"/>
          <w:szCs w:val="15"/>
          <w:b w:val="1"/>
          <w:bCs w:val="1"/>
          <w:color w:val="auto"/>
        </w:rPr>
      </w:pPr>
    </w:p>
    <w:p>
      <w:pPr>
        <w:ind w:left="1140" w:hanging="287"/>
        <w:spacing w:after="0"/>
        <w:tabs>
          <w:tab w:leader="none" w:pos="11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5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Micron is incorporated in the State of Delaware</w:t>
      </w:r>
    </w:p>
    <w:p>
      <w:pPr>
        <w:spacing w:after="0" w:line="248" w:lineRule="exact"/>
        <w:rPr>
          <w:sz w:val="20"/>
          <w:szCs w:val="20"/>
          <w:color w:val="auto"/>
        </w:rPr>
      </w:pPr>
    </w:p>
    <w:p>
      <w:pPr>
        <w:ind w:left="1140" w:hanging="307"/>
        <w:spacing w:after="0"/>
        <w:tabs>
          <w:tab w:leader="none" w:pos="11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56" w:lineRule="exact"/>
        <w:rPr>
          <w:rFonts w:ascii="Arial" w:cs="Arial" w:eastAsia="Arial" w:hAnsi="Arial"/>
          <w:sz w:val="18"/>
          <w:szCs w:val="18"/>
          <w:b w:val="1"/>
          <w:bCs w:val="1"/>
          <w:color w:val="auto"/>
        </w:rPr>
      </w:pPr>
    </w:p>
    <w:p>
      <w:pPr>
        <w:ind w:left="1140"/>
        <w:spacing w:after="0"/>
        <w:rPr>
          <w:rFonts w:ascii="Arial" w:cs="Arial" w:eastAsia="Arial" w:hAnsi="Arial"/>
          <w:sz w:val="18"/>
          <w:szCs w:val="18"/>
          <w:b w:val="1"/>
          <w:bCs w:val="1"/>
          <w:color w:val="auto"/>
        </w:rPr>
      </w:pPr>
      <w:r>
        <w:rPr>
          <w:rFonts w:ascii="Arial" w:cs="Arial" w:eastAsia="Arial" w:hAnsi="Arial"/>
          <w:sz w:val="18"/>
          <w:szCs w:val="18"/>
          <w:color w:val="auto"/>
        </w:rPr>
        <w:t>Ordinary Shares, NIS 1.00 par value per share</w:t>
      </w:r>
    </w:p>
    <w:p>
      <w:pPr>
        <w:spacing w:after="0" w:line="248" w:lineRule="exact"/>
        <w:rPr>
          <w:rFonts w:ascii="Arial" w:cs="Arial" w:eastAsia="Arial" w:hAnsi="Arial"/>
          <w:sz w:val="18"/>
          <w:szCs w:val="18"/>
          <w:b w:val="1"/>
          <w:bCs w:val="1"/>
          <w:color w:val="auto"/>
        </w:rPr>
      </w:pPr>
    </w:p>
    <w:p>
      <w:pPr>
        <w:ind w:left="1140" w:right="9060" w:hanging="287"/>
        <w:spacing w:after="0" w:line="563" w:lineRule="auto"/>
        <w:tabs>
          <w:tab w:leader="none" w:pos="114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M87915-10-0</w:t>
      </w:r>
    </w:p>
    <w:p>
      <w:pPr>
        <w:spacing w:after="0" w:line="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gridSpan w:val="2"/>
          </w:tcPr>
          <w:p>
            <w:pPr>
              <w:ind w:left="980"/>
              <w:spacing w:after="0"/>
              <w:rPr>
                <w:sz w:val="20"/>
                <w:szCs w:val="20"/>
                <w:color w:val="auto"/>
              </w:rPr>
            </w:pPr>
            <w:r>
              <w:rPr>
                <w:rFonts w:ascii="Arial" w:cs="Arial" w:eastAsia="Arial" w:hAnsi="Arial"/>
                <w:sz w:val="18"/>
                <w:szCs w:val="18"/>
                <w:b w:val="1"/>
                <w:bCs w:val="1"/>
                <w:color w:val="auto"/>
              </w:rPr>
              <w:t>(a) o</w:t>
            </w:r>
          </w:p>
        </w:tc>
        <w:tc>
          <w:tcPr>
            <w:tcW w:w="9780" w:type="dxa"/>
            <w:vAlign w:val="bottom"/>
          </w:tcPr>
          <w:p>
            <w:pPr>
              <w:ind w:left="32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459"/>
        </w:trPr>
        <w:tc>
          <w:tcPr>
            <w:tcW w:w="1640" w:type="dxa"/>
            <w:vAlign w:val="bottom"/>
            <w:gridSpan w:val="2"/>
          </w:tcPr>
          <w:p>
            <w:pPr>
              <w:ind w:left="980"/>
              <w:spacing w:after="0"/>
              <w:rPr>
                <w:sz w:val="20"/>
                <w:szCs w:val="20"/>
                <w:color w:val="auto"/>
              </w:rPr>
            </w:pPr>
            <w:r>
              <w:rPr>
                <w:rFonts w:ascii="Arial" w:cs="Arial" w:eastAsia="Arial" w:hAnsi="Arial"/>
                <w:sz w:val="18"/>
                <w:szCs w:val="18"/>
                <w:b w:val="1"/>
                <w:bCs w:val="1"/>
                <w:color w:val="auto"/>
              </w:rPr>
              <w:t>(b) o</w:t>
            </w:r>
          </w:p>
        </w:tc>
        <w:tc>
          <w:tcPr>
            <w:tcW w:w="9780" w:type="dxa"/>
            <w:vAlign w:val="bottom"/>
          </w:tcPr>
          <w:p>
            <w:pPr>
              <w:ind w:left="320"/>
              <w:spacing w:after="0"/>
              <w:rPr>
                <w:sz w:val="20"/>
                <w:szCs w:val="20"/>
                <w:color w:val="auto"/>
              </w:rPr>
            </w:pPr>
            <w:r>
              <w:rPr>
                <w:rFonts w:ascii="Arial" w:cs="Arial" w:eastAsia="Arial" w:hAnsi="Arial"/>
                <w:sz w:val="18"/>
                <w:szCs w:val="18"/>
                <w:color w:val="auto"/>
              </w:rPr>
              <w:t>Bank as defined in Section 3(a)(6) of the Act (15 U.S.C 78c).</w:t>
            </w:r>
          </w:p>
        </w:tc>
      </w:tr>
      <w:tr>
        <w:trPr>
          <w:trHeight w:val="459"/>
        </w:trPr>
        <w:tc>
          <w:tcPr>
            <w:tcW w:w="1640" w:type="dxa"/>
            <w:vAlign w:val="bottom"/>
            <w:gridSpan w:val="2"/>
          </w:tcPr>
          <w:p>
            <w:pPr>
              <w:ind w:left="980"/>
              <w:spacing w:after="0"/>
              <w:rPr>
                <w:sz w:val="20"/>
                <w:szCs w:val="20"/>
                <w:color w:val="auto"/>
              </w:rPr>
            </w:pPr>
            <w:r>
              <w:rPr>
                <w:rFonts w:ascii="Arial" w:cs="Arial" w:eastAsia="Arial" w:hAnsi="Arial"/>
                <w:sz w:val="18"/>
                <w:szCs w:val="18"/>
                <w:b w:val="1"/>
                <w:bCs w:val="1"/>
                <w:color w:val="auto"/>
              </w:rPr>
              <w:t>(c) o</w:t>
            </w:r>
          </w:p>
        </w:tc>
        <w:tc>
          <w:tcPr>
            <w:tcW w:w="9780" w:type="dxa"/>
            <w:vAlign w:val="bottom"/>
          </w:tcPr>
          <w:p>
            <w:pPr>
              <w:ind w:left="32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459"/>
        </w:trPr>
        <w:tc>
          <w:tcPr>
            <w:tcW w:w="1640" w:type="dxa"/>
            <w:vAlign w:val="bottom"/>
            <w:gridSpan w:val="2"/>
          </w:tcPr>
          <w:p>
            <w:pPr>
              <w:ind w:left="980"/>
              <w:spacing w:after="0"/>
              <w:rPr>
                <w:sz w:val="20"/>
                <w:szCs w:val="20"/>
                <w:color w:val="auto"/>
              </w:rPr>
            </w:pPr>
            <w:r>
              <w:rPr>
                <w:rFonts w:ascii="Arial" w:cs="Arial" w:eastAsia="Arial" w:hAnsi="Arial"/>
                <w:sz w:val="18"/>
                <w:szCs w:val="18"/>
                <w:b w:val="1"/>
                <w:bCs w:val="1"/>
                <w:color w:val="auto"/>
              </w:rPr>
              <w:t>(d) o</w:t>
            </w:r>
          </w:p>
        </w:tc>
        <w:tc>
          <w:tcPr>
            <w:tcW w:w="9780" w:type="dxa"/>
            <w:vAlign w:val="bottom"/>
          </w:tcPr>
          <w:p>
            <w:pPr>
              <w:ind w:left="320"/>
              <w:spacing w:after="0"/>
              <w:rPr>
                <w:sz w:val="20"/>
                <w:szCs w:val="20"/>
                <w:color w:val="auto"/>
              </w:rPr>
            </w:pPr>
            <w:r>
              <w:rPr>
                <w:rFonts w:ascii="Arial" w:cs="Arial" w:eastAsia="Arial" w:hAnsi="Arial"/>
                <w:sz w:val="18"/>
                <w:szCs w:val="18"/>
                <w:color w:val="auto"/>
              </w:rPr>
              <w:t>Investment company registered under Section 8 of the Investment Company Act of 1940 (15 U.S.C 80a-8).</w:t>
            </w:r>
          </w:p>
        </w:tc>
      </w:tr>
      <w:tr>
        <w:trPr>
          <w:trHeight w:val="459"/>
        </w:trPr>
        <w:tc>
          <w:tcPr>
            <w:tcW w:w="1640" w:type="dxa"/>
            <w:vAlign w:val="bottom"/>
            <w:gridSpan w:val="2"/>
          </w:tcPr>
          <w:p>
            <w:pPr>
              <w:ind w:left="980"/>
              <w:spacing w:after="0"/>
              <w:rPr>
                <w:sz w:val="20"/>
                <w:szCs w:val="20"/>
                <w:color w:val="auto"/>
              </w:rPr>
            </w:pPr>
            <w:r>
              <w:rPr>
                <w:rFonts w:ascii="Arial" w:cs="Arial" w:eastAsia="Arial" w:hAnsi="Arial"/>
                <w:sz w:val="18"/>
                <w:szCs w:val="18"/>
                <w:b w:val="1"/>
                <w:bCs w:val="1"/>
                <w:color w:val="auto"/>
              </w:rPr>
              <w:t>(e) o</w:t>
            </w:r>
          </w:p>
        </w:tc>
        <w:tc>
          <w:tcPr>
            <w:tcW w:w="9780" w:type="dxa"/>
            <w:vAlign w:val="bottom"/>
          </w:tcPr>
          <w:p>
            <w:pPr>
              <w:ind w:left="320"/>
              <w:spacing w:after="0"/>
              <w:rPr>
                <w:sz w:val="20"/>
                <w:szCs w:val="20"/>
                <w:color w:val="auto"/>
              </w:rPr>
            </w:pPr>
            <w:r>
              <w:rPr>
                <w:rFonts w:ascii="Arial" w:cs="Arial" w:eastAsia="Arial" w:hAnsi="Arial"/>
                <w:sz w:val="18"/>
                <w:szCs w:val="18"/>
                <w:color w:val="auto"/>
              </w:rPr>
              <w:t>An investment adviser in accordance with §240.13d-1(b)(1)(ii)(E);</w:t>
            </w:r>
          </w:p>
        </w:tc>
      </w:tr>
      <w:tr>
        <w:trPr>
          <w:trHeight w:val="459"/>
        </w:trPr>
        <w:tc>
          <w:tcPr>
            <w:tcW w:w="1200" w:type="dxa"/>
            <w:vAlign w:val="bottom"/>
          </w:tcPr>
          <w:p>
            <w:pPr>
              <w:ind w:left="980"/>
              <w:spacing w:after="0"/>
              <w:rPr>
                <w:sz w:val="20"/>
                <w:szCs w:val="20"/>
                <w:color w:val="auto"/>
              </w:rPr>
            </w:pPr>
            <w:r>
              <w:rPr>
                <w:rFonts w:ascii="Arial" w:cs="Arial" w:eastAsia="Arial" w:hAnsi="Arial"/>
                <w:sz w:val="18"/>
                <w:szCs w:val="18"/>
                <w:b w:val="1"/>
                <w:bCs w:val="1"/>
                <w:color w:val="auto"/>
              </w:rPr>
              <w:t>(f)</w:t>
            </w:r>
          </w:p>
        </w:tc>
        <w:tc>
          <w:tcPr>
            <w:tcW w:w="440" w:type="dxa"/>
            <w:vAlign w:val="bottom"/>
          </w:tcPr>
          <w:p>
            <w:pPr>
              <w:ind w:left="60"/>
              <w:spacing w:after="0"/>
              <w:rPr>
                <w:sz w:val="20"/>
                <w:szCs w:val="20"/>
                <w:color w:val="auto"/>
              </w:rPr>
            </w:pPr>
            <w:r>
              <w:rPr>
                <w:rFonts w:ascii="Arial" w:cs="Arial" w:eastAsia="Arial" w:hAnsi="Arial"/>
                <w:sz w:val="18"/>
                <w:szCs w:val="18"/>
                <w:b w:val="1"/>
                <w:bCs w:val="1"/>
                <w:color w:val="auto"/>
              </w:rPr>
              <w:t>o</w:t>
            </w:r>
          </w:p>
        </w:tc>
        <w:tc>
          <w:tcPr>
            <w:tcW w:w="9780" w:type="dxa"/>
            <w:vAlign w:val="bottom"/>
          </w:tcPr>
          <w:p>
            <w:pPr>
              <w:ind w:left="320"/>
              <w:spacing w:after="0"/>
              <w:rPr>
                <w:sz w:val="20"/>
                <w:szCs w:val="20"/>
                <w:color w:val="auto"/>
              </w:rPr>
            </w:pPr>
            <w:r>
              <w:rPr>
                <w:rFonts w:ascii="Arial" w:cs="Arial" w:eastAsia="Arial" w:hAnsi="Arial"/>
                <w:sz w:val="18"/>
                <w:szCs w:val="18"/>
                <w:color w:val="auto"/>
              </w:rPr>
              <w:t>An employee benefit plan or endowment fund in accordance with §240.13d-1(b)(1)(ii)(F);</w:t>
            </w:r>
          </w:p>
        </w:tc>
      </w:tr>
      <w:tr>
        <w:trPr>
          <w:trHeight w:val="459"/>
        </w:trPr>
        <w:tc>
          <w:tcPr>
            <w:tcW w:w="1640" w:type="dxa"/>
            <w:vAlign w:val="bottom"/>
            <w:gridSpan w:val="2"/>
          </w:tcPr>
          <w:p>
            <w:pPr>
              <w:ind w:left="980"/>
              <w:spacing w:after="0"/>
              <w:rPr>
                <w:sz w:val="20"/>
                <w:szCs w:val="20"/>
                <w:color w:val="auto"/>
              </w:rPr>
            </w:pPr>
            <w:r>
              <w:rPr>
                <w:rFonts w:ascii="Arial" w:cs="Arial" w:eastAsia="Arial" w:hAnsi="Arial"/>
                <w:sz w:val="18"/>
                <w:szCs w:val="18"/>
                <w:b w:val="1"/>
                <w:bCs w:val="1"/>
                <w:color w:val="auto"/>
              </w:rPr>
              <w:t>(g) o</w:t>
            </w:r>
          </w:p>
        </w:tc>
        <w:tc>
          <w:tcPr>
            <w:tcW w:w="9780" w:type="dxa"/>
            <w:vAlign w:val="bottom"/>
          </w:tcPr>
          <w:p>
            <w:pPr>
              <w:ind w:left="320"/>
              <w:spacing w:after="0"/>
              <w:rPr>
                <w:sz w:val="20"/>
                <w:szCs w:val="20"/>
                <w:color w:val="auto"/>
              </w:rPr>
            </w:pPr>
            <w:r>
              <w:rPr>
                <w:rFonts w:ascii="Arial" w:cs="Arial" w:eastAsia="Arial" w:hAnsi="Arial"/>
                <w:sz w:val="18"/>
                <w:szCs w:val="18"/>
                <w:color w:val="auto"/>
              </w:rPr>
              <w:t>A parent holding company or control person in accordance with §240.13d-1(b)(1)(ii)(G);</w:t>
            </w:r>
          </w:p>
        </w:tc>
      </w:tr>
      <w:tr>
        <w:trPr>
          <w:trHeight w:val="459"/>
        </w:trPr>
        <w:tc>
          <w:tcPr>
            <w:tcW w:w="1640" w:type="dxa"/>
            <w:vAlign w:val="bottom"/>
            <w:gridSpan w:val="2"/>
          </w:tcPr>
          <w:p>
            <w:pPr>
              <w:ind w:left="980"/>
              <w:spacing w:after="0"/>
              <w:rPr>
                <w:sz w:val="20"/>
                <w:szCs w:val="20"/>
                <w:color w:val="auto"/>
              </w:rPr>
            </w:pPr>
            <w:r>
              <w:rPr>
                <w:rFonts w:ascii="Arial" w:cs="Arial" w:eastAsia="Arial" w:hAnsi="Arial"/>
                <w:sz w:val="18"/>
                <w:szCs w:val="18"/>
                <w:b w:val="1"/>
                <w:bCs w:val="1"/>
                <w:color w:val="auto"/>
              </w:rPr>
              <w:t>(h) o</w:t>
            </w:r>
          </w:p>
        </w:tc>
        <w:tc>
          <w:tcPr>
            <w:tcW w:w="9780" w:type="dxa"/>
            <w:vAlign w:val="bottom"/>
          </w:tcPr>
          <w:p>
            <w:pPr>
              <w:ind w:left="320"/>
              <w:spacing w:after="0"/>
              <w:rPr>
                <w:sz w:val="20"/>
                <w:szCs w:val="20"/>
                <w:color w:val="auto"/>
              </w:rPr>
            </w:pPr>
            <w:r>
              <w:rPr>
                <w:rFonts w:ascii="Arial" w:cs="Arial" w:eastAsia="Arial" w:hAnsi="Arial"/>
                <w:sz w:val="18"/>
                <w:szCs w:val="18"/>
                <w:color w:val="auto"/>
              </w:rPr>
              <w:t>A savings association as defined in Section 3(b) of the Federal Deposit Insurance Act (12 U.S.C. 1813);</w:t>
            </w:r>
          </w:p>
        </w:tc>
      </w:tr>
      <w:tr>
        <w:trPr>
          <w:trHeight w:val="445"/>
        </w:trPr>
        <w:tc>
          <w:tcPr>
            <w:tcW w:w="1200" w:type="dxa"/>
            <w:vAlign w:val="bottom"/>
          </w:tcPr>
          <w:p>
            <w:pPr>
              <w:ind w:left="980"/>
              <w:spacing w:after="0"/>
              <w:rPr>
                <w:sz w:val="20"/>
                <w:szCs w:val="20"/>
                <w:color w:val="auto"/>
              </w:rPr>
            </w:pPr>
            <w:r>
              <w:rPr>
                <w:rFonts w:ascii="Arial" w:cs="Arial" w:eastAsia="Arial" w:hAnsi="Arial"/>
                <w:sz w:val="18"/>
                <w:szCs w:val="18"/>
                <w:b w:val="1"/>
                <w:bCs w:val="1"/>
                <w:color w:val="auto"/>
              </w:rPr>
              <w:t>(i)</w:t>
            </w:r>
          </w:p>
        </w:tc>
        <w:tc>
          <w:tcPr>
            <w:tcW w:w="440" w:type="dxa"/>
            <w:vAlign w:val="bottom"/>
          </w:tcPr>
          <w:p>
            <w:pPr>
              <w:ind w:left="40"/>
              <w:spacing w:after="0"/>
              <w:rPr>
                <w:sz w:val="20"/>
                <w:szCs w:val="20"/>
                <w:color w:val="auto"/>
              </w:rPr>
            </w:pPr>
            <w:r>
              <w:rPr>
                <w:rFonts w:ascii="Arial" w:cs="Arial" w:eastAsia="Arial" w:hAnsi="Arial"/>
                <w:sz w:val="18"/>
                <w:szCs w:val="18"/>
                <w:b w:val="1"/>
                <w:bCs w:val="1"/>
                <w:color w:val="auto"/>
              </w:rPr>
              <w:t>o</w:t>
            </w:r>
          </w:p>
        </w:tc>
        <w:tc>
          <w:tcPr>
            <w:tcW w:w="9780" w:type="dxa"/>
            <w:vAlign w:val="bottom"/>
          </w:tcPr>
          <w:p>
            <w:pPr>
              <w:ind w:left="320"/>
              <w:spacing w:after="0"/>
              <w:rPr>
                <w:sz w:val="20"/>
                <w:szCs w:val="20"/>
                <w:color w:val="auto"/>
              </w:rPr>
            </w:pPr>
            <w:r>
              <w:rPr>
                <w:rFonts w:ascii="Arial" w:cs="Arial" w:eastAsia="Arial" w:hAnsi="Arial"/>
                <w:sz w:val="18"/>
                <w:szCs w:val="18"/>
                <w:color w:val="auto"/>
                <w:w w:val="93"/>
              </w:rPr>
              <w:t>A church plan that is excluded from the definition of an investment company under Section 3(c)(14) of the Investment Company</w:t>
            </w:r>
          </w:p>
        </w:tc>
      </w:tr>
      <w:tr>
        <w:trPr>
          <w:trHeight w:val="230"/>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80" w:type="dxa"/>
            <w:vAlign w:val="bottom"/>
          </w:tcPr>
          <w:p>
            <w:pPr>
              <w:ind w:left="320"/>
              <w:spacing w:after="0"/>
              <w:rPr>
                <w:sz w:val="20"/>
                <w:szCs w:val="20"/>
                <w:color w:val="auto"/>
              </w:rPr>
            </w:pPr>
            <w:r>
              <w:rPr>
                <w:rFonts w:ascii="Arial" w:cs="Arial" w:eastAsia="Arial" w:hAnsi="Arial"/>
                <w:sz w:val="18"/>
                <w:szCs w:val="18"/>
                <w:color w:val="auto"/>
              </w:rPr>
              <w:t>Act of 1940 (15 U.S.C 80a-3);</w:t>
            </w:r>
          </w:p>
        </w:tc>
      </w:tr>
      <w:tr>
        <w:trPr>
          <w:trHeight w:val="459"/>
        </w:trPr>
        <w:tc>
          <w:tcPr>
            <w:tcW w:w="1200" w:type="dxa"/>
            <w:vAlign w:val="bottom"/>
          </w:tcPr>
          <w:p>
            <w:pPr>
              <w:ind w:left="980"/>
              <w:spacing w:after="0"/>
              <w:rPr>
                <w:sz w:val="20"/>
                <w:szCs w:val="20"/>
                <w:color w:val="auto"/>
              </w:rPr>
            </w:pPr>
            <w:r>
              <w:rPr>
                <w:rFonts w:ascii="Arial" w:cs="Arial" w:eastAsia="Arial" w:hAnsi="Arial"/>
                <w:sz w:val="18"/>
                <w:szCs w:val="18"/>
                <w:b w:val="1"/>
                <w:bCs w:val="1"/>
                <w:color w:val="auto"/>
              </w:rPr>
              <w:t>(j)</w:t>
            </w:r>
          </w:p>
        </w:tc>
        <w:tc>
          <w:tcPr>
            <w:tcW w:w="440" w:type="dxa"/>
            <w:vAlign w:val="bottom"/>
          </w:tcPr>
          <w:p>
            <w:pPr>
              <w:ind w:left="60"/>
              <w:spacing w:after="0"/>
              <w:rPr>
                <w:sz w:val="20"/>
                <w:szCs w:val="20"/>
                <w:color w:val="auto"/>
              </w:rPr>
            </w:pPr>
            <w:r>
              <w:rPr>
                <w:rFonts w:ascii="Arial" w:cs="Arial" w:eastAsia="Arial" w:hAnsi="Arial"/>
                <w:sz w:val="18"/>
                <w:szCs w:val="18"/>
                <w:b w:val="1"/>
                <w:bCs w:val="1"/>
                <w:color w:val="auto"/>
              </w:rPr>
              <w:t>o</w:t>
            </w:r>
          </w:p>
        </w:tc>
        <w:tc>
          <w:tcPr>
            <w:tcW w:w="9780" w:type="dxa"/>
            <w:vAlign w:val="bottom"/>
          </w:tcPr>
          <w:p>
            <w:pPr>
              <w:ind w:left="320"/>
              <w:spacing w:after="0"/>
              <w:rPr>
                <w:sz w:val="20"/>
                <w:szCs w:val="20"/>
                <w:color w:val="auto"/>
              </w:rPr>
            </w:pPr>
            <w:r>
              <w:rPr>
                <w:rFonts w:ascii="Arial" w:cs="Arial" w:eastAsia="Arial" w:hAnsi="Arial"/>
                <w:sz w:val="18"/>
                <w:szCs w:val="18"/>
                <w:color w:val="auto"/>
              </w:rPr>
              <w:t>A non-U.S. institution in accordance with §240.13d-1(b)(1)(ii)(J);</w:t>
            </w:r>
          </w:p>
        </w:tc>
      </w:tr>
      <w:tr>
        <w:trPr>
          <w:trHeight w:val="459"/>
        </w:trPr>
        <w:tc>
          <w:tcPr>
            <w:tcW w:w="1640" w:type="dxa"/>
            <w:vAlign w:val="bottom"/>
            <w:gridSpan w:val="2"/>
          </w:tcPr>
          <w:p>
            <w:pPr>
              <w:ind w:left="980"/>
              <w:spacing w:after="0"/>
              <w:rPr>
                <w:sz w:val="20"/>
                <w:szCs w:val="20"/>
                <w:color w:val="auto"/>
              </w:rPr>
            </w:pPr>
            <w:r>
              <w:rPr>
                <w:rFonts w:ascii="Arial" w:cs="Arial" w:eastAsia="Arial" w:hAnsi="Arial"/>
                <w:sz w:val="18"/>
                <w:szCs w:val="18"/>
                <w:b w:val="1"/>
                <w:bCs w:val="1"/>
                <w:color w:val="auto"/>
              </w:rPr>
              <w:t>(k) o</w:t>
            </w:r>
          </w:p>
        </w:tc>
        <w:tc>
          <w:tcPr>
            <w:tcW w:w="9780" w:type="dxa"/>
            <w:vAlign w:val="bottom"/>
          </w:tcPr>
          <w:p>
            <w:pPr>
              <w:ind w:left="320"/>
              <w:spacing w:after="0"/>
              <w:rPr>
                <w:sz w:val="20"/>
                <w:szCs w:val="20"/>
                <w:color w:val="auto"/>
              </w:rPr>
            </w:pPr>
            <w:r>
              <w:rPr>
                <w:rFonts w:ascii="Arial" w:cs="Arial" w:eastAsia="Arial" w:hAnsi="Arial"/>
                <w:sz w:val="18"/>
                <w:szCs w:val="18"/>
                <w:color w:val="auto"/>
              </w:rPr>
              <w:t>Group, in accordance with §240.13d-1(b)(1)(ii)(K).</w:t>
            </w:r>
          </w:p>
        </w:tc>
      </w:tr>
      <w:tr>
        <w:trPr>
          <w:trHeight w:val="608"/>
        </w:trPr>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80" w:type="dxa"/>
            <w:vAlign w:val="bottom"/>
          </w:tcPr>
          <w:p>
            <w:pPr>
              <w:ind w:left="3660"/>
              <w:spacing w:after="0"/>
              <w:rPr>
                <w:sz w:val="20"/>
                <w:szCs w:val="20"/>
                <w:color w:val="auto"/>
              </w:rPr>
            </w:pPr>
            <w:r>
              <w:rPr>
                <w:rFonts w:ascii="Arial" w:cs="Arial" w:eastAsia="Arial" w:hAnsi="Arial"/>
                <w:sz w:val="18"/>
                <w:szCs w:val="18"/>
                <w:color w:val="auto"/>
              </w:rPr>
              <w:t>Page 3 of 6</w:t>
            </w:r>
          </w:p>
        </w:tc>
      </w:tr>
      <w:tr>
        <w:trPr>
          <w:trHeight w:val="118"/>
        </w:trPr>
        <w:tc>
          <w:tcPr>
            <w:tcW w:w="12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7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p>
      <w:pPr>
        <w:ind w:left="980"/>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 _________.</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1140" w:right="8320" w:hanging="622"/>
        <w:spacing w:after="0" w:line="598" w:lineRule="auto"/>
        <w:tabs>
          <w:tab w:leader="none" w:pos="816"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Amount beneficially owned: </w:t>
      </w:r>
      <w:r>
        <w:rPr>
          <w:rFonts w:ascii="Arial" w:cs="Arial" w:eastAsia="Arial" w:hAnsi="Arial"/>
          <w:sz w:val="16"/>
          <w:szCs w:val="16"/>
          <w:color w:val="auto"/>
        </w:rPr>
        <w:t>19,678,322 ordinary shares</w:t>
      </w:r>
    </w:p>
    <w:p>
      <w:pPr>
        <w:spacing w:after="0" w:line="1" w:lineRule="exact"/>
        <w:rPr>
          <w:rFonts w:ascii="Arial" w:cs="Arial" w:eastAsia="Arial" w:hAnsi="Arial"/>
          <w:sz w:val="16"/>
          <w:szCs w:val="16"/>
          <w:b w:val="1"/>
          <w:bCs w:val="1"/>
          <w:color w:val="auto"/>
        </w:rPr>
      </w:pPr>
    </w:p>
    <w:p>
      <w:pPr>
        <w:ind w:left="840" w:hanging="278"/>
        <w:spacing w:after="0"/>
        <w:tabs>
          <w:tab w:leader="none" w:pos="84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256"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6.7%*</w:t>
      </w:r>
    </w:p>
    <w:p>
      <w:pPr>
        <w:spacing w:after="0" w:line="248" w:lineRule="exact"/>
        <w:rPr>
          <w:sz w:val="20"/>
          <w:szCs w:val="20"/>
          <w:color w:val="auto"/>
        </w:rPr>
      </w:pPr>
    </w:p>
    <w:p>
      <w:pPr>
        <w:ind w:left="840" w:hanging="278"/>
        <w:spacing w:after="0"/>
        <w:tabs>
          <w:tab w:leader="none" w:pos="8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252" w:lineRule="exact"/>
        <w:rPr>
          <w:rFonts w:ascii="Arial" w:cs="Arial" w:eastAsia="Arial" w:hAnsi="Arial"/>
          <w:sz w:val="18"/>
          <w:szCs w:val="18"/>
          <w:b w:val="1"/>
          <w:bCs w:val="1"/>
          <w:color w:val="auto"/>
        </w:rPr>
      </w:pPr>
    </w:p>
    <w:p>
      <w:pPr>
        <w:ind w:left="1680" w:right="6820" w:hanging="700"/>
        <w:spacing w:after="0" w:line="532" w:lineRule="auto"/>
        <w:tabs>
          <w:tab w:leader="none" w:pos="1652"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vote or to direct the vote </w:t>
      </w:r>
      <w:r>
        <w:rPr>
          <w:rFonts w:ascii="Arial" w:cs="Arial" w:eastAsia="Arial" w:hAnsi="Arial"/>
          <w:sz w:val="18"/>
          <w:szCs w:val="18"/>
          <w:color w:val="auto"/>
        </w:rPr>
        <w:t>19,678,322 ordinary shares</w:t>
      </w:r>
    </w:p>
    <w:p>
      <w:pPr>
        <w:ind w:left="1700" w:hanging="720"/>
        <w:spacing w:after="0"/>
        <w:tabs>
          <w:tab w:leader="none" w:pos="170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vote or to direct the vote</w:t>
      </w:r>
    </w:p>
    <w:p>
      <w:pPr>
        <w:spacing w:after="0" w:line="25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ind w:left="1740" w:hanging="760"/>
        <w:spacing w:after="0"/>
        <w:tabs>
          <w:tab w:leader="none" w:pos="17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dispose or to direct the disposition of</w:t>
      </w:r>
    </w:p>
    <w:p>
      <w:pPr>
        <w:spacing w:after="0" w:line="25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19,678,322 ordinary shares</w:t>
      </w:r>
    </w:p>
    <w:p>
      <w:pPr>
        <w:spacing w:after="0" w:line="248" w:lineRule="exact"/>
        <w:rPr>
          <w:sz w:val="20"/>
          <w:szCs w:val="20"/>
          <w:color w:val="auto"/>
        </w:rPr>
      </w:pPr>
    </w:p>
    <w:p>
      <w:pPr>
        <w:ind w:left="1740" w:hanging="760"/>
        <w:spacing w:after="0"/>
        <w:tabs>
          <w:tab w:leader="none" w:pos="17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dispose or to direct the disposition of</w:t>
      </w:r>
    </w:p>
    <w:p>
      <w:pPr>
        <w:spacing w:after="0" w:line="25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660" w:hanging="283"/>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Percentage is obtained by dividing (i) 19,678,322 by (ii) 295,152,170, representing the number of ordinary shares of Tower issued and outstanding as of May 25, 2011, based upon information provided by Tower to Micron.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Micron acquired the Tower ordinary shares in connection with a Master Agreement dated as of May 25, 2011, by and among Micron, Micron Japan, Ltd.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 Tower, pursuant to which Tower acquired Micron Japan’s fabrication facility in Nishiwaki City, Hyogo, Japan.</w:t>
      </w:r>
    </w:p>
    <w:p>
      <w:pPr>
        <w:spacing w:after="0" w:line="23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820" w:hanging="742"/>
        <w:spacing w:after="0" w:line="282" w:lineRule="auto"/>
        <w:tabs>
          <w:tab w:leader="none" w:pos="8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19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By signing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 w:name="page6"/>
    <w:bookmarkEnd w:id="5"/>
    <w:p>
      <w:pPr>
        <w:jc w:val="center"/>
        <w:ind w:left="500"/>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42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240" w:type="dxa"/>
            <w:vAlign w:val="bottom"/>
          </w:tcPr>
          <w:p>
            <w:pPr>
              <w:spacing w:after="0"/>
              <w:rPr>
                <w:sz w:val="20"/>
                <w:szCs w:val="20"/>
                <w:color w:val="auto"/>
              </w:rPr>
            </w:pPr>
          </w:p>
        </w:tc>
        <w:tc>
          <w:tcPr>
            <w:tcW w:w="2680" w:type="dxa"/>
            <w:vAlign w:val="bottom"/>
          </w:tcPr>
          <w:p>
            <w:pPr>
              <w:ind w:left="80"/>
              <w:spacing w:after="0"/>
              <w:rPr>
                <w:sz w:val="20"/>
                <w:szCs w:val="20"/>
                <w:color w:val="auto"/>
              </w:rPr>
            </w:pPr>
            <w:r>
              <w:rPr>
                <w:rFonts w:ascii="Arial" w:cs="Arial" w:eastAsia="Arial" w:hAnsi="Arial"/>
                <w:sz w:val="18"/>
                <w:szCs w:val="18"/>
                <w:color w:val="auto"/>
              </w:rPr>
              <w:t>June 10, 2011</w:t>
            </w:r>
          </w:p>
        </w:tc>
      </w:tr>
      <w:tr>
        <w:trPr>
          <w:trHeight w:val="459"/>
        </w:trPr>
        <w:tc>
          <w:tcPr>
            <w:tcW w:w="3660" w:type="dxa"/>
            <w:vAlign w:val="bottom"/>
            <w:gridSpan w:val="3"/>
          </w:tcPr>
          <w:p>
            <w:pPr>
              <w:spacing w:after="0"/>
              <w:rPr>
                <w:sz w:val="20"/>
                <w:szCs w:val="20"/>
                <w:color w:val="auto"/>
              </w:rPr>
            </w:pPr>
            <w:r>
              <w:rPr>
                <w:rFonts w:ascii="Arial" w:cs="Arial" w:eastAsia="Arial" w:hAnsi="Arial"/>
                <w:sz w:val="18"/>
                <w:szCs w:val="18"/>
                <w:color w:val="auto"/>
              </w:rPr>
              <w:t>MICRON TECHNOLOGY, INC.</w:t>
            </w:r>
          </w:p>
        </w:tc>
      </w:tr>
      <w:tr>
        <w:trPr>
          <w:trHeight w:val="41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2920" w:type="dxa"/>
            <w:vAlign w:val="bottom"/>
            <w:gridSpan w:val="2"/>
          </w:tcPr>
          <w:p>
            <w:pPr>
              <w:ind w:left="240"/>
              <w:spacing w:after="0"/>
              <w:rPr>
                <w:sz w:val="20"/>
                <w:szCs w:val="20"/>
                <w:color w:val="auto"/>
              </w:rPr>
            </w:pPr>
            <w:r>
              <w:rPr>
                <w:rFonts w:ascii="Arial" w:cs="Arial" w:eastAsia="Arial" w:hAnsi="Arial"/>
                <w:sz w:val="18"/>
                <w:szCs w:val="18"/>
                <w:color w:val="auto"/>
              </w:rPr>
              <w:t>/s/ Ronald C. Foster</w:t>
            </w:r>
          </w:p>
        </w:tc>
      </w:tr>
      <w:tr>
        <w:trPr>
          <w:trHeight w:val="480"/>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240" w:type="dxa"/>
            <w:vAlign w:val="bottom"/>
          </w:tcPr>
          <w:p>
            <w:pPr>
              <w:spacing w:after="0"/>
              <w:rPr>
                <w:sz w:val="24"/>
                <w:szCs w:val="24"/>
                <w:color w:val="auto"/>
              </w:rPr>
            </w:pPr>
          </w:p>
        </w:tc>
        <w:tc>
          <w:tcPr>
            <w:tcW w:w="26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Ronald C. Foster</w:t>
            </w:r>
          </w:p>
        </w:tc>
      </w:tr>
      <w:tr>
        <w:trPr>
          <w:trHeight w:val="45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240" w:type="dxa"/>
            <w:vAlign w:val="bottom"/>
          </w:tcPr>
          <w:p>
            <w:pPr>
              <w:spacing w:after="0"/>
              <w:rPr>
                <w:sz w:val="24"/>
                <w:szCs w:val="24"/>
                <w:color w:val="auto"/>
              </w:rPr>
            </w:pPr>
          </w:p>
        </w:tc>
        <w:tc>
          <w:tcPr>
            <w:tcW w:w="2680" w:type="dxa"/>
            <w:vAlign w:val="bottom"/>
          </w:tcPr>
          <w:p>
            <w:pPr>
              <w:ind w:left="120"/>
              <w:spacing w:after="0"/>
              <w:rPr>
                <w:sz w:val="20"/>
                <w:szCs w:val="20"/>
                <w:color w:val="auto"/>
              </w:rPr>
            </w:pPr>
            <w:r>
              <w:rPr>
                <w:rFonts w:ascii="Arial" w:cs="Arial" w:eastAsia="Arial" w:hAnsi="Arial"/>
                <w:sz w:val="18"/>
                <w:szCs w:val="18"/>
                <w:color w:val="auto"/>
              </w:rPr>
              <w:t>Chief Financial Officer and</w:t>
            </w:r>
          </w:p>
        </w:tc>
      </w:tr>
    </w:tbl>
    <w:p>
      <w:pPr>
        <w:ind w:left="5460"/>
        <w:spacing w:after="0"/>
        <w:rPr>
          <w:sz w:val="20"/>
          <w:szCs w:val="20"/>
          <w:color w:val="auto"/>
        </w:rPr>
      </w:pPr>
      <w:r>
        <w:rPr>
          <w:rFonts w:ascii="Arial" w:cs="Arial" w:eastAsia="Arial" w:hAnsi="Arial"/>
          <w:sz w:val="22"/>
          <w:szCs w:val="22"/>
          <w:color w:val="auto"/>
        </w:rPr>
        <w:t>Vice President of Finance</w:t>
      </w:r>
    </w:p>
    <w:p>
      <w:pPr>
        <w:spacing w:after="0" w:line="215"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450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120"/>
      </w:cols>
      <w:pgMar w:left="240" w:top="75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lvl w:ilvl="1">
      <w:lvlJc w:val="left"/>
      <w:lvlText w:val="(%2)"/>
      <w:numFmt w:val="lowerLetter"/>
      <w:start w:val="1"/>
    </w:lvl>
  </w:abstractNum>
  <w:abstractNum w:abstractNumId="1">
    <w:nsid w:val="2EB141F2"/>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2">
    <w:nsid w:val="41B71EFB"/>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4"/>
    </w:lvl>
  </w:abstractNum>
  <w:abstractNum w:abstractNumId="6">
    <w:nsid w:val="5BD062C2"/>
    <w:multiLevelType w:val="hybridMultilevel"/>
    <w:lvl w:ilvl="0">
      <w:lvlJc w:val="left"/>
      <w:lvlText w:val="(%1)"/>
      <w:numFmt w:val="lowerLetter"/>
      <w:start w:val="1"/>
    </w:lvl>
    <w:lvl w:ilvl="1">
      <w:lvlJc w:val="left"/>
      <w:lvlText w:val="(%2)"/>
      <w:numFmt w:val="lowerLetter"/>
      <w:start w:val="2"/>
    </w:lvl>
  </w:abstractNum>
  <w:abstractNum w:abstractNumId="7">
    <w:nsid w:val="12200854"/>
    <w:multiLevelType w:val="hybridMultilevel"/>
    <w:lvl w:ilvl="0">
      <w:lvlJc w:val="left"/>
      <w:lvlText w:val="(%1)"/>
      <w:numFmt w:val="lowerLetter"/>
      <w:start w:val="3"/>
    </w:lvl>
    <w:lvl w:ilvl="1">
      <w:lvlJc w:val="left"/>
      <w:lvlText w:val="(%2)"/>
      <w:numFmt w:val="lowerRoman"/>
      <w:start w:val="1"/>
    </w:lvl>
  </w:abstractNum>
  <w:abstractNum w:abstractNumId="8">
    <w:nsid w:val="4DB127F8"/>
    <w:multiLevelType w:val="hybridMultilevel"/>
    <w:lvl w:ilvl="0">
      <w:lvlJc w:val="left"/>
      <w:lvlText w:val="(%1)"/>
      <w:numFmt w:val="lowerRoman"/>
      <w:start w:val="3"/>
    </w:lvl>
  </w:abstractNum>
  <w:abstractNum w:abstractNumId="9">
    <w:nsid w:val="216231B"/>
    <w:multiLevelType w:val="hybridMultilevel"/>
    <w:lvl w:ilvl="0">
      <w:lvlJc w:val="left"/>
      <w:lvlText w:val="(%1)"/>
      <w:numFmt w:val="lowerRoman"/>
      <w:start w:val="4"/>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2019-12-10T06:04:34Z</dcterms:created>
  <dcterms:modified xsi:type="dcterms:W3CDTF">2019-12-10T06:04:34Z</dcterms:modified>
</cp:coreProperties>
</file>