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January 16, 2003</w:t>
      </w:r>
    </w:p>
    <w:p>
      <w:pPr>
        <w:spacing w:after="0" w:line="23" w:lineRule="exact"/>
        <w:rPr>
          <w:sz w:val="24"/>
          <w:szCs w:val="24"/>
          <w:color w:val="auto"/>
        </w:rPr>
      </w:pPr>
    </w:p>
    <w:p>
      <w:pPr>
        <w:ind w:left="8460"/>
        <w:spacing w:after="0"/>
        <w:rPr>
          <w:sz w:val="20"/>
          <w:szCs w:val="20"/>
          <w:color w:val="auto"/>
        </w:rPr>
      </w:pPr>
      <w:r>
        <w:rPr>
          <w:rFonts w:ascii="Arial" w:cs="Arial" w:eastAsia="Arial" w:hAnsi="Arial"/>
          <w:sz w:val="16"/>
          <w:szCs w:val="16"/>
          <w:color w:val="auto"/>
        </w:rPr>
        <w:t>Registration no. 333-________________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54"/>
              <w:spacing w:after="0"/>
              <w:rPr>
                <w:sz w:val="20"/>
                <w:szCs w:val="20"/>
                <w:color w:val="auto"/>
              </w:rPr>
            </w:pPr>
            <w:r>
              <w:rPr>
                <w:rFonts w:ascii="Arial" w:cs="Arial" w:eastAsia="Arial" w:hAnsi="Arial"/>
                <w:sz w:val="18"/>
                <w:szCs w:val="18"/>
                <w:b w:val="1"/>
                <w:bCs w:val="1"/>
                <w:color w:val="auto"/>
                <w:w w:val="91"/>
              </w:rPr>
              <w:t>75-1618004</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3500" w:type="dxa"/>
            <w:vAlign w:val="bottom"/>
            <w:gridSpan w:val="3"/>
          </w:tcPr>
          <w:p>
            <w:pPr>
              <w:jc w:val="center"/>
              <w:ind w:left="454"/>
              <w:spacing w:after="0" w:line="195" w:lineRule="exact"/>
              <w:rPr>
                <w:sz w:val="20"/>
                <w:szCs w:val="20"/>
                <w:color w:val="auto"/>
              </w:rPr>
            </w:pPr>
            <w:r>
              <w:rPr>
                <w:rFonts w:ascii="Arial" w:cs="Arial" w:eastAsia="Arial" w:hAnsi="Arial"/>
                <w:sz w:val="18"/>
                <w:szCs w:val="18"/>
                <w:color w:val="auto"/>
                <w:w w:val="92"/>
              </w:rPr>
              <w:t>(State or other jurisdiction of</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93"/>
              </w:rPr>
              <w:t>(I.R.S. Employer</w:t>
            </w: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500" w:type="dxa"/>
            <w:vAlign w:val="bottom"/>
            <w:gridSpan w:val="3"/>
          </w:tcPr>
          <w:p>
            <w:pPr>
              <w:jc w:val="center"/>
              <w:ind w:left="454"/>
              <w:spacing w:after="0"/>
              <w:rPr>
                <w:sz w:val="20"/>
                <w:szCs w:val="20"/>
                <w:color w:val="auto"/>
              </w:rPr>
            </w:pPr>
            <w:r>
              <w:rPr>
                <w:rFonts w:ascii="Arial" w:cs="Arial" w:eastAsia="Arial" w:hAnsi="Arial"/>
                <w:sz w:val="18"/>
                <w:szCs w:val="18"/>
                <w:color w:val="auto"/>
                <w:w w:val="92"/>
              </w:rPr>
              <w:t>incorporation or organization)</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Identification No.)</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80" w:type="dxa"/>
            <w:vAlign w:val="bottom"/>
          </w:tcPr>
          <w:p>
            <w:pPr>
              <w:spacing w:after="0"/>
              <w:rPr>
                <w:sz w:val="24"/>
                <w:szCs w:val="24"/>
                <w:color w:val="auto"/>
              </w:rPr>
            </w:pPr>
          </w:p>
        </w:tc>
        <w:tc>
          <w:tcPr>
            <w:tcW w:w="3500" w:type="dxa"/>
            <w:vAlign w:val="bottom"/>
            <w:gridSpan w:val="3"/>
          </w:tcPr>
          <w:p>
            <w:pPr>
              <w:jc w:val="center"/>
              <w:ind w:left="454"/>
              <w:spacing w:after="0"/>
              <w:rPr>
                <w:sz w:val="20"/>
                <w:szCs w:val="20"/>
                <w:color w:val="auto"/>
              </w:rPr>
            </w:pPr>
            <w:r>
              <w:rPr>
                <w:rFonts w:ascii="Arial" w:cs="Arial" w:eastAsia="Arial" w:hAnsi="Arial"/>
                <w:sz w:val="18"/>
                <w:szCs w:val="18"/>
                <w:b w:val="1"/>
                <w:bCs w:val="1"/>
                <w:color w:val="auto"/>
                <w:w w:val="90"/>
              </w:rPr>
              <w:t>8000 South Federal Way</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89"/>
              </w:rPr>
              <w:t>Boise, Idaho</w:t>
            </w: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54"/>
              <w:spacing w:after="0"/>
              <w:rPr>
                <w:sz w:val="20"/>
                <w:szCs w:val="20"/>
                <w:color w:val="auto"/>
              </w:rPr>
            </w:pPr>
            <w:r>
              <w:rPr>
                <w:rFonts w:ascii="Arial" w:cs="Arial" w:eastAsia="Arial" w:hAnsi="Arial"/>
                <w:sz w:val="18"/>
                <w:szCs w:val="18"/>
                <w:b w:val="1"/>
                <w:bCs w:val="1"/>
                <w:color w:val="auto"/>
                <w:w w:val="91"/>
              </w:rPr>
              <w:t>83716-9632</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3500" w:type="dxa"/>
            <w:vAlign w:val="bottom"/>
            <w:gridSpan w:val="3"/>
          </w:tcPr>
          <w:p>
            <w:pPr>
              <w:jc w:val="center"/>
              <w:ind w:left="474"/>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(Zip Code)</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300" w:type="dxa"/>
            <w:vAlign w:val="bottom"/>
            <w:gridSpan w:val="9"/>
          </w:tcPr>
          <w:p>
            <w:pPr>
              <w:jc w:val="center"/>
              <w:ind w:right="20"/>
              <w:spacing w:after="0"/>
              <w:rPr>
                <w:sz w:val="20"/>
                <w:szCs w:val="20"/>
                <w:color w:val="auto"/>
              </w:rPr>
            </w:pPr>
            <w:r>
              <w:rPr>
                <w:rFonts w:ascii="Arial" w:cs="Arial" w:eastAsia="Arial" w:hAnsi="Arial"/>
                <w:sz w:val="18"/>
                <w:szCs w:val="18"/>
                <w:b w:val="1"/>
                <w:bCs w:val="1"/>
                <w:color w:val="auto"/>
                <w:w w:val="90"/>
              </w:rPr>
              <w:t>Micron Technology, Inc. 2001 Stock Option Plan</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8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89"/>
              </w:rPr>
              <w:t>Micron Technology, Inc. 1989 Employee Stock Purchase Plan</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8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0"/>
              </w:rPr>
              <w:t>Micron Technology, Inc. 2002 Employment Inducement Stock Option Plan</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6"/>
          </w:tcPr>
          <w:p>
            <w:pPr>
              <w:jc w:val="center"/>
              <w:ind w:right="1240"/>
              <w:spacing w:after="0"/>
              <w:rPr>
                <w:sz w:val="20"/>
                <w:szCs w:val="20"/>
                <w:color w:val="auto"/>
              </w:rPr>
            </w:pPr>
            <w:r>
              <w:rPr>
                <w:rFonts w:ascii="Arial" w:cs="Arial" w:eastAsia="Arial" w:hAnsi="Arial"/>
                <w:sz w:val="18"/>
                <w:szCs w:val="18"/>
                <w:color w:val="auto"/>
                <w:w w:val="94"/>
              </w:rPr>
              <w:t>(Full title of the plans)</w:t>
            </w:r>
          </w:p>
        </w:tc>
        <w:tc>
          <w:tcPr>
            <w:tcW w:w="1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0"/>
              </w:rPr>
              <w:t>W.G. Stover, Jr.</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3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1"/>
              </w:rPr>
              <w:t>V.P. of Finance and Chief Financial Officer</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8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w w:val="90"/>
              </w:rPr>
              <w:t>Micron Technology, Inc.</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w w:val="91"/>
              </w:rPr>
              <w:t>8000 South Federal Way</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80" w:type="dxa"/>
            <w:vAlign w:val="bottom"/>
            <w:gridSpan w:val="7"/>
          </w:tcPr>
          <w:p>
            <w:pPr>
              <w:jc w:val="center"/>
              <w:ind w:right="1220"/>
              <w:spacing w:after="0" w:line="194" w:lineRule="exact"/>
              <w:rPr>
                <w:sz w:val="20"/>
                <w:szCs w:val="20"/>
                <w:color w:val="auto"/>
              </w:rPr>
            </w:pPr>
            <w:r>
              <w:rPr>
                <w:rFonts w:ascii="Arial" w:cs="Arial" w:eastAsia="Arial" w:hAnsi="Arial"/>
                <w:sz w:val="18"/>
                <w:szCs w:val="18"/>
                <w:b w:val="1"/>
                <w:bCs w:val="1"/>
                <w:color w:val="auto"/>
                <w:w w:val="89"/>
              </w:rPr>
              <w:t>Boise, Idaho 83716-9632</w:t>
            </w: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0" w:type="dxa"/>
            <w:vAlign w:val="bottom"/>
            <w:gridSpan w:val="8"/>
          </w:tcPr>
          <w:p>
            <w:pPr>
              <w:jc w:val="center"/>
              <w:ind w:right="720"/>
              <w:spacing w:after="0"/>
              <w:rPr>
                <w:sz w:val="20"/>
                <w:szCs w:val="20"/>
                <w:color w:val="auto"/>
              </w:rPr>
            </w:pPr>
            <w:r>
              <w:rPr>
                <w:rFonts w:ascii="Arial" w:cs="Arial" w:eastAsia="Arial" w:hAnsi="Arial"/>
                <w:sz w:val="18"/>
                <w:szCs w:val="18"/>
                <w:color w:val="auto"/>
                <w:w w:val="89"/>
              </w:rPr>
              <w:t>(Name and address of agent for service)</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left="735"/>
              <w:spacing w:after="0"/>
              <w:rPr>
                <w:sz w:val="20"/>
                <w:szCs w:val="20"/>
                <w:color w:val="auto"/>
              </w:rPr>
            </w:pPr>
            <w:r>
              <w:rPr>
                <w:rFonts w:ascii="Arial" w:cs="Arial" w:eastAsia="Arial" w:hAnsi="Arial"/>
                <w:sz w:val="18"/>
                <w:szCs w:val="18"/>
                <w:b w:val="1"/>
                <w:bCs w:val="1"/>
                <w:color w:val="auto"/>
                <w:w w:val="90"/>
              </w:rPr>
              <w:t>208-368-4000</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300" w:type="dxa"/>
            <w:vAlign w:val="bottom"/>
            <w:gridSpan w:val="9"/>
          </w:tcPr>
          <w:p>
            <w:pPr>
              <w:jc w:val="center"/>
              <w:spacing w:after="0"/>
              <w:rPr>
                <w:sz w:val="20"/>
                <w:szCs w:val="20"/>
                <w:color w:val="auto"/>
              </w:rPr>
            </w:pPr>
            <w:r>
              <w:rPr>
                <w:rFonts w:ascii="Arial" w:cs="Arial" w:eastAsia="Arial" w:hAnsi="Arial"/>
                <w:sz w:val="18"/>
                <w:szCs w:val="18"/>
                <w:color w:val="auto"/>
                <w:w w:val="87"/>
              </w:rPr>
              <w:t>(Telephone number, including area code, of agent for service)</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rPr>
              <w:t>CALCULATION OF REGISTRATION FEE</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Proposed maximum</w:t>
            </w: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Proposed maximum</w:t>
            </w:r>
          </w:p>
        </w:tc>
        <w:tc>
          <w:tcPr>
            <w:tcW w:w="16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5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Title of securities to be registered</w:t>
            </w:r>
          </w:p>
        </w:tc>
        <w:tc>
          <w:tcPr>
            <w:tcW w:w="208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Amount to be</w:t>
            </w:r>
          </w:p>
        </w:tc>
        <w:tc>
          <w:tcPr>
            <w:tcW w:w="15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3"/>
            <w:vMerge w:val="continue"/>
          </w:tcPr>
          <w:p>
            <w:pPr>
              <w:spacing w:after="0"/>
              <w:rPr>
                <w:sz w:val="14"/>
                <w:szCs w:val="14"/>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registered (1)</w:t>
            </w:r>
          </w:p>
        </w:tc>
        <w:tc>
          <w:tcPr>
            <w:tcW w:w="15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4"/>
                <w:szCs w:val="14"/>
                <w:b w:val="1"/>
                <w:bCs w:val="1"/>
                <w:color w:val="auto"/>
                <w:w w:val="94"/>
              </w:rPr>
              <w:t>per share(2)</w:t>
            </w: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price(2)</w:t>
            </w:r>
          </w:p>
        </w:tc>
        <w:tc>
          <w:tcPr>
            <w:tcW w:w="1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registration fee(3)</w:t>
            </w:r>
          </w:p>
        </w:tc>
        <w:tc>
          <w:tcPr>
            <w:tcW w:w="0" w:type="dxa"/>
            <w:vAlign w:val="bottom"/>
          </w:tcPr>
          <w:p>
            <w:pPr>
              <w:spacing w:after="0"/>
              <w:rPr>
                <w:sz w:val="1"/>
                <w:szCs w:val="1"/>
                <w:color w:val="auto"/>
              </w:rPr>
            </w:pPr>
          </w:p>
        </w:tc>
      </w:tr>
      <w:tr>
        <w:trPr>
          <w:trHeight w:val="195"/>
        </w:trPr>
        <w:tc>
          <w:tcPr>
            <w:tcW w:w="4280" w:type="dxa"/>
            <w:vAlign w:val="bottom"/>
            <w:gridSpan w:val="4"/>
            <w:shd w:val="clear" w:color="auto" w:fill="CCEEFF"/>
          </w:tcPr>
          <w:p>
            <w:pPr>
              <w:ind w:left="20"/>
              <w:spacing w:after="0" w:line="195" w:lineRule="exact"/>
              <w:rPr>
                <w:sz w:val="20"/>
                <w:szCs w:val="20"/>
                <w:color w:val="auto"/>
              </w:rPr>
            </w:pPr>
            <w:r>
              <w:rPr>
                <w:rFonts w:ascii="Arial" w:cs="Arial" w:eastAsia="Arial" w:hAnsi="Arial"/>
                <w:sz w:val="18"/>
                <w:szCs w:val="18"/>
                <w:color w:val="auto"/>
                <w:w w:val="89"/>
              </w:rPr>
              <w:t>Common Stock $.10 par value per Share, to be 2001 Stock</w:t>
            </w: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Option Plan</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50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$10.045</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$200,900,000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$18,482.80</w:t>
            </w:r>
          </w:p>
        </w:tc>
        <w:tc>
          <w:tcPr>
            <w:tcW w:w="0" w:type="dxa"/>
            <w:vAlign w:val="bottom"/>
          </w:tcPr>
          <w:p>
            <w:pPr>
              <w:spacing w:after="0"/>
              <w:rPr>
                <w:sz w:val="1"/>
                <w:szCs w:val="1"/>
                <w:color w:val="auto"/>
              </w:rPr>
            </w:pPr>
          </w:p>
        </w:tc>
      </w:tr>
      <w:tr>
        <w:trPr>
          <w:trHeight w:val="202"/>
        </w:trPr>
        <w:tc>
          <w:tcPr>
            <w:tcW w:w="428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7"/>
              </w:rPr>
              <w:t>Common Stock $.10 par value per Share, to be issued</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4"/>
          </w:tcPr>
          <w:p>
            <w:pPr>
              <w:ind w:left="200"/>
              <w:spacing w:after="0"/>
              <w:rPr>
                <w:sz w:val="20"/>
                <w:szCs w:val="20"/>
                <w:color w:val="auto"/>
              </w:rPr>
            </w:pPr>
            <w:r>
              <w:rPr>
                <w:rFonts w:ascii="Arial" w:cs="Arial" w:eastAsia="Arial" w:hAnsi="Arial"/>
                <w:sz w:val="18"/>
                <w:szCs w:val="18"/>
                <w:color w:val="auto"/>
              </w:rPr>
              <w:t>under the Micron Technology, Inc. 1989 Employee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4"/>
          </w:tcPr>
          <w:p>
            <w:pPr>
              <w:ind w:left="200"/>
              <w:spacing w:after="0"/>
              <w:rPr>
                <w:sz w:val="20"/>
                <w:szCs w:val="20"/>
                <w:color w:val="auto"/>
              </w:rPr>
            </w:pPr>
            <w:r>
              <w:rPr>
                <w:rFonts w:ascii="Arial" w:cs="Arial" w:eastAsia="Arial" w:hAnsi="Arial"/>
                <w:sz w:val="18"/>
                <w:szCs w:val="18"/>
                <w:color w:val="auto"/>
              </w:rPr>
              <w:t>Stock Purchase Plan</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2,000,000</w:t>
            </w:r>
          </w:p>
        </w:tc>
        <w:tc>
          <w:tcPr>
            <w:tcW w:w="500" w:type="dxa"/>
            <w:vAlign w:val="bottom"/>
          </w:tcPr>
          <w:p>
            <w:pPr>
              <w:spacing w:after="0"/>
              <w:rPr>
                <w:sz w:val="20"/>
                <w:szCs w:val="20"/>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$10.045</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$20,090,000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$1,848.28</w:t>
            </w:r>
          </w:p>
        </w:tc>
        <w:tc>
          <w:tcPr>
            <w:tcW w:w="0" w:type="dxa"/>
            <w:vAlign w:val="bottom"/>
          </w:tcPr>
          <w:p>
            <w:pPr>
              <w:spacing w:after="0"/>
              <w:rPr>
                <w:sz w:val="1"/>
                <w:szCs w:val="1"/>
                <w:color w:val="auto"/>
              </w:rPr>
            </w:pPr>
          </w:p>
        </w:tc>
      </w:tr>
      <w:tr>
        <w:trPr>
          <w:trHeight w:val="202"/>
        </w:trPr>
        <w:tc>
          <w:tcPr>
            <w:tcW w:w="42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Common Stock $.10 par value per Share, to be issued</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6"/>
              </w:rPr>
              <w:t>under the Micron Technology, Inc. 2002 Employment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gridSpan w:val="4"/>
            <w:shd w:val="clear" w:color="auto" w:fill="CCEEFF"/>
          </w:tcPr>
          <w:p>
            <w:pPr>
              <w:ind w:left="200"/>
              <w:spacing w:after="0"/>
              <w:rPr>
                <w:sz w:val="20"/>
                <w:szCs w:val="20"/>
                <w:color w:val="auto"/>
              </w:rPr>
            </w:pPr>
            <w:r>
              <w:rPr>
                <w:rFonts w:ascii="Arial" w:cs="Arial" w:eastAsia="Arial" w:hAnsi="Arial"/>
                <w:sz w:val="18"/>
                <w:szCs w:val="18"/>
                <w:color w:val="auto"/>
              </w:rPr>
              <w:t>Inducement Stock Option Plan</w:t>
            </w: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5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$10.045</w:t>
            </w:r>
          </w:p>
        </w:tc>
        <w:tc>
          <w:tcPr>
            <w:tcW w:w="1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$10,045,000</w:t>
            </w: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$924.14</w:t>
            </w:r>
          </w:p>
        </w:tc>
        <w:tc>
          <w:tcPr>
            <w:tcW w:w="0" w:type="dxa"/>
            <w:vAlign w:val="bottom"/>
          </w:tcPr>
          <w:p>
            <w:pPr>
              <w:spacing w:after="0"/>
              <w:rPr>
                <w:sz w:val="1"/>
                <w:szCs w:val="1"/>
                <w:color w:val="auto"/>
              </w:rPr>
            </w:pPr>
          </w:p>
        </w:tc>
      </w:tr>
      <w:tr>
        <w:trPr>
          <w:trHeight w:val="228"/>
        </w:trPr>
        <w:tc>
          <w:tcPr>
            <w:tcW w:w="428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23,000,000</w:t>
            </w:r>
          </w:p>
        </w:tc>
        <w:tc>
          <w:tcPr>
            <w:tcW w:w="500" w:type="dxa"/>
            <w:vAlign w:val="bottom"/>
          </w:tcPr>
          <w:p>
            <w:pPr>
              <w:spacing w:after="0"/>
              <w:rPr>
                <w:sz w:val="19"/>
                <w:szCs w:val="19"/>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$10.045</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$231,035,000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$21,255.22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612775</wp:posOffset>
            </wp:positionH>
            <wp:positionV relativeFrom="paragraph">
              <wp:posOffset>-2626360</wp:posOffset>
            </wp:positionV>
            <wp:extent cx="4763"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-2626360</wp:posOffset>
            </wp:positionV>
            <wp:extent cx="4763"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-2626360</wp:posOffset>
            </wp:positionV>
            <wp:extent cx="4763"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6645910</wp:posOffset>
            </wp:positionH>
            <wp:positionV relativeFrom="paragraph">
              <wp:posOffset>-2626360</wp:posOffset>
            </wp:positionV>
            <wp:extent cx="4763"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63" w:lineRule="exact"/>
        <w:rPr>
          <w:sz w:val="24"/>
          <w:szCs w:val="24"/>
          <w:color w:val="auto"/>
        </w:rPr>
      </w:pPr>
    </w:p>
    <w:p>
      <w:pPr>
        <w:ind w:left="340" w:right="80" w:hanging="332"/>
        <w:spacing w:after="0" w:line="256"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ind w:left="340" w:right="240" w:hanging="332"/>
        <w:spacing w:after="0" w:line="250"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of 1933 solely for the purpose of calculating the registration fee on the basis of $10.045 per share, which is the average of the high and low price of the Registrant’s Common Stock as reported on the New York Stock Exchange on January 15, 2003.</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registration fee was calculated pursuant to Section 6(b) of the Securities Act, as amended, which provides that the fee shall be .000092 multiplied by the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are hereby incorporated by reference in this Registration Statement the following documents and information heretofore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0"/>
          <w:szCs w:val="20"/>
          <w:color w:val="auto"/>
        </w:rPr>
      </w:pPr>
    </w:p>
    <w:p>
      <w:pPr>
        <w:ind w:right="580" w:firstLine="656"/>
        <w:spacing w:after="0" w:line="277" w:lineRule="auto"/>
        <w:tabs>
          <w:tab w:leader="none" w:pos="9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August 29, 2002, filed pursuant to Section 13(a) of the Securities Exchange Act of 1934, as amended (the “1934 Act”) (File No. 1-10658).</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8-K filed on October 15, 2002.</w:t>
      </w:r>
    </w:p>
    <w:p>
      <w:pPr>
        <w:spacing w:after="0" w:line="225" w:lineRule="exact"/>
        <w:rPr>
          <w:rFonts w:ascii="Arial" w:cs="Arial" w:eastAsia="Arial" w:hAnsi="Arial"/>
          <w:sz w:val="18"/>
          <w:szCs w:val="18"/>
          <w:color w:val="auto"/>
        </w:rPr>
      </w:pPr>
    </w:p>
    <w:p>
      <w:pPr>
        <w:ind w:right="60" w:firstLine="656"/>
        <w:spacing w:after="0" w:line="277" w:lineRule="auto"/>
        <w:tabs>
          <w:tab w:leader="none" w:pos="9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28, 2002, filed pursuant to Section 13(a) of the 1934 Act (File No. 1-10658).</w:t>
      </w:r>
    </w:p>
    <w:p>
      <w:pPr>
        <w:spacing w:after="0" w:line="170" w:lineRule="exact"/>
        <w:rPr>
          <w:rFonts w:ascii="Arial" w:cs="Arial" w:eastAsia="Arial" w:hAnsi="Arial"/>
          <w:sz w:val="18"/>
          <w:szCs w:val="18"/>
          <w:color w:val="auto"/>
        </w:rPr>
      </w:pPr>
    </w:p>
    <w:p>
      <w:pPr>
        <w:ind w:right="40" w:firstLine="656"/>
        <w:spacing w:after="0" w:line="264" w:lineRule="auto"/>
        <w:tabs>
          <w:tab w:leader="none" w:pos="9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Description of Securities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Interests of Named Experts and Counsel</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Company has entered into agreements with its officers, directors and certain key employees implementing such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Exemption from Registration Claimed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-3175</wp:posOffset>
            </wp:positionV>
            <wp:extent cx="480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17"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Micron Technology, Inc. 1989 Employee Stock Purchase Plan</w:t>
      </w:r>
    </w:p>
    <w:p>
      <w:pPr>
        <w:spacing w:after="0" w:line="25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Micron Technology, Inc. 2001 Stock Option Plan.</w:t>
      </w:r>
    </w:p>
    <w:p>
      <w:pPr>
        <w:spacing w:after="0" w:line="25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Micron Technology, Inc. 2002 Employment Inducement Stock Option Plan</w:t>
      </w:r>
    </w:p>
    <w:p>
      <w:pPr>
        <w:spacing w:after="0" w:line="25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w:t>
      </w:r>
    </w:p>
    <w:p>
      <w:pPr>
        <w:spacing w:after="0" w:line="25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Accountants.</w:t>
      </w:r>
    </w:p>
    <w:p>
      <w:pPr>
        <w:spacing w:after="0" w:line="25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Counsel (contained in Exhibit 5.1).</w:t>
      </w:r>
    </w:p>
    <w:p>
      <w:pPr>
        <w:spacing w:after="0" w:line="25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Undertakings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firstLine="656"/>
        <w:spacing w:after="0" w:line="342" w:lineRule="auto"/>
        <w:tabs>
          <w:tab w:leader="none" w:pos="948"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w:t>
      </w:r>
    </w:p>
    <w:p>
      <w:pPr>
        <w:sectPr>
          <w:pgSz w:w="11900" w:h="16921" w:orient="portrait"/>
          <w:cols w:equalWidth="0" w:num="1">
            <w:col w:w="11360"/>
          </w:cols>
          <w:pgMar w:left="240" w:top="121" w:right="29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the Registration Statement.</w:t>
      </w:r>
    </w:p>
    <w:p>
      <w:pPr>
        <w:spacing w:after="0" w:line="225" w:lineRule="exact"/>
        <w:rPr>
          <w:sz w:val="20"/>
          <w:szCs w:val="20"/>
          <w:color w:val="auto"/>
        </w:rPr>
      </w:pPr>
    </w:p>
    <w:p>
      <w:pPr>
        <w:ind w:right="320" w:firstLine="656"/>
        <w:spacing w:after="0" w:line="264"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720" w:firstLine="656"/>
        <w:spacing w:after="0" w:line="277"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20" w:firstLine="656"/>
        <w:spacing w:after="0" w:line="264" w:lineRule="auto"/>
        <w:tabs>
          <w:tab w:leader="none" w:pos="9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ind w:right="20" w:firstLine="656"/>
        <w:spacing w:after="0" w:line="271" w:lineRule="auto"/>
        <w:tabs>
          <w:tab w:leader="none" w:pos="93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2003.</w:t>
      </w:r>
    </w:p>
    <w:p>
      <w:pPr>
        <w:spacing w:after="0" w:line="2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W. G. STOVER, JR.</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2" w:lineRule="exact"/>
        <w:rPr>
          <w:sz w:val="20"/>
          <w:szCs w:val="20"/>
          <w:color w:val="auto"/>
        </w:rPr>
      </w:pPr>
    </w:p>
    <w:p>
      <w:pPr>
        <w:ind w:left="20"/>
        <w:spacing w:after="0"/>
        <w:tabs>
          <w:tab w:leader="none" w:pos="6020" w:val="left"/>
          <w:tab w:leader="none" w:pos="100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60"/>
          </w:cols>
          <w:pgMar w:left="240" w:top="125" w:right="299" w:bottom="0" w:gutter="0" w:footer="0" w:header="0"/>
        </w:sectPr>
      </w:pPr>
    </w:p>
    <w:p>
      <w:pPr>
        <w:spacing w:after="0" w:line="239" w:lineRule="exact"/>
        <w:rPr>
          <w:sz w:val="20"/>
          <w:szCs w:val="20"/>
          <w:color w:val="auto"/>
        </w:rPr>
      </w:pPr>
    </w:p>
    <w:p>
      <w:pPr>
        <w:ind w:left="20" w:right="740"/>
        <w:spacing w:after="0" w:line="360" w:lineRule="auto"/>
        <w:rPr>
          <w:sz w:val="20"/>
          <w:szCs w:val="20"/>
          <w:color w:val="auto"/>
        </w:rPr>
      </w:pPr>
      <w:r>
        <w:rPr>
          <w:rFonts w:ascii="Arial" w:cs="Arial" w:eastAsia="Arial" w:hAnsi="Arial"/>
          <w:sz w:val="16"/>
          <w:szCs w:val="16"/>
          <w:color w:val="auto"/>
        </w:rPr>
        <w:t>/S/ STEVEN R. APPLETON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WILBUR G. STOVER, JR.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01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 w:right="1000"/>
        <w:spacing w:after="0" w:line="324" w:lineRule="auto"/>
        <w:rPr>
          <w:sz w:val="20"/>
          <w:szCs w:val="20"/>
          <w:color w:val="auto"/>
        </w:rPr>
      </w:pPr>
      <w:r>
        <w:rPr>
          <w:rFonts w:ascii="Arial" w:cs="Arial" w:eastAsia="Arial" w:hAnsi="Arial"/>
          <w:sz w:val="17"/>
          <w:szCs w:val="17"/>
          <w:color w:val="auto"/>
        </w:rPr>
        <w:t>/S/ JAMES W. BAGLEY James W.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101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41" w:lineRule="exact"/>
        <w:rPr>
          <w:sz w:val="20"/>
          <w:szCs w:val="20"/>
          <w:color w:val="auto"/>
        </w:rPr>
      </w:pPr>
    </w:p>
    <w:p>
      <w:pPr>
        <w:ind w:left="20" w:right="800"/>
        <w:spacing w:after="0" w:line="360" w:lineRule="auto"/>
        <w:rPr>
          <w:sz w:val="20"/>
          <w:szCs w:val="20"/>
          <w:color w:val="auto"/>
        </w:rPr>
      </w:pPr>
      <w:r>
        <w:rPr>
          <w:rFonts w:ascii="Arial" w:cs="Arial" w:eastAsia="Arial" w:hAnsi="Arial"/>
          <w:sz w:val="16"/>
          <w:szCs w:val="16"/>
          <w:color w:val="auto"/>
        </w:rPr>
        <w:t>/S/ ROBERT A. LOTHROP Robert A. Lothrop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Chief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President</w:t>
      </w:r>
    </w:p>
    <w:p>
      <w:pPr>
        <w:spacing w:after="0" w:line="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(Principal Executive Officer)</w:t>
      </w:r>
      <w:r>
        <w:rPr>
          <w:sz w:val="20"/>
          <w:szCs w:val="20"/>
          <w:color w:val="auto"/>
        </w:rPr>
        <w:tab/>
      </w:r>
      <w:r>
        <w:rPr>
          <w:rFonts w:ascii="Arial" w:cs="Arial" w:eastAsia="Arial" w:hAnsi="Arial"/>
          <w:sz w:val="16"/>
          <w:szCs w:val="16"/>
          <w:color w:val="auto"/>
        </w:rPr>
        <w:t>January 15, 2003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w:t>
      </w:r>
    </w:p>
    <w:p>
      <w:pPr>
        <w:spacing w:after="0" w:line="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Financial and Accounting Officer)</w:t>
      </w:r>
      <w:r>
        <w:rPr>
          <w:sz w:val="20"/>
          <w:szCs w:val="20"/>
          <w:color w:val="auto"/>
        </w:rPr>
        <w:tab/>
      </w:r>
      <w:r>
        <w:rPr>
          <w:rFonts w:ascii="Arial" w:cs="Arial" w:eastAsia="Arial" w:hAnsi="Arial"/>
          <w:sz w:val="16"/>
          <w:szCs w:val="16"/>
          <w:color w:val="auto"/>
        </w:rPr>
        <w:t>January 15, 2003</w:t>
      </w:r>
    </w:p>
    <w:p>
      <w:pPr>
        <w:spacing w:after="0" w:line="200" w:lineRule="exact"/>
        <w:rPr>
          <w:sz w:val="20"/>
          <w:szCs w:val="20"/>
          <w:color w:val="auto"/>
        </w:rPr>
      </w:pPr>
    </w:p>
    <w:p>
      <w:pPr>
        <w:spacing w:after="0" w:line="267" w:lineRule="exact"/>
        <w:rPr>
          <w:sz w:val="20"/>
          <w:szCs w:val="20"/>
          <w:color w:val="auto"/>
        </w:rPr>
      </w:pPr>
    </w:p>
    <w:p>
      <w:pPr>
        <w:spacing w:after="0"/>
        <w:tabs>
          <w:tab w:leader="none" w:pos="54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January 15, 2003</w:t>
      </w:r>
    </w:p>
    <w:p>
      <w:pPr>
        <w:spacing w:after="0" w:line="200" w:lineRule="exact"/>
        <w:rPr>
          <w:sz w:val="20"/>
          <w:szCs w:val="20"/>
          <w:color w:val="auto"/>
        </w:rPr>
      </w:pPr>
    </w:p>
    <w:p>
      <w:pPr>
        <w:spacing w:after="0" w:line="305" w:lineRule="exact"/>
        <w:rPr>
          <w:sz w:val="20"/>
          <w:szCs w:val="20"/>
          <w:color w:val="auto"/>
        </w:rPr>
      </w:pPr>
    </w:p>
    <w:p>
      <w:pPr>
        <w:spacing w:after="0"/>
        <w:tabs>
          <w:tab w:leader="none" w:pos="54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January 15, 2003</w:t>
      </w:r>
    </w:p>
    <w:p>
      <w:pPr>
        <w:sectPr>
          <w:pgSz w:w="11900" w:h="16838" w:orient="portrait"/>
          <w:cols w:equalWidth="0" w:num="2">
            <w:col w:w="2860" w:space="720"/>
            <w:col w:w="7780"/>
          </w:cols>
          <w:pgMar w:left="240" w:top="125" w:right="29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T. NICHOLSON</w:t>
            </w:r>
          </w:p>
        </w:tc>
        <w:tc>
          <w:tcPr>
            <w:tcW w:w="3320" w:type="dxa"/>
            <w:vAlign w:val="bottom"/>
            <w:vMerge w:val="restart"/>
          </w:tcPr>
          <w:p>
            <w:pPr>
              <w:ind w:left="260"/>
              <w:spacing w:after="0"/>
              <w:rPr>
                <w:sz w:val="20"/>
                <w:szCs w:val="20"/>
                <w:color w:val="auto"/>
              </w:rPr>
            </w:pPr>
            <w:r>
              <w:rPr>
                <w:rFonts w:ascii="Arial" w:cs="Arial" w:eastAsia="Arial" w:hAnsi="Arial"/>
                <w:sz w:val="18"/>
                <w:szCs w:val="18"/>
                <w:color w:val="auto"/>
              </w:rPr>
              <w:t>Director</w:t>
            </w:r>
          </w:p>
        </w:tc>
        <w:tc>
          <w:tcPr>
            <w:tcW w:w="3680" w:type="dxa"/>
            <w:vAlign w:val="bottom"/>
            <w:vMerge w:val="restart"/>
          </w:tcPr>
          <w:p>
            <w:pPr>
              <w:ind w:left="2440"/>
              <w:spacing w:after="0"/>
              <w:rPr>
                <w:sz w:val="20"/>
                <w:szCs w:val="20"/>
                <w:color w:val="auto"/>
              </w:rPr>
            </w:pPr>
            <w:r>
              <w:rPr>
                <w:rFonts w:ascii="Arial" w:cs="Arial" w:eastAsia="Arial" w:hAnsi="Arial"/>
                <w:sz w:val="18"/>
                <w:szCs w:val="18"/>
                <w:color w:val="auto"/>
                <w:w w:val="87"/>
              </w:rPr>
              <w:t>January 15, 2003</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color w:val="auto"/>
              </w:rPr>
              <w:t>Thomas T. Nicholson</w:t>
            </w:r>
          </w:p>
        </w:tc>
        <w:tc>
          <w:tcPr>
            <w:tcW w:w="3320" w:type="dxa"/>
            <w:vAlign w:val="bottom"/>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 J. SIMPLOT</w:t>
            </w:r>
          </w:p>
        </w:tc>
        <w:tc>
          <w:tcPr>
            <w:tcW w:w="3320" w:type="dxa"/>
            <w:vAlign w:val="bottom"/>
            <w:vMerge w:val="restart"/>
          </w:tcPr>
          <w:p>
            <w:pPr>
              <w:ind w:left="260"/>
              <w:spacing w:after="0"/>
              <w:rPr>
                <w:sz w:val="20"/>
                <w:szCs w:val="20"/>
                <w:color w:val="auto"/>
              </w:rPr>
            </w:pPr>
            <w:r>
              <w:rPr>
                <w:rFonts w:ascii="Arial" w:cs="Arial" w:eastAsia="Arial" w:hAnsi="Arial"/>
                <w:sz w:val="18"/>
                <w:szCs w:val="18"/>
                <w:color w:val="auto"/>
              </w:rPr>
              <w:t>Director</w:t>
            </w:r>
          </w:p>
        </w:tc>
        <w:tc>
          <w:tcPr>
            <w:tcW w:w="3680" w:type="dxa"/>
            <w:vAlign w:val="bottom"/>
            <w:vMerge w:val="restart"/>
          </w:tcPr>
          <w:p>
            <w:pPr>
              <w:ind w:left="2440"/>
              <w:spacing w:after="0"/>
              <w:rPr>
                <w:sz w:val="20"/>
                <w:szCs w:val="20"/>
                <w:color w:val="auto"/>
              </w:rPr>
            </w:pPr>
            <w:r>
              <w:rPr>
                <w:rFonts w:ascii="Arial" w:cs="Arial" w:eastAsia="Arial" w:hAnsi="Arial"/>
                <w:sz w:val="18"/>
                <w:szCs w:val="18"/>
                <w:color w:val="auto"/>
                <w:w w:val="87"/>
              </w:rPr>
              <w:t>January 15, 2003</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color w:val="auto"/>
              </w:rPr>
              <w:t>Don J. Simplot</w:t>
            </w:r>
          </w:p>
        </w:tc>
        <w:tc>
          <w:tcPr>
            <w:tcW w:w="3320" w:type="dxa"/>
            <w:vAlign w:val="bottom"/>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GORDON C. SMITH</w:t>
            </w:r>
          </w:p>
        </w:tc>
        <w:tc>
          <w:tcPr>
            <w:tcW w:w="3320" w:type="dxa"/>
            <w:vAlign w:val="bottom"/>
            <w:vMerge w:val="restart"/>
          </w:tcPr>
          <w:p>
            <w:pPr>
              <w:ind w:left="260"/>
              <w:spacing w:after="0"/>
              <w:rPr>
                <w:sz w:val="20"/>
                <w:szCs w:val="20"/>
                <w:color w:val="auto"/>
              </w:rPr>
            </w:pPr>
            <w:r>
              <w:rPr>
                <w:rFonts w:ascii="Arial" w:cs="Arial" w:eastAsia="Arial" w:hAnsi="Arial"/>
                <w:sz w:val="18"/>
                <w:szCs w:val="18"/>
                <w:color w:val="auto"/>
              </w:rPr>
              <w:t>Director</w:t>
            </w:r>
          </w:p>
        </w:tc>
        <w:tc>
          <w:tcPr>
            <w:tcW w:w="3680" w:type="dxa"/>
            <w:vAlign w:val="bottom"/>
            <w:vMerge w:val="restart"/>
          </w:tcPr>
          <w:p>
            <w:pPr>
              <w:ind w:left="2440"/>
              <w:spacing w:after="0"/>
              <w:rPr>
                <w:sz w:val="20"/>
                <w:szCs w:val="20"/>
                <w:color w:val="auto"/>
              </w:rPr>
            </w:pPr>
            <w:r>
              <w:rPr>
                <w:rFonts w:ascii="Arial" w:cs="Arial" w:eastAsia="Arial" w:hAnsi="Arial"/>
                <w:sz w:val="18"/>
                <w:szCs w:val="18"/>
                <w:color w:val="auto"/>
                <w:w w:val="87"/>
              </w:rPr>
              <w:t>January 15, 2003</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color w:val="auto"/>
              </w:rPr>
              <w:t>Gordon C. Smith</w:t>
            </w:r>
          </w:p>
        </w:tc>
        <w:tc>
          <w:tcPr>
            <w:tcW w:w="3320" w:type="dxa"/>
            <w:vAlign w:val="bottom"/>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P. WEBER</w:t>
            </w:r>
          </w:p>
        </w:tc>
        <w:tc>
          <w:tcPr>
            <w:tcW w:w="3320" w:type="dxa"/>
            <w:vAlign w:val="bottom"/>
            <w:vMerge w:val="restart"/>
          </w:tcPr>
          <w:p>
            <w:pPr>
              <w:ind w:left="260"/>
              <w:spacing w:after="0"/>
              <w:rPr>
                <w:sz w:val="20"/>
                <w:szCs w:val="20"/>
                <w:color w:val="auto"/>
              </w:rPr>
            </w:pPr>
            <w:r>
              <w:rPr>
                <w:rFonts w:ascii="Arial" w:cs="Arial" w:eastAsia="Arial" w:hAnsi="Arial"/>
                <w:sz w:val="18"/>
                <w:szCs w:val="18"/>
                <w:color w:val="auto"/>
              </w:rPr>
              <w:t>Director</w:t>
            </w:r>
          </w:p>
        </w:tc>
        <w:tc>
          <w:tcPr>
            <w:tcW w:w="3680" w:type="dxa"/>
            <w:vAlign w:val="bottom"/>
            <w:vMerge w:val="restart"/>
          </w:tcPr>
          <w:p>
            <w:pPr>
              <w:ind w:left="2440"/>
              <w:spacing w:after="0"/>
              <w:rPr>
                <w:sz w:val="20"/>
                <w:szCs w:val="20"/>
                <w:color w:val="auto"/>
              </w:rPr>
            </w:pPr>
            <w:r>
              <w:rPr>
                <w:rFonts w:ascii="Arial" w:cs="Arial" w:eastAsia="Arial" w:hAnsi="Arial"/>
                <w:sz w:val="18"/>
                <w:szCs w:val="18"/>
                <w:color w:val="auto"/>
                <w:w w:val="87"/>
              </w:rPr>
              <w:t>January 15, 2003</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color w:val="auto"/>
              </w:rPr>
              <w:t>William P. Weber</w:t>
            </w:r>
          </w:p>
        </w:tc>
        <w:tc>
          <w:tcPr>
            <w:tcW w:w="3320" w:type="dxa"/>
            <w:vAlign w:val="bottom"/>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589280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8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58"/>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00" w:type="dxa"/>
            <w:vAlign w:val="bottom"/>
          </w:tcPr>
          <w:p>
            <w:pPr>
              <w:spacing w:after="0"/>
              <w:rPr>
                <w:sz w:val="24"/>
                <w:szCs w:val="24"/>
                <w:color w:val="auto"/>
              </w:rPr>
            </w:pPr>
          </w:p>
        </w:tc>
        <w:tc>
          <w:tcPr>
            <w:tcW w:w="818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200" w:type="dxa"/>
            <w:vAlign w:val="bottom"/>
          </w:tcPr>
          <w:p>
            <w:pPr>
              <w:spacing w:after="0"/>
              <w:rPr>
                <w:sz w:val="14"/>
                <w:szCs w:val="14"/>
                <w:color w:val="auto"/>
              </w:rPr>
            </w:pPr>
          </w:p>
        </w:tc>
        <w:tc>
          <w:tcPr>
            <w:tcW w:w="8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Micron Technology, Inc. 1989</w:t>
            </w:r>
          </w:p>
        </w:tc>
        <w:tc>
          <w:tcPr>
            <w:tcW w:w="8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459"/>
        </w:trPr>
        <w:tc>
          <w:tcPr>
            <w:tcW w:w="800" w:type="dxa"/>
            <w:vAlign w:val="bottom"/>
          </w:tcPr>
          <w:p>
            <w:pPr>
              <w:ind w:left="2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2"/>
              </w:rPr>
              <w:t>Micron Technology, Inc. 2001</w:t>
            </w:r>
          </w:p>
        </w:tc>
        <w:tc>
          <w:tcPr>
            <w:tcW w:w="8180" w:type="dxa"/>
            <w:vAlign w:val="bottom"/>
          </w:tcPr>
          <w:p>
            <w:pPr>
              <w:ind w:left="40"/>
              <w:spacing w:after="0"/>
              <w:rPr>
                <w:sz w:val="20"/>
                <w:szCs w:val="20"/>
                <w:color w:val="auto"/>
              </w:rPr>
            </w:pPr>
            <w:r>
              <w:rPr>
                <w:rFonts w:ascii="Arial" w:cs="Arial" w:eastAsia="Arial" w:hAnsi="Arial"/>
                <w:sz w:val="18"/>
                <w:szCs w:val="18"/>
                <w:color w:val="auto"/>
              </w:rPr>
              <w:t>Stock Option Plan.</w:t>
            </w:r>
          </w:p>
        </w:tc>
        <w:tc>
          <w:tcPr>
            <w:tcW w:w="0" w:type="dxa"/>
            <w:vAlign w:val="bottom"/>
          </w:tcPr>
          <w:p>
            <w:pPr>
              <w:spacing w:after="0"/>
              <w:rPr>
                <w:sz w:val="1"/>
                <w:szCs w:val="1"/>
                <w:color w:val="auto"/>
              </w:rPr>
            </w:pPr>
          </w:p>
        </w:tc>
      </w:tr>
      <w:tr>
        <w:trPr>
          <w:trHeight w:val="459"/>
        </w:trPr>
        <w:tc>
          <w:tcPr>
            <w:tcW w:w="800" w:type="dxa"/>
            <w:vAlign w:val="bottom"/>
          </w:tcPr>
          <w:p>
            <w:pPr>
              <w:ind w:left="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2"/>
              </w:rPr>
              <w:t>Micron Technology, Inc. 2002</w:t>
            </w:r>
          </w:p>
        </w:tc>
        <w:tc>
          <w:tcPr>
            <w:tcW w:w="8180" w:type="dxa"/>
            <w:vAlign w:val="bottom"/>
          </w:tcPr>
          <w:p>
            <w:pPr>
              <w:ind w:left="40"/>
              <w:spacing w:after="0"/>
              <w:rPr>
                <w:sz w:val="20"/>
                <w:szCs w:val="20"/>
                <w:color w:val="auto"/>
              </w:rPr>
            </w:pPr>
            <w:r>
              <w:rPr>
                <w:rFonts w:ascii="Arial" w:cs="Arial" w:eastAsia="Arial" w:hAnsi="Arial"/>
                <w:sz w:val="18"/>
                <w:szCs w:val="18"/>
                <w:color w:val="auto"/>
              </w:rPr>
              <w:t>Employment Inducement Stock Option Plan</w:t>
            </w:r>
          </w:p>
        </w:tc>
        <w:tc>
          <w:tcPr>
            <w:tcW w:w="0" w:type="dxa"/>
            <w:vAlign w:val="bottom"/>
          </w:tcPr>
          <w:p>
            <w:pPr>
              <w:spacing w:after="0"/>
              <w:rPr>
                <w:sz w:val="1"/>
                <w:szCs w:val="1"/>
                <w:color w:val="auto"/>
              </w:rPr>
            </w:pPr>
          </w:p>
        </w:tc>
      </w:tr>
      <w:tr>
        <w:trPr>
          <w:trHeight w:val="459"/>
        </w:trPr>
        <w:tc>
          <w:tcPr>
            <w:tcW w:w="800" w:type="dxa"/>
            <w:vAlign w:val="bottom"/>
          </w:tcPr>
          <w:p>
            <w:pPr>
              <w:ind w:left="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Opinion of Counsel.</w:t>
            </w: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ind w:left="2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Consent of Independent Accountants.</w:t>
            </w:r>
          </w:p>
        </w:tc>
        <w:tc>
          <w:tcPr>
            <w:tcW w:w="0" w:type="dxa"/>
            <w:vAlign w:val="bottom"/>
          </w:tcPr>
          <w:p>
            <w:pPr>
              <w:spacing w:after="0"/>
              <w:rPr>
                <w:sz w:val="1"/>
                <w:szCs w:val="1"/>
                <w:color w:val="auto"/>
              </w:rPr>
            </w:pPr>
          </w:p>
        </w:tc>
      </w:tr>
      <w:tr>
        <w:trPr>
          <w:trHeight w:val="459"/>
        </w:trPr>
        <w:tc>
          <w:tcPr>
            <w:tcW w:w="800" w:type="dxa"/>
            <w:vAlign w:val="bottom"/>
          </w:tcPr>
          <w:p>
            <w:pPr>
              <w:ind w:left="2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Consent of Counsel (contained in Exhibit 5.1).</w:t>
            </w:r>
          </w:p>
        </w:tc>
        <w:tc>
          <w:tcPr>
            <w:tcW w:w="0" w:type="dxa"/>
            <w:vAlign w:val="bottom"/>
          </w:tcPr>
          <w:p>
            <w:pPr>
              <w:spacing w:after="0"/>
              <w:rPr>
                <w:sz w:val="1"/>
                <w:szCs w:val="1"/>
                <w:color w:val="auto"/>
              </w:rPr>
            </w:pPr>
          </w:p>
        </w:tc>
      </w:tr>
      <w:tr>
        <w:trPr>
          <w:trHeight w:val="459"/>
        </w:trPr>
        <w:tc>
          <w:tcPr>
            <w:tcW w:w="800" w:type="dxa"/>
            <w:vAlign w:val="bottom"/>
          </w:tcPr>
          <w:p>
            <w:pPr>
              <w:ind w:left="2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1989 EMPLOYEE STOCK PURCHASE PLAN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constitute the provisions of the 1989 Employee Stock Purchase Plan of Micron Technology, Inc.:</w:t>
      </w:r>
    </w:p>
    <w:p>
      <w:pPr>
        <w:spacing w:after="0" w:line="225" w:lineRule="exact"/>
        <w:rPr>
          <w:sz w:val="20"/>
          <w:szCs w:val="20"/>
          <w:color w:val="auto"/>
        </w:rPr>
      </w:pPr>
    </w:p>
    <w:p>
      <w:pPr>
        <w:ind w:right="340" w:firstLine="728"/>
        <w:spacing w:after="0" w:line="279" w:lineRule="auto"/>
        <w:tabs>
          <w:tab w:leader="none" w:pos="14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1" w:lineRule="exact"/>
        <w:rPr>
          <w:rFonts w:ascii="Arial" w:cs="Arial" w:eastAsia="Arial" w:hAnsi="Arial"/>
          <w:sz w:val="17"/>
          <w:szCs w:val="17"/>
          <w:color w:val="auto"/>
        </w:rPr>
      </w:pPr>
    </w:p>
    <w:p>
      <w:pPr>
        <w:ind w:left="1440" w:hanging="712"/>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1"/>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committee of the Board appointed by the Board to administer the Plan, if any is appointed.</w:t>
      </w:r>
    </w:p>
    <w:p>
      <w:pPr>
        <w:spacing w:after="0" w:line="236" w:lineRule="exact"/>
        <w:rPr>
          <w:rFonts w:ascii="Arial" w:cs="Arial" w:eastAsia="Arial" w:hAnsi="Arial"/>
          <w:sz w:val="17"/>
          <w:szCs w:val="17"/>
          <w:color w:val="auto"/>
        </w:rPr>
      </w:pPr>
    </w:p>
    <w:p>
      <w:pPr>
        <w:ind w:left="2160" w:hanging="712"/>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$.10 par value, of the Company.</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Micron Technology, Inc., a Delaware corporation.</w:t>
      </w:r>
    </w:p>
    <w:p>
      <w:pPr>
        <w:spacing w:after="0" w:line="225" w:lineRule="exact"/>
        <w:rPr>
          <w:rFonts w:ascii="Arial" w:cs="Arial" w:eastAsia="Arial" w:hAnsi="Arial"/>
          <w:sz w:val="18"/>
          <w:szCs w:val="18"/>
          <w:color w:val="auto"/>
        </w:rPr>
      </w:pPr>
    </w:p>
    <w:p>
      <w:pPr>
        <w:ind w:right="60" w:firstLine="1448"/>
        <w:spacing w:after="0" w:line="259" w:lineRule="auto"/>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87" w:lineRule="exact"/>
        <w:rPr>
          <w:sz w:val="20"/>
          <w:szCs w:val="20"/>
          <w:color w:val="auto"/>
        </w:rPr>
      </w:pPr>
    </w:p>
    <w:p>
      <w:pPr>
        <w:ind w:right="60" w:firstLine="720"/>
        <w:spacing w:after="0" w:line="270" w:lineRule="auto"/>
        <w:rPr>
          <w:sz w:val="20"/>
          <w:szCs w:val="20"/>
          <w:color w:val="auto"/>
        </w:rPr>
      </w:pPr>
      <w:r>
        <w:rPr>
          <w:rFonts w:ascii="Arial" w:cs="Arial" w:eastAsia="Arial" w:hAnsi="Arial"/>
          <w:sz w:val="17"/>
          <w:szCs w:val="17"/>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78" w:lineRule="exact"/>
        <w:rPr>
          <w:sz w:val="20"/>
          <w:szCs w:val="20"/>
          <w:color w:val="auto"/>
        </w:rPr>
      </w:pPr>
    </w:p>
    <w:p>
      <w:pPr>
        <w:ind w:right="300" w:firstLine="1448"/>
        <w:spacing w:after="0" w:line="312" w:lineRule="auto"/>
        <w:tabs>
          <w:tab w:leader="none" w:pos="2145"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389" w:lineRule="exact"/>
        <w:rPr>
          <w:rFonts w:ascii="Arial" w:cs="Arial" w:eastAsia="Arial" w:hAnsi="Arial"/>
          <w:sz w:val="16"/>
          <w:szCs w:val="16"/>
          <w:color w:val="auto"/>
        </w:rPr>
      </w:pPr>
    </w:p>
    <w:p>
      <w:pPr>
        <w:ind w:right="280" w:firstLine="1448"/>
        <w:spacing w:after="0" w:line="277" w:lineRule="auto"/>
        <w:tabs>
          <w:tab w:leader="none" w:pos="2145"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right="100" w:firstLine="1448"/>
        <w:spacing w:after="0" w:line="277" w:lineRule="auto"/>
        <w:tabs>
          <w:tab w:leader="none" w:pos="215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including an officer, who is continuously employed for at least twenty (20) hours per week and more than five (5) months in a calendar year by the Company or one of its Designated Subsidiaries.</w:t>
      </w:r>
    </w:p>
    <w:p>
      <w:pPr>
        <w:spacing w:after="0" w:line="170" w:lineRule="exact"/>
        <w:rPr>
          <w:rFonts w:ascii="Arial" w:cs="Arial" w:eastAsia="Arial" w:hAnsi="Arial"/>
          <w:sz w:val="18"/>
          <w:szCs w:val="18"/>
          <w:color w:val="auto"/>
        </w:rPr>
      </w:pPr>
    </w:p>
    <w:p>
      <w:pPr>
        <w:ind w:left="2160" w:hanging="712"/>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day of each Offering Period.</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Offering Period of the Plan.</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Period</w:t>
      </w:r>
      <w:r>
        <w:rPr>
          <w:rFonts w:ascii="Arial" w:cs="Arial" w:eastAsia="Arial" w:hAnsi="Arial"/>
          <w:sz w:val="17"/>
          <w:szCs w:val="17"/>
          <w:color w:val="auto"/>
        </w:rPr>
        <w:t>” shall mean a period of three (3) months during which an option granted pursuant to the Plan may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exercised.</w:t>
      </w:r>
    </w:p>
    <w:p>
      <w:pPr>
        <w:spacing w:after="0" w:line="210" w:lineRule="exact"/>
        <w:rPr>
          <w:rFonts w:ascii="Arial" w:cs="Arial" w:eastAsia="Arial" w:hAnsi="Arial"/>
          <w:sz w:val="17"/>
          <w:szCs w:val="17"/>
          <w:color w:val="auto"/>
        </w:rPr>
      </w:pPr>
    </w:p>
    <w:p>
      <w:pPr>
        <w:ind w:left="2160" w:hanging="712"/>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Employee Stock Purchase Plan.</w:t>
      </w:r>
    </w:p>
    <w:p>
      <w:pPr>
        <w:spacing w:after="0" w:line="225" w:lineRule="exact"/>
        <w:rPr>
          <w:rFonts w:ascii="Arial" w:cs="Arial" w:eastAsia="Arial" w:hAnsi="Arial"/>
          <w:sz w:val="18"/>
          <w:szCs w:val="18"/>
          <w:color w:val="auto"/>
        </w:rPr>
      </w:pPr>
    </w:p>
    <w:p>
      <w:pPr>
        <w:ind w:right="400" w:firstLine="1448"/>
        <w:spacing w:after="0" w:line="342" w:lineRule="auto"/>
        <w:tabs>
          <w:tab w:leader="none" w:pos="2145"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23" w:lineRule="exact"/>
        <w:rPr>
          <w:rFonts w:ascii="Arial" w:cs="Arial" w:eastAsia="Arial" w:hAnsi="Arial"/>
          <w:sz w:val="16"/>
          <w:szCs w:val="16"/>
          <w:color w:val="auto"/>
        </w:rPr>
      </w:pPr>
    </w:p>
    <w:p>
      <w:pPr>
        <w:ind w:left="2160" w:hanging="712"/>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national stock exchanges and Nasdaq system are open for trading.</w:t>
      </w:r>
    </w:p>
    <w:p>
      <w:pPr>
        <w:spacing w:after="0" w:line="225" w:lineRule="exact"/>
        <w:rPr>
          <w:rFonts w:ascii="Arial" w:cs="Arial" w:eastAsia="Arial" w:hAnsi="Arial"/>
          <w:sz w:val="18"/>
          <w:szCs w:val="18"/>
          <w:color w:val="auto"/>
        </w:rPr>
      </w:pPr>
    </w:p>
    <w:p>
      <w:pPr>
        <w:ind w:left="1440" w:hanging="712"/>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48"/>
        <w:spacing w:after="0" w:line="264" w:lineRule="auto"/>
        <w:tabs>
          <w:tab w:leader="none" w:pos="213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50" w:orient="portrait"/>
          <w:cols w:equalWidth="0" w:num="1">
            <w:col w:w="11420"/>
          </w:cols>
          <w:pgMar w:left="240" w:top="364" w:right="239" w:bottom="0" w:gutter="0" w:footer="0" w:header="0"/>
        </w:sectPr>
      </w:pPr>
    </w:p>
    <w:bookmarkStart w:id="5" w:name="page6"/>
    <w:bookmarkEnd w:id="5"/>
    <w:p>
      <w:pPr>
        <w:ind w:left="-8" w:right="120" w:firstLine="1448"/>
        <w:spacing w:after="0" w:line="293" w:lineRule="auto"/>
        <w:tabs>
          <w:tab w:leader="none" w:pos="213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64" w:lineRule="exact"/>
        <w:rPr>
          <w:rFonts w:ascii="Arial" w:cs="Arial" w:eastAsia="Arial" w:hAnsi="Arial"/>
          <w:sz w:val="16"/>
          <w:szCs w:val="16"/>
          <w:color w:val="auto"/>
        </w:rPr>
      </w:pPr>
    </w:p>
    <w:p>
      <w:pPr>
        <w:ind w:left="-8" w:right="320" w:firstLine="1448"/>
        <w:spacing w:after="0" w:line="259" w:lineRule="auto"/>
        <w:tabs>
          <w:tab w:leader="none" w:pos="21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86" w:lineRule="exact"/>
        <w:rPr>
          <w:rFonts w:ascii="Arial" w:cs="Arial" w:eastAsia="Arial" w:hAnsi="Arial"/>
          <w:sz w:val="18"/>
          <w:szCs w:val="18"/>
          <w:color w:val="auto"/>
        </w:rPr>
      </w:pPr>
    </w:p>
    <w:p>
      <w:pPr>
        <w:ind w:left="-8" w:right="160" w:firstLine="728"/>
        <w:spacing w:after="0" w:line="276" w:lineRule="auto"/>
        <w:tabs>
          <w:tab w:leader="none" w:pos="143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2" w:lineRule="exact"/>
        <w:rPr>
          <w:rFonts w:ascii="Arial" w:cs="Arial" w:eastAsia="Arial" w:hAnsi="Arial"/>
          <w:sz w:val="17"/>
          <w:szCs w:val="17"/>
          <w:color w:val="auto"/>
        </w:rPr>
      </w:pPr>
    </w:p>
    <w:p>
      <w:pPr>
        <w:ind w:left="1432" w:hanging="712"/>
        <w:spacing w:after="0"/>
        <w:tabs>
          <w:tab w:leader="none" w:pos="14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20" w:firstLine="1448"/>
        <w:spacing w:after="0" w:line="312" w:lineRule="auto"/>
        <w:tabs>
          <w:tab w:leader="none" w:pos="212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80" w:firstLine="1448"/>
        <w:spacing w:after="0" w:line="308" w:lineRule="auto"/>
        <w:tabs>
          <w:tab w:leader="none" w:pos="2137" w:val="left"/>
        </w:tabs>
        <w:numPr>
          <w:ilvl w:val="2"/>
          <w:numId w:val="12"/>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46" w:lineRule="exact"/>
        <w:rPr>
          <w:rFonts w:ascii="Arial" w:cs="Arial" w:eastAsia="Arial" w:hAnsi="Arial"/>
          <w:sz w:val="17"/>
          <w:szCs w:val="17"/>
          <w:color w:val="auto"/>
        </w:rPr>
      </w:pPr>
    </w:p>
    <w:p>
      <w:pPr>
        <w:ind w:left="1432" w:hanging="712"/>
        <w:spacing w:after="0"/>
        <w:tabs>
          <w:tab w:leader="none" w:pos="143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60" w:firstLine="1448"/>
        <w:spacing w:after="0" w:line="279" w:lineRule="auto"/>
        <w:tabs>
          <w:tab w:leader="none" w:pos="2127" w:val="left"/>
        </w:tabs>
        <w:numPr>
          <w:ilvl w:val="2"/>
          <w:numId w:val="13"/>
        </w:numPr>
        <w:rPr>
          <w:rFonts w:ascii="Arial" w:cs="Arial" w:eastAsia="Arial" w:hAnsi="Arial"/>
          <w:sz w:val="17"/>
          <w:szCs w:val="17"/>
          <w:color w:val="auto"/>
        </w:rPr>
      </w:pPr>
      <w:r>
        <w:rPr>
          <w:rFonts w:ascii="Arial" w:cs="Arial" w:eastAsia="Arial" w:hAnsi="Arial"/>
          <w:sz w:val="17"/>
          <w:szCs w:val="17"/>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1" w:lineRule="exact"/>
        <w:rPr>
          <w:rFonts w:ascii="Arial" w:cs="Arial" w:eastAsia="Arial" w:hAnsi="Arial"/>
          <w:sz w:val="17"/>
          <w:szCs w:val="17"/>
          <w:color w:val="auto"/>
        </w:rPr>
      </w:pPr>
    </w:p>
    <w:p>
      <w:pPr>
        <w:ind w:left="-8" w:right="60" w:firstLine="1448"/>
        <w:spacing w:after="0" w:line="277" w:lineRule="auto"/>
        <w:tabs>
          <w:tab w:leader="none" w:pos="2137" w:val="left"/>
        </w:tabs>
        <w:numPr>
          <w:ilvl w:val="2"/>
          <w:numId w:val="13"/>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w:t>
      </w:r>
    </w:p>
    <w:p>
      <w:pPr>
        <w:spacing w:after="0" w:line="170" w:lineRule="exact"/>
        <w:rPr>
          <w:rFonts w:ascii="Arial" w:cs="Arial" w:eastAsia="Arial" w:hAnsi="Arial"/>
          <w:sz w:val="18"/>
          <w:szCs w:val="18"/>
          <w:color w:val="auto"/>
        </w:rPr>
      </w:pPr>
    </w:p>
    <w:p>
      <w:pPr>
        <w:ind w:left="-8" w:right="260" w:firstLine="1448"/>
        <w:spacing w:after="0" w:line="264" w:lineRule="auto"/>
        <w:tabs>
          <w:tab w:leader="none" w:pos="2127"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81" w:lineRule="exact"/>
        <w:rPr>
          <w:rFonts w:ascii="Arial" w:cs="Arial" w:eastAsia="Arial" w:hAnsi="Arial"/>
          <w:sz w:val="18"/>
          <w:szCs w:val="18"/>
          <w:color w:val="auto"/>
        </w:rPr>
      </w:pPr>
    </w:p>
    <w:p>
      <w:pPr>
        <w:ind w:left="-8" w:right="20" w:firstLine="1448"/>
        <w:spacing w:after="0" w:line="297" w:lineRule="auto"/>
        <w:tabs>
          <w:tab w:leader="none" w:pos="2137" w:val="left"/>
        </w:tabs>
        <w:numPr>
          <w:ilvl w:val="2"/>
          <w:numId w:val="13"/>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58" w:lineRule="exact"/>
        <w:rPr>
          <w:rFonts w:ascii="Arial" w:cs="Arial" w:eastAsia="Arial" w:hAnsi="Arial"/>
          <w:sz w:val="16"/>
          <w:szCs w:val="16"/>
          <w:color w:val="auto"/>
        </w:rPr>
      </w:pPr>
    </w:p>
    <w:p>
      <w:pPr>
        <w:ind w:left="1432" w:hanging="712"/>
        <w:spacing w:after="0"/>
        <w:tabs>
          <w:tab w:leader="none" w:pos="143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60" w:firstLine="1448"/>
        <w:spacing w:after="0" w:line="288" w:lineRule="auto"/>
        <w:tabs>
          <w:tab w:leader="none" w:pos="2127" w:val="left"/>
        </w:tabs>
        <w:numPr>
          <w:ilvl w:val="2"/>
          <w:numId w:val="13"/>
        </w:numPr>
        <w:rPr>
          <w:rFonts w:ascii="Arial" w:cs="Arial" w:eastAsia="Arial" w:hAnsi="Arial"/>
          <w:sz w:val="16"/>
          <w:szCs w:val="16"/>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w:t>
      </w:r>
    </w:p>
    <w:p>
      <w:pPr>
        <w:ind w:left="-8" w:firstLine="8"/>
        <w:spacing w:after="0" w:line="292" w:lineRule="auto"/>
        <w:tabs>
          <w:tab w:leader="none" w:pos="2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62" w:lineRule="exact"/>
        <w:rPr>
          <w:rFonts w:ascii="Arial" w:cs="Arial" w:eastAsia="Arial" w:hAnsi="Arial"/>
          <w:sz w:val="16"/>
          <w:szCs w:val="16"/>
          <w:color w:val="auto"/>
        </w:rPr>
      </w:pPr>
    </w:p>
    <w:p>
      <w:pPr>
        <w:ind w:left="-8" w:right="120" w:firstLine="1448"/>
        <w:spacing w:after="0" w:line="272" w:lineRule="auto"/>
        <w:tabs>
          <w:tab w:leader="none" w:pos="2137" w:val="left"/>
        </w:tabs>
        <w:numPr>
          <w:ilvl w:val="2"/>
          <w:numId w:val="14"/>
        </w:numPr>
        <w:rPr>
          <w:rFonts w:ascii="Arial" w:cs="Arial" w:eastAsia="Arial" w:hAnsi="Arial"/>
          <w:sz w:val="17"/>
          <w:szCs w:val="17"/>
          <w:color w:val="auto"/>
        </w:rPr>
      </w:pPr>
      <w:r>
        <w:rPr>
          <w:rFonts w:ascii="Arial" w:cs="Arial" w:eastAsia="Arial" w:hAnsi="Arial"/>
          <w:sz w:val="17"/>
          <w:szCs w:val="17"/>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77" w:lineRule="exact"/>
        <w:rPr>
          <w:rFonts w:ascii="Arial" w:cs="Arial" w:eastAsia="Arial" w:hAnsi="Arial"/>
          <w:sz w:val="17"/>
          <w:szCs w:val="17"/>
          <w:color w:val="auto"/>
        </w:rPr>
      </w:pPr>
    </w:p>
    <w:p>
      <w:pPr>
        <w:ind w:left="-8" w:firstLine="728"/>
        <w:spacing w:after="0" w:line="264" w:lineRule="auto"/>
        <w:tabs>
          <w:tab w:leader="none" w:pos="143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paragraph 11, his or her option for the purchase of shares will be exercised automatically on the Exercise Date of the Offering Period, and the maximum number of full shares subject to option will be purchased for him or her at the applicable option</w:t>
      </w:r>
    </w:p>
    <w:p>
      <w:pPr>
        <w:sectPr>
          <w:pgSz w:w="11900" w:h="16838" w:orient="portrait"/>
          <w:cols w:equalWidth="0" w:num="1">
            <w:col w:w="11392"/>
          </w:cols>
          <w:pgMar w:left="248" w:top="341" w:right="259" w:bottom="0" w:gutter="0" w:footer="0" w:header="0"/>
        </w:sectPr>
      </w:pPr>
    </w:p>
    <w:bookmarkStart w:id="6" w:name="page7"/>
    <w:bookmarkEnd w:id="6"/>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24" w:lineRule="exact"/>
        <w:rPr>
          <w:sz w:val="20"/>
          <w:szCs w:val="20"/>
          <w:color w:val="auto"/>
        </w:rPr>
      </w:pPr>
    </w:p>
    <w:p>
      <w:pPr>
        <w:ind w:left="1440" w:hanging="71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Paragraph Intentionally Left Blank.</w:t>
      </w:r>
    </w:p>
    <w:p>
      <w:pPr>
        <w:spacing w:after="0" w:line="225" w:lineRule="exact"/>
        <w:rPr>
          <w:rFonts w:ascii="Arial" w:cs="Arial" w:eastAsia="Arial" w:hAnsi="Arial"/>
          <w:sz w:val="18"/>
          <w:szCs w:val="18"/>
          <w:color w:val="auto"/>
        </w:rPr>
      </w:pPr>
    </w:p>
    <w:p>
      <w:pPr>
        <w:ind w:right="20" w:firstLine="728"/>
        <w:spacing w:after="0" w:line="273" w:lineRule="auto"/>
        <w:tabs>
          <w:tab w:leader="none" w:pos="144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Following the Exercise Date of each Offering Period, unless a participant requests the issuance of a certificate representing the participant’s shares, the 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78" w:lineRule="exact"/>
        <w:rPr>
          <w:rFonts w:ascii="Arial" w:cs="Arial" w:eastAsia="Arial" w:hAnsi="Arial"/>
          <w:sz w:val="17"/>
          <w:szCs w:val="17"/>
          <w:color w:val="auto"/>
        </w:rPr>
      </w:pPr>
    </w:p>
    <w:p>
      <w:pPr>
        <w:ind w:left="1440" w:hanging="71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48"/>
        <w:spacing w:after="0" w:line="255" w:lineRule="auto"/>
        <w:tabs>
          <w:tab w:leader="none" w:pos="21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93" w:lineRule="exact"/>
        <w:rPr>
          <w:rFonts w:ascii="Arial" w:cs="Arial" w:eastAsia="Arial" w:hAnsi="Arial"/>
          <w:sz w:val="18"/>
          <w:szCs w:val="18"/>
          <w:color w:val="auto"/>
        </w:rPr>
      </w:pPr>
    </w:p>
    <w:p>
      <w:pPr>
        <w:ind w:right="180" w:firstLine="1448"/>
        <w:spacing w:after="0" w:line="286" w:lineRule="auto"/>
        <w:tabs>
          <w:tab w:leader="none" w:pos="2145" w:val="left"/>
        </w:tabs>
        <w:numPr>
          <w:ilvl w:val="1"/>
          <w:numId w:val="15"/>
        </w:numPr>
        <w:rPr>
          <w:rFonts w:ascii="Arial" w:cs="Arial" w:eastAsia="Arial" w:hAnsi="Arial"/>
          <w:sz w:val="17"/>
          <w:szCs w:val="17"/>
          <w:color w:val="auto"/>
        </w:rPr>
      </w:pPr>
      <w:r>
        <w:rPr>
          <w:rFonts w:ascii="Arial" w:cs="Arial" w:eastAsia="Arial" w:hAnsi="Arial"/>
          <w:sz w:val="17"/>
          <w:szCs w:val="17"/>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5" w:lineRule="exact"/>
        <w:rPr>
          <w:rFonts w:ascii="Arial" w:cs="Arial" w:eastAsia="Arial" w:hAnsi="Arial"/>
          <w:sz w:val="17"/>
          <w:szCs w:val="17"/>
          <w:color w:val="auto"/>
        </w:rPr>
      </w:pPr>
    </w:p>
    <w:p>
      <w:pPr>
        <w:ind w:firstLine="1448"/>
        <w:spacing w:after="0" w:line="264" w:lineRule="auto"/>
        <w:tabs>
          <w:tab w:leader="none" w:pos="21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81" w:lineRule="exact"/>
        <w:rPr>
          <w:rFonts w:ascii="Arial" w:cs="Arial" w:eastAsia="Arial" w:hAnsi="Arial"/>
          <w:sz w:val="18"/>
          <w:szCs w:val="18"/>
          <w:color w:val="auto"/>
        </w:rPr>
      </w:pPr>
    </w:p>
    <w:p>
      <w:pPr>
        <w:ind w:right="620" w:firstLine="1448"/>
        <w:spacing w:after="0" w:line="277" w:lineRule="auto"/>
        <w:tabs>
          <w:tab w:leader="none" w:pos="21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0" w:lineRule="exact"/>
        <w:rPr>
          <w:rFonts w:ascii="Arial" w:cs="Arial" w:eastAsia="Arial" w:hAnsi="Arial"/>
          <w:sz w:val="18"/>
          <w:szCs w:val="18"/>
          <w:color w:val="auto"/>
        </w:rPr>
      </w:pPr>
    </w:p>
    <w:p>
      <w:pPr>
        <w:ind w:left="1440" w:hanging="71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5" w:lineRule="exact"/>
        <w:rPr>
          <w:rFonts w:ascii="Arial" w:cs="Arial" w:eastAsia="Arial" w:hAnsi="Arial"/>
          <w:sz w:val="18"/>
          <w:szCs w:val="18"/>
          <w:color w:val="auto"/>
        </w:rPr>
      </w:pPr>
    </w:p>
    <w:p>
      <w:pPr>
        <w:ind w:left="1440" w:hanging="71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48"/>
        <w:spacing w:after="0" w:line="272" w:lineRule="auto"/>
        <w:tabs>
          <w:tab w:leader="none" w:pos="2135"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maximum number of shares of the Company’s Common Stock which shall be made available for sale under the Plan shall be 20,500,000,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7" w:lineRule="exact"/>
        <w:rPr>
          <w:rFonts w:ascii="Arial" w:cs="Arial" w:eastAsia="Arial" w:hAnsi="Arial"/>
          <w:sz w:val="17"/>
          <w:szCs w:val="17"/>
          <w:color w:val="auto"/>
        </w:rPr>
      </w:pPr>
    </w:p>
    <w:p>
      <w:pPr>
        <w:ind w:left="2160" w:hanging="712"/>
        <w:spacing w:after="0"/>
        <w:tabs>
          <w:tab w:leader="none" w:pos="2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140" w:hanging="692"/>
        <w:spacing w:after="0"/>
        <w:tabs>
          <w:tab w:leader="none" w:pos="2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will be registered in the name of the participant.</w:t>
      </w:r>
    </w:p>
    <w:p>
      <w:pPr>
        <w:spacing w:after="0" w:line="225" w:lineRule="exact"/>
        <w:rPr>
          <w:rFonts w:ascii="Arial" w:cs="Arial" w:eastAsia="Arial" w:hAnsi="Arial"/>
          <w:sz w:val="18"/>
          <w:szCs w:val="18"/>
          <w:color w:val="auto"/>
        </w:rPr>
      </w:pPr>
    </w:p>
    <w:p>
      <w:pPr>
        <w:ind w:right="40" w:firstLine="728"/>
        <w:spacing w:after="0" w:line="264" w:lineRule="auto"/>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the 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181" w:lineRule="exact"/>
        <w:rPr>
          <w:rFonts w:ascii="Arial" w:cs="Arial" w:eastAsia="Arial" w:hAnsi="Arial"/>
          <w:sz w:val="18"/>
          <w:szCs w:val="18"/>
          <w:color w:val="auto"/>
        </w:rPr>
      </w:pPr>
    </w:p>
    <w:p>
      <w:pPr>
        <w:ind w:right="120" w:firstLine="1448"/>
        <w:spacing w:after="0" w:line="277" w:lineRule="auto"/>
        <w:tabs>
          <w:tab w:leader="none" w:pos="21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70" w:lineRule="exact"/>
        <w:rPr>
          <w:rFonts w:ascii="Arial" w:cs="Arial" w:eastAsia="Arial" w:hAnsi="Arial"/>
          <w:sz w:val="18"/>
          <w:szCs w:val="18"/>
          <w:color w:val="auto"/>
        </w:rPr>
      </w:pPr>
    </w:p>
    <w:p>
      <w:pPr>
        <w:ind w:left="2160" w:hanging="712"/>
        <w:spacing w:after="0"/>
        <w:tabs>
          <w:tab w:leader="none" w:pos="2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 Committee is established to administer the Plan, no member of the Board who is eligible to participate in the Plan may be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 of the Committee.</w:t>
      </w:r>
    </w:p>
    <w:p>
      <w:pPr>
        <w:spacing w:after="0" w:line="210" w:lineRule="exact"/>
        <w:rPr>
          <w:rFonts w:ascii="Arial" w:cs="Arial" w:eastAsia="Arial" w:hAnsi="Arial"/>
          <w:sz w:val="16"/>
          <w:szCs w:val="16"/>
          <w:color w:val="auto"/>
        </w:rPr>
      </w:pPr>
    </w:p>
    <w:p>
      <w:pPr>
        <w:ind w:right="80" w:firstLine="1448"/>
        <w:spacing w:after="0" w:line="297" w:lineRule="auto"/>
        <w:tabs>
          <w:tab w:leader="none" w:pos="213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 herein to the contrary, the Board or the Committee may, in its sole</w:t>
      </w:r>
    </w:p>
    <w:p>
      <w:pPr>
        <w:sectPr>
          <w:pgSz w:w="11900" w:h="16847" w:orient="portrait"/>
          <w:cols w:equalWidth="0" w:num="1">
            <w:col w:w="11400"/>
          </w:cols>
          <w:pgMar w:left="240" w:top="557" w:right="259" w:bottom="0" w:gutter="0" w:footer="0" w:header="0"/>
        </w:sectPr>
      </w:pPr>
    </w:p>
    <w:bookmarkStart w:id="7" w:name="page8"/>
    <w:bookmarkEnd w:id="7"/>
    <w:p>
      <w:pPr>
        <w:spacing w:after="0" w:line="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88" w:lineRule="exact"/>
        <w:rPr>
          <w:sz w:val="20"/>
          <w:szCs w:val="20"/>
          <w:color w:val="auto"/>
        </w:rPr>
      </w:pPr>
    </w:p>
    <w:p>
      <w:pPr>
        <w:ind w:left="1440" w:hanging="712"/>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48"/>
        <w:spacing w:after="0" w:line="259" w:lineRule="auto"/>
        <w:tabs>
          <w:tab w:leader="none" w:pos="21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86" w:lineRule="exact"/>
        <w:rPr>
          <w:rFonts w:ascii="Arial" w:cs="Arial" w:eastAsia="Arial" w:hAnsi="Arial"/>
          <w:sz w:val="18"/>
          <w:szCs w:val="18"/>
          <w:color w:val="auto"/>
        </w:rPr>
      </w:pPr>
    </w:p>
    <w:p>
      <w:pPr>
        <w:ind w:right="140" w:firstLine="1448"/>
        <w:spacing w:after="0" w:line="297" w:lineRule="auto"/>
        <w:tabs>
          <w:tab w:leader="none" w:pos="2145"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8" w:lineRule="exact"/>
        <w:rPr>
          <w:rFonts w:ascii="Arial" w:cs="Arial" w:eastAsia="Arial" w:hAnsi="Arial"/>
          <w:sz w:val="16"/>
          <w:szCs w:val="16"/>
          <w:color w:val="auto"/>
        </w:rPr>
      </w:pPr>
    </w:p>
    <w:p>
      <w:pPr>
        <w:ind w:right="180" w:firstLine="728"/>
        <w:spacing w:after="0" w:line="279" w:lineRule="auto"/>
        <w:tabs>
          <w:tab w:leader="none" w:pos="14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Transferability of Rights</w:t>
      </w:r>
      <w:r>
        <w:rPr>
          <w:rFonts w:ascii="Arial" w:cs="Arial" w:eastAsia="Arial" w:hAnsi="Arial"/>
          <w:sz w:val="17"/>
          <w:szCs w:val="17"/>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1" w:lineRule="exact"/>
        <w:rPr>
          <w:rFonts w:ascii="Arial" w:cs="Arial" w:eastAsia="Arial" w:hAnsi="Arial"/>
          <w:sz w:val="17"/>
          <w:szCs w:val="17"/>
          <w:color w:val="auto"/>
        </w:rPr>
      </w:pPr>
    </w:p>
    <w:p>
      <w:pPr>
        <w:ind w:right="280" w:firstLine="728"/>
        <w:spacing w:after="0" w:line="277" w:lineRule="auto"/>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firstLine="728"/>
        <w:spacing w:after="0" w:line="264" w:lineRule="auto"/>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181" w:lineRule="exact"/>
        <w:rPr>
          <w:rFonts w:ascii="Arial" w:cs="Arial" w:eastAsia="Arial" w:hAnsi="Arial"/>
          <w:sz w:val="18"/>
          <w:szCs w:val="18"/>
          <w:color w:val="auto"/>
        </w:rPr>
      </w:pPr>
    </w:p>
    <w:p>
      <w:pPr>
        <w:ind w:right="40" w:firstLine="728"/>
        <w:spacing w:after="0" w:line="288" w:lineRule="auto"/>
        <w:tabs>
          <w:tab w:leader="none" w:pos="14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9" w:lineRule="exact"/>
        <w:rPr>
          <w:sz w:val="20"/>
          <w:szCs w:val="20"/>
          <w:color w:val="auto"/>
        </w:rPr>
      </w:pPr>
    </w:p>
    <w:p>
      <w:pPr>
        <w:ind w:firstLine="720"/>
        <w:spacing w:after="0" w:line="289"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167" w:lineRule="exact"/>
        <w:rPr>
          <w:sz w:val="20"/>
          <w:szCs w:val="20"/>
          <w:color w:val="auto"/>
        </w:rPr>
      </w:pPr>
    </w:p>
    <w:p>
      <w:pPr>
        <w:ind w:firstLine="720"/>
        <w:spacing w:after="0" w:line="259"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87" w:lineRule="exact"/>
        <w:rPr>
          <w:sz w:val="20"/>
          <w:szCs w:val="20"/>
          <w:color w:val="auto"/>
        </w:rPr>
      </w:pPr>
    </w:p>
    <w:p>
      <w:pPr>
        <w:ind w:right="80" w:firstLine="728"/>
        <w:spacing w:after="0" w:line="259" w:lineRule="auto"/>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86" w:lineRule="exact"/>
        <w:rPr>
          <w:rFonts w:ascii="Arial" w:cs="Arial" w:eastAsia="Arial" w:hAnsi="Arial"/>
          <w:sz w:val="18"/>
          <w:szCs w:val="18"/>
          <w:color w:val="auto"/>
        </w:rPr>
      </w:pPr>
    </w:p>
    <w:p>
      <w:pPr>
        <w:ind w:left="2140" w:hanging="692"/>
        <w:spacing w:after="0"/>
        <w:tabs>
          <w:tab w:leader="none" w:pos="2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5" w:lineRule="exact"/>
        <w:rPr>
          <w:rFonts w:ascii="Arial" w:cs="Arial" w:eastAsia="Arial" w:hAnsi="Arial"/>
          <w:sz w:val="18"/>
          <w:szCs w:val="18"/>
          <w:color w:val="auto"/>
        </w:rPr>
      </w:pPr>
    </w:p>
    <w:p>
      <w:pPr>
        <w:jc w:val="both"/>
        <w:ind w:right="360" w:firstLine="1448"/>
        <w:spacing w:after="0" w:line="342" w:lineRule="auto"/>
        <w:tabs>
          <w:tab w:leader="none" w:pos="21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w:t>
      </w:r>
    </w:p>
    <w:p>
      <w:pPr>
        <w:sectPr>
          <w:pgSz w:w="11900" w:h="16854"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eliminate such unfavorable accounting consequence including, but not limited to:</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60" w:firstLine="2168"/>
        <w:spacing w:after="0" w:line="264" w:lineRule="auto"/>
        <w:tabs>
          <w:tab w:leader="none" w:pos="28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81" w:lineRule="exact"/>
        <w:rPr>
          <w:rFonts w:ascii="Arial" w:cs="Arial" w:eastAsia="Arial" w:hAnsi="Arial"/>
          <w:sz w:val="18"/>
          <w:szCs w:val="18"/>
          <w:color w:val="auto"/>
        </w:rPr>
      </w:pPr>
    </w:p>
    <w:p>
      <w:pPr>
        <w:ind w:right="240" w:firstLine="2168"/>
        <w:spacing w:after="0" w:line="277" w:lineRule="auto"/>
        <w:tabs>
          <w:tab w:leader="none" w:pos="2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shortening any Offering Period so that Offering Period ends on a new Exercise Date, including an Offering Period underway at the time of the Board action.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25" w:lineRule="exact"/>
        <w:rPr>
          <w:sz w:val="20"/>
          <w:szCs w:val="20"/>
          <w:color w:val="auto"/>
        </w:rPr>
      </w:pPr>
    </w:p>
    <w:p>
      <w:pPr>
        <w:ind w:right="160" w:firstLine="728"/>
        <w:spacing w:after="0" w:line="264" w:lineRule="auto"/>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ind w:right="160" w:firstLine="728"/>
        <w:spacing w:after="0" w:line="312" w:lineRule="auto"/>
        <w:tabs>
          <w:tab w:leader="none" w:pos="14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Shareholder Approval</w:t>
      </w:r>
      <w:r>
        <w:rPr>
          <w:rFonts w:ascii="Arial" w:cs="Arial" w:eastAsia="Arial" w:hAnsi="Arial"/>
          <w:sz w:val="16"/>
          <w:szCs w:val="16"/>
          <w:color w:val="auto"/>
        </w:rPr>
        <w:t>.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46" w:lineRule="exact"/>
        <w:rPr>
          <w:rFonts w:ascii="Arial" w:cs="Arial" w:eastAsia="Arial" w:hAnsi="Arial"/>
          <w:sz w:val="16"/>
          <w:szCs w:val="16"/>
          <w:color w:val="auto"/>
        </w:rPr>
      </w:pPr>
    </w:p>
    <w:p>
      <w:pPr>
        <w:ind w:firstLine="1448"/>
        <w:spacing w:after="0" w:line="259" w:lineRule="auto"/>
        <w:tabs>
          <w:tab w:leader="none" w:pos="21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86" w:lineRule="exact"/>
        <w:rPr>
          <w:rFonts w:ascii="Arial" w:cs="Arial" w:eastAsia="Arial" w:hAnsi="Arial"/>
          <w:sz w:val="18"/>
          <w:szCs w:val="18"/>
          <w:color w:val="auto"/>
        </w:rPr>
      </w:pPr>
    </w:p>
    <w:p>
      <w:pPr>
        <w:ind w:left="2160" w:hanging="712"/>
        <w:spacing w:after="0"/>
        <w:tabs>
          <w:tab w:leader="none" w:pos="2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obtained at or prior to the first annual meeting of shareholders held subsequent to the first registration of Common Stock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12 of the Act.</w:t>
      </w:r>
    </w:p>
    <w:p>
      <w:pPr>
        <w:spacing w:after="0" w:line="211" w:lineRule="exact"/>
        <w:rPr>
          <w:sz w:val="20"/>
          <w:szCs w:val="20"/>
          <w:color w:val="auto"/>
        </w:rPr>
      </w:pPr>
    </w:p>
    <w:p>
      <w:pPr>
        <w:jc w:val="both"/>
        <w:ind w:right="120" w:firstLine="1440"/>
        <w:spacing w:after="0" w:line="259" w:lineRule="auto"/>
        <w:rPr>
          <w:sz w:val="20"/>
          <w:szCs w:val="20"/>
          <w:color w:val="auto"/>
        </w:rPr>
      </w:pPr>
      <w:r>
        <w:rPr>
          <w:rFonts w:ascii="Arial" w:cs="Arial" w:eastAsia="Arial" w:hAnsi="Arial"/>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87" w:lineRule="exact"/>
        <w:rPr>
          <w:sz w:val="20"/>
          <w:szCs w:val="20"/>
          <w:color w:val="auto"/>
        </w:rPr>
      </w:pPr>
    </w:p>
    <w:p>
      <w:pPr>
        <w:ind w:right="140" w:firstLine="728"/>
        <w:spacing w:after="0" w:line="302" w:lineRule="auto"/>
        <w:tabs>
          <w:tab w:leader="none" w:pos="14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54" w:lineRule="exact"/>
        <w:rPr>
          <w:sz w:val="20"/>
          <w:szCs w:val="20"/>
          <w:color w:val="auto"/>
        </w:rPr>
      </w:pPr>
    </w:p>
    <w:p>
      <w:pPr>
        <w:jc w:val="both"/>
        <w:ind w:right="120" w:firstLine="1440"/>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160" w:firstLine="728"/>
        <w:spacing w:after="0" w:line="264" w:lineRule="auto"/>
        <w:tabs>
          <w:tab w:leader="none" w:pos="14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2001 STOCK OPTION PLAN</w:t>
      </w:r>
    </w:p>
    <w:p>
      <w:pPr>
        <w:spacing w:after="0" w:line="200" w:lineRule="exact"/>
        <w:rPr>
          <w:sz w:val="20"/>
          <w:szCs w:val="20"/>
          <w:color w:val="auto"/>
        </w:rPr>
      </w:pPr>
    </w:p>
    <w:p>
      <w:pPr>
        <w:spacing w:after="0" w:line="245" w:lineRule="exact"/>
        <w:rPr>
          <w:sz w:val="20"/>
          <w:szCs w:val="20"/>
          <w:color w:val="auto"/>
        </w:rPr>
      </w:pPr>
    </w:p>
    <w:p>
      <w:pPr>
        <w:ind w:left="1440" w:hanging="712"/>
        <w:spacing w:after="0"/>
        <w:tabs>
          <w:tab w:leader="none" w:pos="14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Stock Option Plan are:</w:t>
      </w:r>
    </w:p>
    <w:p>
      <w:pPr>
        <w:spacing w:after="0" w:line="230" w:lineRule="exact"/>
        <w:rPr>
          <w:sz w:val="20"/>
          <w:szCs w:val="20"/>
          <w:color w:val="auto"/>
        </w:rPr>
      </w:pPr>
    </w:p>
    <w:p>
      <w:pPr>
        <w:ind w:left="1440" w:hanging="712"/>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to attract and retain the best available personnel for positions of substantial responsibility,</w:t>
      </w:r>
    </w:p>
    <w:p>
      <w:pPr>
        <w:spacing w:after="0" w:line="206" w:lineRule="exact"/>
        <w:rPr>
          <w:rFonts w:ascii="Arial" w:cs="Arial" w:eastAsia="Arial" w:hAnsi="Arial"/>
          <w:sz w:val="22"/>
          <w:szCs w:val="22"/>
          <w:color w:val="auto"/>
        </w:rPr>
      </w:pPr>
    </w:p>
    <w:p>
      <w:pPr>
        <w:ind w:left="1440" w:hanging="712"/>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to provide additional incentive to Employees, Directors, and Consultants, and</w:t>
      </w:r>
    </w:p>
    <w:p>
      <w:pPr>
        <w:spacing w:after="0" w:line="206" w:lineRule="exact"/>
        <w:rPr>
          <w:rFonts w:ascii="Arial" w:cs="Arial" w:eastAsia="Arial" w:hAnsi="Arial"/>
          <w:sz w:val="22"/>
          <w:szCs w:val="22"/>
          <w:color w:val="auto"/>
        </w:rPr>
      </w:pPr>
    </w:p>
    <w:p>
      <w:pPr>
        <w:ind w:left="1440" w:hanging="712"/>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to promote the success of the Company’s 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may be Incentive Stock Options or Nonstatutory Stock Options, as determined by the Administrator at the time of grant.</w:t>
      </w:r>
    </w:p>
    <w:p>
      <w:pPr>
        <w:spacing w:after="0" w:line="237" w:lineRule="exact"/>
        <w:rPr>
          <w:sz w:val="20"/>
          <w:szCs w:val="20"/>
          <w:color w:val="auto"/>
        </w:rPr>
      </w:pPr>
    </w:p>
    <w:p>
      <w:pPr>
        <w:ind w:left="1440" w:hanging="712"/>
        <w:spacing w:after="0"/>
        <w:tabs>
          <w:tab w:leader="none" w:pos="14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right="140" w:firstLine="1448"/>
        <w:spacing w:after="0" w:line="277" w:lineRule="auto"/>
        <w:tabs>
          <w:tab w:leader="none" w:pos="21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70" w:lineRule="exact"/>
        <w:rPr>
          <w:rFonts w:ascii="Arial" w:cs="Arial" w:eastAsia="Arial" w:hAnsi="Arial"/>
          <w:sz w:val="18"/>
          <w:szCs w:val="18"/>
          <w:color w:val="auto"/>
        </w:rPr>
      </w:pPr>
    </w:p>
    <w:p>
      <w:pPr>
        <w:ind w:left="2140" w:hanging="692"/>
        <w:spacing w:after="0"/>
        <w:tabs>
          <w:tab w:leader="none" w:pos="2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40" w:firstLine="1448"/>
        <w:spacing w:after="0" w:line="277" w:lineRule="auto"/>
        <w:tabs>
          <w:tab w:leader="none" w:pos="21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2140" w:hanging="692"/>
        <w:spacing w:after="0"/>
        <w:tabs>
          <w:tab w:leader="none" w:pos="2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5" w:lineRule="exact"/>
        <w:rPr>
          <w:rFonts w:ascii="Arial" w:cs="Arial" w:eastAsia="Arial" w:hAnsi="Arial"/>
          <w:sz w:val="18"/>
          <w:szCs w:val="18"/>
          <w:color w:val="auto"/>
        </w:rPr>
      </w:pPr>
    </w:p>
    <w:p>
      <w:pPr>
        <w:ind w:right="60" w:firstLine="1448"/>
        <w:spacing w:after="0" w:line="277" w:lineRule="auto"/>
        <w:tabs>
          <w:tab w:leader="none" w:pos="21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w:t>
      </w:r>
    </w:p>
    <w:p>
      <w:pPr>
        <w:spacing w:after="0" w:line="170" w:lineRule="exact"/>
        <w:rPr>
          <w:rFonts w:ascii="Arial" w:cs="Arial" w:eastAsia="Arial" w:hAnsi="Arial"/>
          <w:sz w:val="18"/>
          <w:szCs w:val="18"/>
          <w:color w:val="auto"/>
        </w:rPr>
      </w:pPr>
    </w:p>
    <w:p>
      <w:pPr>
        <w:ind w:right="140" w:firstLine="1448"/>
        <w:spacing w:after="0" w:line="291" w:lineRule="auto"/>
        <w:tabs>
          <w:tab w:leader="none" w:pos="2150"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 or Consultant</w:t>
      </w:r>
      <w:r>
        <w:rPr>
          <w:rFonts w:ascii="Arial" w:cs="Arial" w:eastAsia="Arial" w:hAnsi="Arial"/>
          <w:sz w:val="16"/>
          <w:szCs w:val="16"/>
          <w:color w:val="auto"/>
        </w:rPr>
        <w:t>” means that the employment or consulting relationship with the Company, any Parent, or Subsidiary, is not interrupted or terminated. Continuous Status as an Employee or Consultant shall not be considered interrupted in the case of</w:t>
      </w:r>
    </w:p>
    <w:p>
      <w:pPr>
        <w:ind w:right="40" w:firstLine="8"/>
        <w:spacing w:after="0" w:line="290"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64" w:lineRule="exact"/>
        <w:rPr>
          <w:rFonts w:ascii="Arial" w:cs="Arial" w:eastAsia="Arial" w:hAnsi="Arial"/>
          <w:sz w:val="16"/>
          <w:szCs w:val="16"/>
          <w:color w:val="auto"/>
        </w:rPr>
      </w:pPr>
    </w:p>
    <w:p>
      <w:pPr>
        <w:ind w:left="2160" w:hanging="712"/>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right="100" w:firstLine="1448"/>
        <w:spacing w:after="0" w:line="342" w:lineRule="auto"/>
        <w:tabs>
          <w:tab w:leader="none" w:pos="21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23" w:lineRule="exact"/>
        <w:rPr>
          <w:rFonts w:ascii="Arial" w:cs="Arial" w:eastAsia="Arial" w:hAnsi="Arial"/>
          <w:sz w:val="16"/>
          <w:szCs w:val="16"/>
          <w:color w:val="auto"/>
        </w:rPr>
      </w:pPr>
    </w:p>
    <w:p>
      <w:pPr>
        <w:ind w:left="2160" w:hanging="712"/>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right="20" w:firstLine="1953"/>
        <w:spacing w:after="0" w:line="302" w:lineRule="auto"/>
        <w:tabs>
          <w:tab w:leader="none" w:pos="2385"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6"/>
          <w:szCs w:val="16"/>
          <w:i w:val="1"/>
          <w:iCs w:val="1"/>
          <w:color w:val="auto"/>
        </w:rPr>
        <w:t>Bloomberg L.L.P.</w:t>
      </w:r>
      <w:r>
        <w:rPr>
          <w:rFonts w:ascii="Arial" w:cs="Arial" w:eastAsia="Arial" w:hAnsi="Arial"/>
          <w:sz w:val="16"/>
          <w:szCs w:val="16"/>
          <w:color w:val="auto"/>
        </w:rPr>
        <w:t xml:space="preserve"> or such other source as the Administrator deems reliable;</w:t>
      </w:r>
    </w:p>
    <w:p>
      <w:pPr>
        <w:spacing w:after="0" w:line="154" w:lineRule="exact"/>
        <w:rPr>
          <w:rFonts w:ascii="Arial" w:cs="Arial" w:eastAsia="Arial" w:hAnsi="Arial"/>
          <w:sz w:val="16"/>
          <w:szCs w:val="16"/>
          <w:color w:val="auto"/>
        </w:rPr>
      </w:pPr>
    </w:p>
    <w:p>
      <w:pPr>
        <w:ind w:right="160" w:firstLine="1953"/>
        <w:spacing w:after="0" w:line="259" w:lineRule="auto"/>
        <w:tabs>
          <w:tab w:leader="none" w:pos="239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8"/>
          <w:szCs w:val="18"/>
          <w:i w:val="1"/>
          <w:iCs w:val="1"/>
          <w:color w:val="auto"/>
        </w:rPr>
        <w:t>Bloomberg L.L.P.</w:t>
      </w:r>
      <w:r>
        <w:rPr>
          <w:rFonts w:ascii="Arial" w:cs="Arial" w:eastAsia="Arial" w:hAnsi="Arial"/>
          <w:sz w:val="18"/>
          <w:szCs w:val="18"/>
          <w:color w:val="auto"/>
        </w:rPr>
        <w:t xml:space="preserve"> or such other source as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-2686685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10" w:name="page11"/>
    <w:bookmarkEnd w:id="10"/>
    <w:p>
      <w:pPr>
        <w:ind w:left="1960"/>
        <w:spacing w:after="0"/>
        <w:tabs>
          <w:tab w:leader="none" w:pos="23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In the absence of an established market for the Common Stock, the Fair Market Value shall be determined in good faith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w:t>
      </w:r>
    </w:p>
    <w:p>
      <w:pPr>
        <w:spacing w:after="0" w:line="211" w:lineRule="exact"/>
        <w:rPr>
          <w:sz w:val="20"/>
          <w:szCs w:val="20"/>
          <w:color w:val="auto"/>
        </w:rPr>
      </w:pPr>
    </w:p>
    <w:p>
      <w:pPr>
        <w:ind w:right="140" w:firstLine="1448"/>
        <w:spacing w:after="0" w:line="277" w:lineRule="auto"/>
        <w:tabs>
          <w:tab w:leader="none" w:pos="21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2160" w:hanging="712"/>
        <w:spacing w:after="0"/>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does not qualify as an Incentive Stock Option.</w:t>
      </w:r>
    </w:p>
    <w:p>
      <w:pPr>
        <w:spacing w:after="0" w:line="225" w:lineRule="exact"/>
        <w:rPr>
          <w:rFonts w:ascii="Arial" w:cs="Arial" w:eastAsia="Arial" w:hAnsi="Arial"/>
          <w:sz w:val="18"/>
          <w:szCs w:val="18"/>
          <w:color w:val="auto"/>
        </w:rPr>
      </w:pPr>
    </w:p>
    <w:p>
      <w:pPr>
        <w:ind w:right="120" w:firstLine="1448"/>
        <w:spacing w:after="0" w:line="277" w:lineRule="auto"/>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70" w:lineRule="exact"/>
        <w:rPr>
          <w:rFonts w:ascii="Arial" w:cs="Arial" w:eastAsia="Arial" w:hAnsi="Arial"/>
          <w:sz w:val="18"/>
          <w:szCs w:val="18"/>
          <w:color w:val="auto"/>
        </w:rPr>
      </w:pPr>
    </w:p>
    <w:p>
      <w:pPr>
        <w:ind w:right="60" w:firstLine="1448"/>
        <w:spacing w:after="0" w:line="277" w:lineRule="auto"/>
        <w:tabs>
          <w:tab w:leader="none" w:pos="21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2160" w:hanging="712"/>
        <w:spacing w:after="0"/>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right="60" w:firstLine="1448"/>
        <w:spacing w:after="0" w:line="277" w:lineRule="auto"/>
        <w:tabs>
          <w:tab w:leader="none" w:pos="21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70" w:lineRule="exact"/>
        <w:rPr>
          <w:rFonts w:ascii="Arial" w:cs="Arial" w:eastAsia="Arial" w:hAnsi="Arial"/>
          <w:sz w:val="18"/>
          <w:szCs w:val="18"/>
          <w:color w:val="auto"/>
        </w:rPr>
      </w:pPr>
    </w:p>
    <w:p>
      <w:pPr>
        <w:ind w:left="2160" w:hanging="712"/>
        <w:spacing w:after="0"/>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25" w:lineRule="exact"/>
        <w:rPr>
          <w:rFonts w:ascii="Arial" w:cs="Arial" w:eastAsia="Arial" w:hAnsi="Arial"/>
          <w:sz w:val="18"/>
          <w:szCs w:val="18"/>
          <w:color w:val="auto"/>
        </w:rPr>
      </w:pPr>
    </w:p>
    <w:p>
      <w:pPr>
        <w:ind w:left="2200" w:hanging="752"/>
        <w:spacing w:after="0"/>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2160" w:hanging="712"/>
        <w:spacing w:after="0"/>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2001 Option Plan.</w:t>
      </w:r>
    </w:p>
    <w:p>
      <w:pPr>
        <w:spacing w:after="0" w:line="225" w:lineRule="exact"/>
        <w:rPr>
          <w:rFonts w:ascii="Arial" w:cs="Arial" w:eastAsia="Arial" w:hAnsi="Arial"/>
          <w:sz w:val="18"/>
          <w:szCs w:val="18"/>
          <w:color w:val="auto"/>
        </w:rPr>
      </w:pPr>
    </w:p>
    <w:p>
      <w:pPr>
        <w:ind w:right="420" w:firstLine="1448"/>
        <w:spacing w:after="0" w:line="277" w:lineRule="auto"/>
        <w:tabs>
          <w:tab w:leader="none" w:pos="2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0" w:lineRule="exact"/>
        <w:rPr>
          <w:sz w:val="20"/>
          <w:szCs w:val="20"/>
          <w:color w:val="auto"/>
        </w:rPr>
      </w:pPr>
    </w:p>
    <w:p>
      <w:pPr>
        <w:ind w:left="2140" w:hanging="692"/>
        <w:spacing w:after="0"/>
        <w:tabs>
          <w:tab w:leader="none" w:pos="2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right="140" w:firstLine="1448"/>
        <w:spacing w:after="0" w:line="264" w:lineRule="auto"/>
        <w:tabs>
          <w:tab w:leader="none" w:pos="21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-906145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1" w:lineRule="exact"/>
        <w:rPr>
          <w:sz w:val="20"/>
          <w:szCs w:val="20"/>
          <w:color w:val="auto"/>
        </w:rPr>
      </w:pPr>
    </w:p>
    <w:p>
      <w:pPr>
        <w:ind w:right="200" w:firstLine="728"/>
        <w:spacing w:after="0" w:line="308" w:lineRule="auto"/>
        <w:tabs>
          <w:tab w:leader="none" w:pos="14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12 of the Plan, the maximum aggregate number of Shares which may be optioned and sold under the Plan is 30,000,000 Shares. The Shares may be authorized, but unissued, or reacquired Common Stock.</w:t>
      </w:r>
    </w:p>
    <w:p>
      <w:pPr>
        <w:spacing w:after="0" w:line="147" w:lineRule="exact"/>
        <w:rPr>
          <w:sz w:val="20"/>
          <w:szCs w:val="20"/>
          <w:color w:val="auto"/>
        </w:rPr>
      </w:pPr>
    </w:p>
    <w:p>
      <w:pPr>
        <w:ind w:right="80" w:firstLine="720"/>
        <w:spacing w:after="0" w:line="286" w:lineRule="auto"/>
        <w:rPr>
          <w:sz w:val="20"/>
          <w:szCs w:val="20"/>
          <w:color w:val="auto"/>
        </w:rPr>
      </w:pPr>
      <w:r>
        <w:rPr>
          <w:rFonts w:ascii="Arial" w:cs="Arial" w:eastAsia="Arial" w:hAnsi="Arial"/>
          <w:sz w:val="17"/>
          <w:szCs w:val="17"/>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Shares that have actually been issued under the Plan shall not be returned to the Plan and shall not become available for future distribution under the Plan.</w:t>
      </w:r>
    </w:p>
    <w:p>
      <w:pPr>
        <w:spacing w:after="0" w:line="166" w:lineRule="exact"/>
        <w:rPr>
          <w:sz w:val="20"/>
          <w:szCs w:val="20"/>
          <w:color w:val="auto"/>
        </w:rPr>
      </w:pPr>
    </w:p>
    <w:p>
      <w:pPr>
        <w:ind w:left="1440" w:hanging="712"/>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25" w:lineRule="exact"/>
        <w:rPr>
          <w:rFonts w:ascii="Arial" w:cs="Arial" w:eastAsia="Arial" w:hAnsi="Arial"/>
          <w:sz w:val="18"/>
          <w:szCs w:val="18"/>
          <w:color w:val="auto"/>
        </w:rPr>
      </w:pPr>
    </w:p>
    <w:p>
      <w:pPr>
        <w:ind w:firstLine="1448"/>
        <w:spacing w:after="0" w:line="270" w:lineRule="auto"/>
        <w:tabs>
          <w:tab w:leader="none" w:pos="2135"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Administrator</w:t>
      </w:r>
      <w:r>
        <w:rPr>
          <w:rFonts w:ascii="Arial" w:cs="Arial" w:eastAsia="Arial" w:hAnsi="Arial"/>
          <w:sz w:val="17"/>
          <w:szCs w:val="17"/>
          <w:color w:val="auto"/>
        </w:rPr>
        <w:t>. The Plan shall be administered by a Committee appointed by the Board (which Committee shall consist of two or more directors) or, at the 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77" w:lineRule="exact"/>
        <w:rPr>
          <w:rFonts w:ascii="Arial" w:cs="Arial" w:eastAsia="Arial" w:hAnsi="Arial"/>
          <w:sz w:val="17"/>
          <w:szCs w:val="17"/>
          <w:color w:val="auto"/>
        </w:rPr>
      </w:pPr>
    </w:p>
    <w:p>
      <w:pPr>
        <w:ind w:firstLine="1448"/>
        <w:spacing w:after="0" w:line="277" w:lineRule="auto"/>
        <w:tabs>
          <w:tab w:leader="none" w:pos="214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Options may be granted hereunder;</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ectPr>
          <w:pgSz w:w="11900" w:h="16838" w:orient="portrait"/>
          <w:cols w:equalWidth="0" w:num="1">
            <w:col w:w="11400"/>
          </w:cols>
          <w:pgMar w:left="240" w:top="125" w:right="259" w:bottom="181" w:gutter="0" w:footer="0" w:header="0"/>
        </w:sectPr>
      </w:pPr>
    </w:p>
    <w:bookmarkStart w:id="11" w:name="page12"/>
    <w:bookmarkEnd w:id="11"/>
    <w:p>
      <w:pPr>
        <w:ind w:right="340" w:firstLine="1953"/>
        <w:spacing w:after="0" w:line="279" w:lineRule="auto"/>
        <w:tabs>
          <w:tab w:leader="none" w:pos="23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1" w:lineRule="exact"/>
        <w:rPr>
          <w:rFonts w:ascii="Arial" w:cs="Arial" w:eastAsia="Arial" w:hAnsi="Arial"/>
          <w:sz w:val="17"/>
          <w:szCs w:val="17"/>
          <w:color w:val="auto"/>
        </w:rPr>
      </w:pPr>
    </w:p>
    <w:p>
      <w:pPr>
        <w:ind w:left="2400" w:hanging="447"/>
        <w:spacing w:after="0"/>
        <w:tabs>
          <w:tab w:leader="none" w:pos="2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firstLine="1953"/>
        <w:spacing w:after="0" w:line="277" w:lineRule="auto"/>
        <w:tabs>
          <w:tab w:leader="none" w:pos="2395"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right="540" w:firstLine="1953"/>
        <w:spacing w:after="0" w:line="277" w:lineRule="auto"/>
        <w:tabs>
          <w:tab w:leader="none" w:pos="243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5" w:lineRule="exact"/>
        <w:rPr>
          <w:rFonts w:ascii="Arial" w:cs="Arial" w:eastAsia="Arial" w:hAnsi="Arial"/>
          <w:sz w:val="18"/>
          <w:szCs w:val="18"/>
          <w:color w:val="auto"/>
        </w:rPr>
      </w:pPr>
    </w:p>
    <w:p>
      <w:pPr>
        <w:jc w:val="both"/>
        <w:ind w:right="180" w:firstLine="1953"/>
        <w:spacing w:after="0" w:line="302" w:lineRule="auto"/>
        <w:tabs>
          <w:tab w:leader="none" w:pos="2430" w:val="left"/>
        </w:tabs>
        <w:numPr>
          <w:ilvl w:val="2"/>
          <w:numId w:val="35"/>
        </w:numPr>
        <w:rPr>
          <w:rFonts w:ascii="Arial" w:cs="Arial" w:eastAsia="Arial" w:hAnsi="Arial"/>
          <w:sz w:val="16"/>
          <w:szCs w:val="16"/>
          <w:color w:val="auto"/>
        </w:rPr>
      </w:pPr>
      <w:r>
        <w:rPr>
          <w:rFonts w:ascii="Arial" w:cs="Arial" w:eastAsia="Arial" w:hAnsi="Arial"/>
          <w:sz w:val="16"/>
          <w:szCs w:val="16"/>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54" w:lineRule="exact"/>
        <w:rPr>
          <w:rFonts w:ascii="Arial" w:cs="Arial" w:eastAsia="Arial" w:hAnsi="Arial"/>
          <w:sz w:val="16"/>
          <w:szCs w:val="16"/>
          <w:color w:val="auto"/>
        </w:rPr>
      </w:pPr>
    </w:p>
    <w:p>
      <w:pPr>
        <w:ind w:right="20" w:firstLine="1448"/>
        <w:spacing w:after="0" w:line="277" w:lineRule="auto"/>
        <w:tabs>
          <w:tab w:leader="none" w:pos="213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ind w:right="480" w:firstLine="728"/>
        <w:spacing w:after="0" w:line="342" w:lineRule="auto"/>
        <w:tabs>
          <w:tab w:leader="none" w:pos="144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may be granted to Employees, Directors, and Consultants. Incentive Stock Options may be granted only to Employees. If otherwise eligible, an Employee or Consultant who has been granted an Option may be granted additional Options.</w:t>
      </w:r>
    </w:p>
    <w:p>
      <w:pPr>
        <w:spacing w:after="0" w:line="123" w:lineRule="exact"/>
        <w:rPr>
          <w:rFonts w:ascii="Arial" w:cs="Arial" w:eastAsia="Arial" w:hAnsi="Arial"/>
          <w:sz w:val="16"/>
          <w:szCs w:val="16"/>
          <w:color w:val="auto"/>
        </w:rPr>
      </w:pPr>
    </w:p>
    <w:p>
      <w:pPr>
        <w:ind w:left="1440" w:hanging="712"/>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w:t>
      </w:r>
    </w:p>
    <w:p>
      <w:pPr>
        <w:spacing w:after="0" w:line="225" w:lineRule="exact"/>
        <w:rPr>
          <w:rFonts w:ascii="Arial" w:cs="Arial" w:eastAsia="Arial" w:hAnsi="Arial"/>
          <w:sz w:val="18"/>
          <w:szCs w:val="18"/>
          <w:color w:val="auto"/>
        </w:rPr>
      </w:pPr>
    </w:p>
    <w:p>
      <w:pPr>
        <w:ind w:right="20" w:firstLine="1448"/>
        <w:spacing w:after="0" w:line="255" w:lineRule="auto"/>
        <w:tabs>
          <w:tab w:leader="none" w:pos="213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3" w:lineRule="exact"/>
        <w:rPr>
          <w:rFonts w:ascii="Arial" w:cs="Arial" w:eastAsia="Arial" w:hAnsi="Arial"/>
          <w:sz w:val="18"/>
          <w:szCs w:val="18"/>
          <w:color w:val="auto"/>
        </w:rPr>
      </w:pPr>
    </w:p>
    <w:p>
      <w:pPr>
        <w:ind w:right="80" w:firstLine="1448"/>
        <w:spacing w:after="0" w:line="264" w:lineRule="auto"/>
        <w:tabs>
          <w:tab w:leader="none" w:pos="21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1" w:lineRule="exact"/>
        <w:rPr>
          <w:rFonts w:ascii="Arial" w:cs="Arial" w:eastAsia="Arial" w:hAnsi="Arial"/>
          <w:sz w:val="18"/>
          <w:szCs w:val="18"/>
          <w:color w:val="auto"/>
        </w:rPr>
      </w:pPr>
    </w:p>
    <w:p>
      <w:pPr>
        <w:ind w:left="2140" w:hanging="692"/>
        <w:spacing w:after="0"/>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to Employees:</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7"/>
        </w:numPr>
        <w:rPr>
          <w:rFonts w:ascii="Arial" w:cs="Arial" w:eastAsia="Arial" w:hAnsi="Arial"/>
          <w:sz w:val="17"/>
          <w:szCs w:val="17"/>
          <w:color w:val="auto"/>
        </w:rPr>
      </w:pPr>
      <w:r>
        <w:rPr>
          <w:rFonts w:ascii="Arial" w:cs="Arial" w:eastAsia="Arial" w:hAnsi="Arial"/>
          <w:sz w:val="17"/>
          <w:szCs w:val="17"/>
          <w:color w:val="auto"/>
        </w:rPr>
        <w:t>No Employee shall be granted, in any fiscal year of the Company, Options to purchase more than 2,000,000 Shares.</w:t>
      </w:r>
    </w:p>
    <w:p>
      <w:pPr>
        <w:spacing w:after="0" w:line="236" w:lineRule="exact"/>
        <w:rPr>
          <w:rFonts w:ascii="Arial" w:cs="Arial" w:eastAsia="Arial" w:hAnsi="Arial"/>
          <w:sz w:val="17"/>
          <w:szCs w:val="17"/>
          <w:color w:val="auto"/>
        </w:rPr>
      </w:pPr>
    </w:p>
    <w:p>
      <w:pPr>
        <w:ind w:left="2400" w:hanging="447"/>
        <w:spacing w:after="0"/>
        <w:tabs>
          <w:tab w:leader="none" w:pos="240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The foregoing limitations shall be adjusted proportionately in connection with any change in the Company’s capitalization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described in Section 12.</w:t>
      </w:r>
    </w:p>
    <w:p>
      <w:pPr>
        <w:spacing w:after="0" w:line="210" w:lineRule="exact"/>
        <w:rPr>
          <w:rFonts w:ascii="Arial" w:cs="Arial" w:eastAsia="Arial" w:hAnsi="Arial"/>
          <w:sz w:val="16"/>
          <w:szCs w:val="16"/>
          <w:color w:val="auto"/>
        </w:rPr>
      </w:pPr>
    </w:p>
    <w:p>
      <w:pPr>
        <w:ind w:right="120" w:firstLine="728"/>
        <w:spacing w:after="0" w:line="264"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81" w:lineRule="exact"/>
        <w:rPr>
          <w:rFonts w:ascii="Arial" w:cs="Arial" w:eastAsia="Arial" w:hAnsi="Arial"/>
          <w:sz w:val="18"/>
          <w:szCs w:val="18"/>
          <w:color w:val="auto"/>
        </w:rPr>
      </w:pPr>
    </w:p>
    <w:p>
      <w:pPr>
        <w:ind w:right="40" w:firstLine="728"/>
        <w:spacing w:after="0" w:line="259"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 but shall not exceed ten (10) years; provided, however, that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hanging="712"/>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 Exercise Price and Consideration.</w:t>
      </w:r>
    </w:p>
    <w:p>
      <w:pPr>
        <w:spacing w:after="0" w:line="225" w:lineRule="exact"/>
        <w:rPr>
          <w:rFonts w:ascii="Arial" w:cs="Arial" w:eastAsia="Arial" w:hAnsi="Arial"/>
          <w:sz w:val="18"/>
          <w:szCs w:val="18"/>
          <w:color w:val="auto"/>
        </w:rPr>
      </w:pPr>
    </w:p>
    <w:p>
      <w:pPr>
        <w:ind w:right="20" w:firstLine="1448"/>
        <w:spacing w:after="0" w:line="257" w:lineRule="auto"/>
        <w:tabs>
          <w:tab w:leader="none" w:pos="213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ectPr>
          <w:pgSz w:w="11900" w:h="16838" w:orient="portrait"/>
          <w:cols w:equalWidth="0" w:num="1">
            <w:col w:w="11400"/>
          </w:cols>
          <w:pgMar w:left="240" w:top="125" w:right="259" w:bottom="144" w:gutter="0" w:footer="0" w:header="0"/>
        </w:sectPr>
      </w:pPr>
    </w:p>
    <w:bookmarkStart w:id="12" w:name="page13"/>
    <w:bookmarkEnd w:id="12"/>
    <w:p>
      <w:pPr>
        <w:ind w:right="100" w:firstLine="1448"/>
        <w:spacing w:after="0" w:line="264" w:lineRule="auto"/>
        <w:tabs>
          <w:tab w:leader="none" w:pos="2145"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1" w:lineRule="exact"/>
        <w:rPr>
          <w:rFonts w:ascii="Arial" w:cs="Arial" w:eastAsia="Arial" w:hAnsi="Arial"/>
          <w:sz w:val="18"/>
          <w:szCs w:val="18"/>
          <w:color w:val="auto"/>
        </w:rPr>
      </w:pPr>
    </w:p>
    <w:p>
      <w:pPr>
        <w:ind w:firstLine="1448"/>
        <w:spacing w:after="0" w:line="264" w:lineRule="auto"/>
        <w:tabs>
          <w:tab w:leader="none" w:pos="2135"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The Administrator shall determine the acceptable form of consideration at the time of grant. Such consideration may consist entirely of:</w:t>
      </w:r>
    </w:p>
    <w:p>
      <w:pPr>
        <w:spacing w:after="0" w:line="181" w:lineRule="exact"/>
        <w:rPr>
          <w:rFonts w:ascii="Arial" w:cs="Arial" w:eastAsia="Arial" w:hAnsi="Arial"/>
          <w:sz w:val="18"/>
          <w:szCs w:val="18"/>
          <w:color w:val="auto"/>
        </w:rPr>
      </w:pPr>
    </w:p>
    <w:p>
      <w:pPr>
        <w:ind w:left="2400" w:hanging="447"/>
        <w:spacing w:after="0"/>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5" w:lineRule="exact"/>
        <w:rPr>
          <w:rFonts w:ascii="Arial" w:cs="Arial" w:eastAsia="Arial" w:hAnsi="Arial"/>
          <w:sz w:val="18"/>
          <w:szCs w:val="18"/>
          <w:color w:val="auto"/>
        </w:rPr>
      </w:pPr>
    </w:p>
    <w:p>
      <w:pPr>
        <w:ind w:right="400" w:firstLine="1953"/>
        <w:spacing w:after="0" w:line="308" w:lineRule="auto"/>
        <w:tabs>
          <w:tab w:leader="none" w:pos="2385" w:val="left"/>
        </w:tabs>
        <w:numPr>
          <w:ilvl w:val="2"/>
          <w:numId w:val="39"/>
        </w:numPr>
        <w:rPr>
          <w:rFonts w:ascii="Arial" w:cs="Arial" w:eastAsia="Arial" w:hAnsi="Arial"/>
          <w:sz w:val="17"/>
          <w:szCs w:val="17"/>
          <w:color w:val="auto"/>
        </w:rPr>
      </w:pPr>
      <w:r>
        <w:rPr>
          <w:rFonts w:ascii="Arial" w:cs="Arial" w:eastAsia="Arial" w:hAnsi="Arial"/>
          <w:sz w:val="17"/>
          <w:szCs w:val="17"/>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46" w:lineRule="exact"/>
        <w:rPr>
          <w:rFonts w:ascii="Arial" w:cs="Arial" w:eastAsia="Arial" w:hAnsi="Arial"/>
          <w:sz w:val="17"/>
          <w:szCs w:val="17"/>
          <w:color w:val="auto"/>
        </w:rPr>
      </w:pPr>
    </w:p>
    <w:p>
      <w:pPr>
        <w:ind w:right="60" w:firstLine="1953"/>
        <w:spacing w:after="0" w:line="297" w:lineRule="auto"/>
        <w:tabs>
          <w:tab w:leader="none" w:pos="23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58" w:lineRule="exact"/>
        <w:rPr>
          <w:rFonts w:ascii="Arial" w:cs="Arial" w:eastAsia="Arial" w:hAnsi="Arial"/>
          <w:sz w:val="16"/>
          <w:szCs w:val="16"/>
          <w:color w:val="auto"/>
        </w:rPr>
      </w:pPr>
    </w:p>
    <w:p>
      <w:pPr>
        <w:ind w:right="360" w:firstLine="1953"/>
        <w:spacing w:after="0" w:line="277" w:lineRule="auto"/>
        <w:tabs>
          <w:tab w:leader="none" w:pos="2385"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39"/>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approved by the Administrator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by Applicable Laws.</w:t>
      </w:r>
    </w:p>
    <w:p>
      <w:pPr>
        <w:spacing w:after="0" w:line="210" w:lineRule="exact"/>
        <w:rPr>
          <w:rFonts w:ascii="Arial" w:cs="Arial" w:eastAsia="Arial" w:hAnsi="Arial"/>
          <w:sz w:val="16"/>
          <w:szCs w:val="16"/>
          <w:color w:val="auto"/>
        </w:rPr>
      </w:pPr>
    </w:p>
    <w:p>
      <w:pPr>
        <w:ind w:left="1440" w:hanging="712"/>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of Option.</w:t>
      </w:r>
    </w:p>
    <w:p>
      <w:pPr>
        <w:spacing w:after="0" w:line="225" w:lineRule="exact"/>
        <w:rPr>
          <w:rFonts w:ascii="Arial" w:cs="Arial" w:eastAsia="Arial" w:hAnsi="Arial"/>
          <w:sz w:val="18"/>
          <w:szCs w:val="18"/>
          <w:color w:val="auto"/>
        </w:rPr>
      </w:pPr>
    </w:p>
    <w:p>
      <w:pPr>
        <w:ind w:right="160" w:firstLine="1448"/>
        <w:spacing w:after="0" w:line="277" w:lineRule="auto"/>
        <w:tabs>
          <w:tab w:leader="none" w:pos="213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5" w:lineRule="exact"/>
        <w:rPr>
          <w:sz w:val="20"/>
          <w:szCs w:val="20"/>
          <w:color w:val="auto"/>
        </w:rPr>
      </w:pPr>
    </w:p>
    <w:p>
      <w:pPr>
        <w:ind w:right="40" w:firstLine="1440"/>
        <w:spacing w:after="0" w:line="257" w:lineRule="auto"/>
        <w:rPr>
          <w:sz w:val="20"/>
          <w:szCs w:val="20"/>
          <w:color w:val="auto"/>
        </w:rPr>
      </w:pPr>
      <w:r>
        <w:rPr>
          <w:rFonts w:ascii="Arial" w:cs="Arial" w:eastAsia="Arial" w:hAnsi="Arial"/>
          <w:sz w:val="18"/>
          <w:szCs w:val="18"/>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66" w:lineRule="exact"/>
        <w:rPr>
          <w:sz w:val="20"/>
          <w:szCs w:val="20"/>
          <w:color w:val="auto"/>
        </w:rPr>
      </w:pPr>
    </w:p>
    <w:p>
      <w:pPr>
        <w:ind w:right="260" w:firstLine="1440"/>
        <w:spacing w:after="0" w:line="277"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right="20" w:firstLine="1448"/>
        <w:spacing w:after="0" w:line="290" w:lineRule="auto"/>
        <w:tabs>
          <w:tab w:leader="none" w:pos="214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6" w:lineRule="exact"/>
        <w:rPr>
          <w:rFonts w:ascii="Arial" w:cs="Arial" w:eastAsia="Arial" w:hAnsi="Arial"/>
          <w:sz w:val="16"/>
          <w:szCs w:val="16"/>
          <w:color w:val="auto"/>
        </w:rPr>
      </w:pPr>
    </w:p>
    <w:p>
      <w:pPr>
        <w:ind w:firstLine="1448"/>
        <w:spacing w:after="0" w:line="273" w:lineRule="auto"/>
        <w:tabs>
          <w:tab w:leader="none" w:pos="213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Disability of Optionee</w:t>
      </w:r>
      <w:r>
        <w:rPr>
          <w:rFonts w:ascii="Arial" w:cs="Arial" w:eastAsia="Arial" w:hAnsi="Arial"/>
          <w:sz w:val="17"/>
          <w:szCs w:val="17"/>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8" w:lineRule="exact"/>
        <w:rPr>
          <w:rFonts w:ascii="Arial" w:cs="Arial" w:eastAsia="Arial" w:hAnsi="Arial"/>
          <w:sz w:val="17"/>
          <w:szCs w:val="17"/>
          <w:color w:val="auto"/>
        </w:rPr>
      </w:pPr>
    </w:p>
    <w:p>
      <w:pPr>
        <w:jc w:val="both"/>
        <w:ind w:firstLine="1448"/>
        <w:spacing w:after="0" w:line="312" w:lineRule="auto"/>
        <w:tabs>
          <w:tab w:leader="none" w:pos="214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Death of Optionee</w:t>
      </w:r>
      <w:r>
        <w:rPr>
          <w:rFonts w:ascii="Arial" w:cs="Arial" w:eastAsia="Arial" w:hAnsi="Arial"/>
          <w:sz w:val="16"/>
          <w:szCs w:val="16"/>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w:t>
      </w:r>
    </w:p>
    <w:p>
      <w:pPr>
        <w:sectPr>
          <w:pgSz w:w="11900" w:h="16838" w:orient="portrait"/>
          <w:cols w:equalWidth="0" w:num="1">
            <w:col w:w="11420"/>
          </w:cols>
          <w:pgMar w:left="240" w:top="125" w:right="239" w:bottom="0" w:gutter="0" w:footer="0" w:header="0"/>
        </w:sectPr>
      </w:pPr>
    </w:p>
    <w:bookmarkStart w:id="13" w:name="page14"/>
    <w:bookmarkEnd w:id="13"/>
    <w:p>
      <w:pPr>
        <w:ind w:right="60"/>
        <w:spacing w:after="0" w:line="259" w:lineRule="auto"/>
        <w:rPr>
          <w:sz w:val="20"/>
          <w:szCs w:val="20"/>
          <w:color w:val="auto"/>
        </w:rPr>
      </w:pPr>
      <w:r>
        <w:rPr>
          <w:rFonts w:ascii="Arial" w:cs="Arial" w:eastAsia="Arial" w:hAnsi="Arial"/>
          <w:sz w:val="18"/>
          <w:szCs w:val="18"/>
          <w:color w:val="auto"/>
        </w:rPr>
        <w:t>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87" w:lineRule="exact"/>
        <w:rPr>
          <w:sz w:val="20"/>
          <w:szCs w:val="20"/>
          <w:color w:val="auto"/>
        </w:rPr>
      </w:pPr>
    </w:p>
    <w:p>
      <w:pPr>
        <w:ind w:right="20" w:firstLine="1448"/>
        <w:spacing w:after="0" w:line="259" w:lineRule="auto"/>
        <w:tabs>
          <w:tab w:leader="none" w:pos="213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6" w:lineRule="exact"/>
        <w:rPr>
          <w:rFonts w:ascii="Arial" w:cs="Arial" w:eastAsia="Arial" w:hAnsi="Arial"/>
          <w:sz w:val="18"/>
          <w:szCs w:val="18"/>
          <w:color w:val="auto"/>
        </w:rPr>
      </w:pPr>
    </w:p>
    <w:p>
      <w:pPr>
        <w:ind w:right="140" w:firstLine="728"/>
        <w:spacing w:after="0" w:line="259" w:lineRule="auto"/>
        <w:tabs>
          <w:tab w:leader="none" w:pos="143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determined otherwise by the Administrator, an Option may not be sold, pledged, assigned, hypothecated, 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86" w:lineRule="exact"/>
        <w:rPr>
          <w:rFonts w:ascii="Arial" w:cs="Arial" w:eastAsia="Arial" w:hAnsi="Arial"/>
          <w:sz w:val="18"/>
          <w:szCs w:val="18"/>
          <w:color w:val="auto"/>
        </w:rPr>
      </w:pPr>
    </w:p>
    <w:p>
      <w:pPr>
        <w:ind w:left="1440" w:hanging="712"/>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Adjustments Upon Changes in Capitalization, Dissolution, Corporate Transaction, or Change in Control.</w:t>
      </w:r>
    </w:p>
    <w:p>
      <w:pPr>
        <w:spacing w:after="0" w:line="225" w:lineRule="exact"/>
        <w:rPr>
          <w:rFonts w:ascii="Arial" w:cs="Arial" w:eastAsia="Arial" w:hAnsi="Arial"/>
          <w:sz w:val="18"/>
          <w:szCs w:val="18"/>
          <w:color w:val="auto"/>
        </w:rPr>
      </w:pPr>
    </w:p>
    <w:p>
      <w:pPr>
        <w:jc w:val="both"/>
        <w:ind w:right="220" w:firstLine="1506"/>
        <w:spacing w:after="0" w:line="268" w:lineRule="auto"/>
        <w:tabs>
          <w:tab w:leader="none" w:pos="2217"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xml:space="preserve">. </w:t>
      </w:r>
      <w:r>
        <w:rPr>
          <w:rFonts w:ascii="Arial" w:cs="Arial" w:eastAsia="Arial" w:hAnsi="Arial"/>
          <w:sz w:val="17"/>
          <w:szCs w:val="17"/>
          <w:color w:val="auto"/>
        </w:rPr>
        <w:t>In the event of a corporate transaction involving the Company (including, without limitation, any</w:t>
      </w:r>
      <w:r>
        <w:rPr>
          <w:rFonts w:ascii="Arial" w:cs="Arial" w:eastAsia="Arial" w:hAnsi="Arial"/>
          <w:sz w:val="18"/>
          <w:szCs w:val="18"/>
          <w:color w:val="auto"/>
        </w:rPr>
        <w:t xml:space="preserve"> </w:t>
      </w:r>
      <w:r>
        <w:rPr>
          <w:rFonts w:ascii="Arial" w:cs="Arial" w:eastAsia="Arial" w:hAnsi="Arial"/>
          <w:sz w:val="17"/>
          <w:szCs w:val="17"/>
          <w:color w:val="auto"/>
        </w:rPr>
        <w:t>stock dividend, stock split, 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92" w:lineRule="exact"/>
        <w:rPr>
          <w:sz w:val="20"/>
          <w:szCs w:val="20"/>
          <w:color w:val="auto"/>
        </w:rPr>
      </w:pPr>
    </w:p>
    <w:p>
      <w:pPr>
        <w:ind w:firstLine="1448"/>
        <w:spacing w:after="0" w:line="276" w:lineRule="auto"/>
        <w:tabs>
          <w:tab w:leader="none" w:pos="2145"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To the extent not previously exercised, Options will terminate immediately prior to the consummation of any 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72" w:lineRule="exact"/>
        <w:rPr>
          <w:rFonts w:ascii="Arial" w:cs="Arial" w:eastAsia="Arial" w:hAnsi="Arial"/>
          <w:sz w:val="17"/>
          <w:szCs w:val="17"/>
          <w:color w:val="auto"/>
        </w:rPr>
      </w:pPr>
    </w:p>
    <w:p>
      <w:pPr>
        <w:ind w:right="100" w:firstLine="1448"/>
        <w:spacing w:after="0" w:line="269" w:lineRule="auto"/>
        <w:tabs>
          <w:tab w:leader="none" w:pos="2135"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Corporate Transaction</w:t>
      </w:r>
      <w:r>
        <w:rPr>
          <w:rFonts w:ascii="Arial" w:cs="Arial" w:eastAsia="Arial" w:hAnsi="Arial"/>
          <w:sz w:val="17"/>
          <w:szCs w:val="17"/>
          <w:color w:val="auto"/>
        </w:rPr>
        <w:t>. In the event of a reorganization, merger, consolidation, statutory share exchange or similar form of corporate transaction involving 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82" w:lineRule="exact"/>
        <w:rPr>
          <w:rFonts w:ascii="Arial" w:cs="Arial" w:eastAsia="Arial" w:hAnsi="Arial"/>
          <w:sz w:val="17"/>
          <w:szCs w:val="17"/>
          <w:color w:val="auto"/>
        </w:rPr>
      </w:pPr>
    </w:p>
    <w:p>
      <w:pPr>
        <w:ind w:right="20" w:firstLine="1448"/>
        <w:spacing w:after="0" w:line="264" w:lineRule="auto"/>
        <w:tabs>
          <w:tab w:leader="none" w:pos="214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the unexercised portion of each Option then outstanding shall become wholly vested and immediately exercisable. To the extent that this provision causes Incentive Stock Options to exceed the dollar limitation set forth in Section 6(a), the excess Options shall be deemed to be Nonstatutory Stock Options.</w:t>
      </w:r>
    </w:p>
    <w:p>
      <w:pPr>
        <w:spacing w:after="0" w:line="181" w:lineRule="exact"/>
        <w:rPr>
          <w:rFonts w:ascii="Arial" w:cs="Arial" w:eastAsia="Arial" w:hAnsi="Arial"/>
          <w:sz w:val="18"/>
          <w:szCs w:val="18"/>
          <w:color w:val="auto"/>
        </w:rPr>
      </w:pPr>
    </w:p>
    <w:p>
      <w:pPr>
        <w:ind w:right="140" w:firstLine="728"/>
        <w:spacing w:after="0" w:line="264"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1" w:lineRule="exact"/>
        <w:rPr>
          <w:rFonts w:ascii="Arial" w:cs="Arial" w:eastAsia="Arial" w:hAnsi="Arial"/>
          <w:sz w:val="18"/>
          <w:szCs w:val="18"/>
          <w:color w:val="auto"/>
        </w:rPr>
      </w:pPr>
    </w:p>
    <w:p>
      <w:pPr>
        <w:ind w:left="1440" w:hanging="712"/>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Amendment and Termination of the Plan.</w:t>
      </w:r>
    </w:p>
    <w:p>
      <w:pPr>
        <w:spacing w:after="0" w:line="225" w:lineRule="exact"/>
        <w:rPr>
          <w:rFonts w:ascii="Arial" w:cs="Arial" w:eastAsia="Arial" w:hAnsi="Arial"/>
          <w:sz w:val="18"/>
          <w:szCs w:val="18"/>
          <w:color w:val="auto"/>
        </w:rPr>
      </w:pPr>
    </w:p>
    <w:p>
      <w:pPr>
        <w:ind w:right="40" w:firstLine="1506"/>
        <w:spacing w:after="0" w:line="283" w:lineRule="auto"/>
        <w:tabs>
          <w:tab w:leader="none" w:pos="2217"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xml:space="preserve">. Except as provided herein, the Board may at any time amend, alter, suspend, or terminate the Plan </w:t>
      </w:r>
      <w:r>
        <w:rPr>
          <w:rFonts w:ascii="Arial" w:cs="Arial" w:eastAsia="Arial" w:hAnsi="Arial"/>
          <w:sz w:val="16"/>
          <w:szCs w:val="16"/>
          <w:color w:val="auto"/>
        </w:rPr>
        <w:t>without shareholder approval; provided, however, that the Board may condition any amendment or modification on the approval of shareholders of the</w:t>
      </w:r>
      <w:r>
        <w:rPr>
          <w:rFonts w:ascii="Arial" w:cs="Arial" w:eastAsia="Arial" w:hAnsi="Arial"/>
          <w:sz w:val="17"/>
          <w:szCs w:val="17"/>
          <w:color w:val="auto"/>
        </w:rPr>
        <w:t xml:space="preserve"> </w:t>
      </w:r>
      <w:r>
        <w:rPr>
          <w:rFonts w:ascii="Arial" w:cs="Arial" w:eastAsia="Arial" w:hAnsi="Arial"/>
          <w:sz w:val="16"/>
          <w:szCs w:val="16"/>
          <w:color w:val="auto"/>
        </w:rPr>
        <w:t>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171" w:lineRule="exact"/>
        <w:rPr>
          <w:rFonts w:ascii="Arial" w:cs="Arial" w:eastAsia="Arial" w:hAnsi="Arial"/>
          <w:sz w:val="17"/>
          <w:szCs w:val="17"/>
          <w:color w:val="auto"/>
        </w:rPr>
      </w:pPr>
    </w:p>
    <w:p>
      <w:pPr>
        <w:ind w:left="2400" w:hanging="447"/>
        <w:spacing w:after="0"/>
        <w:tabs>
          <w:tab w:leader="none" w:pos="2400"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3"/>
          <w:numId w:val="45"/>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ectPr>
          <w:pgSz w:w="11900" w:h="16838" w:orient="portrait"/>
          <w:cols w:equalWidth="0" w:num="1">
            <w:col w:w="11420"/>
          </w:cols>
          <w:pgMar w:left="240" w:top="125" w:right="239" w:bottom="181"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60" w:hanging="467"/>
        <w:spacing w:after="0"/>
        <w:tabs>
          <w:tab w:leader="none" w:pos="23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5" w:lineRule="exact"/>
        <w:rPr>
          <w:rFonts w:ascii="Arial" w:cs="Arial" w:eastAsia="Arial" w:hAnsi="Arial"/>
          <w:sz w:val="18"/>
          <w:szCs w:val="18"/>
          <w:color w:val="auto"/>
        </w:rPr>
      </w:pPr>
    </w:p>
    <w:p>
      <w:pPr>
        <w:ind w:left="-60" w:right="80" w:firstLine="1448"/>
        <w:spacing w:after="0" w:line="264" w:lineRule="auto"/>
        <w:tabs>
          <w:tab w:leader="none" w:pos="208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1" w:lineRule="exact"/>
        <w:rPr>
          <w:rFonts w:ascii="Arial" w:cs="Arial" w:eastAsia="Arial" w:hAnsi="Arial"/>
          <w:sz w:val="18"/>
          <w:szCs w:val="18"/>
          <w:color w:val="auto"/>
        </w:rPr>
      </w:pPr>
    </w:p>
    <w:p>
      <w:pPr>
        <w:ind w:left="1380" w:hanging="712"/>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Conditions Upon Issuance of Shares.</w:t>
      </w:r>
    </w:p>
    <w:p>
      <w:pPr>
        <w:spacing w:after="0" w:line="225" w:lineRule="exact"/>
        <w:rPr>
          <w:rFonts w:ascii="Arial" w:cs="Arial" w:eastAsia="Arial" w:hAnsi="Arial"/>
          <w:sz w:val="18"/>
          <w:szCs w:val="18"/>
          <w:color w:val="auto"/>
        </w:rPr>
      </w:pPr>
    </w:p>
    <w:p>
      <w:pPr>
        <w:jc w:val="both"/>
        <w:ind w:left="-60" w:right="20" w:firstLine="1448"/>
        <w:spacing w:after="0" w:line="302" w:lineRule="auto"/>
        <w:tabs>
          <w:tab w:leader="none" w:pos="207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4" w:lineRule="exact"/>
        <w:rPr>
          <w:rFonts w:ascii="Arial" w:cs="Arial" w:eastAsia="Arial" w:hAnsi="Arial"/>
          <w:sz w:val="16"/>
          <w:szCs w:val="16"/>
          <w:color w:val="auto"/>
        </w:rPr>
      </w:pPr>
    </w:p>
    <w:p>
      <w:pPr>
        <w:jc w:val="both"/>
        <w:ind w:left="-60" w:right="60" w:firstLine="1448"/>
        <w:spacing w:after="0" w:line="264" w:lineRule="auto"/>
        <w:tabs>
          <w:tab w:leader="none" w:pos="208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1" w:lineRule="exact"/>
        <w:rPr>
          <w:rFonts w:ascii="Arial" w:cs="Arial" w:eastAsia="Arial" w:hAnsi="Arial"/>
          <w:sz w:val="18"/>
          <w:szCs w:val="18"/>
          <w:color w:val="auto"/>
        </w:rPr>
      </w:pPr>
    </w:p>
    <w:p>
      <w:pPr>
        <w:ind w:left="1380" w:hanging="712"/>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Liability of Company.</w:t>
      </w:r>
    </w:p>
    <w:p>
      <w:pPr>
        <w:spacing w:after="0" w:line="225" w:lineRule="exact"/>
        <w:rPr>
          <w:rFonts w:ascii="Arial" w:cs="Arial" w:eastAsia="Arial" w:hAnsi="Arial"/>
          <w:sz w:val="18"/>
          <w:szCs w:val="18"/>
          <w:color w:val="auto"/>
        </w:rPr>
      </w:pPr>
    </w:p>
    <w:p>
      <w:pPr>
        <w:jc w:val="both"/>
        <w:ind w:left="-60" w:right="160" w:firstLine="1448"/>
        <w:spacing w:after="0" w:line="286" w:lineRule="auto"/>
        <w:tabs>
          <w:tab w:leader="none" w:pos="2075"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5" w:lineRule="exact"/>
        <w:rPr>
          <w:rFonts w:ascii="Arial" w:cs="Arial" w:eastAsia="Arial" w:hAnsi="Arial"/>
          <w:sz w:val="17"/>
          <w:szCs w:val="17"/>
          <w:color w:val="auto"/>
        </w:rPr>
      </w:pPr>
    </w:p>
    <w:p>
      <w:pPr>
        <w:ind w:left="-60" w:right="100" w:firstLine="1448"/>
        <w:spacing w:after="0" w:line="259" w:lineRule="auto"/>
        <w:tabs>
          <w:tab w:leader="none" w:pos="208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Grants Exceeding Allotted Shares</w:t>
      </w:r>
      <w:r>
        <w:rPr>
          <w:rFonts w:ascii="Arial" w:cs="Arial" w:eastAsia="Arial" w:hAnsi="Arial"/>
          <w:sz w:val="18"/>
          <w:szCs w:val="18"/>
          <w:color w:val="auto"/>
        </w:rPr>
        <w:t>.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86" w:lineRule="exact"/>
        <w:rPr>
          <w:rFonts w:ascii="Arial" w:cs="Arial" w:eastAsia="Arial" w:hAnsi="Arial"/>
          <w:sz w:val="18"/>
          <w:szCs w:val="18"/>
          <w:color w:val="auto"/>
        </w:rPr>
      </w:pPr>
    </w:p>
    <w:p>
      <w:pPr>
        <w:ind w:left="-60" w:right="80" w:firstLine="728"/>
        <w:spacing w:after="0" w:line="277" w:lineRule="auto"/>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left="-60" w:right="260" w:firstLine="728"/>
        <w:spacing w:after="0" w:line="264" w:lineRule="auto"/>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81" w:lineRule="exact"/>
        <w:rPr>
          <w:rFonts w:ascii="Arial" w:cs="Arial" w:eastAsia="Arial" w:hAnsi="Arial"/>
          <w:sz w:val="18"/>
          <w:szCs w:val="18"/>
          <w:color w:val="auto"/>
        </w:rPr>
      </w:pPr>
    </w:p>
    <w:p>
      <w:pPr>
        <w:ind w:left="-60" w:firstLine="728"/>
        <w:spacing w:after="0" w:line="277" w:lineRule="auto"/>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EMPLOYMENT INDUCEMENT STOCK OPTION PLAN</w:t>
      </w:r>
    </w:p>
    <w:p>
      <w:pPr>
        <w:spacing w:after="0" w:line="200" w:lineRule="exact"/>
        <w:rPr>
          <w:sz w:val="20"/>
          <w:szCs w:val="20"/>
          <w:color w:val="auto"/>
        </w:rPr>
      </w:pPr>
    </w:p>
    <w:p>
      <w:pPr>
        <w:spacing w:after="0" w:line="227" w:lineRule="exact"/>
        <w:rPr>
          <w:sz w:val="20"/>
          <w:szCs w:val="20"/>
          <w:color w:val="auto"/>
        </w:rPr>
      </w:pPr>
    </w:p>
    <w:p>
      <w:pPr>
        <w:ind w:right="100" w:firstLine="728"/>
        <w:spacing w:after="0" w:line="264" w:lineRule="auto"/>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Employment Inducement Stock Option Plan are to attract and retain the best available personnel for new employment positions with the Company or its Subsidiaries and thereby promote the success of the Company’s business. Options granted under the Plan shall be Nonstatutory Stock Options.</w:t>
      </w:r>
    </w:p>
    <w:p>
      <w:pPr>
        <w:spacing w:after="0" w:line="181" w:lineRule="exact"/>
        <w:rPr>
          <w:rFonts w:ascii="Arial" w:cs="Arial" w:eastAsia="Arial" w:hAnsi="Arial"/>
          <w:sz w:val="18"/>
          <w:szCs w:val="18"/>
          <w:color w:val="auto"/>
        </w:rPr>
      </w:pPr>
    </w:p>
    <w:p>
      <w:pPr>
        <w:ind w:left="1440" w:hanging="712"/>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280" w:firstLine="1305"/>
        <w:spacing w:after="0" w:line="277" w:lineRule="auto"/>
        <w:tabs>
          <w:tab w:leader="none" w:pos="20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180" w:firstLine="1305"/>
        <w:spacing w:after="0" w:line="277" w:lineRule="auto"/>
        <w:tabs>
          <w:tab w:leader="none" w:pos="20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any Subsidiary to render services.</w:t>
      </w:r>
    </w:p>
    <w:p>
      <w:pPr>
        <w:spacing w:after="0" w:line="225" w:lineRule="exact"/>
        <w:rPr>
          <w:rFonts w:ascii="Arial" w:cs="Arial" w:eastAsia="Arial" w:hAnsi="Arial"/>
          <w:sz w:val="18"/>
          <w:szCs w:val="18"/>
          <w:color w:val="auto"/>
        </w:rPr>
      </w:pPr>
    </w:p>
    <w:p>
      <w:pPr>
        <w:ind w:right="20" w:firstLine="1305"/>
        <w:spacing w:after="0" w:line="273" w:lineRule="auto"/>
        <w:tabs>
          <w:tab w:leader="none" w:pos="2006" w:val="left"/>
        </w:tabs>
        <w:numPr>
          <w:ilvl w:val="1"/>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Status as an Employee or Consultant</w:t>
      </w:r>
      <w:r>
        <w:rPr>
          <w:rFonts w:ascii="Arial" w:cs="Arial" w:eastAsia="Arial" w:hAnsi="Arial"/>
          <w:sz w:val="17"/>
          <w:szCs w:val="17"/>
          <w:color w:val="auto"/>
        </w:rPr>
        <w:t>” means that the employment or consulting relationship with the Company or any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any Subsidiary, or any successor, or (iii) the transition from an Employee to a Consultant provided that the person becomes a Consultant immediately after his or her employment is terminated, or (iv) in the discretion of the Administrator as specified at or prior to such occurrence, in the case of a spin-off, sale, or disposition of the Optionee’s employer from the Company or any Parent or Subsidiary.</w:t>
      </w:r>
    </w:p>
    <w:p>
      <w:pPr>
        <w:spacing w:after="0" w:line="178" w:lineRule="exact"/>
        <w:rPr>
          <w:rFonts w:ascii="Arial" w:cs="Arial" w:eastAsia="Arial" w:hAnsi="Arial"/>
          <w:sz w:val="17"/>
          <w:szCs w:val="17"/>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right="180" w:firstLine="1305"/>
        <w:spacing w:after="0" w:line="264" w:lineRule="auto"/>
        <w:tabs>
          <w:tab w:leader="none" w:pos="20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Director, who is a common law employee of the Company or any Subsidiary of the Company. Neither service as a Director nor payment of a Director’s fee by the Company shall be sufficient to constitute “employment” by the Company.</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2000" w:hanging="695"/>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right="20" w:firstLine="2168"/>
        <w:spacing w:after="0" w:line="279" w:lineRule="auto"/>
        <w:tabs>
          <w:tab w:leader="none" w:pos="2870" w:val="left"/>
        </w:tabs>
        <w:numPr>
          <w:ilvl w:val="2"/>
          <w:numId w:val="49"/>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on the day of determination, as reported by </w:t>
      </w:r>
      <w:r>
        <w:rPr>
          <w:rFonts w:ascii="Arial" w:cs="Arial" w:eastAsia="Arial" w:hAnsi="Arial"/>
          <w:sz w:val="17"/>
          <w:szCs w:val="17"/>
          <w:i w:val="1"/>
          <w:iCs w:val="1"/>
          <w:color w:val="auto"/>
        </w:rPr>
        <w:t>Bloomberg L.L.P.</w:t>
      </w:r>
      <w:r>
        <w:rPr>
          <w:rFonts w:ascii="Arial" w:cs="Arial" w:eastAsia="Arial" w:hAnsi="Arial"/>
          <w:sz w:val="17"/>
          <w:szCs w:val="17"/>
          <w:color w:val="auto"/>
        </w:rPr>
        <w:t xml:space="preserve"> or such other source as the Administrator deems reliable;</w:t>
      </w:r>
    </w:p>
    <w:p>
      <w:pPr>
        <w:spacing w:after="0" w:line="171" w:lineRule="exact"/>
        <w:rPr>
          <w:rFonts w:ascii="Arial" w:cs="Arial" w:eastAsia="Arial" w:hAnsi="Arial"/>
          <w:sz w:val="17"/>
          <w:szCs w:val="17"/>
          <w:color w:val="auto"/>
        </w:rPr>
      </w:pPr>
    </w:p>
    <w:p>
      <w:pPr>
        <w:ind w:right="20" w:firstLine="2168"/>
        <w:spacing w:after="0" w:line="286" w:lineRule="auto"/>
        <w:tabs>
          <w:tab w:leader="none" w:pos="2875" w:val="left"/>
        </w:tabs>
        <w:numPr>
          <w:ilvl w:val="2"/>
          <w:numId w:val="49"/>
        </w:numPr>
        <w:rPr>
          <w:rFonts w:ascii="Arial" w:cs="Arial" w:eastAsia="Arial" w:hAnsi="Arial"/>
          <w:sz w:val="17"/>
          <w:szCs w:val="17"/>
          <w:color w:val="auto"/>
        </w:rPr>
      </w:pPr>
      <w:r>
        <w:rPr>
          <w:rFonts w:ascii="Arial" w:cs="Arial" w:eastAsia="Arial" w:hAnsi="Arial"/>
          <w:sz w:val="17"/>
          <w:szCs w:val="17"/>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day of determination, as reported by </w:t>
      </w:r>
      <w:r>
        <w:rPr>
          <w:rFonts w:ascii="Arial" w:cs="Arial" w:eastAsia="Arial" w:hAnsi="Arial"/>
          <w:sz w:val="17"/>
          <w:szCs w:val="17"/>
          <w:i w:val="1"/>
          <w:iCs w:val="1"/>
          <w:color w:val="auto"/>
        </w:rPr>
        <w:t>Bloomberg L.L.P.</w:t>
      </w:r>
      <w:r>
        <w:rPr>
          <w:rFonts w:ascii="Arial" w:cs="Arial" w:eastAsia="Arial" w:hAnsi="Arial"/>
          <w:sz w:val="17"/>
          <w:szCs w:val="17"/>
          <w:color w:val="auto"/>
        </w:rPr>
        <w:t xml:space="preserve"> or such other source as the Administrator deems reliable;</w:t>
      </w:r>
    </w:p>
    <w:p>
      <w:pPr>
        <w:spacing w:after="0" w:line="165" w:lineRule="exact"/>
        <w:rPr>
          <w:rFonts w:ascii="Arial" w:cs="Arial" w:eastAsia="Arial" w:hAnsi="Arial"/>
          <w:sz w:val="17"/>
          <w:szCs w:val="17"/>
          <w:color w:val="auto"/>
        </w:rPr>
      </w:pPr>
    </w:p>
    <w:p>
      <w:pPr>
        <w:ind w:left="2880" w:hanging="712"/>
        <w:spacing w:after="0"/>
        <w:tabs>
          <w:tab w:leader="none" w:pos="2880" w:val="left"/>
        </w:tabs>
        <w:numPr>
          <w:ilvl w:val="2"/>
          <w:numId w:val="49"/>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 by the Administrator.</w:t>
      </w:r>
    </w:p>
    <w:p>
      <w:pPr>
        <w:spacing w:after="0" w:line="210" w:lineRule="exact"/>
        <w:rPr>
          <w:rFonts w:ascii="Arial" w:cs="Arial" w:eastAsia="Arial" w:hAnsi="Arial"/>
          <w:sz w:val="16"/>
          <w:szCs w:val="16"/>
          <w:color w:val="auto"/>
        </w:rPr>
      </w:pPr>
    </w:p>
    <w:p>
      <w:pPr>
        <w:ind w:right="200" w:firstLine="1305"/>
        <w:spacing w:after="0" w:line="277" w:lineRule="auto"/>
        <w:tabs>
          <w:tab w:leader="none" w:pos="20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does not qualify as an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right="60" w:firstLine="1305"/>
        <w:spacing w:after="0" w:line="277" w:lineRule="auto"/>
        <w:tabs>
          <w:tab w:leader="none" w:pos="20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-3108325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99" w:gutter="0" w:footer="0" w:header="0"/>
        </w:sectPr>
      </w:pPr>
    </w:p>
    <w:bookmarkStart w:id="16" w:name="page17"/>
    <w:bookmarkEnd w:id="16"/>
    <w:p>
      <w:pPr>
        <w:ind w:right="260" w:firstLine="1305"/>
        <w:spacing w:after="0" w:line="277" w:lineRule="auto"/>
        <w:tabs>
          <w:tab w:leader="none" w:pos="20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right="100" w:firstLine="1305"/>
        <w:spacing w:after="0" w:line="277" w:lineRule="auto"/>
        <w:tabs>
          <w:tab w:leader="none" w:pos="20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who holds an outstanding Option granted under the Plan.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2080" w:hanging="775"/>
        <w:spacing w:after="0"/>
        <w:tabs>
          <w:tab w:leader="none" w:pos="2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2002 Employment Inducement Stock Option Plan.</w:t>
      </w:r>
    </w:p>
    <w:p>
      <w:pPr>
        <w:spacing w:after="0" w:line="225" w:lineRule="exact"/>
        <w:rPr>
          <w:rFonts w:ascii="Arial" w:cs="Arial" w:eastAsia="Arial" w:hAnsi="Arial"/>
          <w:sz w:val="18"/>
          <w:szCs w:val="18"/>
          <w:color w:val="auto"/>
        </w:rPr>
      </w:pPr>
    </w:p>
    <w:p>
      <w:pPr>
        <w:ind w:right="300" w:firstLine="1305"/>
        <w:spacing w:after="0" w:line="277" w:lineRule="auto"/>
        <w:tabs>
          <w:tab w:leader="none" w:pos="20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0" w:lineRule="exact"/>
        <w:rPr>
          <w:rFonts w:ascii="Arial" w:cs="Arial" w:eastAsia="Arial" w:hAnsi="Arial"/>
          <w:sz w:val="18"/>
          <w:szCs w:val="18"/>
          <w:color w:val="auto"/>
        </w:rPr>
      </w:pPr>
    </w:p>
    <w:p>
      <w:pPr>
        <w:ind w:left="2080" w:hanging="775"/>
        <w:spacing w:after="0"/>
        <w:tabs>
          <w:tab w:leader="none" w:pos="2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25" w:lineRule="exact"/>
        <w:rPr>
          <w:sz w:val="20"/>
          <w:szCs w:val="20"/>
          <w:color w:val="auto"/>
        </w:rPr>
      </w:pPr>
    </w:p>
    <w:p>
      <w:pPr>
        <w:ind w:right="200" w:firstLine="1305"/>
        <w:spacing w:after="0" w:line="308" w:lineRule="auto"/>
        <w:tabs>
          <w:tab w:leader="none" w:pos="20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 and shall also include any other entity in which the Company, or any Subsidiary of the Company has a significant ownership interest.</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firstLine="656"/>
        <w:spacing w:after="0" w:line="308" w:lineRule="auto"/>
        <w:tabs>
          <w:tab w:leader="none" w:pos="136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12 of the Plan, the maximum aggregate number of Shares which may be optioned and sold under the Plan is 1,000,000 Shares. The Shares may be authorized, but unissued, or reacquired Common Stock.</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Shares that have actually been issued under the Plan shall not be returned to the Plan and shall not become available for future distribution under the Plan.</w:t>
      </w:r>
    </w:p>
    <w:p>
      <w:pPr>
        <w:spacing w:after="0" w:line="166" w:lineRule="exact"/>
        <w:rPr>
          <w:sz w:val="20"/>
          <w:szCs w:val="20"/>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53" w:lineRule="auto"/>
        <w:tabs>
          <w:tab w:leader="none" w:pos="134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Plan shall be administered by a Committee appointed by the Board (which Committee shall consist of two or more Directors) or, at the discretion of the Board from time to time, the Plan may be administered by the Board. It is intended that the Directors appointed to serve on the Committee shall be “non-employee directors” (within the meaning of Rule 16b-3). However, the mere fact that a Committee member shall fail to so qualify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97" w:lineRule="exact"/>
        <w:rPr>
          <w:rFonts w:ascii="Arial" w:cs="Arial" w:eastAsia="Arial" w:hAnsi="Arial"/>
          <w:sz w:val="18"/>
          <w:szCs w:val="18"/>
          <w:color w:val="auto"/>
        </w:rPr>
      </w:pPr>
    </w:p>
    <w:p>
      <w:pPr>
        <w:ind w:right="100" w:firstLine="1305"/>
        <w:spacing w:after="0" w:line="277" w:lineRule="auto"/>
        <w:tabs>
          <w:tab w:leader="none" w:pos="200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5" w:lineRule="exact"/>
        <w:rPr>
          <w:rFonts w:ascii="Arial" w:cs="Arial" w:eastAsia="Arial" w:hAnsi="Arial"/>
          <w:sz w:val="18"/>
          <w:szCs w:val="18"/>
          <w:color w:val="auto"/>
        </w:rPr>
      </w:pPr>
    </w:p>
    <w:p>
      <w:pPr>
        <w:ind w:right="180" w:firstLine="1953"/>
        <w:spacing w:after="0" w:line="277" w:lineRule="auto"/>
        <w:tabs>
          <w:tab w:leader="none" w:pos="26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select the Employees to whom Options may be granted hereunder; provided, however, that Options may be granted hereunder only to a person as an inducement for him or her to accept employment with the Company or any Subsidiary;</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5" w:lineRule="exact"/>
        <w:rPr>
          <w:rFonts w:ascii="Arial" w:cs="Arial" w:eastAsia="Arial" w:hAnsi="Arial"/>
          <w:sz w:val="18"/>
          <w:szCs w:val="18"/>
          <w:color w:val="auto"/>
        </w:rPr>
      </w:pPr>
    </w:p>
    <w:p>
      <w:pPr>
        <w:ind w:right="20" w:firstLine="1953"/>
        <w:spacing w:after="0" w:line="279" w:lineRule="auto"/>
        <w:tabs>
          <w:tab w:leader="none" w:pos="2655" w:val="left"/>
        </w:tabs>
        <w:numPr>
          <w:ilvl w:val="2"/>
          <w:numId w:val="54"/>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1" w:lineRule="exact"/>
        <w:rPr>
          <w:rFonts w:ascii="Arial" w:cs="Arial" w:eastAsia="Arial" w:hAnsi="Arial"/>
          <w:sz w:val="17"/>
          <w:szCs w:val="17"/>
          <w:color w:val="auto"/>
        </w:rPr>
      </w:pPr>
    </w:p>
    <w:p>
      <w:pPr>
        <w:ind w:left="2660" w:hanging="707"/>
        <w:spacing w:after="0"/>
        <w:tabs>
          <w:tab w:leader="none" w:pos="26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613" w:gutter="0" w:footer="0" w:header="0"/>
        </w:sectPr>
      </w:pPr>
    </w:p>
    <w:bookmarkStart w:id="17" w:name="page18"/>
    <w:bookmarkEnd w:id="17"/>
    <w:p>
      <w:pPr>
        <w:ind w:left="-20" w:firstLine="1953"/>
        <w:spacing w:after="0" w:line="277" w:lineRule="auto"/>
        <w:tabs>
          <w:tab w:leader="none" w:pos="2645"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left="2680" w:hanging="747"/>
        <w:spacing w:after="0"/>
        <w:tabs>
          <w:tab w:leader="none" w:pos="26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 of the Plan);</w:t>
      </w:r>
    </w:p>
    <w:p>
      <w:pPr>
        <w:spacing w:after="0" w:line="225" w:lineRule="exact"/>
        <w:rPr>
          <w:rFonts w:ascii="Arial" w:cs="Arial" w:eastAsia="Arial" w:hAnsi="Arial"/>
          <w:sz w:val="18"/>
          <w:szCs w:val="18"/>
          <w:color w:val="auto"/>
        </w:rPr>
      </w:pPr>
    </w:p>
    <w:p>
      <w:pPr>
        <w:ind w:left="-20" w:right="280" w:firstLine="1953"/>
        <w:spacing w:after="0" w:line="277" w:lineRule="auto"/>
        <w:tabs>
          <w:tab w:leader="none" w:pos="2675"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 and</w:t>
      </w:r>
    </w:p>
    <w:p>
      <w:pPr>
        <w:spacing w:after="0" w:line="170" w:lineRule="exact"/>
        <w:rPr>
          <w:rFonts w:ascii="Arial" w:cs="Arial" w:eastAsia="Arial" w:hAnsi="Arial"/>
          <w:sz w:val="18"/>
          <w:szCs w:val="18"/>
          <w:color w:val="auto"/>
        </w:rPr>
      </w:pPr>
    </w:p>
    <w:p>
      <w:pPr>
        <w:ind w:left="2680" w:hanging="747"/>
        <w:spacing w:after="0"/>
        <w:tabs>
          <w:tab w:leader="none" w:pos="26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5" w:lineRule="exact"/>
        <w:rPr>
          <w:rFonts w:ascii="Arial" w:cs="Arial" w:eastAsia="Arial" w:hAnsi="Arial"/>
          <w:sz w:val="18"/>
          <w:szCs w:val="18"/>
          <w:color w:val="auto"/>
        </w:rPr>
      </w:pPr>
    </w:p>
    <w:p>
      <w:pPr>
        <w:ind w:left="-20" w:right="60" w:firstLine="1953"/>
        <w:spacing w:after="0" w:line="257" w:lineRule="auto"/>
        <w:tabs>
          <w:tab w:leader="none" w:pos="2685"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minimum amount (and not any greater amount) required by law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88" w:lineRule="exact"/>
        <w:rPr>
          <w:rFonts w:ascii="Arial" w:cs="Arial" w:eastAsia="Arial" w:hAnsi="Arial"/>
          <w:sz w:val="18"/>
          <w:szCs w:val="18"/>
          <w:color w:val="auto"/>
        </w:rPr>
      </w:pPr>
    </w:p>
    <w:p>
      <w:pPr>
        <w:ind w:left="-20" w:right="160" w:firstLine="1305"/>
        <w:spacing w:after="0" w:line="277" w:lineRule="auto"/>
        <w:tabs>
          <w:tab w:leader="none" w:pos="197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ind w:left="-20" w:right="140" w:firstLine="656"/>
        <w:spacing w:after="0" w:line="264" w:lineRule="auto"/>
        <w:tabs>
          <w:tab w:leader="none" w:pos="134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hereunder only to a person who is being hired as an Employee of the Company or any Subsidiary as an inducement to such employment. A person who has been granted an Option under this Plan may not be granted additional Options under this Plan, but may be granted options or other awards under other plans of the Company.</w:t>
      </w:r>
    </w:p>
    <w:p>
      <w:pPr>
        <w:spacing w:after="0" w:line="181" w:lineRule="exact"/>
        <w:rPr>
          <w:rFonts w:ascii="Arial" w:cs="Arial" w:eastAsia="Arial" w:hAnsi="Arial"/>
          <w:sz w:val="18"/>
          <w:szCs w:val="18"/>
          <w:color w:val="auto"/>
        </w:rPr>
      </w:pPr>
    </w:p>
    <w:p>
      <w:pPr>
        <w:ind w:left="1360" w:hanging="72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240" w:firstLine="1305"/>
        <w:spacing w:after="0" w:line="264" w:lineRule="auto"/>
        <w:tabs>
          <w:tab w:leader="none" w:pos="1971" w:val="left"/>
        </w:tabs>
        <w:numPr>
          <w:ilvl w:val="1"/>
          <w:numId w:val="57"/>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with the Company, nor shall they interfere in any way with the Optionee’s right or the Company’s right to terminate such employment at any time, with or without cause.</w:t>
      </w:r>
    </w:p>
    <w:p>
      <w:pPr>
        <w:spacing w:after="0" w:line="181" w:lineRule="exact"/>
        <w:rPr>
          <w:rFonts w:ascii="Arial" w:cs="Arial" w:eastAsia="Arial" w:hAnsi="Arial"/>
          <w:sz w:val="18"/>
          <w:szCs w:val="18"/>
          <w:color w:val="auto"/>
        </w:rPr>
      </w:pPr>
    </w:p>
    <w:p>
      <w:pPr>
        <w:ind w:left="1980" w:hanging="695"/>
        <w:spacing w:after="0"/>
        <w:tabs>
          <w:tab w:leader="none" w:pos="1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hereunder:</w:t>
      </w:r>
    </w:p>
    <w:p>
      <w:pPr>
        <w:spacing w:after="0" w:line="225" w:lineRule="exact"/>
        <w:rPr>
          <w:rFonts w:ascii="Arial" w:cs="Arial" w:eastAsia="Arial" w:hAnsi="Arial"/>
          <w:sz w:val="18"/>
          <w:szCs w:val="18"/>
          <w:color w:val="auto"/>
        </w:rPr>
      </w:pPr>
    </w:p>
    <w:p>
      <w:pPr>
        <w:ind w:left="2640" w:hanging="707"/>
        <w:spacing w:after="0"/>
        <w:tabs>
          <w:tab w:leader="none" w:pos="26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No Employee shall be granted under the Plan Options to purchase more than 500,000 Shares.</w:t>
      </w:r>
    </w:p>
    <w:p>
      <w:pPr>
        <w:spacing w:after="0" w:line="225" w:lineRule="exact"/>
        <w:rPr>
          <w:rFonts w:ascii="Arial" w:cs="Arial" w:eastAsia="Arial" w:hAnsi="Arial"/>
          <w:sz w:val="18"/>
          <w:szCs w:val="18"/>
          <w:color w:val="auto"/>
        </w:rPr>
      </w:pPr>
    </w:p>
    <w:p>
      <w:pPr>
        <w:ind w:left="-20" w:right="940" w:firstLine="1953"/>
        <w:spacing w:after="0" w:line="277" w:lineRule="auto"/>
        <w:tabs>
          <w:tab w:leader="none" w:pos="26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foregoing limitations shall be adjusted proportionately in connection with any change in the Company’s capitalization as described in Section 12.</w:t>
      </w:r>
    </w:p>
    <w:p>
      <w:pPr>
        <w:spacing w:after="0" w:line="386" w:lineRule="exact"/>
        <w:rPr>
          <w:rFonts w:ascii="Arial" w:cs="Arial" w:eastAsia="Arial" w:hAnsi="Arial"/>
          <w:sz w:val="18"/>
          <w:szCs w:val="18"/>
          <w:color w:val="auto"/>
        </w:rPr>
      </w:pPr>
    </w:p>
    <w:p>
      <w:pPr>
        <w:ind w:left="1360" w:hanging="72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upon its adoption by the Board.</w:t>
      </w:r>
    </w:p>
    <w:p>
      <w:pPr>
        <w:spacing w:after="0" w:line="225" w:lineRule="exact"/>
        <w:rPr>
          <w:rFonts w:ascii="Arial" w:cs="Arial" w:eastAsia="Arial" w:hAnsi="Arial"/>
          <w:sz w:val="18"/>
          <w:szCs w:val="18"/>
          <w:color w:val="auto"/>
        </w:rPr>
      </w:pPr>
    </w:p>
    <w:p>
      <w:pPr>
        <w:ind w:left="1360" w:hanging="72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 but shall not exceed ten (10) years.</w:t>
      </w:r>
    </w:p>
    <w:p>
      <w:pPr>
        <w:spacing w:after="0" w:line="225" w:lineRule="exact"/>
        <w:rPr>
          <w:rFonts w:ascii="Arial" w:cs="Arial" w:eastAsia="Arial" w:hAnsi="Arial"/>
          <w:sz w:val="18"/>
          <w:szCs w:val="18"/>
          <w:color w:val="auto"/>
        </w:rPr>
      </w:pPr>
    </w:p>
    <w:p>
      <w:pPr>
        <w:ind w:left="1380" w:hanging="744"/>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1305"/>
        <w:spacing w:after="0" w:line="277" w:lineRule="auto"/>
        <w:tabs>
          <w:tab w:leader="none" w:pos="197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0" w:right="160" w:firstLine="1305"/>
        <w:spacing w:after="0" w:line="264" w:lineRule="auto"/>
        <w:tabs>
          <w:tab w:leader="none" w:pos="200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1" w:lineRule="exact"/>
        <w:rPr>
          <w:rFonts w:ascii="Arial" w:cs="Arial" w:eastAsia="Arial" w:hAnsi="Arial"/>
          <w:sz w:val="18"/>
          <w:szCs w:val="18"/>
          <w:color w:val="auto"/>
        </w:rPr>
      </w:pPr>
    </w:p>
    <w:p>
      <w:pPr>
        <w:ind w:left="-20" w:right="240" w:firstLine="1305"/>
        <w:spacing w:after="0" w:line="342" w:lineRule="auto"/>
        <w:tabs>
          <w:tab w:leader="none" w:pos="199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shall determine the acceptable form of consideration for exercising an Option, including the method of payment. The Administrator shall determine the acceptable form of consideration. Such consideration may consist entirely of:</w:t>
      </w:r>
    </w:p>
    <w:p>
      <w:pPr>
        <w:spacing w:after="0" w:line="129" w:lineRule="exact"/>
        <w:rPr>
          <w:rFonts w:ascii="Arial" w:cs="Arial" w:eastAsia="Arial" w:hAnsi="Arial"/>
          <w:sz w:val="16"/>
          <w:szCs w:val="16"/>
          <w:color w:val="auto"/>
        </w:rPr>
      </w:pPr>
    </w:p>
    <w:p>
      <w:pPr>
        <w:ind w:left="2660" w:hanging="727"/>
        <w:spacing w:after="0"/>
        <w:tabs>
          <w:tab w:leader="none" w:pos="2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cash;</w:t>
      </w:r>
    </w:p>
    <w:p>
      <w:pPr>
        <w:spacing w:after="0" w:line="219" w:lineRule="exact"/>
        <w:rPr>
          <w:rFonts w:ascii="Arial" w:cs="Arial" w:eastAsia="Arial" w:hAnsi="Arial"/>
          <w:sz w:val="18"/>
          <w:szCs w:val="18"/>
          <w:color w:val="auto"/>
        </w:rPr>
      </w:pPr>
    </w:p>
    <w:p>
      <w:pPr>
        <w:ind w:left="2640" w:hanging="707"/>
        <w:spacing w:after="0"/>
        <w:tabs>
          <w:tab w:leader="none" w:pos="2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2660" w:hanging="727"/>
        <w:spacing w:after="0"/>
        <w:tabs>
          <w:tab w:leader="none" w:pos="2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5" w:lineRule="exact"/>
        <w:rPr>
          <w:rFonts w:ascii="Arial" w:cs="Arial" w:eastAsia="Arial" w:hAnsi="Arial"/>
          <w:sz w:val="18"/>
          <w:szCs w:val="18"/>
          <w:color w:val="auto"/>
        </w:rPr>
      </w:pPr>
    </w:p>
    <w:p>
      <w:pPr>
        <w:ind w:left="-20" w:right="100" w:firstLine="1953"/>
        <w:spacing w:after="0" w:line="308" w:lineRule="auto"/>
        <w:tabs>
          <w:tab w:leader="none" w:pos="2635" w:val="left"/>
        </w:tabs>
        <w:numPr>
          <w:ilvl w:val="1"/>
          <w:numId w:val="58"/>
        </w:numPr>
        <w:rPr>
          <w:rFonts w:ascii="Arial" w:cs="Arial" w:eastAsia="Arial" w:hAnsi="Arial"/>
          <w:sz w:val="17"/>
          <w:szCs w:val="17"/>
          <w:color w:val="auto"/>
        </w:rPr>
      </w:pPr>
      <w:r>
        <w:rPr>
          <w:rFonts w:ascii="Arial" w:cs="Arial" w:eastAsia="Arial" w:hAnsi="Arial"/>
          <w:sz w:val="17"/>
          <w:szCs w:val="17"/>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46" w:lineRule="exact"/>
        <w:rPr>
          <w:rFonts w:ascii="Arial" w:cs="Arial" w:eastAsia="Arial" w:hAnsi="Arial"/>
          <w:sz w:val="17"/>
          <w:szCs w:val="17"/>
          <w:color w:val="auto"/>
        </w:rPr>
      </w:pPr>
    </w:p>
    <w:p>
      <w:pPr>
        <w:ind w:left="-20" w:right="80" w:firstLine="1953"/>
        <w:spacing w:after="0" w:line="255" w:lineRule="auto"/>
        <w:tabs>
          <w:tab w:leader="none" w:pos="26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ectPr>
          <w:pgSz w:w="11900" w:h="16838" w:orient="portrait"/>
          <w:cols w:equalWidth="0" w:num="1">
            <w:col w:w="11380"/>
          </w:cols>
          <w:pgMar w:left="260" w:top="125" w:right="259" w:bottom="149" w:gutter="0" w:footer="0" w:header="0"/>
        </w:sectPr>
      </w:pPr>
    </w:p>
    <w:bookmarkStart w:id="18" w:name="page19"/>
    <w:bookmarkEnd w:id="18"/>
    <w:p>
      <w:pPr>
        <w:ind w:right="100" w:firstLine="1953"/>
        <w:spacing w:after="0" w:line="277" w:lineRule="auto"/>
        <w:tabs>
          <w:tab w:leader="none" w:pos="2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approved by the Administrator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permitted by Applicable Laws.</w:t>
      </w:r>
    </w:p>
    <w:p>
      <w:pPr>
        <w:spacing w:after="0" w:line="210" w:lineRule="exact"/>
        <w:rPr>
          <w:rFonts w:ascii="Arial" w:cs="Arial" w:eastAsia="Arial" w:hAnsi="Arial"/>
          <w:sz w:val="16"/>
          <w:szCs w:val="16"/>
          <w:color w:val="auto"/>
        </w:rPr>
      </w:pPr>
    </w:p>
    <w:p>
      <w:pPr>
        <w:ind w:left="1380" w:hanging="724"/>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77" w:lineRule="auto"/>
        <w:tabs>
          <w:tab w:leader="none" w:pos="19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hereunder shall be exercisable according to the terms of the Plan and at such times and under such conditions as determined by the Administrator and set forth in the Option Agreement.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5" w:lineRule="exact"/>
        <w:rPr>
          <w:sz w:val="20"/>
          <w:szCs w:val="20"/>
          <w:color w:val="auto"/>
        </w:rPr>
      </w:pPr>
    </w:p>
    <w:p>
      <w:pPr>
        <w:ind w:right="40" w:firstLine="1945"/>
        <w:spacing w:after="0" w:line="254" w:lineRule="auto"/>
        <w:rPr>
          <w:sz w:val="20"/>
          <w:szCs w:val="20"/>
          <w:color w:val="auto"/>
        </w:rPr>
      </w:pPr>
      <w:r>
        <w:rPr>
          <w:rFonts w:ascii="Arial" w:cs="Arial" w:eastAsia="Arial" w:hAnsi="Arial"/>
          <w:sz w:val="18"/>
          <w:szCs w:val="18"/>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firstLine="1945"/>
        <w:spacing w:after="0" w:line="277"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right="180" w:firstLine="1305"/>
        <w:spacing w:after="0" w:line="254" w:lineRule="auto"/>
        <w:tabs>
          <w:tab w:leader="none" w:pos="200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Consulting Relationship</w:t>
      </w:r>
      <w:r>
        <w:rPr>
          <w:rFonts w:ascii="Arial" w:cs="Arial" w:eastAsia="Arial" w:hAnsi="Arial"/>
          <w:sz w:val="18"/>
          <w:szCs w:val="18"/>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2" w:lineRule="exact"/>
        <w:rPr>
          <w:rFonts w:ascii="Arial" w:cs="Arial" w:eastAsia="Arial" w:hAnsi="Arial"/>
          <w:sz w:val="18"/>
          <w:szCs w:val="18"/>
          <w:color w:val="auto"/>
        </w:rPr>
      </w:pPr>
    </w:p>
    <w:p>
      <w:pPr>
        <w:ind w:right="40" w:firstLine="1305"/>
        <w:spacing w:after="0" w:line="255" w:lineRule="auto"/>
        <w:tabs>
          <w:tab w:leader="none" w:pos="199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3" w:lineRule="exact"/>
        <w:rPr>
          <w:rFonts w:ascii="Arial" w:cs="Arial" w:eastAsia="Arial" w:hAnsi="Arial"/>
          <w:sz w:val="18"/>
          <w:szCs w:val="18"/>
          <w:color w:val="auto"/>
        </w:rPr>
      </w:pPr>
    </w:p>
    <w:p>
      <w:pPr>
        <w:ind w:firstLine="1305"/>
        <w:spacing w:after="0" w:line="255" w:lineRule="auto"/>
        <w:tabs>
          <w:tab w:leader="none" w:pos="200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Death of Optionee</w:t>
      </w:r>
      <w:r>
        <w:rPr>
          <w:rFonts w:ascii="Arial" w:cs="Arial" w:eastAsia="Arial" w:hAnsi="Arial"/>
          <w:sz w:val="18"/>
          <w:szCs w:val="18"/>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89" w:lineRule="exact"/>
        <w:rPr>
          <w:rFonts w:ascii="Arial" w:cs="Arial" w:eastAsia="Arial" w:hAnsi="Arial"/>
          <w:sz w:val="18"/>
          <w:szCs w:val="18"/>
          <w:color w:val="auto"/>
        </w:rPr>
      </w:pPr>
    </w:p>
    <w:p>
      <w:pPr>
        <w:ind w:right="100" w:firstLine="1305"/>
        <w:spacing w:after="0" w:line="259" w:lineRule="auto"/>
        <w:tabs>
          <w:tab w:leader="none" w:pos="199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 for the time period, if any, required by the RAM Plan.</w:t>
      </w:r>
    </w:p>
    <w:p>
      <w:pPr>
        <w:spacing w:after="0" w:line="186" w:lineRule="exact"/>
        <w:rPr>
          <w:rFonts w:ascii="Arial" w:cs="Arial" w:eastAsia="Arial" w:hAnsi="Arial"/>
          <w:sz w:val="18"/>
          <w:szCs w:val="18"/>
          <w:color w:val="auto"/>
        </w:rPr>
      </w:pPr>
    </w:p>
    <w:p>
      <w:pPr>
        <w:jc w:val="both"/>
        <w:ind w:right="260" w:firstLine="656"/>
        <w:spacing w:after="0" w:line="259" w:lineRule="auto"/>
        <w:tabs>
          <w:tab w:leader="none" w:pos="13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determined otherwise by the Administrator, an Option may not be sold, pledged, assigned, hypothecated, 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Corporate Transaction,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305" w:lineRule="auto"/>
        <w:tabs>
          <w:tab w:leader="none" w:pos="2016"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xml:space="preserve">. </w:t>
      </w:r>
      <w:r>
        <w:rPr>
          <w:rFonts w:ascii="Arial" w:cs="Arial" w:eastAsia="Arial" w:hAnsi="Arial"/>
          <w:sz w:val="16"/>
          <w:szCs w:val="16"/>
          <w:color w:val="auto"/>
        </w:rPr>
        <w:t>In the event of a corporate transaction involving the Company (including, without limitation, any stock</w:t>
      </w:r>
      <w:r>
        <w:rPr>
          <w:rFonts w:ascii="Arial" w:cs="Arial" w:eastAsia="Arial" w:hAnsi="Arial"/>
          <w:sz w:val="17"/>
          <w:szCs w:val="17"/>
          <w:color w:val="auto"/>
        </w:rPr>
        <w:t xml:space="preserve"> </w:t>
      </w:r>
      <w:r>
        <w:rPr>
          <w:rFonts w:ascii="Arial" w:cs="Arial" w:eastAsia="Arial" w:hAnsi="Arial"/>
          <w:sz w:val="16"/>
          <w:szCs w:val="16"/>
          <w:color w:val="auto"/>
        </w:rPr>
        <w:t>dividend, stock split, extraordinary cash dividend, recapitalization, reorganization, merger, consolidation, split-up, spin-off, combination or exchange of</w:t>
      </w:r>
    </w:p>
    <w:p>
      <w:pPr>
        <w:sectPr>
          <w:pgSz w:w="11900" w:h="16838" w:orient="portrait"/>
          <w:cols w:equalWidth="0" w:num="1">
            <w:col w:w="11420"/>
          </w:cols>
          <w:pgMar w:left="240" w:top="125" w:right="239" w:bottom="192"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92" w:gutter="0" w:footer="0" w:header="0"/>
          <w:type w:val="continuous"/>
        </w:sectPr>
      </w:pPr>
    </w:p>
    <w:bookmarkStart w:id="19" w:name="page20"/>
    <w:bookmarkEnd w:id="19"/>
    <w:p>
      <w:pPr>
        <w:ind w:right="40"/>
        <w:spacing w:after="0" w:line="289" w:lineRule="auto"/>
        <w:rPr>
          <w:sz w:val="20"/>
          <w:szCs w:val="20"/>
          <w:color w:val="auto"/>
        </w:rPr>
      </w:pPr>
      <w:r>
        <w:rPr>
          <w:rFonts w:ascii="Arial" w:cs="Arial" w:eastAsia="Arial" w:hAnsi="Arial"/>
          <w:sz w:val="16"/>
          <w:szCs w:val="16"/>
          <w:color w:val="auto"/>
        </w:rPr>
        <w:t>shares), the authorization limits under Sections 3 and 6(b)(i) of the Plan shall be adjusted proportionately, and the Administrator may adjust Options to preserve the benefits or potential benefits of the Options. Action by the Administrator may include: (i) 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in the event a stock dividend or stock split is declared upon the Shares, the authorization limits under Sections 3 and 6(b)(i) shall be increased proportionately, and the shares of Stock then subject to each Option shall be increased proportionately without any change in the aggregate purchase price therefor.</w:t>
      </w:r>
    </w:p>
    <w:p>
      <w:pPr>
        <w:spacing w:after="0" w:line="167" w:lineRule="exact"/>
        <w:rPr>
          <w:sz w:val="20"/>
          <w:szCs w:val="20"/>
          <w:color w:val="auto"/>
        </w:rPr>
      </w:pPr>
    </w:p>
    <w:p>
      <w:pPr>
        <w:ind w:right="60" w:firstLine="1305"/>
        <w:spacing w:after="0" w:line="259" w:lineRule="auto"/>
        <w:tabs>
          <w:tab w:leader="none" w:pos="202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To the extent not previously exercised, Options will terminate immediately prior to the consummation of any 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86" w:lineRule="exact"/>
        <w:rPr>
          <w:rFonts w:ascii="Arial" w:cs="Arial" w:eastAsia="Arial" w:hAnsi="Arial"/>
          <w:sz w:val="18"/>
          <w:szCs w:val="18"/>
          <w:color w:val="auto"/>
        </w:rPr>
      </w:pPr>
    </w:p>
    <w:p>
      <w:pPr>
        <w:ind w:right="40" w:firstLine="1305"/>
        <w:spacing w:after="0" w:line="273" w:lineRule="auto"/>
        <w:tabs>
          <w:tab w:leader="none" w:pos="2016"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Corporate Transaction</w:t>
      </w:r>
      <w:r>
        <w:rPr>
          <w:rFonts w:ascii="Arial" w:cs="Arial" w:eastAsia="Arial" w:hAnsi="Arial"/>
          <w:sz w:val="17"/>
          <w:szCs w:val="17"/>
          <w:color w:val="auto"/>
        </w:rPr>
        <w:t xml:space="preserve">. In the event of a reorganization, merger, consolidation, statutory share exchange or similar form of corporate transaction involving 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w:t>
      </w:r>
      <w:r>
        <w:rPr>
          <w:rFonts w:ascii="Arial" w:cs="Arial" w:eastAsia="Arial" w:hAnsi="Arial"/>
          <w:sz w:val="16"/>
          <w:szCs w:val="16"/>
          <w:color w:val="auto"/>
        </w:rPr>
        <w:t>in the event of a merger or sale of assets, the Administrator shall notify</w:t>
      </w:r>
      <w:r>
        <w:rPr>
          <w:rFonts w:ascii="Arial" w:cs="Arial" w:eastAsia="Arial" w:hAnsi="Arial"/>
          <w:sz w:val="17"/>
          <w:szCs w:val="17"/>
          <w:color w:val="auto"/>
        </w:rPr>
        <w:t xml:space="preserve"> </w:t>
      </w:r>
      <w:r>
        <w:rPr>
          <w:rFonts w:ascii="Arial" w:cs="Arial" w:eastAsia="Arial" w:hAnsi="Arial"/>
          <w:sz w:val="16"/>
          <w:szCs w:val="16"/>
          <w:color w:val="auto"/>
        </w:rPr>
        <w:t>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w:t>
      </w:r>
    </w:p>
    <w:p>
      <w:pPr>
        <w:spacing w:after="0" w:line="179" w:lineRule="exact"/>
        <w:rPr>
          <w:rFonts w:ascii="Arial" w:cs="Arial" w:eastAsia="Arial" w:hAnsi="Arial"/>
          <w:sz w:val="17"/>
          <w:szCs w:val="17"/>
          <w:color w:val="auto"/>
        </w:rPr>
      </w:pPr>
    </w:p>
    <w:p>
      <w:pPr>
        <w:ind w:firstLine="1305"/>
        <w:spacing w:after="0" w:line="277" w:lineRule="auto"/>
        <w:tabs>
          <w:tab w:leader="none" w:pos="202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the unexercised portion of each Option then outstanding shall become wholly vested and immediately exercisable.</w:t>
      </w:r>
    </w:p>
    <w:p>
      <w:pPr>
        <w:spacing w:after="0" w:line="170" w:lineRule="exact"/>
        <w:rPr>
          <w:rFonts w:ascii="Arial" w:cs="Arial" w:eastAsia="Arial" w:hAnsi="Arial"/>
          <w:sz w:val="18"/>
          <w:szCs w:val="18"/>
          <w:color w:val="auto"/>
        </w:rPr>
      </w:pPr>
    </w:p>
    <w:p>
      <w:pPr>
        <w:ind w:right="140" w:firstLine="656"/>
        <w:spacing w:after="0" w:line="264" w:lineRule="auto"/>
        <w:tabs>
          <w:tab w:leader="none" w:pos="139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1" w:lineRule="exact"/>
        <w:rPr>
          <w:rFonts w:ascii="Arial" w:cs="Arial" w:eastAsia="Arial" w:hAnsi="Arial"/>
          <w:sz w:val="18"/>
          <w:szCs w:val="18"/>
          <w:color w:val="auto"/>
        </w:rPr>
      </w:pPr>
    </w:p>
    <w:p>
      <w:pPr>
        <w:ind w:left="1400" w:hanging="744"/>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 and Outstanding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70" w:lineRule="auto"/>
        <w:tabs>
          <w:tab w:leader="none" w:pos="201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xml:space="preserve">. The Board may at any time amend, alter, suspend, or terminate the Plan </w:t>
      </w:r>
      <w:r>
        <w:rPr>
          <w:rFonts w:ascii="Arial" w:cs="Arial" w:eastAsia="Arial" w:hAnsi="Arial"/>
          <w:sz w:val="17"/>
          <w:szCs w:val="17"/>
          <w:color w:val="auto"/>
        </w:rPr>
        <w:t>without shareholder</w:t>
      </w:r>
      <w:r>
        <w:rPr>
          <w:rFonts w:ascii="Arial" w:cs="Arial" w:eastAsia="Arial" w:hAnsi="Arial"/>
          <w:sz w:val="18"/>
          <w:szCs w:val="18"/>
          <w:color w:val="auto"/>
        </w:rPr>
        <w:t xml:space="preserve"> </w:t>
      </w:r>
      <w:r>
        <w:rPr>
          <w:rFonts w:ascii="Arial" w:cs="Arial" w:eastAsia="Arial" w:hAnsi="Arial"/>
          <w:sz w:val="17"/>
          <w:szCs w:val="17"/>
          <w:color w:val="auto"/>
        </w:rPr>
        <w:t>approval; provided, however, that the Board may condition any amendment or modification on the approval of shareholders of the Company if such approval is necessary or deemed advisable with respect to tax, securities or other applicable laws, policies or regulations.</w:t>
      </w:r>
    </w:p>
    <w:p>
      <w:pPr>
        <w:spacing w:after="0" w:line="178" w:lineRule="exact"/>
        <w:rPr>
          <w:rFonts w:ascii="Arial" w:cs="Arial" w:eastAsia="Arial" w:hAnsi="Arial"/>
          <w:sz w:val="18"/>
          <w:szCs w:val="18"/>
          <w:color w:val="auto"/>
        </w:rPr>
      </w:pPr>
    </w:p>
    <w:p>
      <w:pPr>
        <w:ind w:right="140" w:firstLine="1305"/>
        <w:spacing w:after="0" w:line="264" w:lineRule="auto"/>
        <w:tabs>
          <w:tab w:leader="none" w:pos="202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or any outstanding Option shall impair the rights of any Optionee, unless mutually agreed otherwise between the Optionee and the Administrator, which agreement must be in writing and signed by the Optionee and the Company.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440" w:firstLine="1305"/>
        <w:spacing w:after="0" w:line="270" w:lineRule="auto"/>
        <w:tabs>
          <w:tab w:leader="none" w:pos="201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Shareholder Approval Required for Certain Actions</w:t>
      </w:r>
      <w:r>
        <w:rPr>
          <w:rFonts w:ascii="Arial" w:cs="Arial" w:eastAsia="Arial" w:hAnsi="Arial"/>
          <w:sz w:val="18"/>
          <w:szCs w:val="18"/>
          <w:color w:val="auto"/>
        </w:rPr>
        <w:t xml:space="preserve">. </w:t>
      </w:r>
      <w:r>
        <w:rPr>
          <w:rFonts w:ascii="Arial" w:cs="Arial" w:eastAsia="Arial" w:hAnsi="Arial"/>
          <w:sz w:val="17"/>
          <w:szCs w:val="17"/>
          <w:color w:val="auto"/>
        </w:rPr>
        <w:t>The original term of any Option may not be extended without the prior</w:t>
      </w:r>
      <w:r>
        <w:rPr>
          <w:rFonts w:ascii="Arial" w:cs="Arial" w:eastAsia="Arial" w:hAnsi="Arial"/>
          <w:sz w:val="18"/>
          <w:szCs w:val="18"/>
          <w:color w:val="auto"/>
        </w:rPr>
        <w:t xml:space="preserve"> </w:t>
      </w:r>
      <w:r>
        <w:rPr>
          <w:rFonts w:ascii="Arial" w:cs="Arial" w:eastAsia="Arial" w:hAnsi="Arial"/>
          <w:sz w:val="17"/>
          <w:szCs w:val="17"/>
          <w:color w:val="auto"/>
        </w:rPr>
        <w:t>approval of the shareholders of the Company. Except as otherwise provided in Section 12, the exercise price of any Option may not be reduced, directly or indirectly, without the prior approval of the shareholders of the Company.</w:t>
      </w:r>
    </w:p>
    <w:p>
      <w:pPr>
        <w:spacing w:after="0" w:line="179" w:lineRule="exact"/>
        <w:rPr>
          <w:sz w:val="20"/>
          <w:szCs w:val="20"/>
          <w:color w:val="auto"/>
        </w:rPr>
      </w:pPr>
    </w:p>
    <w:p>
      <w:pPr>
        <w:ind w:left="2040" w:hanging="735"/>
        <w:spacing w:after="0"/>
        <w:tabs>
          <w:tab w:leader="none" w:pos="20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57" w:lineRule="auto"/>
        <w:tabs>
          <w:tab w:leader="none" w:pos="201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88" w:lineRule="exact"/>
        <w:rPr>
          <w:rFonts w:ascii="Arial" w:cs="Arial" w:eastAsia="Arial" w:hAnsi="Arial"/>
          <w:sz w:val="18"/>
          <w:szCs w:val="18"/>
          <w:color w:val="auto"/>
        </w:rPr>
      </w:pPr>
    </w:p>
    <w:p>
      <w:pPr>
        <w:jc w:val="both"/>
        <w:ind w:right="20" w:firstLine="1305"/>
        <w:spacing w:after="0" w:line="264" w:lineRule="auto"/>
        <w:tabs>
          <w:tab w:leader="none" w:pos="202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6" w:lineRule="auto"/>
        <w:tabs>
          <w:tab w:leader="none" w:pos="1991"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5" w:lineRule="exact"/>
        <w:rPr>
          <w:rFonts w:ascii="Arial" w:cs="Arial" w:eastAsia="Arial" w:hAnsi="Arial"/>
          <w:sz w:val="17"/>
          <w:szCs w:val="17"/>
          <w:color w:val="auto"/>
        </w:rPr>
      </w:pPr>
    </w:p>
    <w:p>
      <w:pPr>
        <w:ind w:right="300" w:firstLine="1305"/>
        <w:spacing w:after="0" w:line="264" w:lineRule="auto"/>
        <w:tabs>
          <w:tab w:leader="none" w:pos="2001"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Grants Exceeding Allotted Shares</w:t>
      </w:r>
      <w:r>
        <w:rPr>
          <w:rFonts w:ascii="Arial" w:cs="Arial" w:eastAsia="Arial" w:hAnsi="Arial"/>
          <w:sz w:val="18"/>
          <w:szCs w:val="18"/>
          <w:color w:val="auto"/>
        </w:rPr>
        <w:t>. If the Optioned Stock covered by an Option exceeds, as of the date of grant, the number of Shares which may be issued under the Plan, such Option shall be void with respect to such excess Optioned Stock, unless approval of an amendment sufficiently increasing the number of shares subject to the Plan is timely obtained.</w:t>
      </w:r>
    </w:p>
    <w:p>
      <w:pPr>
        <w:sectPr>
          <w:pgSz w:w="11900" w:h="16838" w:orient="portrait"/>
          <w:cols w:equalWidth="0" w:num="1">
            <w:col w:w="11400"/>
          </w:cols>
          <w:pgMar w:left="240" w:top="557" w:right="259" w:bottom="0" w:gutter="0" w:footer="0" w:header="0"/>
        </w:sectPr>
      </w:pPr>
    </w:p>
    <w:bookmarkStart w:id="20" w:name="page21"/>
    <w:bookmarkEnd w:id="20"/>
    <w:p>
      <w:pPr>
        <w:ind w:left="-140" w:right="100" w:firstLine="656"/>
        <w:spacing w:after="0" w:line="277" w:lineRule="auto"/>
        <w:tabs>
          <w:tab w:leader="none" w:pos="122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left="-140" w:firstLine="656"/>
        <w:spacing w:after="0" w:line="277" w:lineRule="auto"/>
        <w:tabs>
          <w:tab w:leader="none" w:pos="122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380" w:top="341" w:right="3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16, 2003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January 16, 2003 (the “Registration Statement”) in connection with the registration under the Securities Act of 1933, as amended, of a total of 23,000,000 shares of your Common Stock (the “Shares”) reserved for issuance under the Micron Technology, Inc. 2001 Stock Option Plan, Micron Technology, Inc. 1989 Employee Stock Purchase Plan and the Micron Technology, Inc. 2002 Employment Inducement Stock Option Plan (the “Plans”). As your legal counsel, we have examined the proceedings taken and are familiar with the proceedings proposed to be taken by you in connection with the sale and issuance of the Shares.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Plans, and upon completion of the proceedings being taken in order to permit such transactions to be carried out in accordance with the securities laws of the various states where required, the Shares, when issued and sold in the manner referred to in the Plans and the agreements which accompany the Plans, and in accordance with the Company’s Certificate of Incorporation, will be legally and validly issued, fully paid and nonassessable.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ACCOUNTANTS</w:t>
      </w:r>
    </w:p>
    <w:p>
      <w:pPr>
        <w:spacing w:after="0" w:line="200" w:lineRule="exact"/>
        <w:rPr>
          <w:sz w:val="20"/>
          <w:szCs w:val="20"/>
          <w:color w:val="auto"/>
        </w:rPr>
      </w:pPr>
    </w:p>
    <w:p>
      <w:pPr>
        <w:spacing w:after="0" w:line="24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September 24, 2002 relating to the financial statements and financial statement schedule, which appears in Micron Technology Inc.’s Annual Report on Form 10-K (file No. 1-10658) for the year ended August 29,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lowerLetter"/>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2"/>
    </w:lvl>
  </w:abstractNum>
  <w:abstractNum w:abstractNumId="4">
    <w:nsid w:val="7724C67E"/>
    <w:multiLevelType w:val="hybridMultilevel"/>
    <w:lvl w:ilvl="0">
      <w:lvlJc w:val="left"/>
      <w:lvlText w:val="(%1)"/>
      <w:numFmt w:val="lowerLetter"/>
      <w:start w:val="2"/>
    </w:lvl>
  </w:abstractNum>
  <w:abstractNum w:abstractNumId="5">
    <w:nsid w:val="5C482A97"/>
    <w:multiLevelType w:val="hybridMultilevel"/>
    <w:lvl w:ilvl="0">
      <w:lvlJc w:val="left"/>
      <w:lvlText w:val="(%1)"/>
      <w:numFmt w:val="lowerLetter"/>
      <w:start w:val="3"/>
    </w:lvl>
  </w:abstractNum>
  <w:abstractNum w:abstractNumId="6">
    <w:nsid w:val="2463B9EA"/>
    <w:multiLevelType w:val="hybridMultilevel"/>
    <w:lvl w:ilvl="0">
      <w:lvlJc w:val="left"/>
      <w:lvlText w:val="%1."/>
      <w:numFmt w:val="decimal"/>
      <w:start w:val="1"/>
    </w:lvl>
    <w:lvl w:ilvl="1">
      <w:lvlJc w:val="left"/>
      <w:lvlText w:val="(%2)"/>
      <w:numFmt w:val="lowerLetter"/>
      <w:start w:val="1"/>
    </w:lvl>
  </w:abstractNum>
  <w:abstractNum w:abstractNumId="7">
    <w:nsid w:val="5E884ADC"/>
    <w:multiLevelType w:val="hybridMultilevel"/>
    <w:lvl w:ilvl="0">
      <w:lvlJc w:val="left"/>
      <w:lvlText w:val="%1"/>
      <w:numFmt w:val="decimal"/>
      <w:start w:val="1"/>
    </w:lvl>
    <w:lvl w:ilvl="1">
      <w:lvlJc w:val="left"/>
      <w:lvlText w:val="(%2)"/>
      <w:numFmt w:val="lowerLetter"/>
      <w:start w:val="7"/>
    </w:lvl>
  </w:abstractNum>
  <w:abstractNum w:abstractNumId="8">
    <w:nsid w:val="51EAD36B"/>
    <w:multiLevelType w:val="hybridMultilevel"/>
    <w:lvl w:ilvl="0">
      <w:lvlJc w:val="left"/>
      <w:lvlText w:val="%1."/>
      <w:numFmt w:val="decimal"/>
      <w:start w:val="3"/>
    </w:lvl>
    <w:lvl w:ilvl="1">
      <w:lvlJc w:val="left"/>
      <w:lvlText w:val="(%2)"/>
      <w:numFmt w:val="lowerLetter"/>
      <w:start w:val="1"/>
    </w:lvl>
  </w:abstractNum>
  <w:abstractNum w:abstractNumId="9">
    <w:nsid w:val="2D517796"/>
    <w:multiLevelType w:val="hybridMultilevel"/>
    <w:lvl w:ilvl="0">
      <w:lvlJc w:val="left"/>
      <w:lvlText w:val="%1"/>
      <w:numFmt w:val="decimal"/>
      <w:start w:val="1"/>
    </w:lvl>
    <w:lvl w:ilvl="1">
      <w:lvlJc w:val="left"/>
      <w:lvlText w:val="(%2)"/>
      <w:numFmt w:val="lowerLetter"/>
      <w:start w:val="2"/>
    </w:lvl>
  </w:abstractNum>
  <w:abstractNum w:abstractNumId="10">
    <w:nsid w:val="580BD78F"/>
    <w:multiLevelType w:val="hybridMultilevel"/>
    <w:lvl w:ilvl="0">
      <w:lvlJc w:val="left"/>
      <w:lvlText w:val="%1."/>
      <w:numFmt w:val="decimal"/>
      <w:start w:val="4"/>
    </w:lvl>
    <w:lvl w:ilvl="1">
      <w:lvlJc w:val="left"/>
      <w:lvlText w:val="(%2)"/>
      <w:numFmt w:val="lowerLetter"/>
      <w:start w:val="1"/>
    </w:lvl>
  </w:abstractNum>
  <w:abstractNum w:abstractNumId="11">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2">
    <w:nsid w:val="3855585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3">
    <w:nsid w:val="70A64E2A"/>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2"/>
    </w:lvl>
  </w:abstractNum>
  <w:abstractNum w:abstractNumId="14">
    <w:nsid w:val="6A2342EC"/>
    <w:multiLevelType w:val="hybridMultilevel"/>
    <w:lvl w:ilvl="0">
      <w:lvlJc w:val="left"/>
      <w:lvlText w:val="%1."/>
      <w:numFmt w:val="decimal"/>
      <w:start w:val="9"/>
    </w:lvl>
    <w:lvl w:ilvl="1">
      <w:lvlJc w:val="left"/>
      <w:lvlText w:val="(%2)"/>
      <w:numFmt w:val="lowerLetter"/>
      <w:start w:val="1"/>
    </w:lvl>
  </w:abstractNum>
  <w:abstractNum w:abstractNumId="15">
    <w:nsid w:val="2A487CB0"/>
    <w:multiLevelType w:val="hybridMultilevel"/>
    <w:lvl w:ilvl="0">
      <w:lvlJc w:val="left"/>
      <w:lvlText w:val="%1"/>
      <w:numFmt w:val="decimal"/>
      <w:start w:val="1"/>
    </w:lvl>
    <w:lvl w:ilvl="1">
      <w:lvlJc w:val="left"/>
      <w:lvlText w:val="(%2)"/>
      <w:numFmt w:val="lowerLetter"/>
      <w:start w:val="3"/>
    </w:lvl>
  </w:abstractNum>
  <w:abstractNum w:abstractNumId="16">
    <w:nsid w:val="1D4ED43B"/>
    <w:multiLevelType w:val="hybridMultilevel"/>
    <w:lvl w:ilvl="0">
      <w:lvlJc w:val="left"/>
      <w:lvlText w:val="%1."/>
      <w:numFmt w:val="decimal"/>
      <w:start w:val="14"/>
    </w:lvl>
    <w:lvl w:ilvl="1">
      <w:lvlJc w:val="left"/>
      <w:lvlText w:val="(%2)"/>
      <w:numFmt w:val="lowerLetter"/>
      <w:start w:val="1"/>
    </w:lvl>
  </w:abstractNum>
  <w:abstractNum w:abstractNumId="17">
    <w:nsid w:val="725A06FB"/>
    <w:multiLevelType w:val="hybridMultilevel"/>
    <w:lvl w:ilvl="0">
      <w:lvlJc w:val="left"/>
      <w:lvlText w:val="%1."/>
      <w:numFmt w:val="decimal"/>
      <w:start w:val="15"/>
    </w:lvl>
    <w:lvl w:ilvl="1">
      <w:lvlJc w:val="left"/>
      <w:lvlText w:val="(%2)"/>
      <w:numFmt w:val="lowerLetter"/>
      <w:start w:val="1"/>
    </w:lvl>
  </w:abstractNum>
  <w:abstractNum w:abstractNumId="18">
    <w:nsid w:val="2CD89A32"/>
    <w:multiLevelType w:val="hybridMultilevel"/>
    <w:lvl w:ilvl="0">
      <w:lvlJc w:val="left"/>
      <w:lvlText w:val="%1."/>
      <w:numFmt w:val="decimal"/>
      <w:start w:val="18"/>
    </w:lvl>
  </w:abstractNum>
  <w:abstractNum w:abstractNumId="19">
    <w:nsid w:val="57E4CCAF"/>
    <w:multiLevelType w:val="hybridMultilevel"/>
    <w:lvl w:ilvl="0">
      <w:lvlJc w:val="left"/>
      <w:lvlText w:val="%1."/>
      <w:numFmt w:val="decimal"/>
      <w:start w:val="20"/>
    </w:lvl>
    <w:lvl w:ilvl="1">
      <w:lvlJc w:val="left"/>
      <w:lvlText w:val="(%2)"/>
      <w:numFmt w:val="lowerLetter"/>
      <w:start w:val="1"/>
    </w:lvl>
  </w:abstractNum>
  <w:abstractNum w:abstractNumId="20">
    <w:nsid w:val="7A6D8D3C"/>
    <w:multiLevelType w:val="hybridMultilevel"/>
    <w:lvl w:ilvl="0">
      <w:lvlJc w:val="left"/>
      <w:lvlText w:val="(%1)"/>
      <w:numFmt w:val="lowerRoman"/>
      <w:start w:val="1"/>
    </w:lvl>
  </w:abstractNum>
  <w:abstractNum w:abstractNumId="21">
    <w:nsid w:val="4B588F54"/>
    <w:multiLevelType w:val="hybridMultilevel"/>
    <w:lvl w:ilvl="0">
      <w:lvlJc w:val="left"/>
      <w:lvlText w:val="%1."/>
      <w:numFmt w:val="decimal"/>
      <w:start w:val="21"/>
    </w:lvl>
    <w:lvl w:ilvl="1">
      <w:lvlJc w:val="left"/>
      <w:lvlText w:val="(%2)"/>
      <w:numFmt w:val="lowerLetter"/>
      <w:start w:val="1"/>
    </w:lvl>
  </w:abstractNum>
  <w:abstractNum w:abstractNumId="22">
    <w:nsid w:val="542289EC"/>
    <w:multiLevelType w:val="hybridMultilevel"/>
    <w:lvl w:ilvl="0">
      <w:lvlJc w:val="left"/>
      <w:lvlText w:val="%1."/>
      <w:numFmt w:val="decimal"/>
      <w:start w:val="23"/>
    </w:lvl>
  </w:abstractNum>
  <w:abstractNum w:abstractNumId="23">
    <w:nsid w:val="6DE91B18"/>
    <w:multiLevelType w:val="hybridMultilevel"/>
    <w:lvl w:ilvl="0">
      <w:lvlJc w:val="left"/>
      <w:lvlText w:val="%1."/>
      <w:numFmt w:val="decimal"/>
      <w:start w:val="24"/>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2"/>
    </w:lvl>
    <w:lvl w:ilvl="1">
      <w:lvlJc w:val="left"/>
      <w:lvlText w:val="(%2)"/>
      <w:numFmt w:val="lowerLetter"/>
      <w:start w:val="1"/>
    </w:lvl>
  </w:abstractNum>
  <w:abstractNum w:abstractNumId="27">
    <w:nsid w:val="684A481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8">
    <w:nsid w:val="579478FE"/>
    <w:multiLevelType w:val="hybridMultilevel"/>
    <w:lvl w:ilvl="0">
      <w:lvlJc w:val="left"/>
      <w:lvlText w:val="(%1)"/>
      <w:numFmt w:val="lowerLetter"/>
      <w:start w:val="9"/>
    </w:lvl>
    <w:lvl w:ilvl="1">
      <w:lvlJc w:val="left"/>
      <w:lvlText w:val="(%2)"/>
      <w:numFmt w:val="lowerLetter"/>
      <w:start w:val="11"/>
    </w:lvl>
    <w:lvl w:ilvl="2">
      <w:lvlJc w:val="left"/>
      <w:lvlText w:val="(%3)"/>
      <w:numFmt w:val="lowerRoman"/>
      <w:start w:val="1"/>
    </w:lvl>
  </w:abstractNum>
  <w:abstractNum w:abstractNumId="29">
    <w:nsid w:val="749ABB43"/>
    <w:multiLevelType w:val="hybridMultilevel"/>
    <w:lvl w:ilvl="0">
      <w:lvlJc w:val="left"/>
      <w:lvlText w:val="(%1)"/>
      <w:numFmt w:val="lowerLetter"/>
      <w:start w:val="16"/>
    </w:lvl>
  </w:abstractNum>
  <w:abstractNum w:abstractNumId="30">
    <w:nsid w:val="3DC240FB"/>
    <w:multiLevelType w:val="hybridMultilevel"/>
    <w:lvl w:ilvl="0">
      <w:lvlJc w:val="left"/>
      <w:lvlText w:val="(%1)"/>
      <w:numFmt w:val="lowerLetter"/>
      <w:start w:val="27"/>
    </w:lvl>
  </w:abstractNum>
  <w:abstractNum w:abstractNumId="31">
    <w:nsid w:val="1BA026FA"/>
    <w:multiLevelType w:val="hybridMultilevel"/>
    <w:lvl w:ilvl="0">
      <w:lvlJc w:val="left"/>
      <w:lvlText w:val="%1."/>
      <w:numFmt w:val="decimal"/>
      <w:start w:val="3"/>
    </w:lvl>
  </w:abstractNum>
  <w:abstractNum w:abstractNumId="32">
    <w:nsid w:val="79A1DE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75C6C33A"/>
    <w:multiLevelType w:val="hybridMultilevel"/>
    <w:lvl w:ilvl="0">
      <w:lvlJc w:val="left"/>
      <w:lvlText w:val="(%1)"/>
      <w:numFmt w:val="lowerRoman"/>
      <w:start w:val="6"/>
    </w:lvl>
  </w:abstractNum>
  <w:abstractNum w:abstractNumId="34">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5">
    <w:nsid w:val="70C6A5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
    <w:nsid w:val="374A3FE6"/>
    <w:multiLevelType w:val="hybridMultilevel"/>
    <w:lvl w:ilvl="0">
      <w:lvlJc w:val="left"/>
      <w:lvlText w:val="%1."/>
      <w:numFmt w:val="decimal"/>
      <w:start w:val="9"/>
    </w:lvl>
    <w:lvl w:ilvl="1">
      <w:lvlJc w:val="left"/>
      <w:lvlText w:val="(%2)"/>
      <w:numFmt w:val="lowerLetter"/>
      <w:start w:val="1"/>
    </w:lvl>
  </w:abstractNum>
  <w:abstractNum w:abstractNumId="38">
    <w:nsid w:val="4F4EF0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
    <w:nsid w:val="23F9C13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0">
    <w:nsid w:val="649BB77C"/>
    <w:multiLevelType w:val="hybridMultilevel"/>
    <w:lvl w:ilvl="0">
      <w:lvlJc w:val="left"/>
      <w:lvlText w:val="(%1)"/>
      <w:numFmt w:val="lowerLetter"/>
      <w:start w:val="2"/>
    </w:lvl>
  </w:abstractNum>
  <w:abstractNum w:abstractNumId="41">
    <w:nsid w:val="275AC79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2">
    <w:nsid w:val="3938657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43">
    <w:nsid w:val="1CF10FD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44">
    <w:nsid w:val="180115B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5">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6">
    <w:nsid w:val="47398C8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7">
    <w:nsid w:val="354FE9F9"/>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48">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741226BB"/>
    <w:multiLevelType w:val="hybridMultilevel"/>
    <w:lvl w:ilvl="0">
      <w:lvlJc w:val="left"/>
      <w:lvlText w:val="(%1)"/>
      <w:numFmt w:val="lowerLetter"/>
      <w:start w:val="18"/>
    </w:lvl>
  </w:abstractNum>
  <w:abstractNum w:abstractNumId="50">
    <w:nsid w:val="D34B6A8"/>
    <w:multiLevelType w:val="hybridMultilevel"/>
    <w:lvl w:ilvl="0">
      <w:lvlJc w:val="left"/>
      <w:lvlText w:val="(%1)"/>
      <w:numFmt w:val="lowerLetter"/>
      <w:start w:val="27"/>
    </w:lvl>
  </w:abstractNum>
  <w:abstractNum w:abstractNumId="51">
    <w:nsid w:val="10233C99"/>
    <w:multiLevelType w:val="hybridMultilevel"/>
    <w:lvl w:ilvl="0">
      <w:lvlJc w:val="left"/>
      <w:lvlText w:val="%1."/>
      <w:numFmt w:val="decimal"/>
      <w:start w:val="3"/>
    </w:lvl>
  </w:abstractNum>
  <w:abstractNum w:abstractNumId="52">
    <w:nsid w:val="3F6AB60F"/>
    <w:multiLevelType w:val="hybridMultilevel"/>
    <w:lvl w:ilvl="0">
      <w:lvlJc w:val="left"/>
      <w:lvlText w:val="%1."/>
      <w:numFmt w:val="decimal"/>
      <w:start w:val="4"/>
    </w:lvl>
  </w:abstractNum>
  <w:abstractNum w:abstractNumId="53">
    <w:nsid w:val="6157409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4">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55">
    <w:nsid w:val="77AE35E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6">
    <w:nsid w:val="579BE4F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310C50B3"/>
    <w:multiLevelType w:val="hybridMultilevel"/>
    <w:lvl w:ilvl="0">
      <w:lvlJc w:val="left"/>
      <w:lvlText w:val="(%1)"/>
      <w:numFmt w:val="lowerLetter"/>
      <w:start w:val="2"/>
    </w:lvl>
    <w:lvl w:ilvl="1">
      <w:lvlJc w:val="left"/>
      <w:lvlText w:val="(%2)"/>
      <w:numFmt w:val="lowerRoman"/>
      <w:start w:val="1"/>
    </w:lvl>
  </w:abstractNum>
  <w:abstractNum w:abstractNumId="58">
    <w:nsid w:val="5FF87E05"/>
    <w:multiLevelType w:val="hybridMultilevel"/>
    <w:lvl w:ilvl="0">
      <w:lvlJc w:val="left"/>
      <w:lvlText w:val="%1"/>
      <w:numFmt w:val="decimal"/>
      <w:start w:val="1"/>
    </w:lvl>
    <w:lvl w:ilvl="1">
      <w:lvlJc w:val="left"/>
      <w:lvlText w:val="(%2)"/>
      <w:numFmt w:val="lowerRoman"/>
      <w:start w:val="6"/>
    </w:lvl>
  </w:abstractNum>
  <w:abstractNum w:abstractNumId="59">
    <w:nsid w:val="2F305DEF"/>
    <w:multiLevelType w:val="hybridMultilevel"/>
    <w:lvl w:ilvl="0">
      <w:lvlJc w:val="left"/>
      <w:lvlText w:val="%1."/>
      <w:numFmt w:val="decimal"/>
      <w:start w:val="10"/>
    </w:lvl>
    <w:lvl w:ilvl="1">
      <w:lvlJc w:val="left"/>
      <w:lvlText w:val="%2"/>
      <w:numFmt w:val="lowerRoman"/>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decimal"/>
      <w:start w:val="1"/>
    </w:lvl>
    <w:lvl w:ilvl="1">
      <w:lvlJc w:val="left"/>
      <w:lvlText w:val="(%2)"/>
      <w:numFmt w:val="lowerLetter"/>
      <w:start w:val="2"/>
    </w:lvl>
  </w:abstractNum>
  <w:abstractNum w:abstractNumId="62">
    <w:nsid w:val="4AD084E9"/>
    <w:multiLevelType w:val="hybridMultilevel"/>
    <w:lvl w:ilvl="0">
      <w:lvlJc w:val="left"/>
      <w:lvlText w:val="%1."/>
      <w:numFmt w:val="decimal"/>
      <w:start w:val="11"/>
    </w:lvl>
    <w:lvl w:ilvl="1">
      <w:lvlJc w:val="left"/>
      <w:lvlText w:val="(%2)"/>
      <w:numFmt w:val="lowerLetter"/>
      <w:start w:val="1"/>
    </w:lvl>
  </w:abstractNum>
  <w:abstractNum w:abstractNumId="63">
    <w:nsid w:val="1F48EAA1"/>
    <w:multiLevelType w:val="hybridMultilevel"/>
    <w:lvl w:ilvl="0">
      <w:lvlJc w:val="left"/>
      <w:lvlText w:val="%1"/>
      <w:numFmt w:val="decimal"/>
      <w:start w:val="1"/>
    </w:lvl>
    <w:lvl w:ilvl="1">
      <w:lvlJc w:val="left"/>
      <w:lvlText w:val="(%2)"/>
      <w:numFmt w:val="lowerLetter"/>
      <w:start w:val="2"/>
    </w:lvl>
  </w:abstractNum>
  <w:abstractNum w:abstractNumId="64">
    <w:nsid w:val="1381823A"/>
    <w:multiLevelType w:val="hybridMultilevel"/>
    <w:lvl w:ilvl="0">
      <w:lvlJc w:val="left"/>
      <w:lvlText w:val="%1."/>
      <w:numFmt w:val="decimal"/>
      <w:start w:val="13"/>
    </w:lvl>
    <w:lvl w:ilvl="1">
      <w:lvlJc w:val="left"/>
      <w:lvlText w:val="(%2)"/>
      <w:numFmt w:val="lowerLetter"/>
      <w:start w:val="1"/>
    </w:lvl>
  </w:abstractNum>
  <w:abstractNum w:abstractNumId="65">
    <w:nsid w:val="5DB70AE5"/>
    <w:multiLevelType w:val="hybridMultilevel"/>
    <w:lvl w:ilvl="0">
      <w:lvlJc w:val="left"/>
      <w:lvlText w:val="(%1)"/>
      <w:numFmt w:val="lowerLetter"/>
      <w:start w:val="3"/>
    </w:lvl>
  </w:abstractNum>
  <w:abstractNum w:abstractNumId="66">
    <w:nsid w:val="100F8FCA"/>
    <w:multiLevelType w:val="hybridMultilevel"/>
    <w:lvl w:ilvl="0">
      <w:lvlJc w:val="left"/>
      <w:lvlText w:val="%1."/>
      <w:numFmt w:val="decimal"/>
      <w:start w:val="15"/>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6"/>
    </w:lvl>
    <w:lvl w:ilvl="1">
      <w:lvlJc w:val="left"/>
      <w:lvlText w:val="(%2)"/>
      <w:numFmt w:val="lowerLetter"/>
      <w:start w:val="1"/>
    </w:lvl>
  </w:abstractNum>
  <w:abstractNum w:abstractNumId="69">
    <w:nsid w:val="5F5E7FD0"/>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2019-12-13T13:19:01Z</dcterms:created>
  <dcterms:modified xsi:type="dcterms:W3CDTF">2019-12-13T13:19:01Z</dcterms:modified>
</cp:coreProperties>
</file>