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595112103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7,837,050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36,314,320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61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36,314,320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17.1%</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27,156,540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61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27,156,540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12.8%</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8000 S. Federal Way</w:t>
      </w:r>
    </w:p>
    <w:p>
      <w:pPr>
        <w:ind w:left="740"/>
        <w:spacing w:after="0"/>
        <w:rPr>
          <w:sz w:val="20"/>
          <w:szCs w:val="20"/>
          <w:color w:val="auto"/>
        </w:rPr>
      </w:pPr>
      <w:r>
        <w:rPr>
          <w:rFonts w:ascii="Courier New" w:cs="Courier New" w:eastAsia="Courier New" w:hAnsi="Courier New"/>
          <w:sz w:val="18"/>
          <w:szCs w:val="18"/>
          <w:color w:val="auto"/>
        </w:rPr>
        <w:t>P.O. Box 6</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83707-0006</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3679"/>
        <w:spacing w:after="0" w:line="235" w:lineRule="auto"/>
        <w:rPr>
          <w:sz w:val="20"/>
          <w:szCs w:val="20"/>
          <w:color w:val="auto"/>
        </w:rPr>
      </w:pPr>
      <w:r>
        <w:rPr>
          <w:rFonts w:ascii="Courier New" w:cs="Courier New" w:eastAsia="Courier New" w:hAnsi="Courier New"/>
          <w:sz w:val="18"/>
          <w:szCs w:val="18"/>
          <w:color w:val="auto"/>
        </w:rPr>
        <w:t>The Capital Group Companies, Inc., Capital Research and Management Company</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480" w:hanging="735"/>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w:t>
      </w:r>
    </w:p>
    <w:p>
      <w:pPr>
        <w:spacing w:after="0" w:line="207" w:lineRule="exact"/>
        <w:rPr>
          <w:sz w:val="20"/>
          <w:szCs w:val="20"/>
          <w:color w:val="auto"/>
        </w:rPr>
      </w:pPr>
    </w:p>
    <w:p>
      <w:pPr>
        <w:ind w:left="1280" w:right="2939" w:hanging="535"/>
        <w:spacing w:after="0" w:line="235" w:lineRule="auto"/>
        <w:tabs>
          <w:tab w:leader="none" w:pos="149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8"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ectPr>
          <w:pgSz w:w="11900" w:h="16838" w:orient="portrait"/>
          <w:cols w:equalWidth="0" w:num="1">
            <w:col w:w="10219"/>
          </w:cols>
          <w:pgMar w:left="240" w:top="717" w:right="1440" w:bottom="1440" w:gutter="0" w:footer="0" w:header="0"/>
        </w:sectPr>
      </w:pPr>
    </w:p>
    <w:bookmarkStart w:id="6" w:name="page7"/>
    <w:bookmarkEnd w:id="6"/>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740" w:right="261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and wholly owned subsidiary of The Capital Group Companies, Inc., is the beneficial owner of 27,156,540 shares or 12.8% of the 211,348,000 shares of Common Stock believed to be outstanding as a result of acting as investment adviser to various investment companies registered under Section 8 of the Investment Company Act of 1940.</w:t>
      </w:r>
    </w:p>
    <w:p>
      <w:pPr>
        <w:spacing w:after="0" w:line="212" w:lineRule="exact"/>
        <w:rPr>
          <w:sz w:val="20"/>
          <w:szCs w:val="20"/>
          <w:color w:val="auto"/>
        </w:rPr>
      </w:pPr>
    </w:p>
    <w:p>
      <w:pPr>
        <w:ind w:left="740" w:right="2739"/>
        <w:spacing w:after="0" w:line="237" w:lineRule="auto"/>
        <w:rPr>
          <w:sz w:val="20"/>
          <w:szCs w:val="20"/>
          <w:color w:val="auto"/>
        </w:rPr>
      </w:pPr>
      <w:r>
        <w:rPr>
          <w:rFonts w:ascii="Courier New" w:cs="Courier New" w:eastAsia="Courier New" w:hAnsi="Courier New"/>
          <w:sz w:val="18"/>
          <w:szCs w:val="18"/>
          <w:color w:val="auto"/>
        </w:rPr>
        <w:t>The remaining shares reported as being beneficially owned by The Capital Group Companies, Inc. are beneficially owned by other subsidiaries of The Capital Group Companies, Inc. listed under item 7, none of which by itself owns 5% or more of the outstanding securities.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Shares reported by The Capital Group Companies, Inc., includes</w:t>
      </w:r>
    </w:p>
    <w:p>
      <w:pPr>
        <w:ind w:left="740"/>
        <w:spacing w:after="0" w:line="238" w:lineRule="auto"/>
        <w:rPr>
          <w:sz w:val="20"/>
          <w:szCs w:val="20"/>
          <w:color w:val="auto"/>
        </w:rPr>
      </w:pPr>
      <w:r>
        <w:rPr>
          <w:rFonts w:ascii="Courier New" w:cs="Courier New" w:eastAsia="Courier New" w:hAnsi="Courier New"/>
          <w:sz w:val="18"/>
          <w:szCs w:val="18"/>
          <w:color w:val="auto"/>
        </w:rPr>
        <w:t>1,160,970 shares resulting from the assumed conversion of</w:t>
      </w:r>
    </w:p>
    <w:p>
      <w:pPr>
        <w:ind w:left="740"/>
        <w:spacing w:after="0"/>
        <w:rPr>
          <w:sz w:val="20"/>
          <w:szCs w:val="20"/>
          <w:color w:val="auto"/>
        </w:rPr>
      </w:pPr>
      <w:r>
        <w:rPr>
          <w:rFonts w:ascii="Courier New" w:cs="Courier New" w:eastAsia="Courier New" w:hAnsi="Courier New"/>
          <w:sz w:val="18"/>
          <w:szCs w:val="18"/>
          <w:color w:val="auto"/>
        </w:rPr>
        <w:t>$78,300,000 principal amount of the 7.00% Convertible Note, due</w:t>
      </w:r>
    </w:p>
    <w:p>
      <w:pPr>
        <w:ind w:left="740"/>
        <w:spacing w:after="0" w:line="237" w:lineRule="auto"/>
        <w:rPr>
          <w:sz w:val="20"/>
          <w:szCs w:val="20"/>
          <w:color w:val="auto"/>
        </w:rPr>
      </w:pPr>
      <w:r>
        <w:rPr>
          <w:rFonts w:ascii="Courier New" w:cs="Courier New" w:eastAsia="Courier New" w:hAnsi="Courier New"/>
          <w:sz w:val="18"/>
          <w:szCs w:val="18"/>
          <w:color w:val="auto"/>
        </w:rPr>
        <w:t>2004.</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60" w:right="2619"/>
        <w:spacing w:after="0" w:line="236"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 which is a wholly owned subsidiary of The Capital Group Companies, Inc.</w:t>
      </w: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 which is a wholly owned subsidiary of The Capital Group Companies, Inc.</w:t>
      </w:r>
    </w:p>
    <w:p>
      <w:pPr>
        <w:sectPr>
          <w:pgSz w:w="11900" w:h="16838" w:orient="portrait"/>
          <w:cols w:equalWidth="0" w:num="1">
            <w:col w:w="10219"/>
          </w:cols>
          <w:pgMar w:left="240" w:top="925" w:right="1440" w:bottom="1440" w:gutter="0" w:footer="0" w:header="0"/>
        </w:sectPr>
      </w:pPr>
    </w:p>
    <w:bookmarkStart w:id="8" w:name="page9"/>
    <w:bookmarkEnd w:id="8"/>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left="74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 Act of 1940 and is a wholly owned subsidiary of Capital Group International, Inc. which is a wholly owned subsidiary of The Capital Group Companies, Inc.</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p>
      <w:pPr>
        <w:sectPr>
          <w:pgSz w:w="11900" w:h="16838" w:orient="portrait"/>
          <w:cols w:equalWidth="0" w:num="1">
            <w:col w:w="10219"/>
          </w:cols>
          <w:pgMar w:left="240" w:top="919" w:right="1440" w:bottom="1440" w:gutter="0" w:footer="0" w:header="0"/>
        </w:sectPr>
      </w:pPr>
    </w:p>
    <w:bookmarkStart w:id="10" w:name="page11"/>
    <w:bookmarkEnd w:id="10"/>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center"/>
        <w:ind w:right="271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Los Angeles, CA</w:t>
      </w:r>
    </w:p>
    <w:p>
      <w:pPr>
        <w:jc w:val="center"/>
        <w:ind w:right="2719"/>
        <w:spacing w:after="0" w:line="238" w:lineRule="auto"/>
        <w:rPr>
          <w:sz w:val="20"/>
          <w:szCs w:val="20"/>
          <w:color w:val="auto"/>
        </w:rPr>
      </w:pPr>
      <w:r>
        <w:rPr>
          <w:rFonts w:ascii="Courier New" w:cs="Courier New" w:eastAsia="Courier New" w:hAnsi="Courier New"/>
          <w:sz w:val="18"/>
          <w:szCs w:val="18"/>
          <w:color w:val="auto"/>
        </w:rPr>
        <w:t>February 10, 1998</w:t>
      </w:r>
    </w:p>
    <w:p>
      <w:pPr>
        <w:spacing w:after="0" w:line="207"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The Capital Group Companies, Inc. ("CGC") and Capital Research and Management Company ("CRMC") hereby agree to file a joint statement on Schedule 13G under the Securities Exchange Act of 1934 (the "Act") in connection with their beneficial ownership of Common Stock issued by Micron Technology, Inc.</w:t>
      </w:r>
    </w:p>
    <w:p>
      <w:pPr>
        <w:spacing w:after="0" w:line="209"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CGC and CRMC state that they are each entitled to individually use Schedule 13G pursuant to Rule 13d-1(c) of the Act.</w:t>
      </w:r>
    </w:p>
    <w:p>
      <w:pPr>
        <w:spacing w:after="0" w:line="208"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CGC and CRMC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Larry P. Clemmensen, President</w:t>
      </w:r>
    </w:p>
    <w:p>
      <w:pPr>
        <w:ind w:left="3700"/>
        <w:spacing w:after="0" w:line="238" w:lineRule="auto"/>
        <w:rPr>
          <w:sz w:val="20"/>
          <w:szCs w:val="20"/>
          <w:color w:val="auto"/>
        </w:rPr>
      </w:pPr>
      <w:r>
        <w:rPr>
          <w:rFonts w:ascii="Courier New" w:cs="Courier New" w:eastAsia="Courier New" w:hAnsi="Courier New"/>
          <w:sz w:val="18"/>
          <w:szCs w:val="18"/>
          <w:color w:val="auto"/>
        </w:rPr>
        <w:t>The Capital Group Companies,</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Executive</w:t>
      </w:r>
    </w:p>
    <w:p>
      <w:pPr>
        <w:ind w:left="3700"/>
        <w:spacing w:after="0" w:line="238" w:lineRule="auto"/>
        <w:rPr>
          <w:sz w:val="20"/>
          <w:szCs w:val="20"/>
          <w:color w:val="auto"/>
        </w:rPr>
      </w:pPr>
      <w:r>
        <w:rPr>
          <w:rFonts w:ascii="Courier New" w:cs="Courier New" w:eastAsia="Courier New" w:hAnsi="Courier New"/>
          <w:sz w:val="18"/>
          <w:szCs w:val="18"/>
          <w:color w:val="auto"/>
        </w:rPr>
        <w:t>Vice President</w:t>
      </w:r>
    </w:p>
    <w:p>
      <w:pPr>
        <w:ind w:left="3700"/>
        <w:spacing w:after="0"/>
        <w:rPr>
          <w:sz w:val="20"/>
          <w:szCs w:val="20"/>
          <w:color w:val="auto"/>
        </w:rPr>
      </w:pPr>
      <w:r>
        <w:rPr>
          <w:rFonts w:ascii="Courier New" w:cs="Courier New" w:eastAsia="Courier New" w:hAnsi="Courier New"/>
          <w:sz w:val="18"/>
          <w:szCs w:val="18"/>
          <w:color w:val="auto"/>
        </w:rPr>
        <w:t>Capital Research and Management</w:t>
      </w:r>
    </w:p>
    <w:p>
      <w:pPr>
        <w:ind w:left="3700"/>
        <w:spacing w:after="0" w:line="237" w:lineRule="auto"/>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bullet"/>
      <w:start w:val="1"/>
    </w:lvl>
  </w:abstractNum>
  <w:abstractNum w:abstractNumId="1">
    <w:nsid w:val="4DB127F8"/>
    <w:multiLevelType w:val="hybridMultilevel"/>
    <w:lvl w:ilvl="0">
      <w:lvlJc w:val="left"/>
      <w:lvlText w:val="2"/>
      <w:numFmt w:val="bullet"/>
      <w:start w:val="1"/>
    </w:lvl>
  </w:abstractNum>
  <w:abstractNum w:abstractNumId="2">
    <w:nsid w:val="216231B"/>
    <w:multiLevelType w:val="hybridMultilevel"/>
    <w:lvl w:ilvl="0">
      <w:lvlJc w:val="left"/>
      <w:lvlText w:val="3"/>
      <w:numFmt w:val="bullet"/>
      <w:start w:val="1"/>
    </w:lvl>
  </w:abstractNum>
  <w:abstractNum w:abstractNumId="3">
    <w:nsid w:val="1F16E9E8"/>
    <w:multiLevelType w:val="hybridMultilevel"/>
    <w:lvl w:ilvl="0">
      <w:lvlJc w:val="left"/>
      <w:lvlText w:val="4"/>
      <w:numFmt w:val="bullet"/>
      <w:start w:val="1"/>
    </w:lvl>
  </w:abstractNum>
  <w:abstractNum w:abstractNumId="4">
    <w:nsid w:val="1190CDE7"/>
    <w:multiLevelType w:val="hybridMultilevel"/>
    <w:lvl w:ilvl="0">
      <w:lvlJc w:val="left"/>
      <w:lvlText w:val="5"/>
      <w:numFmt w:val="bullet"/>
      <w:start w:val="1"/>
    </w:lvl>
  </w:abstractNum>
  <w:abstractNum w:abstractNumId="5">
    <w:nsid w:val="66EF438D"/>
    <w:multiLevelType w:val="hybridMultilevel"/>
    <w:lvl w:ilvl="0">
      <w:lvlJc w:val="left"/>
      <w:lvlText w:val="8"/>
      <w:numFmt w:val="bullet"/>
      <w:start w:val="1"/>
    </w:lvl>
  </w:abstractNum>
  <w:abstractNum w:abstractNumId="6">
    <w:nsid w:val="140E0F76"/>
    <w:multiLevelType w:val="hybridMultilevel"/>
    <w:lvl w:ilvl="0">
      <w:lvlJc w:val="left"/>
      <w:lvlText w:val="9"/>
      <w:numFmt w:val="bullet"/>
      <w:start w:val="1"/>
    </w:lvl>
  </w:abstractNum>
  <w:abstractNum w:abstractNumId="7">
    <w:nsid w:val="3352255A"/>
    <w:multiLevelType w:val="hybridMultilevel"/>
    <w:lvl w:ilvl="0">
      <w:lvlJc w:val="left"/>
      <w:lvlText w:val="%1"/>
      <w:numFmt w:val="decimal"/>
      <w:start w:val="10"/>
    </w:lvl>
    <w:lvl w:ilvl="1">
      <w:lvlJc w:val="left"/>
      <w:lvlText w:val="*"/>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4"/>
      <w:numFmt w:val="bullet"/>
      <w:start w:val="1"/>
    </w:lvl>
  </w:abstractNum>
  <w:abstractNum w:abstractNumId="12">
    <w:nsid w:val="41A7C4C9"/>
    <w:multiLevelType w:val="hybridMultilevel"/>
    <w:lvl w:ilvl="0">
      <w:lvlJc w:val="left"/>
      <w:lvlText w:val="5"/>
      <w:numFmt w:val="bullet"/>
      <w:start w:val="1"/>
    </w:lvl>
  </w:abstractNum>
  <w:abstractNum w:abstractNumId="13">
    <w:nsid w:val="6B68079A"/>
    <w:multiLevelType w:val="hybridMultilevel"/>
    <w:lvl w:ilvl="0">
      <w:lvlJc w:val="left"/>
      <w:lvlText w:val="8"/>
      <w:numFmt w:val="bullet"/>
      <w:start w:val="1"/>
    </w:lvl>
  </w:abstractNum>
  <w:abstractNum w:abstractNumId="14">
    <w:nsid w:val="4E6AFB66"/>
    <w:multiLevelType w:val="hybridMultilevel"/>
    <w:lvl w:ilvl="0">
      <w:lvlJc w:val="left"/>
      <w:lvlText w:val="9"/>
      <w:numFmt w:val="bullet"/>
      <w:start w:val="1"/>
    </w:lvl>
  </w:abstractNum>
  <w:abstractNum w:abstractNumId="15">
    <w:nsid w:val="25E45D32"/>
    <w:multiLevelType w:val="hybridMultilevel"/>
    <w:lvl w:ilvl="0">
      <w:lvlJc w:val="left"/>
      <w:lvlText w:val="%1"/>
      <w:numFmt w:val="decimal"/>
      <w:start w:val="10"/>
    </w:lvl>
    <w:lvl w:ilvl="1">
      <w:lvlJc w:val="left"/>
      <w:lvlText w:val="*"/>
      <w:numFmt w:val="bullet"/>
      <w:start w:val="1"/>
    </w:lvl>
  </w:abstractNum>
  <w:abstractNum w:abstractNumId="16">
    <w:nsid w:val="519B500D"/>
    <w:multiLevelType w:val="hybridMultilevel"/>
    <w:lvl w:ilvl="0">
      <w:lvlJc w:val="left"/>
      <w:lvlText w:val="(%1)"/>
      <w:numFmt w:val="lowerLetter"/>
      <w:start w:val="5"/>
    </w:lvl>
  </w:abstractNum>
  <w:abstractNum w:abstractNumId="17">
    <w:nsid w:val="431BD7B7"/>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2019-12-12T07:01:50Z</dcterms:created>
  <dcterms:modified xsi:type="dcterms:W3CDTF">2019-12-12T07:01:50Z</dcterms:modified>
</cp:coreProperties>
</file>