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As filed with the Securities and Exchange Commission on August 8, 2023</w: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Registration No. 333-                </w:t>
      </w:r>
    </w:p>
    <w:tbl>
      <w:tblPr>
        <w:tblW w:w="1695" w:type="dxa"/>
        <w:jc w:val="righ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FORM S-8</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REGISTRATION STATEMENT UNDER THE SECURITIES ACT OF 1933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drawing>
          <wp:inline distT="0" distB="0" distL="0" distR="0">
            <wp:extent cx="1666875"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66875" cy="457200"/>
                    </a:xfrm>
                    <a:prstGeom prst="rect">
                      <a:avLst/>
                    </a:prstGeom>
                  </pic:spPr>
                </pic:pic>
              </a:graphicData>
            </a:graphic>
          </wp:inline>
        </w:drawing>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Micron Technology,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7746" w:type="dxa"/>
        <w:jc w:val="center"/>
        <w:tblInd w:w="0" w:type="dxa"/>
        <w:tblLayout w:type="fixed"/>
        <w:tblCellMar>
          <w:top w:w="28" w:type="dxa"/>
          <w:left w:w="28" w:type="dxa"/>
          <w:bottom w:w="28" w:type="dxa"/>
          <w:right w:w="28" w:type="dxa"/>
        </w:tblCellMar>
      </w:tblPr>
      <w:tblGrid>
        <w:gridCol w:w="1546"/>
        <w:gridCol w:w="1358"/>
        <w:gridCol w:w="1371"/>
        <w:gridCol w:w="109"/>
        <w:gridCol w:w="109"/>
        <w:gridCol w:w="109"/>
        <w:gridCol w:w="109"/>
        <w:gridCol w:w="109"/>
        <w:gridCol w:w="109"/>
        <w:gridCol w:w="109"/>
        <w:gridCol w:w="109"/>
        <w:gridCol w:w="109"/>
        <w:gridCol w:w="726"/>
        <w:gridCol w:w="726"/>
        <w:gridCol w:w="1038"/>
      </w:tblGrid>
      <w:tr>
        <w:trPr/>
        <w:tc>
          <w:tcPr>
            <w:tcW w:w="1546"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75-1618004</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(IRS Employer Identification No.)</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8000 S. Federal Way, Boise, Idaho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83716</w:t>
            </w:r>
          </w:p>
        </w:tc>
      </w:tr>
      <w:tr>
        <w:trPr/>
        <w:tc>
          <w:tcPr>
            <w:tcW w:w="4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(Zip Code)</w:t>
            </w:r>
          </w:p>
        </w:tc>
      </w:tr>
    </w:tbl>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Micron Technology, Inc.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Amended and Restated 2007 Equity Incentive Plan</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Deferred Compensation Plan</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(Full title of the plans)</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Michael Myers, Esq.</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Vice President, Interim General Counsel and Corporate Secretary</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Micron Technology, Inc.</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8000 South Federal Way, Boise, Idaho 83716</w:t>
      </w:r>
    </w:p>
    <w:p>
      <w:pPr>
        <w:pStyle w:val="TextBody"/>
        <w:bidi w:val="0"/>
        <w:spacing w:lineRule="auto" w:line="288" w:before="0" w:after="0"/>
        <w:jc w:val="center"/>
        <w:rPr>
          <w:rFonts w:ascii="Arial Narrow;sans-serif" w:hAnsi="Arial Narrow;sans-serif"/>
          <w:b/>
          <w:color w:val="000000"/>
          <w:sz w:val="18"/>
        </w:rPr>
      </w:pPr>
      <w:r>
        <w:rPr>
          <w:rFonts w:ascii="Arial Narrow;sans-serif" w:hAnsi="Arial Narrow;sans-serif"/>
          <w:b/>
          <w:color w:val="000000"/>
          <w:sz w:val="18"/>
        </w:rPr>
        <w:t>(208) 368-4000</w:t>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(Name, address, and telephone number, including area code, of agent for service)</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745"/>
        <w:gridCol w:w="309"/>
        <w:gridCol w:w="309"/>
        <w:gridCol w:w="702"/>
        <w:gridCol w:w="309"/>
        <w:gridCol w:w="309"/>
        <w:gridCol w:w="891"/>
        <w:gridCol w:w="344"/>
        <w:gridCol w:w="309"/>
        <w:gridCol w:w="591"/>
        <w:gridCol w:w="309"/>
        <w:gridCol w:w="309"/>
        <w:gridCol w:w="309"/>
        <w:gridCol w:w="309"/>
        <w:gridCol w:w="309"/>
        <w:gridCol w:w="309"/>
        <w:gridCol w:w="309"/>
        <w:gridCol w:w="309"/>
        <w:gridCol w:w="309"/>
        <w:gridCol w:w="309"/>
        <w:gridCol w:w="309"/>
        <w:gridCol w:w="309"/>
        <w:gridCol w:w="309"/>
        <w:gridCol w:w="309"/>
        <w:gridCol w:w="309"/>
        <w:gridCol w:w="309"/>
        <w:gridCol w:w="443"/>
      </w:tblGrid>
      <w:tr>
        <w:trPr/>
        <w:tc>
          <w:tcPr>
            <w:tcW w:w="74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Large Accelerated Filer</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Accelerated Filer</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Non-Accelerated Filer</w:t>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Smaller Reporting Company</w:t>
            </w:r>
          </w:p>
        </w:tc>
        <w:tc>
          <w:tcPr>
            <w:tcW w:w="476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Emerging Growth Company</w:t>
            </w:r>
          </w:p>
        </w:tc>
      </w:tr>
      <w:tr>
        <w:trPr/>
        <w:tc>
          <w:tcPr>
            <w:tcW w:w="136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769" w:type="dxa"/>
            <w:gridSpan w:val="15"/>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9144"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10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0000"/>
          <w:sz w:val="32"/>
        </w:rPr>
      </w:pPr>
      <w:r>
        <w:rPr>
          <w:rFonts w:ascii="Arial Narrow;sans-serif" w:hAnsi="Arial Narrow;sans-serif"/>
          <w:b/>
          <w:color w:val="000000"/>
          <w:sz w:val="32"/>
        </w:rPr>
        <w:t>EXPLANATORY NOTE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Registration Statement on Form S-8 is filed by Micron Technology, Inc. (the “Company” or the “Registrant”) to register (i) 50,000,000 shares of the Company’s common stock, $0.10 par value per share, to be issued pursuant to the Micron Technology, Inc. Amended and Restated 2007 Equity Incentive Plan, as approved by the Company’s shareholders at the Fiscal 2022 Annual Meeting of Shareholders of the Company held on January 12, 2023, and (ii) $85,000,000 of deferred compensation obligations (the “Obligations”) of the Company arising under the Micron Technology, Inc. Deferred Compensation Plan, as amended effective January 1, 2022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32"/>
        </w:rPr>
      </w:pPr>
      <w:r>
        <w:rPr>
          <w:rFonts w:ascii="Arial Narrow;sans-serif" w:hAnsi="Arial Narrow;sans-serif"/>
          <w:b/>
          <w:color w:val="000000"/>
          <w:sz w:val="32"/>
        </w:rPr>
        <w:t>PART I. INFORMATION REQUIRED IN THE SECTION 10(a)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set forth in the Note to Part I of Form S-8, the documents containing the information specified in Part I of Form S-8 are not required to be filed with the Securities and Exchange Commission (the “Commission”) either as part of this Registration Statement or as a prospectus or prospectus supplement pursuant to Rule 424 under the Securities Act of 1933, as amended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32"/>
        </w:rPr>
      </w:pPr>
      <w:r>
        <w:rPr>
          <w:rFonts w:ascii="Arial Narrow;sans-serif" w:hAnsi="Arial Narrow;sans-serif"/>
          <w:b/>
          <w:color w:val="000000"/>
          <w:sz w:val="32"/>
        </w:rPr>
        <w:t>PART II. INFORMATION REQUIRED IN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3. INCORPORATION OF DOCUMENTS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documents filed by the Company with the Commission are incorporated by reference in this Registration Statement:</w:t>
      </w:r>
    </w:p>
    <w:p>
      <w:pPr>
        <w:pStyle w:val="TextBody"/>
        <w:bidi w:val="0"/>
        <w:spacing w:before="0" w:after="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 xml:space="preserve">(a)    The Company’s </w:t>
      </w:r>
      <w:hyperlink r:id="rId3">
        <w:r>
          <w:rPr>
            <w:rStyle w:val="InternetLink"/>
          </w:rPr>
          <w:t xml:space="preserve">Annual Report on Form 10-K for the fiscal year ended September </w:t>
        </w:r>
      </w:hyperlink>
      <w:hyperlink r:id="rId4">
        <w:r>
          <w:rPr>
            <w:rStyle w:val="InternetLink"/>
          </w:rPr>
          <w:t>1</w:t>
        </w:r>
      </w:hyperlink>
      <w:hyperlink r:id="rId5">
        <w:r>
          <w:rPr>
            <w:rStyle w:val="InternetLink"/>
          </w:rPr>
          <w:t>, 202</w:t>
        </w:r>
      </w:hyperlink>
      <w:hyperlink r:id="rId6">
        <w:r>
          <w:rPr>
            <w:rStyle w:val="InternetLink"/>
          </w:rPr>
          <w:t>2</w:t>
        </w:r>
      </w:hyperlink>
      <w:r>
        <w:rPr>
          <w:color w:val="000000"/>
        </w:rPr>
        <w:t xml:space="preserve"> </w:t>
      </w:r>
      <w:r>
        <w:rPr>
          <w:rFonts w:ascii="Arial;sans-serif" w:hAnsi="Arial;sans-serif"/>
          <w:b w:val="false"/>
          <w:color w:val="000000"/>
          <w:sz w:val="20"/>
        </w:rPr>
        <w:t>(the “Annual Report”) filed with the Commission pursuant to Section 13(a) of the Securities Exchange Act of 1934, as amended (the “Exchange Act”) (File No. 1-10658), on October 7, 2022.</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All other reports filed pursuant to Section 13(a) or 15(d) of the Exchange Act since the end of the fiscal year covered by the Annual Report.</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pPr>
      <w:r>
        <w:rPr>
          <w:rFonts w:ascii="Arial;sans-serif" w:hAnsi="Arial;sans-serif"/>
          <w:b w:val="false"/>
          <w:color w:val="000000"/>
          <w:sz w:val="20"/>
        </w:rPr>
        <w:t xml:space="preserve">(c)    The description of the Company’s common stock, par value $0.10 per share, contained in the Company’s </w:t>
      </w:r>
      <w:hyperlink r:id="rId7">
        <w:r>
          <w:rPr>
            <w:rStyle w:val="InternetLink"/>
            <w:rFonts w:ascii="Arial;sans-serif" w:hAnsi="Arial;sans-serif"/>
            <w:b w:val="false"/>
            <w:color w:val="0000FF"/>
            <w:sz w:val="20"/>
            <w:u w:val="single"/>
          </w:rPr>
          <w:t>Registration Statement on Form 8-A</w:t>
        </w:r>
      </w:hyperlink>
      <w:r>
        <w:rPr>
          <w:rFonts w:ascii="Arial;sans-serif" w:hAnsi="Arial;sans-serif"/>
          <w:b w:val="false"/>
          <w:color w:val="000000"/>
          <w:sz w:val="20"/>
        </w:rPr>
        <w:t>, filed with the Commission on December 21, 2009, including any subsequently filed amendments and reports updating such description.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4. DESCRIPTION OF SECURITIES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44"/>
        </w:rPr>
      </w:pPr>
      <w:r>
        <w:rPr>
          <w:rFonts w:ascii="Arial Narrow;sans-serif" w:hAnsi="Arial Narrow;sans-serif"/>
          <w:b/>
          <w:color w:val="000000"/>
          <w:sz w:val="44"/>
        </w:rPr>
        <w:t>Micron Technology, Inc. Deferred Compensation Plan Obligations</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The Obligations being registered represent deferred compensation obligations of the Company arising under the Plan. The Obligations are unsecured general obligations of the Company. The Company reserves the right to amend or terminate the Plan at any time in accordance with its terms, provided that such amendment or termination shall not reduce or eliminate any benefit that has become fully vested under the Plan prior to such amendment or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Following is a summary of the Plan as it relates to the Obligations. This summary is qualified in its entirety by reference to the Plan.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Purpose and Participation</w:t>
      </w:r>
      <w:r>
        <w:rPr>
          <w:rFonts w:ascii="Arial;sans-serif" w:hAnsi="Arial;sans-serif"/>
          <w:b w:val="false"/>
          <w:color w:val="000000"/>
          <w:sz w:val="20"/>
        </w:rPr>
        <w:t>. The Plan is intended to constitute a non-qualified deferred compensation plan that, in accordance with Sections 201(2), 301(a)(3), and 401(a)(1) of the Employee Retirement Income Security Act of 1974, as amended, is unfunded and established primarily for the purpose of providing deferred compensation to specifically designated employees of the Company (the “Participants”). The Plan is an unfunded deferred compensation plan for purposes of the Internal Revenue Code of 1986, as amended (the “Code”), and is intended to comply with the requirements of Section 409A of the Code so that no penalty taxes are owed under Section 409A(a)(1)(B).</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Plan Deferrals</w:t>
      </w:r>
      <w:r>
        <w:rPr>
          <w:rFonts w:ascii="Arial;sans-serif" w:hAnsi="Arial;sans-serif"/>
          <w:b w:val="false"/>
          <w:color w:val="000000"/>
          <w:sz w:val="20"/>
        </w:rPr>
        <w:t>. Participants may elect to defer up to 75% of eligible base compensation and up to 100% of eligible bonus, fiscal year or performance-based compensation under the Plan by completing deferral elections in accordance with Plan rules. The Company, in its sole discretion, may make employer contributions to the Plan. Participant and employer contributions to the Plan are credited to bookkeeping accounts maintained on behalf of each Participant under the Plan. The amounts credited to such deferral accounts under the Plan represent an unfunded, unsecured Obligation of the Company, and do not represent ownership, or any ownership interest in, any particular assets of the Company. The deferred compensation Obligations are not convertible into any other security of the Company and do not have the benefit of any negative pledges or of any covenants on the part of the Company, other than to pay the deferred compensation Obligations arising under the Plan. The Company may elect to contribute deferrals to a trust that satisfies the tax requirements applicable to non-qualified deferred compensation plans to satisfy its payment Obligations under the Plan.</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Vesting of Deferrals</w:t>
      </w:r>
      <w:r>
        <w:rPr>
          <w:rFonts w:ascii="Arial;sans-serif" w:hAnsi="Arial;sans-serif"/>
          <w:b w:val="false"/>
          <w:color w:val="000000"/>
          <w:sz w:val="20"/>
        </w:rPr>
        <w:t>. Participant deferrals are fully vested at all times. Participants become 100% vested in employer contributions, if any, upon 2 years of qualifying service with the Company. If not already vested, a Participant’s deferral account becomes 100% vested upon a change in control of the Company or upon the Participant’s death or disability.</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Earnings Credits</w:t>
      </w:r>
      <w:r>
        <w:rPr>
          <w:rFonts w:ascii="Arial;sans-serif" w:hAnsi="Arial;sans-serif"/>
          <w:b w:val="false"/>
          <w:color w:val="000000"/>
          <w:sz w:val="20"/>
        </w:rPr>
        <w:t>. Subject to certain exceptions and restrictions, a Participant’s deferral account balance is indexed to one or more hypothetical or “phantom” investment options chosen by the Participant from the phantom investment options available under the Plan. A Participant’s deferred compensation benefit payable under the Plan increases or decreases based on the investment performance of the selected “phantom” investment options.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Distribution of Deferrals</w:t>
      </w:r>
      <w:r>
        <w:rPr>
          <w:rFonts w:ascii="Arial;sans-serif" w:hAnsi="Arial;sans-serif"/>
          <w:b w:val="false"/>
          <w:color w:val="000000"/>
          <w:sz w:val="20"/>
        </w:rPr>
        <w:t>. Participants choose the time and manner of distribution of their deferral accounts. Payment of deferral accounts is made in cash at the time and in the form elected by the Participant, subject to the following general rules: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Participant may elect, but is not required to elect, to receive his or her deferrals on a specified distribution date that occurs during the Participant’s employment.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Participant’s deferrals will commence to be paid, if such deferrals have not already commenced to be paid, on the Participant’s termination of employment. Amounts payable to certain specified employees are delayed six months following such Participant’s termination of employment in accordance with the requirements of the Code and Plan.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Participant may elect to receive his or her deferrals in a lump-sum or in annual installments over a period of up to ten years.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A Participant’s entire deferral account balance will be paid in a lump sum upon the death or disability of the Participant, or upon a change in the ownership of the Company, a change in the effective control of the Company, or a change in the ownership of a substantial portion of the assets of the Company.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5. INTERESTS OF NAMED EXPERTS AND COUNSEL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6. INDEMNIFICATION OF DIRECTORS AND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VIII of the Company’s Bylaws provide for the mandatory indemnification of its officers, directors, employees and agents to the extent permitted by the Delaware General Corporation Law. The Company has entered into agreements with its officers, directors, and certain key employees implementing such indemnification.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7. EXEMPTION FROM REGISTRATION CLAIMED</w:t>
      </w:r>
    </w:p>
    <w:p>
      <w:pPr>
        <w:pStyle w:val="TextBody"/>
        <w:bidi w:val="0"/>
        <w:spacing w:before="0" w:after="0"/>
        <w:ind w:left="0" w:right="0" w:firstLine="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ind w:left="0" w:right="0" w:firstLine="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8. EXHIBITS</w:t>
      </w:r>
    </w:p>
    <w:tbl>
      <w:tblPr>
        <w:tblW w:w="10205" w:type="dxa"/>
        <w:jc w:val="left"/>
        <w:tblInd w:w="0" w:type="dxa"/>
        <w:tblLayout w:type="fixed"/>
        <w:tblCellMar>
          <w:top w:w="28" w:type="dxa"/>
          <w:left w:w="28" w:type="dxa"/>
          <w:bottom w:w="28" w:type="dxa"/>
          <w:right w:w="28" w:type="dxa"/>
        </w:tblCellMar>
      </w:tblPr>
      <w:tblGrid>
        <w:gridCol w:w="388"/>
        <w:gridCol w:w="342"/>
        <w:gridCol w:w="345"/>
        <w:gridCol w:w="1514"/>
        <w:gridCol w:w="1462"/>
        <w:gridCol w:w="1467"/>
        <w:gridCol w:w="346"/>
        <w:gridCol w:w="346"/>
        <w:gridCol w:w="348"/>
        <w:gridCol w:w="217"/>
        <w:gridCol w:w="217"/>
        <w:gridCol w:w="219"/>
        <w:gridCol w:w="329"/>
        <w:gridCol w:w="329"/>
        <w:gridCol w:w="331"/>
        <w:gridCol w:w="388"/>
        <w:gridCol w:w="388"/>
        <w:gridCol w:w="389"/>
        <w:gridCol w:w="243"/>
        <w:gridCol w:w="243"/>
        <w:gridCol w:w="354"/>
      </w:tblGrid>
      <w:tr>
        <w:trPr/>
        <w:tc>
          <w:tcPr>
            <w:tcW w:w="38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 Number</w:t>
            </w:r>
          </w:p>
        </w:tc>
        <w:tc>
          <w:tcPr>
            <w:tcW w:w="44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Description of Exhibit</w:t>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 Herewith</w:t>
            </w:r>
          </w:p>
        </w:tc>
        <w:tc>
          <w:tcPr>
            <w:tcW w:w="6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 Ending</w:t>
            </w:r>
          </w:p>
        </w:tc>
        <w:tc>
          <w:tcPr>
            <w:tcW w:w="1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 Appendix</w:t>
            </w:r>
          </w:p>
        </w:tc>
        <w:tc>
          <w:tcPr>
            <w:tcW w:w="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10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4443"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 Narrow;sans-serif" w:hAnsi="Arial Narrow;sans-serif"/>
                  <w:b w:val="false"/>
                  <w:color w:val="0000FF"/>
                  <w:sz w:val="20"/>
                  <w:u w:val="single"/>
                </w:rPr>
                <w:t>Restated Certificate of Incorporation of the Registrant</w:t>
              </w:r>
            </w:hyperlink>
          </w:p>
        </w:tc>
        <w:tc>
          <w:tcPr>
            <w:tcW w:w="1040"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989" w:type="dxa"/>
            <w:gridSpan w:val="3"/>
            <w:tcBorders>
              <w:top w:val="single" w:sz="8" w:space="0" w:color="000000"/>
            </w:tcBorders>
            <w:shd w:fill="D1D2D4"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99.2</w:t>
            </w:r>
          </w:p>
        </w:tc>
        <w:tc>
          <w:tcPr>
            <w:tcW w:w="840" w:type="dxa"/>
            <w:gridSpan w:val="3"/>
            <w:tcBorders>
              <w:top w:val="single" w:sz="8" w:space="0" w:color="000000"/>
            </w:tcBorders>
            <w:shd w:fill="D1D2D4"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1/26/15</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 Narrow;sans-serif" w:hAnsi="Arial Narrow;sans-serif"/>
                  <w:b w:val="false"/>
                  <w:color w:val="0000FF"/>
                  <w:sz w:val="20"/>
                  <w:u w:val="single"/>
                </w:rPr>
                <w:t>Bylaws of the Registrant, Amended and Restated</w:t>
              </w:r>
            </w:hyperlink>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3.1</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2/16/21</w:t>
            </w:r>
          </w:p>
        </w:tc>
      </w:tr>
      <w:tr>
        <w:trPr/>
        <w:tc>
          <w:tcPr>
            <w:tcW w:w="10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w:t>
            </w:r>
          </w:p>
        </w:tc>
        <w:tc>
          <w:tcPr>
            <w:tcW w:w="4443"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20"/>
                  <w:u w:val="single"/>
                </w:rPr>
                <w:t>Micron Technology, Inc. Amended and Restated 2007 Equity Incentive Plan</w:t>
              </w:r>
            </w:hyperlink>
          </w:p>
        </w:tc>
        <w:tc>
          <w:tcPr>
            <w:tcW w:w="10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98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w:t>
            </w:r>
          </w:p>
        </w:tc>
        <w:tc>
          <w:tcPr>
            <w:tcW w:w="8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12/2/22</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4.4</w:t>
            </w:r>
          </w:p>
        </w:tc>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20"/>
                  <w:u w:val="single"/>
                </w:rPr>
                <w:t>2007 Equity Incentive Plan Forms of Agreement and Terms and Conditions</w:t>
              </w:r>
            </w:hyperlink>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12/1/22</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w:t>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12/22/22</w:t>
            </w:r>
          </w:p>
        </w:tc>
      </w:tr>
      <w:tr>
        <w:trPr/>
        <w:tc>
          <w:tcPr>
            <w:tcW w:w="10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w:t>
            </w:r>
          </w:p>
        </w:tc>
        <w:tc>
          <w:tcPr>
            <w:tcW w:w="4443"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20"/>
                  <w:u w:val="single"/>
                </w:rPr>
                <w:t>Micron Technology, Inc. Deferred Compensation Plan, as amended</w:t>
              </w:r>
            </w:hyperlink>
          </w:p>
        </w:tc>
        <w:tc>
          <w:tcPr>
            <w:tcW w:w="10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989"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6/2/22</w:t>
            </w:r>
          </w:p>
        </w:tc>
        <w:tc>
          <w:tcPr>
            <w:tcW w:w="116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8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7/1/22</w:t>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w:t>
            </w:r>
          </w:p>
        </w:tc>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s-8ex51xopinionofcoun.htm">
              <w:r>
                <w:rPr>
                  <w:rStyle w:val="InternetLink"/>
                  <w:rFonts w:ascii="Arial Narrow;sans-serif" w:hAnsi="Arial Narrow;sans-serif"/>
                  <w:b w:val="false"/>
                  <w:color w:val="0000FF"/>
                  <w:sz w:val="20"/>
                  <w:u w:val="single"/>
                </w:rPr>
                <w:t>Opinion of Wilson Sonsini Goodrich &amp; Rosati, Professional Corporation</w:t>
              </w:r>
            </w:hyperlink>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23.1</w:t>
            </w:r>
          </w:p>
        </w:tc>
        <w:tc>
          <w:tcPr>
            <w:tcW w:w="4443"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a2023s-8ex231xconsentofpwc.htm">
              <w:r>
                <w:rPr>
                  <w:rStyle w:val="InternetLink"/>
                  <w:rFonts w:ascii="Arial Narrow;sans-serif" w:hAnsi="Arial Narrow;sans-serif"/>
                  <w:b w:val="false"/>
                  <w:color w:val="0000FF"/>
                  <w:sz w:val="20"/>
                  <w:u w:val="single"/>
                </w:rPr>
                <w:t>Consent of Independent Registered Public Accounting Firm</w:t>
              </w:r>
            </w:hyperlink>
          </w:p>
        </w:tc>
        <w:tc>
          <w:tcPr>
            <w:tcW w:w="10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653"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23.2</w:t>
            </w:r>
          </w:p>
        </w:tc>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s-8ex51xopinionofcoun.htm">
              <w:r>
                <w:rPr>
                  <w:rStyle w:val="InternetLink"/>
                  <w:rFonts w:ascii="Arial Narrow;sans-serif" w:hAnsi="Arial Narrow;sans-serif"/>
                  <w:b w:val="false"/>
                  <w:color w:val="0000FF"/>
                  <w:sz w:val="20"/>
                  <w:u w:val="single"/>
                </w:rPr>
                <w:t>Consent of Wilson Sonsini Goodrich &amp; Rosati, Professional Corporation (contained in Exhibit 5.1)</w:t>
              </w:r>
            </w:hyperlink>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24.1</w:t>
            </w:r>
          </w:p>
        </w:tc>
        <w:tc>
          <w:tcPr>
            <w:tcW w:w="4443" w:type="dxa"/>
            <w:gridSpan w:val="3"/>
            <w:tcBorders/>
            <w:shd w:fill="D1D2D4" w:val="clear"/>
            <w:tcMar>
              <w:top w:w="0" w:type="dxa"/>
              <w:left w:w="0" w:type="dxa"/>
              <w:bottom w:w="0" w:type="dxa"/>
              <w:right w:w="0" w:type="dxa"/>
            </w:tcMar>
            <w:vAlign w:val="center"/>
          </w:tcPr>
          <w:p>
            <w:pPr>
              <w:pStyle w:val="TableContents"/>
              <w:bidi w:val="0"/>
              <w:spacing w:lineRule="auto" w:line="240" w:before="0" w:after="0"/>
              <w:jc w:val="left"/>
              <w:rPr/>
            </w:pPr>
            <w:hyperlink w:anchor="i633333eca191404dac27d951f4fa816d_46">
              <w:r>
                <w:rPr>
                  <w:rStyle w:val="InternetLink"/>
                  <w:rFonts w:ascii="Arial Narrow;sans-serif" w:hAnsi="Arial Narrow;sans-serif"/>
                  <w:b w:val="false"/>
                  <w:color w:val="0000FF"/>
                  <w:sz w:val="20"/>
                  <w:u w:val="single"/>
                </w:rPr>
                <w:t>Power of Attorney (included on signature page)</w:t>
              </w:r>
            </w:hyperlink>
          </w:p>
        </w:tc>
        <w:tc>
          <w:tcPr>
            <w:tcW w:w="1040" w:type="dxa"/>
            <w:gridSpan w:val="3"/>
            <w:tcBorders/>
            <w:shd w:fill="D1D2D4"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653"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D1D2D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107.1</w:t>
            </w:r>
          </w:p>
        </w:tc>
        <w:tc>
          <w:tcPr>
            <w:tcW w:w="4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2023s-8ex1071xcalculation.htm">
              <w:r>
                <w:rPr>
                  <w:rStyle w:val="InternetLink"/>
                  <w:rFonts w:ascii="Arial Narrow;sans-serif" w:hAnsi="Arial Narrow;sans-serif"/>
                  <w:b w:val="false"/>
                  <w:color w:val="0000FF"/>
                  <w:sz w:val="20"/>
                  <w:u w:val="single"/>
                </w:rPr>
                <w:t>Calculation of Filing Fee Table</w:t>
              </w:r>
            </w:hyperlink>
          </w:p>
        </w:tc>
        <w:tc>
          <w:tcPr>
            <w:tcW w:w="1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6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8"/>
        </w:rPr>
      </w:pPr>
      <w:r>
        <w:rPr>
          <w:rFonts w:ascii="Arial Narrow;sans-serif" w:hAnsi="Arial Narrow;sans-serif"/>
          <w:b/>
          <w:color w:val="000000"/>
          <w:sz w:val="28"/>
        </w:rPr>
        <w:t>ITEM 9. UNDERTAKINGS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(a)    The undersigned Registrant hereby undertakes:</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(1)    To file, during any period in which offers or sales are being made, a post-effective amendment to this Registration Statement: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    to include any prospectus required by section 10(a)(3) of the Securities Act;</w:t>
      </w:r>
    </w:p>
    <w:p>
      <w:pPr>
        <w:pStyle w:val="TextBody"/>
        <w:bidi w:val="0"/>
        <w:spacing w:before="0" w:after="0"/>
        <w:ind w:left="0" w:right="0" w:hanging="720"/>
        <w:jc w:val="left"/>
        <w:rPr/>
      </w:pPr>
      <w:r>
        <w:rPr/>
      </w:r>
    </w:p>
    <w:p>
      <w:pPr>
        <w:pStyle w:val="TextBody"/>
        <w:bidi w:val="0"/>
        <w:spacing w:lineRule="auto" w:line="288"/>
        <w:ind w:left="0" w:right="0" w:hanging="720"/>
        <w:jc w:val="left"/>
        <w:rPr>
          <w:rFonts w:ascii="Arial;sans-serif" w:hAnsi="Arial;sans-serif"/>
          <w:b w:val="false"/>
          <w:color w:val="000000"/>
          <w:sz w:val="20"/>
        </w:rPr>
      </w:pPr>
      <w:r>
        <w:rPr>
          <w:rFonts w:ascii="Arial;sans-serif" w:hAnsi="Arial;sans-serif"/>
          <w:b w:val="false"/>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rPr>
        <w:t>provided</w:t>
      </w:r>
      <w:r>
        <w:rPr>
          <w:rFonts w:ascii="Arial;sans-serif" w:hAnsi="Arial;sans-serif"/>
          <w:b w:val="false"/>
          <w:color w:val="000000"/>
          <w:sz w:val="20"/>
        </w:rPr>
        <w:t xml:space="preserve">, </w:t>
      </w:r>
      <w:r>
        <w:rPr>
          <w:rFonts w:ascii="Arial;sans-serif" w:hAnsi="Arial;sans-serif"/>
          <w:b w:val="false"/>
          <w:i/>
          <w:color w:val="000000"/>
          <w:sz w:val="20"/>
        </w:rPr>
        <w:t>however</w:t>
      </w:r>
      <w:r>
        <w:rPr>
          <w:rFonts w:ascii="Arial;sans-serif" w:hAnsi="Arial;sans-serif"/>
          <w:b w:val="false"/>
          <w:color w:val="000000"/>
          <w:sz w:val="20"/>
        </w:rPr>
        <w:t>,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(3)    To remove from registration by means of a post-effective amendment any of the securities being registered which remain unsold at the termination of the offering.</w:t>
      </w:r>
    </w:p>
    <w:p>
      <w:pPr>
        <w:pStyle w:val="TextBody"/>
        <w:bidi w:val="0"/>
        <w:spacing w:before="0" w:after="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Arial;sans-serif" w:hAnsi="Arial;sans-serif"/>
          <w:b w:val="false"/>
          <w:color w:val="000000"/>
          <w:sz w:val="20"/>
        </w:rPr>
      </w:pPr>
      <w:r>
        <w:rPr>
          <w:rFonts w:ascii="Arial;sans-serif" w:hAnsi="Arial;sans-serif"/>
          <w:b w:val="false"/>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and the City of Denver, State of Colorado, respectively, on August 8, 2023.</w:t>
      </w:r>
    </w:p>
    <w:tbl>
      <w:tblPr>
        <w:tblW w:w="48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0"/>
        <w:gridCol w:w="110"/>
        <w:gridCol w:w="110"/>
        <w:gridCol w:w="1115"/>
        <w:gridCol w:w="1115"/>
        <w:gridCol w:w="157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57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Micron Technology,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By:</w:t>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Sanjay Mehrotra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(Sanjay Mehrotra)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Mark J. Murphy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(Mark J. Murphy)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POWER OF ATTORNEY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PERSONS BY THESE PRESENTS, that each person whose signature appears below constitutes and appoints Sanjay Mehrotra and Mark J. Murphy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Act of 1933, as amended, this Registration Statement has been signed by the following persons in the capacities and on the date indicated.</w:t>
      </w:r>
    </w:p>
    <w:tbl>
      <w:tblPr>
        <w:tblW w:w="5908" w:type="dxa"/>
        <w:jc w:val="left"/>
        <w:tblInd w:w="0" w:type="dxa"/>
        <w:tblLayout w:type="fixed"/>
        <w:tblCellMar>
          <w:top w:w="28" w:type="dxa"/>
          <w:left w:w="28" w:type="dxa"/>
          <w:bottom w:w="28" w:type="dxa"/>
          <w:right w:w="28" w:type="dxa"/>
        </w:tblCellMar>
      </w:tblPr>
      <w:tblGrid>
        <w:gridCol w:w="739"/>
        <w:gridCol w:w="649"/>
        <w:gridCol w:w="651"/>
        <w:gridCol w:w="875"/>
        <w:gridCol w:w="875"/>
        <w:gridCol w:w="889"/>
        <w:gridCol w:w="358"/>
        <w:gridCol w:w="358"/>
        <w:gridCol w:w="51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Sanjay Mehrotra</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President and</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(Sanjay Mehrotra)</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(Principal Executive Officer)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Mark J. Murphy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Executive Vice President and</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(Mark J. Murphy)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Financial Officer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(Principal Financial Officer)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Scott Allen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Corporate Vice President and</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(Scott Allen)</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Accounting Officer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(Principal Accounting Officer)</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Richard M. Beyer</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(Richard M. Beyer)</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Lynn A. Dugle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(Lynn A. Dugle)</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Steven J. Gomo</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(Steven J. Gomo)</w:t>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Linnie M. Haynesworth</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(Linnie M. Haynesworth)</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Mary Pat McCarthy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(Mary Pat McCarthy)</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Robert E. Switz</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Chairman of the Board</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(Robert E. Switz)</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i/>
                <w:color w:val="000000"/>
                <w:sz w:val="20"/>
              </w:rPr>
            </w:pPr>
            <w:r>
              <w:rPr>
                <w:rFonts w:ascii="Arial Narrow;sans-serif" w:hAnsi="Arial Narrow;sans-serif"/>
                <w:b w:val="false"/>
                <w:i/>
                <w:color w:val="000000"/>
                <w:sz w:val="20"/>
              </w:rPr>
              <w:t>/s/ MaryAnn Wright</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August 8, 2023</w:t>
            </w:r>
          </w:p>
        </w:tc>
      </w:tr>
      <w:tr>
        <w:trPr/>
        <w:tc>
          <w:tcPr>
            <w:tcW w:w="2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(MaryAnn Wright)</w:t>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p>
      <w:pPr>
        <w:pStyle w:val="TextBody"/>
        <w:bidi w:val="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107.1</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Calculation of Filing Fee Table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S-8</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(Form Type)</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6"/>
        </w:rPr>
      </w:pPr>
      <w:r>
        <w:rPr>
          <w:rFonts w:ascii="Arial;sans-serif" w:hAnsi="Arial;sans-serif"/>
          <w:b/>
          <w:color w:val="000000"/>
          <w:sz w:val="26"/>
        </w:rPr>
        <w:t>Micron Technology, Inc.</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(Exact Name of Registrant as Specified in its Charter)</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Table 1: Newly Registered Securities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47"/>
        <w:gridCol w:w="129"/>
        <w:gridCol w:w="129"/>
        <w:gridCol w:w="129"/>
        <w:gridCol w:w="129"/>
        <w:gridCol w:w="132"/>
        <w:gridCol w:w="793"/>
        <w:gridCol w:w="451"/>
        <w:gridCol w:w="454"/>
        <w:gridCol w:w="356"/>
        <w:gridCol w:w="356"/>
        <w:gridCol w:w="358"/>
        <w:gridCol w:w="457"/>
        <w:gridCol w:w="347"/>
        <w:gridCol w:w="348"/>
        <w:gridCol w:w="475"/>
        <w:gridCol w:w="475"/>
        <w:gridCol w:w="476"/>
        <w:gridCol w:w="869"/>
        <w:gridCol w:w="451"/>
        <w:gridCol w:w="441"/>
        <w:gridCol w:w="319"/>
        <w:gridCol w:w="319"/>
        <w:gridCol w:w="323"/>
        <w:gridCol w:w="412"/>
        <w:gridCol w:w="379"/>
        <w:gridCol w:w="551"/>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795"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Security Type</w:t>
            </w:r>
          </w:p>
        </w:tc>
        <w:tc>
          <w:tcPr>
            <w:tcW w:w="16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Security Class Title</w:t>
            </w:r>
          </w:p>
        </w:tc>
        <w:tc>
          <w:tcPr>
            <w:tcW w:w="10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Fee Calculation Rule</w:t>
            </w:r>
          </w:p>
        </w:tc>
        <w:tc>
          <w:tcPr>
            <w:tcW w:w="11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Amount Registered</w:t>
            </w:r>
          </w:p>
        </w:tc>
        <w:tc>
          <w:tcPr>
            <w:tcW w:w="142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Proposed Maximum Offering Price Per Unit</w:t>
            </w:r>
          </w:p>
        </w:tc>
        <w:tc>
          <w:tcPr>
            <w:tcW w:w="17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Maximum Aggregate Offering Price</w:t>
            </w:r>
          </w:p>
        </w:tc>
        <w:tc>
          <w:tcPr>
            <w:tcW w:w="9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Fee Rate</w:t>
            </w:r>
          </w:p>
        </w:tc>
        <w:tc>
          <w:tcPr>
            <w:tcW w:w="134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Amount of Registration Fee</w:t>
            </w:r>
          </w:p>
        </w:tc>
      </w:tr>
      <w:tr>
        <w:trPr/>
        <w:tc>
          <w:tcPr>
            <w:tcW w:w="795"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Equity</w:t>
            </w:r>
          </w:p>
        </w:tc>
        <w:tc>
          <w:tcPr>
            <w:tcW w:w="169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Common Stock, $0.10 par value per share</w:t>
            </w:r>
            <w:r>
              <w:rPr>
                <w:rFonts w:ascii="Arial Narrow;sans-serif" w:hAnsi="Arial Narrow;sans-serif"/>
                <w:b w:val="false"/>
                <w:color w:val="000000"/>
                <w:sz w:val="13"/>
              </w:rPr>
              <w:t>(1)</w:t>
            </w:r>
          </w:p>
        </w:tc>
        <w:tc>
          <w:tcPr>
            <w:tcW w:w="107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457(c) and 457(h)</w:t>
            </w:r>
          </w:p>
        </w:tc>
        <w:tc>
          <w:tcPr>
            <w:tcW w:w="115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50,000,000</w:t>
            </w:r>
            <w:r>
              <w:rPr>
                <w:rFonts w:ascii="Arial Narrow;sans-serif" w:hAnsi="Arial Narrow;sans-serif"/>
                <w:b w:val="false"/>
                <w:color w:val="000000"/>
                <w:sz w:val="13"/>
              </w:rPr>
              <w:t>(2)</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$67.83</w:t>
            </w:r>
            <w:r>
              <w:rPr>
                <w:rFonts w:ascii="Arial Narrow;sans-serif" w:hAnsi="Arial Narrow;sans-serif"/>
                <w:b w:val="false"/>
                <w:color w:val="000000"/>
                <w:sz w:val="13"/>
              </w:rPr>
              <w:t>(3)</w:t>
            </w:r>
          </w:p>
        </w:tc>
        <w:tc>
          <w:tcPr>
            <w:tcW w:w="17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$3,391,500,000.00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0.00011020</w:t>
            </w:r>
          </w:p>
        </w:tc>
        <w:tc>
          <w:tcPr>
            <w:tcW w:w="13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$373,743.30</w:t>
            </w:r>
          </w:p>
        </w:tc>
      </w:tr>
      <w:tr>
        <w:trPr/>
        <w:tc>
          <w:tcPr>
            <w:tcW w:w="795" w:type="dxa"/>
            <w:gridSpan w:val="6"/>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Other</w:t>
            </w:r>
          </w:p>
        </w:tc>
        <w:tc>
          <w:tcPr>
            <w:tcW w:w="169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Deferred Compensation Obligations</w:t>
            </w:r>
          </w:p>
        </w:tc>
        <w:tc>
          <w:tcPr>
            <w:tcW w:w="107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457(h)</w:t>
            </w:r>
          </w:p>
        </w:tc>
        <w:tc>
          <w:tcPr>
            <w:tcW w:w="115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$85,000,000</w:t>
            </w:r>
            <w:r>
              <w:rPr>
                <w:rFonts w:ascii="Arial Narrow;sans-serif" w:hAnsi="Arial Narrow;sans-serif"/>
                <w:b w:val="false"/>
                <w:color w:val="000000"/>
                <w:sz w:val="13"/>
              </w:rPr>
              <w:t>(4)</w:t>
            </w:r>
          </w:p>
        </w:tc>
        <w:tc>
          <w:tcPr>
            <w:tcW w:w="142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100%</w:t>
            </w:r>
          </w:p>
        </w:tc>
        <w:tc>
          <w:tcPr>
            <w:tcW w:w="17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$85,000,000.00</w:t>
            </w:r>
          </w:p>
        </w:tc>
        <w:tc>
          <w:tcPr>
            <w:tcW w:w="9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0.00011020</w:t>
            </w:r>
          </w:p>
        </w:tc>
        <w:tc>
          <w:tcPr>
            <w:tcW w:w="13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$9,367.00</w:t>
            </w:r>
            <w:r>
              <w:rPr>
                <w:rFonts w:ascii="Arial Narrow;sans-serif" w:hAnsi="Arial Narrow;sans-serif"/>
                <w:b w:val="false"/>
                <w:color w:val="000000"/>
                <w:sz w:val="13"/>
              </w:rPr>
              <w:t>(5)</w:t>
            </w:r>
          </w:p>
        </w:tc>
      </w:tr>
      <w:tr>
        <w:trPr/>
        <w:tc>
          <w:tcPr>
            <w:tcW w:w="4715" w:type="dxa"/>
            <w:gridSpan w:val="15"/>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Total Offering Amounts</w:t>
            </w:r>
          </w:p>
        </w:tc>
        <w:tc>
          <w:tcPr>
            <w:tcW w:w="14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$3,476,500,000.00</w:t>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$383,110.30</w:t>
            </w:r>
          </w:p>
        </w:tc>
      </w:tr>
      <w:tr>
        <w:trPr/>
        <w:tc>
          <w:tcPr>
            <w:tcW w:w="4715" w:type="dxa"/>
            <w:gridSpan w:val="15"/>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Total Fee Offsets</w:t>
            </w:r>
          </w:p>
        </w:tc>
        <w:tc>
          <w:tcPr>
            <w:tcW w:w="142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color w:val="000000"/>
              </w:rPr>
            </w:pPr>
            <w:r>
              <w:rPr>
                <w:color w:val="000000"/>
              </w:rPr>
              <w:t>—</w:t>
            </w:r>
          </w:p>
        </w:tc>
      </w:tr>
      <w:tr>
        <w:trPr/>
        <w:tc>
          <w:tcPr>
            <w:tcW w:w="4715" w:type="dxa"/>
            <w:gridSpan w:val="15"/>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Net Fee Due</w:t>
            </w:r>
          </w:p>
        </w:tc>
        <w:tc>
          <w:tcPr>
            <w:tcW w:w="1426"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7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$383,110.30</w:t>
            </w:r>
          </w:p>
        </w:tc>
      </w:tr>
    </w:tbl>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    To be issued pursuant to the Micron Technology, Inc. Amended and Restated 2007 Equity Incentive Plan</w:t>
      </w:r>
    </w:p>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Pursuant to Rule 416 under the Securities Act of 1933, as amended (the “Securities Act”), to the extent additional shares of the Registrant’s Common Stock may be issued or issuable as a result of a stock split, stock dividend, or other distribution declared at any time by the Board of Directors of the Registrant while this Registration Statement is in effect, this Registration Statement is hereby declared to cover all of such additional Common Stock.</w:t>
      </w:r>
    </w:p>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    Estimated in accordance with Rules 457(c) and 457(h) under the Securities Act, solely for the purpose of calculating the registration fee on the basis of $67.83 per share, which is the average of the high and low price of the Registrant’s Common Stock as reported on the Nasdaq Global Select Market on August 8, 2023.</w:t>
      </w:r>
    </w:p>
    <w:p>
      <w:pPr>
        <w:pStyle w:val="TextBody"/>
        <w:bidi w:val="0"/>
        <w:spacing w:lineRule="auto" w:line="288" w:before="0" w:after="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    The deferred compensation obligations are unsecured obligations of the Registrant to pay deferred compensation in the future in accordance with the terms of the Micron Technology, Inc. Deferred Compensation Plan (the “Deferred Compensation Plan”).</w:t>
      </w:r>
    </w:p>
    <w:p>
      <w:pPr>
        <w:pStyle w:val="TextBody"/>
        <w:bidi w:val="0"/>
        <w:spacing w:lineRule="auto" w:line="288"/>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    Estimated in accordance with Rule 457(h) under the Securities Act, solely for the purpose of calculating the registration fee based on an estimate of the amount of eligible compensation participants may defer under the Deferred Compensation Plan.</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5.1</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[LETTERHEAD OF WILSON SONSINI GOODRICH &amp; ROSATI, PC]</w:t>
      </w:r>
    </w:p>
    <w:p>
      <w:pPr>
        <w:pStyle w:val="TextBody"/>
        <w:bidi w:val="0"/>
        <w:spacing w:lineRule="auto" w:line="268" w:before="0" w:after="240"/>
        <w:jc w:val="center"/>
        <w:rPr>
          <w:rFonts w:ascii="Arial;sans-serif" w:hAnsi="Arial;sans-serif"/>
          <w:b w:val="false"/>
          <w:color w:val="000000"/>
          <w:sz w:val="22"/>
        </w:rPr>
      </w:pPr>
      <w:r>
        <w:rPr>
          <w:rFonts w:ascii="Arial;sans-serif" w:hAnsi="Arial;sans-serif"/>
          <w:b w:val="false"/>
          <w:color w:val="000000"/>
          <w:sz w:val="22"/>
        </w:rPr>
        <w:t>August 8, 2023</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Micron Technology, Inc.</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8000 South Federal Way</w:t>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Boise, Idaho 83716-9632</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Re: Registration Statement on Form S-8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2"/>
        </w:rPr>
      </w:pPr>
      <w:r>
        <w:rPr>
          <w:rFonts w:ascii="Arial;sans-serif" w:hAnsi="Arial;sans-serif"/>
          <w:b w:val="false"/>
          <w:color w:val="000000"/>
          <w:sz w:val="22"/>
        </w:rPr>
        <w:t>Ladies and Gentlemen:</w:t>
      </w:r>
    </w:p>
    <w:p>
      <w:pPr>
        <w:pStyle w:val="TextBody"/>
        <w:bidi w:val="0"/>
        <w:spacing w:before="0" w:after="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At your request, we are rendering this opinion in connection with the Registration Statement on Form S-8 to be filed by Micron Technology, Inc., a Delaware corporation (the “Company”), with the U.S. Securities and Exchange Commission (the “SEC”) on or about August 8, 2023 (the “Registration Statement”) for the proposed issuance of up to (a) 50,000,000 additional shares of common stock, $0.10 par value per share, of the Company (the “Additional Shares”), pursuant to the Micron Technology, Inc. Amended and Restated 2007 Equity Incentive Plan (the “Equity Plan”), and (b) $85,000,000 of deferred compensation obligations of the Company (the “Obligations”) pursuant to the Micron Technology, Inc. Deferred Compensation Plan (the “Deferred Compensation Plan”).</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We have examined and relied, to the extent we deem proper, on certificates of the Company as to factual matters, and on the originals or copies certified or otherwise identified to our satisfaction, of all such corporate records of the Company and such other instruments, documents, and records that we have deemed relevant and necessary for the basis of our opinion hereinafter expressed. In such examination, we have assumed the genuineness of all signatures, the legal capacity of natural persons, the authenticity of all documents submitted to us as originals, the conformity to the originals of all documents submitted to us as copies, and the truth, accuracy and completeness of the information, representations and warranties contained in the records, documents, instruments and certificates we have reviewed.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Based on such examination, we are of the opinion that following the filing of the Registration Statement: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(1) the Additional Shares to be issued by the Company pursuant to the Equity Plan are validly authorized and, when issued in accordance with the terms of the Equity Plan, will be legally issued, fully paid and non-assessable; and</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2"/>
        </w:rPr>
      </w:pPr>
      <w:r>
        <w:rPr>
          <w:rFonts w:ascii="Arial;sans-serif" w:hAnsi="Arial;sans-serif"/>
          <w:b w:val="false"/>
          <w:color w:val="000000"/>
          <w:sz w:val="22"/>
        </w:rPr>
        <w:t xml:space="preserve">(2) the Obligations, when issued in accordance with the terms of the Deferred Compensation Plan, will be legally valid and binding obligations of the Company, enforceable in accordance with their terms. </w:t>
      </w:r>
    </w:p>
    <w:p>
      <w:pPr>
        <w:pStyle w:val="TextBody"/>
        <w:bidi w:val="0"/>
        <w:spacing w:before="0" w:after="0"/>
        <w:ind w:left="0" w:right="0" w:firstLine="720"/>
        <w:jc w:val="left"/>
        <w:rPr/>
      </w:pPr>
      <w:r>
        <w:rPr/>
      </w:r>
    </w:p>
    <w:p>
      <w:pPr>
        <w:pStyle w:val="TextBody"/>
        <w:bidi w:val="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Micron Technology, Inc.</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August 8, 2023</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Page 2</w:t>
      </w:r>
    </w:p>
    <w:p>
      <w:pPr>
        <w:pStyle w:val="TextBody"/>
        <w:bidi w:val="0"/>
        <w:spacing w:lineRule="auto" w:line="268"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We hereby consent to the filing of this opinion as an exhibit to the Registration Statement and to the use of our name wherever it appears in the Registration Statement. In giving such consent, we do not consider that we are “experts” within the meaning of such term as used in the Securities Act of 1933, as amended, or the rules and regulations of the SEC issued thereunder, with respect to any part of the Registration Statement, including this opinion as an exhibit or otherwise. </w:t>
      </w:r>
    </w:p>
    <w:p>
      <w:pPr>
        <w:pStyle w:val="TextBody"/>
        <w:bidi w:val="0"/>
        <w:spacing w:before="0" w:after="0"/>
        <w:ind w:left="0" w:right="0" w:firstLine="5040"/>
        <w:jc w:val="left"/>
        <w:rPr/>
      </w:pPr>
      <w:r>
        <w:rPr/>
      </w:r>
    </w:p>
    <w:p>
      <w:pPr>
        <w:pStyle w:val="TextBody"/>
        <w:bidi w:val="0"/>
        <w:spacing w:lineRule="auto" w:line="268" w:before="0" w:after="180"/>
        <w:ind w:left="0" w:right="0" w:firstLine="5040"/>
        <w:jc w:val="left"/>
        <w:rPr>
          <w:rFonts w:ascii="Arial;sans-serif" w:hAnsi="Arial;sans-serif"/>
          <w:b w:val="false"/>
          <w:color w:val="000000"/>
          <w:sz w:val="22"/>
        </w:rPr>
      </w:pPr>
      <w:r>
        <w:rPr>
          <w:rFonts w:ascii="Arial;sans-serif" w:hAnsi="Arial;sans-serif"/>
          <w:b w:val="false"/>
          <w:color w:val="000000"/>
          <w:sz w:val="22"/>
        </w:rPr>
        <w:t xml:space="preserve">Very truly yours, </w:t>
      </w:r>
    </w:p>
    <w:p>
      <w:pPr>
        <w:pStyle w:val="TextBody"/>
        <w:bidi w:val="0"/>
        <w:spacing w:lineRule="auto" w:line="288" w:before="0" w:after="0"/>
        <w:ind w:left="0" w:right="0" w:firstLine="5040"/>
        <w:jc w:val="left"/>
        <w:rPr>
          <w:rFonts w:ascii="Arial;sans-serif" w:hAnsi="Arial;sans-serif"/>
          <w:b w:val="false"/>
          <w:color w:val="000000"/>
          <w:sz w:val="22"/>
        </w:rPr>
      </w:pPr>
      <w:r>
        <w:rPr>
          <w:rFonts w:ascii="Arial;sans-serif" w:hAnsi="Arial;sans-serif"/>
          <w:b w:val="false"/>
          <w:color w:val="000000"/>
          <w:sz w:val="22"/>
        </w:rPr>
        <w:t xml:space="preserve">WILSON SONSINI GOODRICH &amp; ROSATI </w:t>
      </w:r>
    </w:p>
    <w:p>
      <w:pPr>
        <w:pStyle w:val="TextBody"/>
        <w:bidi w:val="0"/>
        <w:spacing w:lineRule="auto" w:line="288" w:before="0" w:after="0"/>
        <w:ind w:left="0" w:right="0" w:firstLine="5040"/>
        <w:jc w:val="left"/>
        <w:rPr>
          <w:rFonts w:ascii="Arial;sans-serif" w:hAnsi="Arial;sans-serif"/>
          <w:b w:val="false"/>
          <w:color w:val="000000"/>
          <w:sz w:val="22"/>
        </w:rPr>
      </w:pPr>
      <w:r>
        <w:rPr>
          <w:rFonts w:ascii="Arial;sans-serif" w:hAnsi="Arial;sans-serif"/>
          <w:b w:val="false"/>
          <w:color w:val="000000"/>
          <w:sz w:val="22"/>
        </w:rPr>
        <w:t>Professional Corporation</w:t>
      </w:r>
    </w:p>
    <w:p>
      <w:pPr>
        <w:pStyle w:val="TextBody"/>
        <w:bidi w:val="0"/>
        <w:spacing w:before="0" w:after="0"/>
        <w:ind w:left="0" w:right="0" w:firstLine="5040"/>
        <w:jc w:val="left"/>
        <w:rPr/>
      </w:pPr>
      <w:r>
        <w:rPr/>
      </w:r>
    </w:p>
    <w:p>
      <w:pPr>
        <w:pStyle w:val="TextBody"/>
        <w:bidi w:val="0"/>
        <w:spacing w:lineRule="auto" w:line="288"/>
        <w:ind w:left="0" w:right="0" w:firstLine="5040"/>
        <w:jc w:val="left"/>
        <w:rPr>
          <w:rFonts w:ascii="Arial;sans-serif" w:hAnsi="Arial;sans-serif"/>
          <w:b w:val="false"/>
          <w:color w:val="000000"/>
          <w:sz w:val="22"/>
        </w:rPr>
      </w:pPr>
      <w:r>
        <w:rPr>
          <w:rFonts w:ascii="Arial;sans-serif" w:hAnsi="Arial;sans-serif"/>
          <w:b w:val="false"/>
          <w:color w:val="000000"/>
          <w:sz w:val="22"/>
        </w:rPr>
        <w:t xml:space="preserve">/s/ Wilson Sonsini Goodrich &amp; Rosati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2"/>
        </w:rPr>
      </w:pPr>
      <w:r>
        <w:rPr>
          <w:rFonts w:ascii="Arial;sans-serif" w:hAnsi="Arial;sans-serif"/>
          <w:b/>
          <w:color w:val="000000"/>
          <w:sz w:val="22"/>
        </w:rPr>
        <w:t>EXHIBIT 23.1</w:t>
      </w:r>
    </w:p>
    <w:p>
      <w:pPr>
        <w:pStyle w:val="TextBody"/>
        <w:bidi w:val="0"/>
        <w:spacing w:before="0" w:after="120"/>
        <w:jc w:val="left"/>
        <w:rPr/>
      </w:pPr>
      <w:r>
        <w:rPr/>
      </w:r>
    </w:p>
    <w:p>
      <w:pPr>
        <w:pStyle w:val="TextBody"/>
        <w:bidi w:val="0"/>
        <w:spacing w:lineRule="auto" w:line="288" w:before="0" w:after="120"/>
        <w:jc w:val="center"/>
        <w:rPr>
          <w:rFonts w:ascii="Arial;sans-serif" w:hAnsi="Arial;sans-serif"/>
          <w:b w:val="false"/>
          <w:color w:val="000000"/>
          <w:sz w:val="22"/>
          <w:u w:val="single"/>
        </w:rPr>
      </w:pPr>
      <w:r>
        <w:rPr>
          <w:rFonts w:ascii="Arial;sans-serif" w:hAnsi="Arial;sans-serif"/>
          <w:b w:val="false"/>
          <w:color w:val="000000"/>
          <w:sz w:val="22"/>
          <w:u w:val="single"/>
        </w:rPr>
        <w:t>CONSENT OF INDEPENDENT REGISTERED PUBLIC ACCOUNTING FIRM</w:t>
      </w:r>
    </w:p>
    <w:p>
      <w:pPr>
        <w:pStyle w:val="TextBody"/>
        <w:bidi w:val="0"/>
        <w:spacing w:before="0" w:after="120"/>
        <w:ind w:left="0" w:right="0" w:firstLine="720"/>
        <w:jc w:val="left"/>
        <w:rPr/>
      </w:pPr>
      <w:r>
        <w:rPr/>
      </w:r>
    </w:p>
    <w:p>
      <w:pPr>
        <w:pStyle w:val="TextBody"/>
        <w:bidi w:val="0"/>
        <w:spacing w:lineRule="auto" w:line="288" w:before="0" w:after="120"/>
        <w:jc w:val="left"/>
        <w:rPr>
          <w:rFonts w:ascii="Arial;sans-serif" w:hAnsi="Arial;sans-serif"/>
          <w:b w:val="false"/>
          <w:color w:val="000000"/>
          <w:sz w:val="22"/>
        </w:rPr>
      </w:pPr>
      <w:r>
        <w:rPr>
          <w:rFonts w:ascii="Arial;sans-serif" w:hAnsi="Arial;sans-serif"/>
          <w:b w:val="false"/>
          <w:color w:val="000000"/>
          <w:sz w:val="22"/>
        </w:rPr>
        <w:t>We hereby consent to the incorporation by reference in this Registration Statement on Form S-8 of Micron Technology, Inc. of our report dated October 7, 2022 relating to the financial statements, financial statement schedule and the effectiveness of internal control over financial reporting, which appears in Micron Technology, Inc.’s Annual Report on Form 10-K for the year ended September 1, 2022.</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 PricewaterhouseCoopers LLP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San Jose, California</w:t>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August 8, 2023</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723125/000072312522000048/mu-20220901.htm" TargetMode="External"/><Relationship Id="rId4" Type="http://schemas.openxmlformats.org/officeDocument/2006/relationships/hyperlink" Target="https://www.sec.gov/Archives/edgar/data/723125/000072312522000048/mu-20220901.htm" TargetMode="External"/><Relationship Id="rId5" Type="http://schemas.openxmlformats.org/officeDocument/2006/relationships/hyperlink" Target="https://www.sec.gov/Archives/edgar/data/723125/000072312522000048/mu-20220901.htm" TargetMode="External"/><Relationship Id="rId6" Type="http://schemas.openxmlformats.org/officeDocument/2006/relationships/hyperlink" Target="https://www.sec.gov/Archives/edgar/data/723125/000072312522000048/mu-20220901.htm" TargetMode="External"/><Relationship Id="rId7" Type="http://schemas.openxmlformats.org/officeDocument/2006/relationships/hyperlink" Target="https://www.sec.gov/Archives/edgar/data/723125/000072312509000145/form8a12b-nasdaq.htm" TargetMode="External"/><Relationship Id="rId8" Type="http://schemas.openxmlformats.org/officeDocument/2006/relationships/hyperlink" Target="https://www.sec.gov/Archives/edgar/data/723125/000110465915004447/a15-3005_2ex99d2.htm" TargetMode="External"/><Relationship Id="rId9" Type="http://schemas.openxmlformats.org/officeDocument/2006/relationships/hyperlink" Target="https://www.sec.gov/Archives/edgar/data/723125/000072312521000018/exhibit31-amendedandrestat.htm" TargetMode="External"/><Relationship Id="rId10" Type="http://schemas.openxmlformats.org/officeDocument/2006/relationships/hyperlink" Target="https://www.sec.gov/Archives/edgar/data/723125/000072312522000063/a2022definitiveproxy.htm" TargetMode="External"/><Relationship Id="rId11" Type="http://schemas.openxmlformats.org/officeDocument/2006/relationships/hyperlink" Target="https://www.sec.gov/Archives/edgar/data/723125/000072312522000072/a2023q1ex103-2007planterms.htm" TargetMode="External"/><Relationship Id="rId12" Type="http://schemas.openxmlformats.org/officeDocument/2006/relationships/hyperlink" Target="https://www.sec.gov/Archives/edgar/data/723125/000072312522000036/a2022q3ex102-deferredcompe.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3571</Words>
  <Characters>19592</Characters>
  <CharactersWithSpaces>22984</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