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5)*</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Micron Technology, Inc.</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595112103</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October 31, 2003</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595112103</w:t>
      </w:r>
      <w:r>
        <w:rPr>
          <w:sz w:val="20"/>
          <w:szCs w:val="20"/>
          <w:color w:val="auto"/>
        </w:rPr>
        <w:tab/>
      </w:r>
      <w:r>
        <w:rPr>
          <w:rFonts w:ascii="Courier New" w:cs="Courier New" w:eastAsia="Courier New" w:hAnsi="Courier New"/>
          <w:sz w:val="16"/>
          <w:szCs w:val="16"/>
          <w:color w:val="auto"/>
        </w:rPr>
        <w:t>Page 1 of 5</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and Management Company</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95-1411037</w:t>
      </w:r>
    </w:p>
    <w:p>
      <w:pPr>
        <w:spacing w:after="0" w:line="202"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4"/>
          <w:szCs w:val="24"/>
          <w:color w:val="auto"/>
        </w:rPr>
      </w:pPr>
    </w:p>
    <w:p>
      <w:pPr>
        <w:ind w:left="540" w:hanging="427"/>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ectPr>
          <w:pgSz w:w="11900" w:h="16855" w:orient="portrait"/>
          <w:cols w:equalWidth="0" w:num="1">
            <w:col w:w="10219"/>
          </w:cols>
          <w:pgMar w:left="240" w:top="447"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0"/>
          <w:szCs w:val="20"/>
          <w:color w:val="auto"/>
        </w:rPr>
      </w:pPr>
    </w:p>
    <w:p>
      <w:pPr>
        <w:ind w:left="1900" w:right="6639" w:hanging="523"/>
        <w:spacing w:after="0" w:line="470" w:lineRule="auto"/>
        <w:tabs>
          <w:tab w:leader="none" w:pos="179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8" w:lineRule="auto"/>
        <w:rPr>
          <w:sz w:val="20"/>
          <w:szCs w:val="20"/>
          <w:color w:val="auto"/>
        </w:rPr>
      </w:pPr>
      <w:r>
        <w:rPr>
          <w:rFonts w:ascii="Courier New" w:cs="Courier New" w:eastAsia="Courier New" w:hAnsi="Courier New"/>
          <w:sz w:val="18"/>
          <w:szCs w:val="18"/>
          <w:color w:val="auto"/>
        </w:rPr>
        <w:t>NONE</w:t>
      </w:r>
    </w:p>
    <w:p>
      <w:pPr>
        <w:spacing w:after="0"/>
        <w:rPr>
          <w:sz w:val="20"/>
          <w:szCs w:val="20"/>
          <w:color w:val="auto"/>
        </w:rPr>
      </w:pPr>
      <w:r>
        <w:rPr>
          <w:rFonts w:ascii="Courier New" w:cs="Courier New" w:eastAsia="Courier New" w:hAnsi="Courier New"/>
          <w:sz w:val="18"/>
          <w:szCs w:val="18"/>
          <w:color w:val="auto"/>
        </w:rPr>
        <w:t>BENEFICIALL</w:t>
      </w:r>
    </w:p>
    <w:p>
      <w:pPr>
        <w:spacing w:after="0" w:line="20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Y OWNED BY</w:t>
      </w:r>
    </w:p>
    <w:p>
      <w:pPr>
        <w:ind w:left="1380"/>
        <w:spacing w:after="0" w:line="238" w:lineRule="auto"/>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spacing w:after="0" w:line="20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70,572,040</w:t>
      </w:r>
    </w:p>
    <w:p>
      <w:pPr>
        <w:ind w:left="320"/>
        <w:spacing w:after="0"/>
        <w:rPr>
          <w:sz w:val="20"/>
          <w:szCs w:val="20"/>
          <w:color w:val="auto"/>
        </w:rPr>
      </w:pPr>
      <w:r>
        <w:rPr>
          <w:rFonts w:ascii="Courier New" w:cs="Courier New" w:eastAsia="Courier New" w:hAnsi="Courier New"/>
          <w:sz w:val="18"/>
          <w:szCs w:val="18"/>
          <w:color w:val="auto"/>
        </w:rPr>
        <w:t>PERSON</w:t>
      </w:r>
    </w:p>
    <w:p>
      <w:pPr>
        <w:ind w:left="320"/>
        <w:spacing w:after="0" w:line="237" w:lineRule="auto"/>
        <w:rPr>
          <w:sz w:val="20"/>
          <w:szCs w:val="20"/>
          <w:color w:val="auto"/>
        </w:rPr>
      </w:pPr>
      <w:r>
        <w:rPr>
          <w:rFonts w:ascii="Courier New" w:cs="Courier New" w:eastAsia="Courier New" w:hAnsi="Courier New"/>
          <w:sz w:val="18"/>
          <w:szCs w:val="18"/>
          <w:color w:val="auto"/>
        </w:rPr>
        <w:t>WITH:</w:t>
      </w:r>
    </w:p>
    <w:p>
      <w:pPr>
        <w:spacing w:after="0" w:line="5" w:lineRule="exact"/>
        <w:rPr>
          <w:sz w:val="20"/>
          <w:szCs w:val="20"/>
          <w:color w:val="auto"/>
        </w:rPr>
      </w:pPr>
    </w:p>
    <w:p>
      <w:pPr>
        <w:ind w:left="1900" w:right="5899" w:hanging="523"/>
        <w:spacing w:after="0" w:line="470"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7"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6"/>
          <w:szCs w:val="16"/>
          <w:color w:val="auto"/>
        </w:rPr>
        <w:t>70,572,040</w:t>
      </w:r>
      <w:r>
        <w:rPr>
          <w:sz w:val="20"/>
          <w:szCs w:val="20"/>
          <w:color w:val="auto"/>
        </w:rPr>
        <w:tab/>
      </w:r>
      <w:r>
        <w:rPr>
          <w:rFonts w:ascii="Courier New" w:cs="Courier New" w:eastAsia="Courier New" w:hAnsi="Courier New"/>
          <w:sz w:val="16"/>
          <w:szCs w:val="16"/>
          <w:color w:val="auto"/>
        </w:rPr>
        <w:t>Beneficial ownership disclaimed pursuant to Rule 13d-4</w:t>
      </w:r>
    </w:p>
    <w:p>
      <w:pPr>
        <w:spacing w:after="0" w:line="224" w:lineRule="exact"/>
        <w:rPr>
          <w:sz w:val="20"/>
          <w:szCs w:val="20"/>
          <w:color w:val="auto"/>
        </w:rPr>
      </w:pPr>
    </w:p>
    <w:p>
      <w:pPr>
        <w:ind w:left="540" w:right="2519" w:hanging="427"/>
        <w:spacing w:after="0" w:line="23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11.5%</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ectPr>
          <w:pgSz w:w="11900" w:h="16838" w:orient="portrait"/>
          <w:cols w:equalWidth="0" w:num="1">
            <w:col w:w="10219"/>
          </w:cols>
          <w:pgMar w:left="240" w:top="33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595112103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5</w:t>
      </w:r>
    </w:p>
    <w:p>
      <w:pPr>
        <w:spacing w:after="0" w:line="200" w:lineRule="exact"/>
        <w:rPr>
          <w:sz w:val="20"/>
          <w:szCs w:val="20"/>
          <w:color w:val="auto"/>
        </w:rPr>
      </w:pPr>
    </w:p>
    <w:p>
      <w:pPr>
        <w:sectPr>
          <w:pgSz w:w="11900" w:h="16838" w:orient="portrait"/>
          <w:cols w:equalWidth="0" w:num="2">
            <w:col w:w="6020" w:space="720"/>
            <w:col w:w="3479"/>
          </w:cols>
          <w:pgMar w:left="240" w:top="339"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5</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Micron Technology, Inc.</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8000 S. Federal Way</w:t>
      </w:r>
    </w:p>
    <w:p>
      <w:pPr>
        <w:ind w:left="740"/>
        <w:spacing w:after="0"/>
        <w:rPr>
          <w:sz w:val="20"/>
          <w:szCs w:val="20"/>
          <w:color w:val="auto"/>
        </w:rPr>
      </w:pPr>
      <w:r>
        <w:rPr>
          <w:rFonts w:ascii="Courier New" w:cs="Courier New" w:eastAsia="Courier New" w:hAnsi="Courier New"/>
          <w:sz w:val="18"/>
          <w:szCs w:val="18"/>
          <w:color w:val="auto"/>
        </w:rPr>
        <w:t>P.O. Box 6</w:t>
      </w:r>
    </w:p>
    <w:p>
      <w:pPr>
        <w:ind w:left="740"/>
        <w:spacing w:after="0"/>
        <w:tabs>
          <w:tab w:leader="none" w:pos="1880" w:val="left"/>
        </w:tabs>
        <w:rPr>
          <w:sz w:val="20"/>
          <w:szCs w:val="20"/>
          <w:color w:val="auto"/>
        </w:rPr>
      </w:pPr>
      <w:r>
        <w:rPr>
          <w:rFonts w:ascii="Courier New" w:cs="Courier New" w:eastAsia="Courier New" w:hAnsi="Courier New"/>
          <w:sz w:val="18"/>
          <w:szCs w:val="18"/>
          <w:color w:val="auto"/>
        </w:rPr>
        <w:t>Boise, ID</w:t>
      </w:r>
      <w:r>
        <w:rPr>
          <w:sz w:val="20"/>
          <w:szCs w:val="20"/>
          <w:color w:val="auto"/>
        </w:rPr>
        <w:tab/>
      </w:r>
      <w:r>
        <w:rPr>
          <w:rFonts w:ascii="Courier New" w:cs="Courier New" w:eastAsia="Courier New" w:hAnsi="Courier New"/>
          <w:sz w:val="16"/>
          <w:szCs w:val="16"/>
          <w:color w:val="auto"/>
        </w:rPr>
        <w:t>83707-0006</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339"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Research and Management Company</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2"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595112103</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pacing w:after="0" w:line="5" w:lineRule="exact"/>
        <w:rPr>
          <w:sz w:val="20"/>
          <w:szCs w:val="20"/>
          <w:color w:val="auto"/>
        </w:rPr>
      </w:pPr>
    </w:p>
    <w:p>
      <w:pPr>
        <w:ind w:left="1280" w:right="3479" w:hanging="535"/>
        <w:spacing w:after="0" w:line="235" w:lineRule="auto"/>
        <w:tabs>
          <w:tab w:leader="none" w:pos="170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1"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ind w:left="740"/>
              <w:spacing w:after="0"/>
              <w:rPr>
                <w:sz w:val="20"/>
                <w:szCs w:val="20"/>
                <w:color w:val="auto"/>
              </w:rPr>
            </w:pPr>
            <w:r>
              <w:rPr>
                <w:rFonts w:ascii="Courier New" w:cs="Courier New" w:eastAsia="Courier New" w:hAnsi="Courier New"/>
                <w:sz w:val="18"/>
                <w:szCs w:val="18"/>
                <w:color w:val="auto"/>
              </w:rPr>
              <w:t>Capital</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w w:val="99"/>
              </w:rPr>
              <w:t>Research and Management</w:t>
            </w:r>
          </w:p>
        </w:tc>
        <w:tc>
          <w:tcPr>
            <w:tcW w:w="3840" w:type="dxa"/>
            <w:vAlign w:val="bottom"/>
            <w:gridSpan w:val="2"/>
          </w:tcPr>
          <w:p>
            <w:pPr>
              <w:jc w:val="right"/>
              <w:ind w:right="532"/>
              <w:spacing w:after="0"/>
              <w:rPr>
                <w:sz w:val="20"/>
                <w:szCs w:val="20"/>
                <w:color w:val="auto"/>
              </w:rPr>
            </w:pPr>
            <w:r>
              <w:rPr>
                <w:rFonts w:ascii="Courier New" w:cs="Courier New" w:eastAsia="Courier New" w:hAnsi="Courier New"/>
                <w:sz w:val="18"/>
                <w:szCs w:val="18"/>
                <w:color w:val="auto"/>
                <w:w w:val="98"/>
              </w:rPr>
              <w:t>Company, an investment adviser</w:t>
            </w:r>
          </w:p>
        </w:tc>
      </w:tr>
      <w:tr>
        <w:trPr>
          <w:trHeight w:val="203"/>
        </w:trPr>
        <w:tc>
          <w:tcPr>
            <w:tcW w:w="40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8"/>
              </w:rPr>
              <w:t>registered under Section 203 of</w:t>
            </w:r>
          </w:p>
        </w:tc>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Investment Advisers</w:t>
            </w:r>
          </w:p>
        </w:tc>
        <w:tc>
          <w:tcPr>
            <w:tcW w:w="13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Act of</w:t>
            </w:r>
          </w:p>
        </w:tc>
      </w:tr>
      <w:tr>
        <w:trPr>
          <w:trHeight w:val="203"/>
        </w:trPr>
        <w:tc>
          <w:tcPr>
            <w:tcW w:w="1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1940 is</w:t>
            </w:r>
          </w:p>
        </w:tc>
        <w:tc>
          <w:tcPr>
            <w:tcW w:w="5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deemed to be the beneficial owner of 70,572,040</w:t>
            </w:r>
          </w:p>
        </w:tc>
        <w:tc>
          <w:tcPr>
            <w:tcW w:w="13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7900" w:type="dxa"/>
            <w:vAlign w:val="bottom"/>
            <w:gridSpan w:val="4"/>
          </w:tcPr>
          <w:p>
            <w:pPr>
              <w:ind w:left="740"/>
              <w:spacing w:after="0" w:line="203" w:lineRule="exact"/>
              <w:rPr>
                <w:sz w:val="20"/>
                <w:szCs w:val="20"/>
                <w:color w:val="auto"/>
              </w:rPr>
            </w:pPr>
            <w:r>
              <w:rPr>
                <w:rFonts w:ascii="Courier New" w:cs="Courier New" w:eastAsia="Courier New" w:hAnsi="Courier New"/>
                <w:sz w:val="18"/>
                <w:szCs w:val="18"/>
                <w:color w:val="auto"/>
              </w:rPr>
              <w:t>or 11.5% of the 614,424,440 shares of Common Stock believed to</w:t>
            </w:r>
          </w:p>
        </w:tc>
      </w:tr>
      <w:tr>
        <w:trPr>
          <w:trHeight w:val="203"/>
        </w:trPr>
        <w:tc>
          <w:tcPr>
            <w:tcW w:w="7900" w:type="dxa"/>
            <w:vAlign w:val="bottom"/>
            <w:gridSpan w:val="4"/>
          </w:tcPr>
          <w:p>
            <w:pPr>
              <w:ind w:left="740"/>
              <w:spacing w:after="0" w:line="203" w:lineRule="exact"/>
              <w:rPr>
                <w:sz w:val="20"/>
                <w:szCs w:val="20"/>
                <w:color w:val="auto"/>
              </w:rPr>
            </w:pPr>
            <w:r>
              <w:rPr>
                <w:rFonts w:ascii="Courier New" w:cs="Courier New" w:eastAsia="Courier New" w:hAnsi="Courier New"/>
                <w:sz w:val="18"/>
                <w:szCs w:val="18"/>
                <w:color w:val="auto"/>
              </w:rPr>
              <w:t>be outstanding as a result of acting as investment adviser to</w:t>
            </w:r>
          </w:p>
        </w:tc>
      </w:tr>
      <w:tr>
        <w:trPr>
          <w:trHeight w:val="203"/>
        </w:trPr>
        <w:tc>
          <w:tcPr>
            <w:tcW w:w="1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various</w:t>
            </w:r>
          </w:p>
        </w:tc>
        <w:tc>
          <w:tcPr>
            <w:tcW w:w="5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investment companies registered under Section 8</w:t>
            </w:r>
          </w:p>
        </w:tc>
        <w:tc>
          <w:tcPr>
            <w:tcW w:w="13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of the</w:t>
            </w:r>
          </w:p>
        </w:tc>
      </w:tr>
      <w:tr>
        <w:trPr>
          <w:trHeight w:val="203"/>
        </w:trPr>
        <w:tc>
          <w:tcPr>
            <w:tcW w:w="40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8"/>
              </w:rPr>
              <w:t>Investment Company Act of 1940.</w:t>
            </w:r>
          </w:p>
        </w:tc>
        <w:tc>
          <w:tcPr>
            <w:tcW w:w="25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595112103</w:t>
            </w:r>
          </w:p>
        </w:tc>
        <w:tc>
          <w:tcPr>
            <w:tcW w:w="254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Page 3 of 5</w:t>
            </w:r>
          </w:p>
        </w:tc>
      </w:tr>
    </w:tbl>
    <w:p>
      <w:pPr>
        <w:spacing w:after="0" w:line="200" w:lineRule="exact"/>
        <w:rPr>
          <w:sz w:val="20"/>
          <w:szCs w:val="20"/>
          <w:color w:val="auto"/>
        </w:rPr>
      </w:pPr>
    </w:p>
    <w:p>
      <w:pPr>
        <w:spacing w:after="0" w:line="209" w:lineRule="exact"/>
        <w:rPr>
          <w:sz w:val="20"/>
          <w:szCs w:val="20"/>
          <w:color w:val="auto"/>
        </w:rPr>
      </w:pPr>
    </w:p>
    <w:p>
      <w:pPr>
        <w:ind w:left="740" w:right="2939"/>
        <w:spacing w:after="0" w:line="237" w:lineRule="auto"/>
        <w:rPr>
          <w:sz w:val="20"/>
          <w:szCs w:val="20"/>
          <w:color w:val="auto"/>
        </w:rPr>
      </w:pPr>
      <w:r>
        <w:rPr>
          <w:rFonts w:ascii="Courier New" w:cs="Courier New" w:eastAsia="Courier New" w:hAnsi="Courier New"/>
          <w:sz w:val="18"/>
          <w:szCs w:val="18"/>
          <w:color w:val="auto"/>
        </w:rPr>
        <w:t>Shares reported by Capital Research and Management Company, include 3,393,280 shares resulting from the assumed conversion of $40,000,000 principal amount of the 2.5% Convertible Note 144A, due 2010; and include 424,160 shares resulting from the assumed conversion of $5,000,000 principal amount of the 2.5% Convertible Note, due 2010.</w:t>
      </w:r>
    </w:p>
    <w:p>
      <w:pPr>
        <w:spacing w:after="0" w:line="210"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November 10, 2003</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*Paul G. Haaga, Jr.</w:t>
      </w:r>
    </w:p>
    <w:p>
      <w:pPr>
        <w:sectPr>
          <w:pgSz w:w="11900" w:h="16838" w:orient="portrait"/>
          <w:cols w:equalWidth="0" w:num="1">
            <w:col w:w="10219"/>
          </w:cols>
          <w:pgMar w:left="240" w:top="339" w:right="1440" w:bottom="0" w:gutter="0" w:footer="0" w:header="0"/>
        </w:sectPr>
      </w:pPr>
    </w:p>
    <w:bookmarkStart w:id="3" w:name="page4"/>
    <w:bookmarkEnd w:id="3"/>
    <w:p>
      <w:pPr>
        <w:ind w:left="860"/>
        <w:spacing w:after="0"/>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Paul G. Haaga, Jr., Executive Vice</w:t>
      </w:r>
    </w:p>
    <w:p>
      <w:pPr>
        <w:ind w:left="244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Capital Research and Management Company</w:t>
      </w:r>
    </w:p>
    <w:p>
      <w:pPr>
        <w:sectPr>
          <w:pgSz w:w="11900" w:h="16838" w:orient="portrait"/>
          <w:cols w:equalWidth="0" w:num="1">
            <w:col w:w="10219"/>
          </w:cols>
          <w:pgMar w:left="240" w:top="136" w:right="1440" w:bottom="5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595112103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4 of 5</w:t>
      </w:r>
    </w:p>
    <w:p>
      <w:pPr>
        <w:spacing w:after="0" w:line="200" w:lineRule="exact"/>
        <w:rPr>
          <w:sz w:val="20"/>
          <w:szCs w:val="20"/>
          <w:color w:val="auto"/>
        </w:rPr>
      </w:pPr>
    </w:p>
    <w:p>
      <w:pPr>
        <w:sectPr>
          <w:pgSz w:w="11900" w:h="16838" w:orient="portrait"/>
          <w:cols w:equalWidth="0" w:num="2">
            <w:col w:w="6020" w:space="720"/>
            <w:col w:w="3479"/>
          </w:cols>
          <w:pgMar w:left="240" w:top="136" w:right="1440" w:bottom="537" w:gutter="0" w:footer="0" w:header="0"/>
          <w:type w:val="continuous"/>
        </w:sectPr>
      </w:pPr>
    </w:p>
    <w:p>
      <w:pPr>
        <w:spacing w:after="0" w:line="22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James P. Ryan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P. Ryan</w:t>
      </w:r>
    </w:p>
    <w:p>
      <w:pPr>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ectPr>
          <w:pgSz w:w="11900" w:h="16838" w:orient="portrait"/>
          <w:cols w:equalWidth="0" w:num="2">
            <w:col w:w="1160" w:space="420"/>
            <w:col w:w="8639"/>
          </w:cols>
          <w:pgMar w:left="240" w:top="136" w:right="1440" w:bottom="537" w:gutter="0" w:footer="0" w:header="0"/>
          <w:type w:val="continuous"/>
        </w:sectPr>
      </w:pPr>
    </w:p>
    <w:p>
      <w:pPr>
        <w:spacing w:after="0" w:line="7" w:lineRule="exact"/>
        <w:rPr>
          <w:sz w:val="20"/>
          <w:szCs w:val="20"/>
          <w:color w:val="auto"/>
        </w:rPr>
      </w:pPr>
    </w:p>
    <w:p>
      <w:pPr>
        <w:ind w:left="158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9, 2002 included as an Exhibit to Schedule 13G filed with the Securities and Exchange Commission by Capital Research and Management Company on January 10, 2002 with respect to HotJobs.Com,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595112103</w:t>
      </w:r>
      <w:r>
        <w:rPr>
          <w:sz w:val="20"/>
          <w:szCs w:val="20"/>
          <w:color w:val="auto"/>
        </w:rPr>
        <w:tab/>
      </w:r>
      <w:r>
        <w:rPr>
          <w:rFonts w:ascii="Courier New" w:cs="Courier New" w:eastAsia="Courier New" w:hAnsi="Courier New"/>
          <w:sz w:val="16"/>
          <w:szCs w:val="16"/>
          <w:color w:val="auto"/>
        </w:rPr>
        <w:t>Page 5 of 5</w:t>
      </w:r>
    </w:p>
    <w:sectPr>
      <w:pgSz w:w="11900" w:h="16838" w:orient="portrait"/>
      <w:cols w:equalWidth="0" w:num="1">
        <w:col w:w="10219"/>
      </w:cols>
      <w:pgMar w:left="240" w:top="136" w:right="1440" w:bottom="53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5"/>
      <w:numFmt w:val="bullet"/>
      <w:start w:val="1"/>
    </w:lvl>
  </w:abstractNum>
  <w:abstractNum w:abstractNumId="5">
    <w:nsid w:val="515F007C"/>
    <w:multiLevelType w:val="hybridMultilevel"/>
    <w:lvl w:ilvl="0">
      <w:lvlJc w:val="left"/>
      <w:lvlText w:val="8"/>
      <w:numFmt w:val="bullet"/>
      <w:start w:val="1"/>
    </w:lvl>
  </w:abstractNum>
  <w:abstractNum w:abstractNumId="6">
    <w:nsid w:val="5BD062C2"/>
    <w:multiLevelType w:val="hybridMultilevel"/>
    <w:lvl w:ilvl="0">
      <w:lvlJc w:val="left"/>
      <w:lvlText w:val="9"/>
      <w:numFmt w:val="bullet"/>
      <w:start w:val="1"/>
    </w:lvl>
  </w:abstractNum>
  <w:abstractNum w:abstractNumId="7">
    <w:nsid w:val="12200854"/>
    <w:multiLevelType w:val="hybridMultilevel"/>
    <w:lvl w:ilvl="0">
      <w:lvlJc w:val="left"/>
      <w:lvlText w:val="%1"/>
      <w:numFmt w:val="decimal"/>
      <w:start w:val="10"/>
    </w:lvl>
  </w:abstractNum>
  <w:abstractNum w:abstractNumId="8">
    <w:nsid w:val="4DB127F8"/>
    <w:multiLevelType w:val="hybridMultilevel"/>
    <w:lvl w:ilvl="0">
      <w:lvlJc w:val="left"/>
      <w:lvlText w:val="(%1)"/>
      <w:numFmt w:val="lowerLetter"/>
      <w:start w:val="5"/>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2019-12-12T10:43:17Z</dcterms:created>
  <dcterms:modified xsi:type="dcterms:W3CDTF">2019-12-12T10:43:17Z</dcterms:modified>
</cp:coreProperties>
</file>