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13G</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2)*</w:t>
      </w:r>
    </w:p>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ind w:left="5080"/>
        <w:spacing w:after="0"/>
        <w:rPr>
          <w:sz w:val="20"/>
          <w:szCs w:val="20"/>
          <w:color w:val="auto"/>
        </w:rPr>
      </w:pPr>
      <w:r>
        <w:rPr>
          <w:rFonts w:ascii="Arial" w:cs="Arial" w:eastAsia="Arial" w:hAnsi="Arial"/>
          <w:sz w:val="20"/>
          <w:szCs w:val="20"/>
          <w:color w:val="auto"/>
        </w:rPr>
        <w:t>(Name of Issuer)</w:t>
      </w:r>
    </w:p>
    <w:p>
      <w:pPr>
        <w:spacing w:after="0" w:line="201" w:lineRule="exact"/>
        <w:rPr>
          <w:sz w:val="24"/>
          <w:szCs w:val="24"/>
          <w:color w:val="auto"/>
        </w:rPr>
      </w:pPr>
    </w:p>
    <w:p>
      <w:pPr>
        <w:ind w:left="5060"/>
        <w:spacing w:after="0"/>
        <w:rPr>
          <w:sz w:val="20"/>
          <w:szCs w:val="20"/>
          <w:color w:val="auto"/>
        </w:rPr>
      </w:pPr>
      <w:r>
        <w:rPr>
          <w:rFonts w:ascii="Arial" w:cs="Arial" w:eastAsia="Arial" w:hAnsi="Arial"/>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133985</wp:posOffset>
            </wp:positionV>
            <wp:extent cx="126174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1745" cy="41910"/>
                    </a:xfrm>
                    <a:prstGeom prst="rect">
                      <a:avLst/>
                    </a:prstGeom>
                    <a:noFill/>
                  </pic:spPr>
                </pic:pic>
              </a:graphicData>
            </a:graphic>
          </wp:anchor>
        </w:drawing>
      </w:r>
    </w:p>
    <w:p>
      <w:pPr>
        <w:spacing w:after="0" w:line="317" w:lineRule="exact"/>
        <w:rPr>
          <w:sz w:val="24"/>
          <w:szCs w:val="24"/>
          <w:color w:val="auto"/>
        </w:rPr>
      </w:pPr>
    </w:p>
    <w:p>
      <w:pPr>
        <w:ind w:left="5040"/>
        <w:spacing w:after="0"/>
        <w:rPr>
          <w:sz w:val="20"/>
          <w:szCs w:val="20"/>
          <w:color w:val="auto"/>
        </w:rPr>
      </w:pPr>
      <w:r>
        <w:rPr>
          <w:rFonts w:ascii="Arial" w:cs="Arial" w:eastAsia="Arial" w:hAnsi="Arial"/>
          <w:sz w:val="20"/>
          <w:szCs w:val="20"/>
          <w:color w:val="auto"/>
        </w:rPr>
        <w:t>(CUSIP Number)</w:t>
      </w:r>
    </w:p>
    <w:p>
      <w:pPr>
        <w:spacing w:after="0" w:line="201" w:lineRule="exact"/>
        <w:rPr>
          <w:sz w:val="24"/>
          <w:szCs w:val="24"/>
          <w:color w:val="auto"/>
        </w:rPr>
      </w:pPr>
    </w:p>
    <w:p>
      <w:pPr>
        <w:ind w:left="5140"/>
        <w:spacing w:after="0"/>
        <w:rPr>
          <w:sz w:val="20"/>
          <w:szCs w:val="20"/>
          <w:color w:val="auto"/>
        </w:rPr>
      </w:pPr>
      <w:r>
        <w:rPr>
          <w:rFonts w:ascii="Arial" w:cs="Arial" w:eastAsia="Arial" w:hAnsi="Arial"/>
          <w:sz w:val="20"/>
          <w:szCs w:val="20"/>
          <w:b w:val="1"/>
          <w:bCs w:val="1"/>
          <w:color w:val="auto"/>
        </w:rPr>
        <w:t>June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2827020</wp:posOffset>
            </wp:positionH>
            <wp:positionV relativeFrom="paragraph">
              <wp:posOffset>133985</wp:posOffset>
            </wp:positionV>
            <wp:extent cx="166814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8145" cy="41910"/>
                    </a:xfrm>
                    <a:prstGeom prst="rect">
                      <a:avLst/>
                    </a:prstGeom>
                    <a:noFill/>
                  </pic:spPr>
                </pic:pic>
              </a:graphicData>
            </a:graphic>
          </wp:anchor>
        </w:drawing>
      </w:r>
    </w:p>
    <w:p>
      <w:pPr>
        <w:spacing w:after="0" w:line="317" w:lineRule="exact"/>
        <w:rPr>
          <w:sz w:val="24"/>
          <w:szCs w:val="24"/>
          <w:color w:val="auto"/>
        </w:rPr>
      </w:pPr>
    </w:p>
    <w:p>
      <w:pPr>
        <w:ind w:left="3480"/>
        <w:spacing w:after="0"/>
        <w:rPr>
          <w:sz w:val="20"/>
          <w:szCs w:val="20"/>
          <w:color w:val="auto"/>
        </w:rPr>
      </w:pPr>
      <w:r>
        <w:rPr>
          <w:rFonts w:ascii="Arial" w:cs="Arial" w:eastAsia="Arial" w:hAnsi="Arial"/>
          <w:sz w:val="20"/>
          <w:szCs w:val="20"/>
          <w:color w:val="auto"/>
        </w:rPr>
        <w:t>(Date of Event which Requires Filing of this Statement)</w:t>
      </w:r>
    </w:p>
    <w:p>
      <w:pPr>
        <w:spacing w:after="0" w:line="205"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05" w:lineRule="exact"/>
        <w:rPr>
          <w:sz w:val="24"/>
          <w:szCs w:val="24"/>
          <w:color w:val="auto"/>
        </w:rPr>
      </w:pPr>
    </w:p>
    <w:p>
      <w:pPr>
        <w:jc w:val="both"/>
        <w:ind w:left="5020" w:right="5000"/>
        <w:spacing w:after="0" w:line="298" w:lineRule="auto"/>
        <w:tabs>
          <w:tab w:leader="none" w:pos="5359"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 [ ] Rule 13d-1(c) [ ] Rule 13d-1(d)</w:t>
      </w:r>
    </w:p>
    <w:p>
      <w:pPr>
        <w:spacing w:after="0" w:line="125" w:lineRule="exact"/>
        <w:rPr>
          <w:rFonts w:ascii="Arial" w:cs="Arial" w:eastAsia="Arial" w:hAnsi="Arial"/>
          <w:sz w:val="18"/>
          <w:szCs w:val="18"/>
          <w:color w:val="auto"/>
        </w:rPr>
      </w:pPr>
    </w:p>
    <w:p>
      <w:pPr>
        <w:ind w:right="280"/>
        <w:spacing w:after="0" w:line="329"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8" w:lineRule="exact"/>
        <w:rPr>
          <w:sz w:val="24"/>
          <w:szCs w:val="24"/>
          <w:color w:val="auto"/>
        </w:rPr>
      </w:pPr>
    </w:p>
    <w:p>
      <w:pPr>
        <w:ind w:right="500"/>
        <w:spacing w:after="0" w:line="256"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313930"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wp:posOffset>
            </wp:positionV>
            <wp:extent cx="1647190" cy="23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315835" cy="4166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5835" cy="4166870"/>
                    </a:xfrm>
                    <a:prstGeom prst="rect">
                      <a:avLst/>
                    </a:prstGeom>
                    <a:noFill/>
                  </pic:spPr>
                </pic:pic>
              </a:graphicData>
            </a:graphic>
          </wp:anchor>
        </w:drawing>
      </w:r>
    </w:p>
    <w:p>
      <w:pPr>
        <w:spacing w:after="0" w:line="393" w:lineRule="exact"/>
        <w:rPr>
          <w:sz w:val="24"/>
          <w:szCs w:val="24"/>
          <w:color w:val="auto"/>
        </w:rPr>
      </w:pPr>
    </w:p>
    <w:p>
      <w:pPr>
        <w:ind w:left="1380" w:hanging="776"/>
        <w:spacing w:after="0"/>
        <w:tabs>
          <w:tab w:leader="none" w:pos="13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 OF REPORTING PERSON</w:t>
      </w:r>
    </w:p>
    <w:p>
      <w:pPr>
        <w:spacing w:after="0" w:line="18" w:lineRule="exact"/>
        <w:rPr>
          <w:rFonts w:ascii="Arial" w:cs="Arial" w:eastAsia="Arial" w:hAnsi="Arial"/>
          <w:sz w:val="20"/>
          <w:szCs w:val="20"/>
          <w:color w:val="auto"/>
        </w:rPr>
      </w:pPr>
    </w:p>
    <w:p>
      <w:pPr>
        <w:ind w:left="1380" w:right="480"/>
        <w:spacing w:after="0" w:line="253" w:lineRule="auto"/>
        <w:rPr>
          <w:rFonts w:ascii="Arial" w:cs="Arial" w:eastAsia="Arial" w:hAnsi="Arial"/>
          <w:sz w:val="20"/>
          <w:szCs w:val="20"/>
          <w:color w:val="auto"/>
        </w:rPr>
      </w:pPr>
      <w:r>
        <w:rPr>
          <w:rFonts w:ascii="Arial" w:cs="Arial" w:eastAsia="Arial" w:hAnsi="Arial"/>
          <w:sz w:val="20"/>
          <w:szCs w:val="20"/>
          <w:color w:val="auto"/>
        </w:rPr>
        <w:t>Orbis Investment Management (U.S.), LLC ("OIMUS"), Orbis Investment Management Limited ("OIML") and Orbis Asset Management Limited ("OAML")</w:t>
      </w:r>
    </w:p>
    <w:p>
      <w:pPr>
        <w:spacing w:after="0" w:line="189"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I.R.S. IDENTIFICATION NO. OF ABOVE PERSON (ENTITIES ONLY)</w:t>
      </w:r>
    </w:p>
    <w:p>
      <w:pPr>
        <w:spacing w:after="0" w:line="19"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OIMUS: 26-0583752</w:t>
      </w:r>
    </w:p>
    <w:p>
      <w:pPr>
        <w:spacing w:after="0" w:line="123" w:lineRule="exact"/>
        <w:rPr>
          <w:sz w:val="24"/>
          <w:szCs w:val="24"/>
          <w:color w:val="auto"/>
        </w:rPr>
      </w:pPr>
    </w:p>
    <w:p>
      <w:pPr>
        <w:ind w:left="1380" w:hanging="776"/>
        <w:spacing w:after="0"/>
        <w:tabs>
          <w:tab w:leader="none" w:pos="13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8" w:lineRule="exact"/>
        <w:rPr>
          <w:rFonts w:ascii="Arial" w:cs="Arial" w:eastAsia="Arial" w:hAnsi="Arial"/>
          <w:sz w:val="20"/>
          <w:szCs w:val="20"/>
          <w:color w:val="auto"/>
        </w:rPr>
      </w:pPr>
    </w:p>
    <w:p>
      <w:pPr>
        <w:ind w:left="1700" w:hanging="327"/>
        <w:spacing w:after="0"/>
        <w:tabs>
          <w:tab w:leader="none" w:pos="1700" w:val="left"/>
        </w:tabs>
        <w:numPr>
          <w:ilvl w:val="1"/>
          <w:numId w:val="3"/>
        </w:numPr>
        <w:rPr>
          <w:rFonts w:ascii="Arial" w:cs="Arial" w:eastAsia="Arial" w:hAnsi="Arial"/>
          <w:sz w:val="20"/>
          <w:szCs w:val="20"/>
          <w:color w:val="auto"/>
        </w:rPr>
      </w:pPr>
      <w:r>
        <w:rPr>
          <w:rFonts w:ascii="Arial" w:cs="Arial" w:eastAsia="Arial" w:hAnsi="Arial"/>
          <w:sz w:val="20"/>
          <w:szCs w:val="20"/>
          <w:color w:val="auto"/>
        </w:rPr>
        <w:t>[X]</w:t>
      </w:r>
    </w:p>
    <w:p>
      <w:pPr>
        <w:ind w:left="1720" w:hanging="347"/>
        <w:spacing w:after="0"/>
        <w:tabs>
          <w:tab w:leader="none" w:pos="1720" w:val="left"/>
        </w:tabs>
        <w:numPr>
          <w:ilvl w:val="1"/>
          <w:numId w:val="3"/>
        </w:numPr>
        <w:rPr>
          <w:rFonts w:ascii="Arial" w:cs="Arial" w:eastAsia="Arial" w:hAnsi="Arial"/>
          <w:sz w:val="20"/>
          <w:szCs w:val="20"/>
          <w:color w:val="auto"/>
        </w:rPr>
      </w:pPr>
      <w:r>
        <w:rPr>
          <w:rFonts w:ascii="Arial" w:cs="Arial" w:eastAsia="Arial" w:hAnsi="Arial"/>
          <w:sz w:val="20"/>
          <w:szCs w:val="20"/>
          <w:color w:val="auto"/>
        </w:rPr>
        <w:t>[  ]</w:t>
      </w:r>
    </w:p>
    <w:p>
      <w:pPr>
        <w:spacing w:after="0" w:line="123" w:lineRule="exact"/>
        <w:rPr>
          <w:sz w:val="24"/>
          <w:szCs w:val="24"/>
          <w:color w:val="auto"/>
        </w:rPr>
      </w:pPr>
    </w:p>
    <w:p>
      <w:pPr>
        <w:ind w:left="1380" w:hanging="776"/>
        <w:spacing w:after="0"/>
        <w:tabs>
          <w:tab w:leader="none" w:pos="1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72" w:lineRule="exact"/>
        <w:rPr>
          <w:sz w:val="24"/>
          <w:szCs w:val="24"/>
          <w:color w:val="auto"/>
        </w:rPr>
      </w:pPr>
    </w:p>
    <w:p>
      <w:pPr>
        <w:ind w:left="1380" w:hanging="776"/>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8" w:lineRule="exact"/>
        <w:rPr>
          <w:rFonts w:ascii="Arial" w:cs="Arial" w:eastAsia="Arial" w:hAnsi="Arial"/>
          <w:sz w:val="20"/>
          <w:szCs w:val="20"/>
          <w:color w:val="auto"/>
        </w:rPr>
      </w:pPr>
    </w:p>
    <w:p>
      <w:pPr>
        <w:ind w:left="1380" w:right="320"/>
        <w:spacing w:after="0" w:line="253" w:lineRule="auto"/>
        <w:rPr>
          <w:rFonts w:ascii="Arial" w:cs="Arial" w:eastAsia="Arial" w:hAnsi="Arial"/>
          <w:sz w:val="20"/>
          <w:szCs w:val="20"/>
          <w:color w:val="auto"/>
        </w:rPr>
      </w:pPr>
      <w:r>
        <w:rPr>
          <w:rFonts w:ascii="Arial" w:cs="Arial" w:eastAsia="Arial" w:hAnsi="Arial"/>
          <w:sz w:val="20"/>
          <w:szCs w:val="20"/>
          <w:color w:val="auto"/>
        </w:rPr>
        <w:t>OIMUS is a company organised under the laws of Delaware, U.S.A.; OAML and OIML are companies organised under the laws of Bermuda</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1320" w:type="dxa"/>
            <w:vAlign w:val="bottom"/>
            <w:tcBorders>
              <w:top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jc w:val="right"/>
              <w:ind w:right="198"/>
              <w:spacing w:after="0"/>
              <w:rPr>
                <w:sz w:val="20"/>
                <w:szCs w:val="20"/>
                <w:color w:val="auto"/>
              </w:rPr>
            </w:pPr>
            <w:r>
              <w:rPr>
                <w:rFonts w:ascii="Arial" w:cs="Arial" w:eastAsia="Arial" w:hAnsi="Arial"/>
                <w:sz w:val="20"/>
                <w:szCs w:val="20"/>
                <w:color w:val="auto"/>
              </w:rPr>
              <w:t>5</w:t>
            </w:r>
          </w:p>
        </w:tc>
        <w:tc>
          <w:tcPr>
            <w:tcW w:w="900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61"/>
        </w:trPr>
        <w:tc>
          <w:tcPr>
            <w:tcW w:w="18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9"/>
              </w:rPr>
              <w:t>NUMBER OF</w:t>
            </w: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101,298,436</w:t>
            </w:r>
          </w:p>
        </w:tc>
        <w:tc>
          <w:tcPr>
            <w:tcW w:w="0" w:type="dxa"/>
            <w:vAlign w:val="bottom"/>
          </w:tcPr>
          <w:p>
            <w:pPr>
              <w:spacing w:after="0"/>
              <w:rPr>
                <w:sz w:val="1"/>
                <w:szCs w:val="1"/>
                <w:color w:val="auto"/>
              </w:rPr>
            </w:pPr>
          </w:p>
        </w:tc>
      </w:tr>
      <w:tr>
        <w:trPr>
          <w:trHeight w:val="55"/>
        </w:trPr>
        <w:tc>
          <w:tcPr>
            <w:tcW w:w="1840" w:type="dxa"/>
            <w:vAlign w:val="bottom"/>
            <w:tcBorders>
              <w:right w:val="single" w:sz="8" w:color="auto"/>
            </w:tcBorders>
            <w:gridSpan w:val="2"/>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7"/>
              </w:rPr>
              <w:t>SHARES</w:t>
            </w:r>
          </w:p>
        </w:tc>
        <w:tc>
          <w:tcPr>
            <w:tcW w:w="680" w:type="dxa"/>
            <w:vAlign w:val="bottom"/>
            <w:tcBorders>
              <w:right w:val="single" w:sz="8" w:color="auto"/>
            </w:tcBorders>
          </w:tcPr>
          <w:p>
            <w:pPr>
              <w:jc w:val="right"/>
              <w:ind w:right="198"/>
              <w:spacing w:after="0"/>
              <w:rPr>
                <w:sz w:val="20"/>
                <w:szCs w:val="20"/>
                <w:color w:val="auto"/>
              </w:rPr>
            </w:pPr>
            <w:r>
              <w:rPr>
                <w:rFonts w:ascii="Arial" w:cs="Arial" w:eastAsia="Arial" w:hAnsi="Arial"/>
                <w:sz w:val="20"/>
                <w:szCs w:val="20"/>
                <w:color w:val="auto"/>
              </w:rPr>
              <w:t>6</w:t>
            </w:r>
          </w:p>
        </w:tc>
        <w:tc>
          <w:tcPr>
            <w:tcW w:w="9000" w:type="dxa"/>
            <w:vAlign w:val="bottom"/>
          </w:tcPr>
          <w:p>
            <w:pPr>
              <w:ind w:left="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27"/>
        </w:trPr>
        <w:tc>
          <w:tcPr>
            <w:tcW w:w="184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0"/>
                <w:szCs w:val="20"/>
                <w:color w:val="auto"/>
              </w:rPr>
              <w:t>BENEFICIALLY</w:t>
            </w:r>
          </w:p>
        </w:tc>
        <w:tc>
          <w:tcPr>
            <w:tcW w:w="680" w:type="dxa"/>
            <w:vAlign w:val="bottom"/>
            <w:tcBorders>
              <w:right w:val="single" w:sz="8" w:color="auto"/>
            </w:tcBorders>
          </w:tcPr>
          <w:p>
            <w:pPr>
              <w:spacing w:after="0"/>
              <w:rPr>
                <w:sz w:val="19"/>
                <w:szCs w:val="19"/>
                <w:color w:val="auto"/>
              </w:rPr>
            </w:pPr>
          </w:p>
        </w:tc>
        <w:tc>
          <w:tcPr>
            <w:tcW w:w="9000" w:type="dxa"/>
            <w:vAlign w:val="bottom"/>
          </w:tcPr>
          <w:p>
            <w:pPr>
              <w:ind w:left="60"/>
              <w:spacing w:after="0" w:line="228"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19"/>
        </w:trPr>
        <w:tc>
          <w:tcPr>
            <w:tcW w:w="1840" w:type="dxa"/>
            <w:vAlign w:val="bottom"/>
            <w:tcBorders>
              <w:right w:val="single" w:sz="8" w:color="auto"/>
            </w:tcBorders>
            <w:gridSpan w:val="2"/>
            <w:vMerge w:val="restart"/>
          </w:tcPr>
          <w:p>
            <w:pPr>
              <w:jc w:val="center"/>
              <w:ind w:right="20"/>
              <w:spacing w:after="0" w:line="212" w:lineRule="exact"/>
              <w:rPr>
                <w:sz w:val="20"/>
                <w:szCs w:val="20"/>
                <w:color w:val="auto"/>
              </w:rPr>
            </w:pPr>
            <w:r>
              <w:rPr>
                <w:rFonts w:ascii="Arial" w:cs="Arial" w:eastAsia="Arial" w:hAnsi="Arial"/>
                <w:sz w:val="20"/>
                <w:szCs w:val="20"/>
                <w:color w:val="auto"/>
              </w:rPr>
              <w:t>OWNED BY</w:t>
            </w:r>
          </w:p>
        </w:tc>
        <w:tc>
          <w:tcPr>
            <w:tcW w:w="680" w:type="dxa"/>
            <w:vAlign w:val="bottom"/>
            <w:tcBorders>
              <w:bottom w:val="single" w:sz="8" w:color="auto"/>
              <w:right w:val="single" w:sz="8" w:color="auto"/>
            </w:tcBorders>
          </w:tcPr>
          <w:p>
            <w:pPr>
              <w:spacing w:after="0"/>
              <w:rPr>
                <w:sz w:val="10"/>
                <w:szCs w:val="10"/>
                <w:color w:val="auto"/>
              </w:rPr>
            </w:pPr>
          </w:p>
        </w:tc>
        <w:tc>
          <w:tcPr>
            <w:tcW w:w="9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4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7</w:t>
            </w:r>
          </w:p>
        </w:tc>
        <w:tc>
          <w:tcPr>
            <w:tcW w:w="900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01"/>
        </w:trPr>
        <w:tc>
          <w:tcPr>
            <w:tcW w:w="18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20"/>
                <w:szCs w:val="20"/>
                <w:color w:val="auto"/>
              </w:rPr>
              <w:t>EACH</w:t>
            </w:r>
          </w:p>
        </w:tc>
        <w:tc>
          <w:tcPr>
            <w:tcW w:w="680" w:type="dxa"/>
            <w:vAlign w:val="bottom"/>
            <w:tcBorders>
              <w:right w:val="single" w:sz="8" w:color="auto"/>
            </w:tcBorders>
            <w:vMerge w:val="continue"/>
          </w:tcPr>
          <w:p>
            <w:pPr>
              <w:spacing w:after="0"/>
              <w:rPr>
                <w:sz w:val="17"/>
                <w:szCs w:val="17"/>
                <w:color w:val="auto"/>
              </w:rPr>
            </w:pPr>
          </w:p>
        </w:tc>
        <w:tc>
          <w:tcPr>
            <w:tcW w:w="9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8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95"/>
              </w:rPr>
              <w:t>REPORTING</w:t>
            </w: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101,298,436</w:t>
            </w:r>
          </w:p>
        </w:tc>
        <w:tc>
          <w:tcPr>
            <w:tcW w:w="0" w:type="dxa"/>
            <w:vAlign w:val="bottom"/>
          </w:tcPr>
          <w:p>
            <w:pPr>
              <w:spacing w:after="0"/>
              <w:rPr>
                <w:sz w:val="1"/>
                <w:szCs w:val="1"/>
                <w:color w:val="auto"/>
              </w:rPr>
            </w:pPr>
          </w:p>
        </w:tc>
      </w:tr>
      <w:tr>
        <w:trPr>
          <w:trHeight w:val="47"/>
        </w:trPr>
        <w:tc>
          <w:tcPr>
            <w:tcW w:w="18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6"/>
              </w:rPr>
              <w:t>PERSON WITH</w:t>
            </w: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840" w:type="dxa"/>
            <w:vAlign w:val="bottom"/>
            <w:tcBorders>
              <w:right w:val="single" w:sz="8" w:color="auto"/>
            </w:tcBorders>
            <w:gridSpan w:val="2"/>
            <w:vMerge w:val="continue"/>
          </w:tcPr>
          <w:p>
            <w:pPr>
              <w:spacing w:after="0"/>
              <w:rPr>
                <w:sz w:val="16"/>
                <w:szCs w:val="1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8</w:t>
            </w:r>
          </w:p>
        </w:tc>
        <w:tc>
          <w:tcPr>
            <w:tcW w:w="900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72"/>
        </w:trPr>
        <w:tc>
          <w:tcPr>
            <w:tcW w:w="132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9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32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55"/>
        </w:trPr>
        <w:tc>
          <w:tcPr>
            <w:tcW w:w="13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3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370" w:right="139" w:bottom="0" w:gutter="0" w:footer="0" w:header="0"/>
        </w:sectPr>
      </w:pPr>
    </w:p>
    <w:bookmarkStart w:id="1" w:name="page2"/>
    <w:bookmarkEnd w:id="1"/>
    <w:p>
      <w:pPr>
        <w:ind w:left="1320" w:right="2680" w:hanging="776"/>
        <w:spacing w:after="0" w:line="271" w:lineRule="auto"/>
        <w:tabs>
          <w:tab w:leader="none" w:pos="13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OIMUS 596,850; OAML 170,725; OIML 100,530,861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-316230</wp:posOffset>
            </wp:positionV>
            <wp:extent cx="7315835" cy="1490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5835" cy="1490345"/>
                    </a:xfrm>
                    <a:prstGeom prst="rect">
                      <a:avLst/>
                    </a:prstGeom>
                    <a:noFill/>
                  </pic:spPr>
                </pic:pic>
              </a:graphicData>
            </a:graphic>
          </wp:anchor>
        </w:drawing>
      </w:r>
    </w:p>
    <w:p>
      <w:pPr>
        <w:spacing w:after="0" w:line="61" w:lineRule="exact"/>
        <w:rPr>
          <w:sz w:val="20"/>
          <w:szCs w:val="20"/>
          <w:color w:val="auto"/>
        </w:rPr>
      </w:pPr>
    </w:p>
    <w:p>
      <w:pPr>
        <w:ind w:left="1320" w:hanging="827"/>
        <w:spacing w:after="0"/>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w:t>
      </w:r>
    </w:p>
    <w:p>
      <w:pPr>
        <w:spacing w:after="0" w:line="371" w:lineRule="exact"/>
        <w:rPr>
          <w:rFonts w:ascii="Arial" w:cs="Arial" w:eastAsia="Arial" w:hAnsi="Arial"/>
          <w:sz w:val="20"/>
          <w:szCs w:val="20"/>
          <w:color w:val="auto"/>
        </w:rPr>
      </w:pPr>
    </w:p>
    <w:p>
      <w:pPr>
        <w:ind w:left="1320" w:right="4380" w:hanging="823"/>
        <w:spacing w:after="0" w:line="272" w:lineRule="auto"/>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PERCENT OF CLASS REPRESENTED BY AMOUNT IN ROW (9) 10.2%</w:t>
      </w:r>
    </w:p>
    <w:p>
      <w:pPr>
        <w:spacing w:after="0" w:line="80" w:lineRule="exact"/>
        <w:rPr>
          <w:rFonts w:ascii="Arial" w:cs="Arial" w:eastAsia="Arial" w:hAnsi="Arial"/>
          <w:sz w:val="20"/>
          <w:szCs w:val="20"/>
          <w:color w:val="auto"/>
        </w:rPr>
      </w:pPr>
    </w:p>
    <w:p>
      <w:pPr>
        <w:ind w:left="1320" w:hanging="827"/>
        <w:spacing w:after="0"/>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8" w:lineRule="exact"/>
        <w:rPr>
          <w:rFonts w:ascii="Arial" w:cs="Arial" w:eastAsia="Arial" w:hAnsi="Arial"/>
          <w:sz w:val="20"/>
          <w:szCs w:val="20"/>
          <w:color w:val="auto"/>
        </w:rPr>
      </w:pPr>
    </w:p>
    <w:p>
      <w:pPr>
        <w:ind w:left="1320"/>
        <w:spacing w:after="0"/>
        <w:rPr>
          <w:rFonts w:ascii="Arial" w:cs="Arial" w:eastAsia="Arial" w:hAnsi="Arial"/>
          <w:sz w:val="20"/>
          <w:szCs w:val="20"/>
          <w:color w:val="auto"/>
        </w:rPr>
      </w:pPr>
      <w:r>
        <w:rPr>
          <w:rFonts w:ascii="Arial" w:cs="Arial" w:eastAsia="Arial" w:hAnsi="Arial"/>
          <w:sz w:val="20"/>
          <w:szCs w:val="20"/>
          <w:color w:val="auto"/>
        </w:rPr>
        <w:t>FI (OIML); OO (OAML and OIMUS)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132715</wp:posOffset>
            </wp:positionV>
            <wp:extent cx="731393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300990</wp:posOffset>
            </wp:positionV>
            <wp:extent cx="1647190" cy="232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CUSIP No.: 595112103</w:t>
      </w:r>
    </w:p>
    <w:p>
      <w:pPr>
        <w:spacing w:after="0" w:line="255"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1(a).</w:t>
        <w:tab/>
        <w:t>NAME OF ISSUER:</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Micron Technology, Inc</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1(b).</w:t>
        <w:tab/>
        <w:t>ADDRESS OF ISSUER'S PRINCIPAL EXECUTIVE OFFICES:</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8000 S. Federal Way</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P.O. Box 6</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Boise, ID 83707-0006</w:t>
      </w:r>
    </w:p>
    <w:p>
      <w:pPr>
        <w:spacing w:after="0" w:line="171"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2(a).</w:t>
        <w:tab/>
        <w:t>NAME OF PERSON FILING:</w:t>
      </w:r>
    </w:p>
    <w:p>
      <w:pPr>
        <w:spacing w:after="0" w:line="69" w:lineRule="exact"/>
        <w:rPr>
          <w:sz w:val="20"/>
          <w:szCs w:val="20"/>
          <w:color w:val="auto"/>
        </w:rPr>
      </w:pPr>
    </w:p>
    <w:p>
      <w:pPr>
        <w:ind w:left="1380" w:right="420"/>
        <w:spacing w:after="0" w:line="272" w:lineRule="auto"/>
        <w:rPr>
          <w:sz w:val="20"/>
          <w:szCs w:val="20"/>
          <w:color w:val="auto"/>
        </w:rPr>
      </w:pPr>
      <w:r>
        <w:rPr>
          <w:rFonts w:ascii="Arial" w:cs="Arial" w:eastAsia="Arial" w:hAnsi="Arial"/>
          <w:sz w:val="20"/>
          <w:szCs w:val="20"/>
          <w:color w:val="auto"/>
        </w:rPr>
        <w:t>Orbis Investment Management (U.S.), LLC ("OIMUS"), Orbis Investment Management Limited ("OIML") and Orbis Asset Management Limited ("OAML")</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2(b).</w:t>
        <w:tab/>
        <w:t>ADDRESS OF PRINCIPAL BUSINESS OFFICE OR, IF NONE, RESIDENCE:</w:t>
      </w:r>
    </w:p>
    <w:p>
      <w:pPr>
        <w:spacing w:after="0" w:line="69" w:lineRule="exact"/>
        <w:rPr>
          <w:sz w:val="20"/>
          <w:szCs w:val="20"/>
          <w:color w:val="auto"/>
        </w:rPr>
      </w:pPr>
    </w:p>
    <w:p>
      <w:pPr>
        <w:ind w:left="1380" w:right="280"/>
        <w:spacing w:after="0" w:line="272" w:lineRule="auto"/>
        <w:rPr>
          <w:sz w:val="20"/>
          <w:szCs w:val="20"/>
          <w:color w:val="auto"/>
        </w:rPr>
      </w:pPr>
      <w:r>
        <w:rPr>
          <w:rFonts w:ascii="Arial" w:cs="Arial" w:eastAsia="Arial" w:hAnsi="Arial"/>
          <w:sz w:val="20"/>
          <w:szCs w:val="20"/>
          <w:color w:val="auto"/>
        </w:rPr>
        <w:t>For OIML and OAML: Orbis House, 25 Front Street, Hamilton Bermuda HM11; For OIMUS: 600 Montgomery Street, Suite 3800, San Francisco, CA 94111, USA</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69" w:lineRule="exact"/>
        <w:rPr>
          <w:sz w:val="20"/>
          <w:szCs w:val="20"/>
          <w:color w:val="auto"/>
        </w:rPr>
      </w:pPr>
    </w:p>
    <w:p>
      <w:pPr>
        <w:ind w:left="1380" w:right="260"/>
        <w:spacing w:after="0" w:line="272" w:lineRule="auto"/>
        <w:rPr>
          <w:sz w:val="20"/>
          <w:szCs w:val="20"/>
          <w:color w:val="auto"/>
        </w:rPr>
      </w:pPr>
      <w:r>
        <w:rPr>
          <w:rFonts w:ascii="Arial" w:cs="Arial" w:eastAsia="Arial" w:hAnsi="Arial"/>
          <w:sz w:val="20"/>
          <w:szCs w:val="20"/>
          <w:color w:val="auto"/>
        </w:rPr>
        <w:t>OIMUS is a company organised under the laws of Delaware, U.S.A.; OAML and OIML are companies organised under the laws of Bermuda</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2(d).</w:t>
        <w:tab/>
        <w:t>TITLE OF CLASS OF SECURITIES:</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Common Stock</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20"/>
          <w:szCs w:val="20"/>
          <w:b w:val="1"/>
          <w:bCs w:val="1"/>
          <w:color w:val="auto"/>
        </w:rPr>
        <w:t>CUSIP NUMBER:</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595112103</w:t>
      </w:r>
    </w:p>
    <w:p>
      <w:pPr>
        <w:spacing w:after="0" w:line="189" w:lineRule="exact"/>
        <w:rPr>
          <w:sz w:val="20"/>
          <w:szCs w:val="20"/>
          <w:color w:val="auto"/>
        </w:rPr>
      </w:pPr>
    </w:p>
    <w:p>
      <w:pPr>
        <w:ind w:left="1320" w:hanging="1305"/>
        <w:spacing w:after="0" w:line="276" w:lineRule="auto"/>
        <w:tabs>
          <w:tab w:leader="none" w:pos="13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SECTION 240.13d-1(b), or 13d-2(b) or (c) CHECK WHETHER THE PERSON FILING IS A:</w:t>
      </w:r>
    </w:p>
    <w:p>
      <w:pPr>
        <w:spacing w:after="0" w:line="26" w:lineRule="exact"/>
        <w:rPr>
          <w:sz w:val="20"/>
          <w:szCs w:val="20"/>
          <w:color w:val="auto"/>
        </w:rPr>
      </w:pPr>
    </w:p>
    <w:tbl>
      <w:tblPr>
        <w:tblLayout w:type="fixed"/>
        <w:tblInd w:w="1340" w:type="dxa"/>
        <w:tblCellMar>
          <w:top w:w="0" w:type="dxa"/>
          <w:left w:w="0" w:type="dxa"/>
          <w:bottom w:w="0" w:type="dxa"/>
          <w:right w:w="0" w:type="dxa"/>
        </w:tblCellMar>
      </w:tblPr>
      <w:tr>
        <w:trPr>
          <w:trHeight w:val="261"/>
        </w:trPr>
        <w:tc>
          <w:tcPr>
            <w:tcW w:w="440" w:type="dxa"/>
            <w:vAlign w:val="bottom"/>
          </w:tcPr>
          <w:p>
            <w:pPr>
              <w:spacing w:after="0"/>
              <w:rPr>
                <w:sz w:val="20"/>
                <w:szCs w:val="20"/>
                <w:color w:val="auto"/>
              </w:rPr>
            </w:pPr>
            <w:r>
              <w:rPr>
                <w:rFonts w:ascii="Arial" w:cs="Arial" w:eastAsia="Arial" w:hAnsi="Arial"/>
                <w:sz w:val="20"/>
                <w:szCs w:val="20"/>
                <w:color w:val="auto"/>
              </w:rPr>
              <w:t>(a)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Broker or dealer registered under Section 15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(b)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Bank as defined in Section 3(a)(6)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(c)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Insurance company as defined in Section 3(a)(19)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(d)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w w:val="92"/>
              </w:rPr>
              <w:t>Investment company registered under Section 8 of the Investment Company Act of 1940</w:t>
            </w:r>
          </w:p>
        </w:tc>
      </w:tr>
    </w:tbl>
    <w:p>
      <w:pPr>
        <w:spacing w:after="0" w:line="252" w:lineRule="exact"/>
        <w:rPr>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investment adviser in accordance with 240.13d-1(b)(1)(ii)(E);</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240.13d-1(b)(1)(ii)(F);</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parent holding company or control person in accordance with 240.13d-1(b)(1)(ii)(G);</w:t>
      </w:r>
    </w:p>
    <w:p>
      <w:pPr>
        <w:spacing w:after="0" w:line="51" w:lineRule="exact"/>
        <w:rPr>
          <w:rFonts w:ascii="Arial" w:cs="Arial" w:eastAsia="Arial" w:hAnsi="Arial"/>
          <w:sz w:val="20"/>
          <w:szCs w:val="20"/>
          <w:color w:val="auto"/>
        </w:rPr>
      </w:pPr>
    </w:p>
    <w:p>
      <w:pPr>
        <w:ind w:left="1640" w:right="2360" w:hanging="302"/>
        <w:spacing w:after="0" w:line="267" w:lineRule="auto"/>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savings associations as defined in Section 3(b) of the Federal Deposit Insurance Act (12 U.S.C. 1813);</w:t>
      </w:r>
    </w:p>
    <w:p>
      <w:pPr>
        <w:ind w:left="1640" w:right="700" w:hanging="302"/>
        <w:spacing w:after="0" w:line="267" w:lineRule="auto"/>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A non-U.S. institution in accordance with 240.13d-1(b)(1)(ii)(J); for OIML</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Group, in accordance with 240.13d-1(b)(1)(ii)(K). If filing as a non-U.S. institution</w:t>
      </w:r>
    </w:p>
    <w:p>
      <w:pPr>
        <w:spacing w:after="0" w:line="18"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in accordance with 240.13d1(b)(1)(ii)(J), please specify the type of institution: equivalent to IA (for OIML)</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94" w:lineRule="exact"/>
        <w:rPr>
          <w:sz w:val="20"/>
          <w:szCs w:val="20"/>
          <w:color w:val="auto"/>
        </w:rPr>
      </w:pPr>
    </w:p>
    <w:p>
      <w:pPr>
        <w:ind w:left="1340" w:right="300"/>
        <w:spacing w:after="0" w:line="267"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1" w:lineRule="exact"/>
        <w:rPr>
          <w:sz w:val="20"/>
          <w:szCs w:val="20"/>
          <w:color w:val="auto"/>
        </w:rPr>
      </w:pP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51"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OIMUS 596,850; OAML 170,725; OIML 100,530,861</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51"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10.2%</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ectPr>
          <w:pgSz w:w="11900" w:h="16838" w:orient="portrait"/>
          <w:cols w:equalWidth="0" w:num="1">
            <w:col w:w="11460"/>
          </w:cols>
          <w:pgMar w:left="300" w:top="120" w:right="139" w:bottom="0" w:gutter="0" w:footer="0" w:header="0"/>
        </w:sectPr>
      </w:pPr>
    </w:p>
    <w:bookmarkStart w:id="2" w:name="page3"/>
    <w:bookmarkEnd w:id="2"/>
    <w:p>
      <w:pPr>
        <w:spacing w:after="0" w:line="69"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(i)  Sole power to vote or to direct the vote:</w:t>
      </w:r>
    </w:p>
    <w:p>
      <w:pPr>
        <w:spacing w:after="0" w:line="29"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101,298,436</w:t>
      </w:r>
    </w:p>
    <w:p>
      <w:pPr>
        <w:spacing w:after="0" w:line="26"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(ii) Shared power to vote or to direct the vote: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80" w:type="dxa"/>
            <w:vAlign w:val="bottom"/>
          </w:tcPr>
          <w:p>
            <w:pPr>
              <w:spacing w:after="0"/>
              <w:rPr>
                <w:sz w:val="21"/>
                <w:szCs w:val="21"/>
                <w:color w:val="auto"/>
              </w:rPr>
            </w:pPr>
          </w:p>
        </w:tc>
        <w:tc>
          <w:tcPr>
            <w:tcW w:w="1740" w:type="dxa"/>
            <w:vAlign w:val="bottom"/>
          </w:tcPr>
          <w:p>
            <w:pPr>
              <w:ind w:left="940"/>
              <w:spacing w:after="0"/>
              <w:rPr>
                <w:sz w:val="20"/>
                <w:szCs w:val="20"/>
                <w:color w:val="auto"/>
              </w:rPr>
            </w:pPr>
            <w:r>
              <w:rPr>
                <w:rFonts w:ascii="Arial" w:cs="Arial" w:eastAsia="Arial" w:hAnsi="Arial"/>
                <w:sz w:val="20"/>
                <w:szCs w:val="20"/>
                <w:color w:val="auto"/>
              </w:rPr>
              <w:t>0</w:t>
            </w:r>
          </w:p>
        </w:tc>
        <w:tc>
          <w:tcPr>
            <w:tcW w:w="576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56"/>
        </w:trPr>
        <w:tc>
          <w:tcPr>
            <w:tcW w:w="1080" w:type="dxa"/>
            <w:vAlign w:val="bottom"/>
          </w:tcPr>
          <w:p>
            <w:pPr>
              <w:spacing w:after="0"/>
              <w:rPr>
                <w:sz w:val="22"/>
                <w:szCs w:val="22"/>
                <w:color w:val="auto"/>
              </w:rPr>
            </w:pPr>
          </w:p>
        </w:tc>
        <w:tc>
          <w:tcPr>
            <w:tcW w:w="10320" w:type="dxa"/>
            <w:vAlign w:val="bottom"/>
            <w:gridSpan w:val="3"/>
          </w:tcPr>
          <w:p>
            <w:pPr>
              <w:ind w:left="560"/>
              <w:spacing w:after="0"/>
              <w:rPr>
                <w:sz w:val="20"/>
                <w:szCs w:val="20"/>
                <w:color w:val="auto"/>
              </w:rPr>
            </w:pPr>
            <w:r>
              <w:rPr>
                <w:rFonts w:ascii="Arial" w:cs="Arial" w:eastAsia="Arial" w:hAnsi="Arial"/>
                <w:sz w:val="20"/>
                <w:szCs w:val="20"/>
                <w:color w:val="auto"/>
              </w:rPr>
              <w:t>(iii) Sole power to dispose or to direct the disposition of:</w:t>
            </w:r>
          </w:p>
        </w:tc>
      </w:tr>
      <w:tr>
        <w:trPr>
          <w:trHeight w:val="256"/>
        </w:trPr>
        <w:tc>
          <w:tcPr>
            <w:tcW w:w="1080" w:type="dxa"/>
            <w:vAlign w:val="bottom"/>
          </w:tcPr>
          <w:p>
            <w:pPr>
              <w:spacing w:after="0"/>
              <w:rPr>
                <w:sz w:val="22"/>
                <w:szCs w:val="22"/>
                <w:color w:val="auto"/>
              </w:rPr>
            </w:pPr>
          </w:p>
        </w:tc>
        <w:tc>
          <w:tcPr>
            <w:tcW w:w="7500" w:type="dxa"/>
            <w:vAlign w:val="bottom"/>
            <w:gridSpan w:val="2"/>
          </w:tcPr>
          <w:p>
            <w:pPr>
              <w:ind w:left="940"/>
              <w:spacing w:after="0"/>
              <w:rPr>
                <w:sz w:val="20"/>
                <w:szCs w:val="20"/>
                <w:color w:val="auto"/>
              </w:rPr>
            </w:pPr>
            <w:r>
              <w:rPr>
                <w:rFonts w:ascii="Arial" w:cs="Arial" w:eastAsia="Arial" w:hAnsi="Arial"/>
                <w:sz w:val="20"/>
                <w:szCs w:val="20"/>
                <w:color w:val="auto"/>
              </w:rPr>
              <w:t>101,298,436</w:t>
            </w:r>
          </w:p>
        </w:tc>
        <w:tc>
          <w:tcPr>
            <w:tcW w:w="2820" w:type="dxa"/>
            <w:vAlign w:val="bottom"/>
          </w:tcPr>
          <w:p>
            <w:pPr>
              <w:spacing w:after="0"/>
              <w:rPr>
                <w:sz w:val="22"/>
                <w:szCs w:val="22"/>
                <w:color w:val="auto"/>
              </w:rPr>
            </w:pPr>
          </w:p>
        </w:tc>
      </w:tr>
      <w:tr>
        <w:trPr>
          <w:trHeight w:val="256"/>
        </w:trPr>
        <w:tc>
          <w:tcPr>
            <w:tcW w:w="1080" w:type="dxa"/>
            <w:vAlign w:val="bottom"/>
          </w:tcPr>
          <w:p>
            <w:pPr>
              <w:spacing w:after="0"/>
              <w:rPr>
                <w:sz w:val="22"/>
                <w:szCs w:val="22"/>
                <w:color w:val="auto"/>
              </w:rPr>
            </w:pPr>
          </w:p>
        </w:tc>
        <w:tc>
          <w:tcPr>
            <w:tcW w:w="10320" w:type="dxa"/>
            <w:vAlign w:val="bottom"/>
            <w:gridSpan w:val="3"/>
          </w:tcPr>
          <w:p>
            <w:pPr>
              <w:ind w:left="560"/>
              <w:spacing w:after="0"/>
              <w:rPr>
                <w:sz w:val="20"/>
                <w:szCs w:val="20"/>
                <w:color w:val="auto"/>
              </w:rPr>
            </w:pPr>
            <w:r>
              <w:rPr>
                <w:rFonts w:ascii="Arial" w:cs="Arial" w:eastAsia="Arial" w:hAnsi="Arial"/>
                <w:sz w:val="20"/>
                <w:szCs w:val="20"/>
                <w:color w:val="auto"/>
              </w:rPr>
              <w:t>(iv) Shared power to dispose or to direct the disposition of:</w:t>
            </w:r>
          </w:p>
        </w:tc>
      </w:tr>
      <w:tr>
        <w:trPr>
          <w:trHeight w:val="261"/>
        </w:trPr>
        <w:tc>
          <w:tcPr>
            <w:tcW w:w="1080" w:type="dxa"/>
            <w:vAlign w:val="bottom"/>
          </w:tcPr>
          <w:p>
            <w:pPr>
              <w:spacing w:after="0"/>
              <w:rPr>
                <w:sz w:val="22"/>
                <w:szCs w:val="22"/>
                <w:color w:val="auto"/>
              </w:rPr>
            </w:pPr>
          </w:p>
        </w:tc>
        <w:tc>
          <w:tcPr>
            <w:tcW w:w="1740" w:type="dxa"/>
            <w:vAlign w:val="bottom"/>
          </w:tcPr>
          <w:p>
            <w:pPr>
              <w:ind w:left="940"/>
              <w:spacing w:after="0"/>
              <w:rPr>
                <w:sz w:val="20"/>
                <w:szCs w:val="20"/>
                <w:color w:val="auto"/>
              </w:rPr>
            </w:pPr>
            <w:r>
              <w:rPr>
                <w:rFonts w:ascii="Arial" w:cs="Arial" w:eastAsia="Arial" w:hAnsi="Arial"/>
                <w:sz w:val="20"/>
                <w:szCs w:val="20"/>
                <w:color w:val="auto"/>
              </w:rPr>
              <w:t>0</w:t>
            </w:r>
          </w:p>
        </w:tc>
        <w:tc>
          <w:tcPr>
            <w:tcW w:w="576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359"/>
        </w:trPr>
        <w:tc>
          <w:tcPr>
            <w:tcW w:w="108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OWNERSHIP OF FIVE PERCENT OR LESS OF A CLASS:</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8"/>
              </w:rPr>
              <w:t>If this statement is being filed to report the fact that as of the date hereof the reporting person has ceased to be the</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beneficial owner of more than five percent of the class of securities, check the following [  ].</w:t>
            </w:r>
          </w:p>
        </w:tc>
      </w:tr>
      <w:tr>
        <w:trPr>
          <w:trHeight w:val="42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OWNERSHIP OF MORE THAN FIVE PERCENT ON BEHALF OF ANOTHER PERSON:</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Another person has the right to receive and the power to direct the receipt of dividends from, or the proceeds from the sale</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7"/>
              </w:rPr>
              <w:t>of 596,850 shares of common stock of Micron Technology, Inc beneficially owned by Orbis Investment Management</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(U.S.), LLC.</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Other persons have the right to receive and the power to direct the receipt of dividends from, or the proceeds from the sale</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3"/>
              </w:rPr>
              <w:t>of 100,530,861 shares of common stock of Micron Technology, Inc beneficially owned by Orbis Investment Management</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Limited.</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Other persons have the right to receive and the power to direct the receipt of dividends from, or the proceeds from the sale</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4"/>
              </w:rPr>
              <w:t>of 170,725 shares of common stock of Micron Technology, Inc beneficially owned by Orbis Asset Management Limited.</w:t>
            </w:r>
          </w:p>
        </w:tc>
      </w:tr>
      <w:tr>
        <w:trPr>
          <w:trHeight w:val="389"/>
        </w:trPr>
        <w:tc>
          <w:tcPr>
            <w:tcW w:w="1080" w:type="dxa"/>
            <w:vAlign w:val="bottom"/>
          </w:tcPr>
          <w:p>
            <w:pPr>
              <w:spacing w:after="0"/>
              <w:rPr>
                <w:sz w:val="20"/>
                <w:szCs w:val="20"/>
                <w:color w:val="auto"/>
              </w:rPr>
            </w:pPr>
            <w:r>
              <w:rPr>
                <w:rFonts w:ascii="Arial" w:cs="Arial" w:eastAsia="Arial" w:hAnsi="Arial"/>
                <w:sz w:val="20"/>
                <w:szCs w:val="20"/>
                <w:b w:val="1"/>
                <w:bCs w:val="1"/>
                <w:color w:val="auto"/>
              </w:rPr>
              <w:t>ITEM 7.</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IDENTIFICATION AND CLASSIFICATION OF THE SUBSIDIARY WHICH ACQUIRED THE SECURITY</w:t>
            </w:r>
          </w:p>
        </w:tc>
      </w:tr>
      <w:tr>
        <w:trPr>
          <w:trHeight w:val="265"/>
        </w:trPr>
        <w:tc>
          <w:tcPr>
            <w:tcW w:w="1080" w:type="dxa"/>
            <w:vAlign w:val="bottom"/>
          </w:tcPr>
          <w:p>
            <w:pPr>
              <w:spacing w:after="0"/>
              <w:rPr>
                <w:sz w:val="23"/>
                <w:szCs w:val="23"/>
                <w:color w:val="auto"/>
              </w:rPr>
            </w:pP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BEING REPORTED ON BY THE PARENT HOLDING COMPANY:</w:t>
            </w:r>
          </w:p>
        </w:tc>
      </w:tr>
      <w:tr>
        <w:trPr>
          <w:trHeight w:val="576"/>
        </w:trPr>
        <w:tc>
          <w:tcPr>
            <w:tcW w:w="1080" w:type="dxa"/>
            <w:vAlign w:val="bottom"/>
          </w:tcPr>
          <w:p>
            <w:pPr>
              <w:spacing w:after="0"/>
              <w:rPr>
                <w:sz w:val="20"/>
                <w:szCs w:val="20"/>
                <w:color w:val="auto"/>
              </w:rPr>
            </w:pPr>
            <w:r>
              <w:rPr>
                <w:rFonts w:ascii="Arial" w:cs="Arial" w:eastAsia="Arial" w:hAnsi="Arial"/>
                <w:sz w:val="20"/>
                <w:szCs w:val="20"/>
                <w:b w:val="1"/>
                <w:bCs w:val="1"/>
                <w:color w:val="auto"/>
              </w:rPr>
              <w:t>ITEM 8.</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IDENTIFICATION AND CLASSIFICATION OF MEMBERS OF THE GROUP:</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9"/>
              </w:rPr>
              <w:t>Orbis Investment Management (U.S.), LLC ("OIMUS"), Orbis Investment Management Limited ("OIML") and Orbis</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9"/>
              </w:rPr>
              <w:t>Asset Management Limited ("OAML") are together making this filing because they may be deemed to constitute a</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8"/>
              </w:rPr>
              <w:t>"group" for the purposes of Section 13(d)(3) of the Securities Exchange Act of 1934, as amended. Information with</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respect to each of OIMUS, OIML and OAML (collectively, the "Reporting Persons") is given solely by each such</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Reporting Person and no Reporting Person has responsibility for the accuracy or completeness of information supplied by</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the other Reporting Person.</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OIMUS is the beneficial owner of 596,850 shares of common stock or 0.1% of the 989,627,195</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common stock of Micron Technology, Inc believed to be outstanding.</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OIML is the beneficial owner of 100,530,861 shares of common stock or 10.2% of the 989,627,195</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common stock of Micron Technology, Inc believed to be outstanding.</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OAML is the beneficial owner of 170,725 shares of common stock or 0.02% of the 989,627,195</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common stock of Micron Technology, Inc believed to be outstanding.</w:t>
            </w:r>
          </w:p>
        </w:tc>
      </w:tr>
      <w:tr>
        <w:trPr>
          <w:trHeight w:val="42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9.</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NOTICE OF DISSOLUTION OF GROUP:</w:t>
            </w:r>
          </w:p>
        </w:tc>
      </w:tr>
      <w:tr>
        <w:trPr>
          <w:trHeight w:val="717"/>
        </w:trPr>
        <w:tc>
          <w:tcPr>
            <w:tcW w:w="1080" w:type="dxa"/>
            <w:vAlign w:val="bottom"/>
          </w:tcPr>
          <w:p>
            <w:pPr>
              <w:spacing w:after="0"/>
              <w:rPr>
                <w:sz w:val="20"/>
                <w:szCs w:val="20"/>
                <w:color w:val="auto"/>
              </w:rPr>
            </w:pPr>
            <w:r>
              <w:rPr>
                <w:rFonts w:ascii="Arial" w:cs="Arial" w:eastAsia="Arial" w:hAnsi="Arial"/>
                <w:sz w:val="20"/>
                <w:szCs w:val="20"/>
                <w:b w:val="1"/>
                <w:bCs w:val="1"/>
                <w:color w:val="auto"/>
              </w:rPr>
              <w:t>ITEM 10.</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CERTIFICATION:</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4"/>
              </w:rPr>
              <w:t>By signing below I certify that, to the best of my knowledge and belief, the foreign regulatory scheme applicable to Orbis</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8"/>
              </w:rPr>
              <w:t>Investment Management Limited is substantially comparable to the regulatory scheme applicable to the functionally</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6"/>
              </w:rPr>
              <w:t>equivalent U.S. institution(s). I also undertake to furnish to the Commission staff, upon request, information that would</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otherwise be disclosed in a Schedule 13D.</w:t>
            </w:r>
          </w:p>
        </w:tc>
      </w:tr>
      <w:tr>
        <w:trPr>
          <w:trHeight w:val="729"/>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20"/>
              <w:spacing w:after="0"/>
              <w:rPr>
                <w:sz w:val="20"/>
                <w:szCs w:val="20"/>
                <w:color w:val="auto"/>
              </w:rPr>
            </w:pPr>
            <w:r>
              <w:rPr>
                <w:rFonts w:ascii="Arial" w:cs="Arial" w:eastAsia="Arial" w:hAnsi="Arial"/>
                <w:sz w:val="24"/>
                <w:szCs w:val="24"/>
                <w:b w:val="1"/>
                <w:bCs w:val="1"/>
                <w:color w:val="auto"/>
                <w:w w:val="99"/>
              </w:rPr>
              <w:t>SIGNATURE</w:t>
            </w:r>
          </w:p>
        </w:tc>
      </w:tr>
      <w:tr>
        <w:trPr>
          <w:trHeight w:val="701"/>
        </w:trPr>
        <w:tc>
          <w:tcPr>
            <w:tcW w:w="1080" w:type="dxa"/>
            <w:vAlign w:val="bottom"/>
          </w:tcPr>
          <w:p>
            <w:pPr>
              <w:spacing w:after="0"/>
              <w:rPr>
                <w:sz w:val="24"/>
                <w:szCs w:val="24"/>
                <w:color w:val="auto"/>
              </w:rPr>
            </w:pPr>
          </w:p>
        </w:tc>
        <w:tc>
          <w:tcPr>
            <w:tcW w:w="10320" w:type="dxa"/>
            <w:vAlign w:val="bottom"/>
            <w:gridSpan w:val="3"/>
          </w:tcPr>
          <w:p>
            <w:pPr>
              <w:ind w:left="1040"/>
              <w:spacing w:after="0"/>
              <w:rPr>
                <w:sz w:val="20"/>
                <w:szCs w:val="20"/>
                <w:color w:val="auto"/>
              </w:rPr>
            </w:pPr>
            <w:r>
              <w:rPr>
                <w:rFonts w:ascii="Arial" w:cs="Arial" w:eastAsia="Arial" w:hAnsi="Arial"/>
                <w:sz w:val="20"/>
                <w:szCs w:val="20"/>
                <w:color w:val="auto"/>
              </w:rPr>
              <w:t>After reasonable inquiry and to the best of my knowledge and belief, I certify that the</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1040"/>
              <w:spacing w:after="0"/>
              <w:rPr>
                <w:sz w:val="20"/>
                <w:szCs w:val="20"/>
                <w:color w:val="auto"/>
              </w:rPr>
            </w:pPr>
            <w:r>
              <w:rPr>
                <w:rFonts w:ascii="Arial" w:cs="Arial" w:eastAsia="Arial" w:hAnsi="Arial"/>
                <w:sz w:val="20"/>
                <w:szCs w:val="20"/>
                <w:color w:val="auto"/>
              </w:rPr>
              <w:t>information set forth in this statement is true, complete and correct.</w:t>
            </w:r>
          </w:p>
        </w:tc>
      </w:tr>
      <w:tr>
        <w:trPr>
          <w:trHeight w:val="649"/>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2"/>
              </w:rPr>
              <w:t>July 10, 2012</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89"/>
              </w:rPr>
              <w:t>Date</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4"/>
              </w:rPr>
              <w:t>Orbis Investment Management (U.S.), LLC</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60"/>
              <w:spacing w:after="0"/>
              <w:rPr>
                <w:sz w:val="20"/>
                <w:szCs w:val="20"/>
                <w:color w:val="auto"/>
              </w:rPr>
            </w:pPr>
            <w:r>
              <w:rPr>
                <w:rFonts w:ascii="Arial" w:cs="Arial" w:eastAsia="Arial" w:hAnsi="Arial"/>
                <w:sz w:val="20"/>
                <w:szCs w:val="20"/>
                <w:color w:val="auto"/>
                <w:w w:val="94"/>
              </w:rPr>
              <w:t>Orbis Investment Management Limited</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4"/>
              </w:rPr>
              <w:t>Orbis Asset Management Limited</w:t>
            </w:r>
          </w:p>
        </w:tc>
      </w:tr>
      <w:tr>
        <w:trPr>
          <w:trHeight w:val="261"/>
        </w:trPr>
        <w:tc>
          <w:tcPr>
            <w:tcW w:w="10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0"/>
              </w:rPr>
              <w:t>/s/ James Dorr</w:t>
            </w:r>
          </w:p>
        </w:tc>
      </w:tr>
      <w:tr>
        <w:trPr>
          <w:trHeight w:val="99"/>
        </w:trPr>
        <w:tc>
          <w:tcPr>
            <w:tcW w:w="10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760" w:type="dxa"/>
            <w:vAlign w:val="bottom"/>
            <w:tcBorders>
              <w:bottom w:val="single" w:sz="8" w:color="9A9A9A"/>
            </w:tcBorders>
          </w:tcPr>
          <w:p>
            <w:pPr>
              <w:spacing w:after="0"/>
              <w:rPr>
                <w:sz w:val="8"/>
                <w:szCs w:val="8"/>
                <w:color w:val="auto"/>
              </w:rPr>
            </w:pPr>
          </w:p>
        </w:tc>
        <w:tc>
          <w:tcPr>
            <w:tcW w:w="2820" w:type="dxa"/>
            <w:vAlign w:val="bottom"/>
          </w:tcPr>
          <w:p>
            <w:pPr>
              <w:spacing w:after="0"/>
              <w:rPr>
                <w:sz w:val="8"/>
                <w:szCs w:val="8"/>
                <w:color w:val="auto"/>
              </w:rPr>
            </w:pPr>
          </w:p>
        </w:tc>
      </w:tr>
      <w:tr>
        <w:trPr>
          <w:trHeight w:val="342"/>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1"/>
              </w:rPr>
              <w:t>Signature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-245110</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-245110</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907" w:orient="portrait"/>
          <w:cols w:equalWidth="0" w:num="1">
            <w:col w:w="11400"/>
          </w:cols>
          <w:pgMar w:left="300" w:top="120" w:right="199" w:bottom="0" w:gutter="0" w:footer="0" w:header="0"/>
        </w:sectPr>
      </w:pPr>
    </w:p>
    <w:bookmarkStart w:id="3" w:name="page4"/>
    <w:bookmarkEnd w:id="3"/>
    <w:p>
      <w:pPr>
        <w:jc w:val="center"/>
        <w:ind w:left="440"/>
        <w:spacing w:after="0" w:line="271" w:lineRule="auto"/>
        <w:rPr>
          <w:sz w:val="20"/>
          <w:szCs w:val="20"/>
          <w:color w:val="auto"/>
        </w:rPr>
      </w:pPr>
      <w:r>
        <w:rPr>
          <w:rFonts w:ascii="Arial" w:cs="Arial" w:eastAsia="Arial" w:hAnsi="Arial"/>
          <w:sz w:val="20"/>
          <w:szCs w:val="20"/>
          <w:color w:val="auto"/>
        </w:rPr>
        <w:t>James Dorr, General Counsel of Orbis Investment Management Limited and Orbis Asset Management Limited; Director of North Rock Holdings Corp., a member of Orbis Investment Management (U.S.),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27940</wp:posOffset>
            </wp:positionV>
            <wp:extent cx="36849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4905" cy="41910"/>
                    </a:xfrm>
                    <a:prstGeom prst="rect">
                      <a:avLst/>
                    </a:prstGeom>
                    <a:noFill/>
                  </pic:spPr>
                </pic:pic>
              </a:graphicData>
            </a:graphic>
          </wp:anchor>
        </w:drawing>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CUSIP No.: 595112103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CUSIP No.: 595112103</w:t>
      </w:r>
    </w:p>
    <w:sectPr>
      <w:pgSz w:w="11900" w:h="16838" w:orient="portrait"/>
      <w:cols w:equalWidth="0" w:num="1">
        <w:col w:w="11320"/>
      </w:cols>
      <w:pgMar w:left="24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2019-12-09T08:08:33Z</dcterms:created>
  <dcterms:modified xsi:type="dcterms:W3CDTF">2019-12-09T08:08:33Z</dcterms:modified>
</cp:coreProperties>
</file>