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25,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1-10658</w:t>
            </w:r>
          </w:p>
        </w:tc>
        <w:tc>
          <w:tcPr>
            <w:tcW w:w="120" w:type="dxa"/>
            <w:vAlign w:val="bottom"/>
          </w:tcPr>
          <w:p>
            <w:pPr>
              <w:spacing w:after="0"/>
              <w:rPr>
                <w:sz w:val="20"/>
                <w:szCs w:val="20"/>
                <w:color w:val="auto"/>
              </w:rPr>
            </w:pPr>
          </w:p>
        </w:tc>
        <w:tc>
          <w:tcPr>
            <w:tcW w:w="408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40" w:type="dxa"/>
            <w:vAlign w:val="bottom"/>
          </w:tcPr>
          <w:p>
            <w:pPr>
              <w:spacing w:after="0"/>
              <w:rPr>
                <w:sz w:val="20"/>
                <w:szCs w:val="20"/>
                <w:color w:val="auto"/>
              </w:rPr>
            </w:pPr>
          </w:p>
        </w:tc>
        <w:tc>
          <w:tcPr>
            <w:tcW w:w="2940" w:type="dxa"/>
            <w:vAlign w:val="bottom"/>
            <w:gridSpan w:val="2"/>
          </w:tcPr>
          <w:p>
            <w:pPr>
              <w:ind w:left="420"/>
              <w:spacing w:after="0"/>
              <w:rPr>
                <w:sz w:val="20"/>
                <w:szCs w:val="20"/>
                <w:color w:val="auto"/>
              </w:rPr>
            </w:pPr>
            <w:r>
              <w:rPr>
                <w:rFonts w:ascii="Arial" w:cs="Arial" w:eastAsia="Arial" w:hAnsi="Arial"/>
                <w:sz w:val="18"/>
                <w:szCs w:val="18"/>
                <w:color w:val="auto"/>
              </w:rPr>
              <w:t>(Commission File Number)</w:t>
            </w:r>
          </w:p>
        </w:tc>
        <w:tc>
          <w:tcPr>
            <w:tcW w:w="500" w:type="dxa"/>
            <w:vAlign w:val="bottom"/>
          </w:tcPr>
          <w:p>
            <w:pPr>
              <w:spacing w:after="0"/>
              <w:rPr>
                <w:sz w:val="20"/>
                <w:szCs w:val="20"/>
                <w:color w:val="auto"/>
              </w:rPr>
            </w:pPr>
          </w:p>
        </w:tc>
        <w:tc>
          <w:tcPr>
            <w:tcW w:w="3580" w:type="dxa"/>
            <w:vAlign w:val="bottom"/>
          </w:tcPr>
          <w:p>
            <w:pPr>
              <w:jc w:val="center"/>
              <w:ind w:right="430"/>
              <w:spacing w:after="0"/>
              <w:rPr>
                <w:sz w:val="20"/>
                <w:szCs w:val="20"/>
                <w:color w:val="auto"/>
              </w:rPr>
            </w:pPr>
            <w:r>
              <w:rPr>
                <w:rFonts w:ascii="Arial" w:cs="Arial" w:eastAsia="Arial" w:hAnsi="Arial"/>
                <w:sz w:val="18"/>
                <w:szCs w:val="18"/>
                <w:color w:val="auto"/>
                <w:w w:val="94"/>
              </w:rPr>
              <w:t>(I.R.S. Employer Identification No.)</w:t>
            </w:r>
          </w:p>
        </w:tc>
      </w:tr>
      <w:tr>
        <w:trPr>
          <w:trHeight w:val="527"/>
        </w:trPr>
        <w:tc>
          <w:tcPr>
            <w:tcW w:w="3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2"/>
          </w:tcPr>
          <w:p>
            <w:pPr>
              <w:ind w:left="400"/>
              <w:spacing w:after="0"/>
              <w:rPr>
                <w:sz w:val="20"/>
                <w:szCs w:val="20"/>
                <w:color w:val="auto"/>
              </w:rPr>
            </w:pPr>
            <w:r>
              <w:rPr>
                <w:rFonts w:ascii="Arial" w:cs="Arial" w:eastAsia="Arial" w:hAnsi="Arial"/>
                <w:sz w:val="18"/>
                <w:szCs w:val="18"/>
                <w:b w:val="1"/>
                <w:bCs w:val="1"/>
                <w:color w:val="auto"/>
              </w:rPr>
              <w:t>8000 South Federal Way</w:t>
            </w: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70"/>
        </w:trPr>
        <w:tc>
          <w:tcPr>
            <w:tcW w:w="3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40" w:type="dxa"/>
            <w:vAlign w:val="bottom"/>
            <w:gridSpan w:val="2"/>
          </w:tcPr>
          <w:p>
            <w:pPr>
              <w:ind w:left="400"/>
              <w:spacing w:after="0"/>
              <w:rPr>
                <w:sz w:val="20"/>
                <w:szCs w:val="20"/>
                <w:color w:val="auto"/>
              </w:rPr>
            </w:pPr>
            <w:r>
              <w:rPr>
                <w:rFonts w:ascii="Arial" w:cs="Arial" w:eastAsia="Arial" w:hAnsi="Arial"/>
                <w:sz w:val="18"/>
                <w:szCs w:val="18"/>
                <w:b w:val="1"/>
                <w:bCs w:val="1"/>
                <w:color w:val="auto"/>
              </w:rPr>
              <w:t>Boise, Idaho 83716-9632</w:t>
            </w:r>
          </w:p>
        </w:tc>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580" w:type="dxa"/>
            <w:vAlign w:val="bottom"/>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80" w:type="dxa"/>
            <w:vAlign w:val="bottom"/>
            <w:gridSpan w:val="3"/>
          </w:tcPr>
          <w:p>
            <w:pPr>
              <w:ind w:left="40"/>
              <w:spacing w:after="0"/>
              <w:rPr>
                <w:sz w:val="20"/>
                <w:szCs w:val="20"/>
                <w:color w:val="auto"/>
              </w:rPr>
            </w:pPr>
            <w:r>
              <w:rPr>
                <w:rFonts w:ascii="Arial" w:cs="Arial" w:eastAsia="Arial" w:hAnsi="Arial"/>
                <w:sz w:val="18"/>
                <w:szCs w:val="18"/>
                <w:color w:val="auto"/>
                <w:w w:val="98"/>
              </w:rPr>
              <w:t>(Address of principal executive offices)</w:t>
            </w:r>
          </w:p>
        </w:tc>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540" w:firstLine="32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78"/>
        </w:trPr>
        <w:tc>
          <w:tcPr>
            <w:tcW w:w="4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4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$0.10 per share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MU</w:t>
            </w: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4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Purchase Rights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MU</w:t>
            </w: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June 25, 2019, we announced the financial results for our third quarter of fiscal year 2019 ended May 30, 2019. The full text of the press release issued in connection with the announcement is attached as Exhibit 99.1 to this Current Report on Form 8-K.</w:t>
      </w:r>
    </w:p>
    <w:p>
      <w:pPr>
        <w:spacing w:after="0" w:line="251"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5"/>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5"/>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0000FF"/>
            </w:tcBorders>
          </w:tcPr>
          <w:p>
            <w:pPr>
              <w:spacing w:after="0" w:line="19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issued on June 25, 2019</w:t>
              </w:r>
            </w:hyperlink>
          </w:p>
        </w:tc>
        <w:tc>
          <w:tcPr>
            <w:tcW w:w="7020" w:type="dxa"/>
            <w:vAlign w:val="bottom"/>
          </w:tcPr>
          <w:p>
            <w:pPr>
              <w:spacing w:after="0"/>
              <w:rPr>
                <w:sz w:val="17"/>
                <w:szCs w:val="17"/>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6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80"/>
              <w:spacing w:after="0"/>
              <w:rPr>
                <w:sz w:val="20"/>
                <w:szCs w:val="20"/>
                <w:color w:val="auto"/>
              </w:rPr>
            </w:pPr>
            <w:r>
              <w:rPr>
                <w:rFonts w:ascii="Arial" w:cs="Arial" w:eastAsia="Arial" w:hAnsi="Arial"/>
                <w:sz w:val="18"/>
                <w:szCs w:val="18"/>
                <w:color w:val="auto"/>
              </w:rPr>
              <w:t>June 25, 2019</w:t>
            </w:r>
          </w:p>
        </w:tc>
        <w:tc>
          <w:tcPr>
            <w:tcW w:w="2820" w:type="dxa"/>
            <w:vAlign w:val="bottom"/>
          </w:tcPr>
          <w:p>
            <w:pPr>
              <w:ind w:left="18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2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820" w:type="dxa"/>
            <w:vAlign w:val="bottom"/>
          </w:tcPr>
          <w:p>
            <w:pPr>
              <w:ind w:left="18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38"/>
        </w:trPr>
        <w:tc>
          <w:tcPr>
            <w:tcW w:w="3700" w:type="dxa"/>
            <w:vAlign w:val="bottom"/>
            <w:gridSpan w:val="3"/>
          </w:tcPr>
          <w:p>
            <w:pPr>
              <w:ind w:left="40"/>
              <w:spacing w:after="0"/>
              <w:rPr>
                <w:sz w:val="20"/>
                <w:szCs w:val="20"/>
                <w:color w:val="auto"/>
              </w:rPr>
            </w:pPr>
            <w:r>
              <w:rPr>
                <w:rFonts w:ascii="Arial" w:cs="Arial" w:eastAsia="Arial" w:hAnsi="Arial"/>
                <w:sz w:val="22"/>
                <w:szCs w:val="22"/>
                <w:color w:val="auto"/>
                <w:w w:val="87"/>
              </w:rPr>
              <w:t>Contacts:Farhan Ahmad</w:t>
            </w:r>
          </w:p>
        </w:tc>
        <w:tc>
          <w:tcPr>
            <w:tcW w:w="2280" w:type="dxa"/>
            <w:vAlign w:val="bottom"/>
            <w:gridSpan w:val="3"/>
          </w:tcPr>
          <w:p>
            <w:pPr>
              <w:ind w:left="100"/>
              <w:spacing w:after="0"/>
              <w:rPr>
                <w:sz w:val="20"/>
                <w:szCs w:val="20"/>
                <w:color w:val="auto"/>
              </w:rPr>
            </w:pPr>
            <w:r>
              <w:rPr>
                <w:rFonts w:ascii="Arial" w:cs="Arial" w:eastAsia="Arial" w:hAnsi="Arial"/>
                <w:sz w:val="22"/>
                <w:szCs w:val="22"/>
                <w:color w:val="auto"/>
                <w:w w:val="88"/>
              </w:rPr>
              <w:t>Erica Rodriguez Pompen</w:t>
            </w:r>
          </w:p>
        </w:tc>
      </w:tr>
      <w:tr>
        <w:trPr>
          <w:trHeight w:val="297"/>
        </w:trPr>
        <w:tc>
          <w:tcPr>
            <w:tcW w:w="126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80" w:type="dxa"/>
            <w:vAlign w:val="bottom"/>
            <w:gridSpan w:val="3"/>
          </w:tcPr>
          <w:p>
            <w:pPr>
              <w:ind w:left="10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3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farhanahmad@micron.com</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epompen@micron.com</w:t>
            </w:r>
          </w:p>
        </w:tc>
        <w:tc>
          <w:tcPr>
            <w:tcW w:w="140" w:type="dxa"/>
            <w:vAlign w:val="bottom"/>
          </w:tcPr>
          <w:p>
            <w:pPr>
              <w:spacing w:after="0"/>
              <w:rPr>
                <w:sz w:val="21"/>
                <w:szCs w:val="21"/>
                <w:color w:val="auto"/>
              </w:rPr>
            </w:pPr>
          </w:p>
        </w:tc>
      </w:tr>
      <w:tr>
        <w:trPr>
          <w:trHeight w:val="328"/>
        </w:trPr>
        <w:tc>
          <w:tcPr>
            <w:tcW w:w="3620" w:type="dxa"/>
            <w:vAlign w:val="bottom"/>
            <w:gridSpan w:val="2"/>
          </w:tcPr>
          <w:p>
            <w:pPr>
              <w:ind w:left="1260"/>
              <w:spacing w:after="0"/>
              <w:rPr>
                <w:sz w:val="20"/>
                <w:szCs w:val="20"/>
                <w:color w:val="auto"/>
              </w:rPr>
            </w:pPr>
            <w:r>
              <w:rPr>
                <w:rFonts w:ascii="Arial" w:cs="Arial" w:eastAsia="Arial" w:hAnsi="Arial"/>
                <w:sz w:val="22"/>
                <w:szCs w:val="22"/>
                <w:color w:val="auto"/>
              </w:rPr>
              <w:t>(408) 834-1927</w:t>
            </w:r>
          </w:p>
        </w:tc>
        <w:tc>
          <w:tcPr>
            <w:tcW w:w="8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22"/>
                <w:szCs w:val="22"/>
                <w:color w:val="auto"/>
              </w:rPr>
              <w:t>(408) 834-1873</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OF FISCAL 2019</w:t>
      </w:r>
    </w:p>
    <w:p>
      <w:pPr>
        <w:spacing w:after="0" w:line="242" w:lineRule="exact"/>
        <w:rPr>
          <w:sz w:val="20"/>
          <w:szCs w:val="20"/>
          <w:color w:val="auto"/>
        </w:rPr>
      </w:pPr>
    </w:p>
    <w:p>
      <w:pPr>
        <w:jc w:val="center"/>
        <w:ind w:left="340"/>
        <w:spacing w:after="0"/>
        <w:rPr>
          <w:sz w:val="20"/>
          <w:szCs w:val="20"/>
          <w:color w:val="auto"/>
        </w:rPr>
      </w:pPr>
      <w:r>
        <w:rPr>
          <w:rFonts w:ascii="Arial" w:cs="Arial" w:eastAsia="Arial" w:hAnsi="Arial"/>
          <w:sz w:val="22"/>
          <w:szCs w:val="22"/>
          <w:i w:val="1"/>
          <w:iCs w:val="1"/>
          <w:color w:val="auto"/>
        </w:rPr>
        <w:t>Strong execution drives profitability and free cash flow</w:t>
      </w:r>
    </w:p>
    <w:p>
      <w:pPr>
        <w:spacing w:after="0" w:line="254" w:lineRule="exact"/>
        <w:rPr>
          <w:sz w:val="20"/>
          <w:szCs w:val="20"/>
          <w:color w:val="auto"/>
        </w:rPr>
      </w:pPr>
    </w:p>
    <w:p>
      <w:pPr>
        <w:ind w:right="220" w:firstLine="324"/>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June 25, 2019 – Micron Technology, Inc. (Nasdaq: MU) today announced results for its third quarter of fiscal</w:t>
      </w:r>
      <w:r>
        <w:rPr>
          <w:rFonts w:ascii="Arial" w:cs="Arial" w:eastAsia="Arial" w:hAnsi="Arial"/>
          <w:sz w:val="22"/>
          <w:szCs w:val="22"/>
          <w:b w:val="1"/>
          <w:bCs w:val="1"/>
          <w:color w:val="auto"/>
        </w:rPr>
        <w:t xml:space="preserve"> </w:t>
      </w:r>
      <w:r>
        <w:rPr>
          <w:rFonts w:ascii="Arial" w:cs="Arial" w:eastAsia="Arial" w:hAnsi="Arial"/>
          <w:sz w:val="22"/>
          <w:szCs w:val="22"/>
          <w:color w:val="auto"/>
        </w:rPr>
        <w:t>2019, which ended May 30, 2019.</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Q3 2019 Highlights</w:t>
      </w:r>
    </w:p>
    <w:p>
      <w:pPr>
        <w:spacing w:after="0" w:line="28" w:lineRule="exact"/>
        <w:rPr>
          <w:sz w:val="20"/>
          <w:szCs w:val="20"/>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of $4.79 billion versus $7.80 billion for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$840 million, or $0.74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$1.20 billion, or $1.05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$2.71 billion versus $4.26 billion for the same period last year</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1"/>
          <w:szCs w:val="21"/>
          <w:color w:val="auto"/>
        </w:rPr>
      </w:pPr>
      <w:r>
        <w:rPr>
          <w:rFonts w:ascii="Arial" w:cs="Arial" w:eastAsia="Arial" w:hAnsi="Arial"/>
          <w:sz w:val="21"/>
          <w:szCs w:val="21"/>
          <w:color w:val="auto"/>
        </w:rPr>
        <w:t>Share repurchases of $2.66 billion under the authorized buyback program in the first nine months of 2019</w:t>
      </w:r>
    </w:p>
    <w:p>
      <w:pPr>
        <w:spacing w:after="0" w:line="254" w:lineRule="exact"/>
        <w:rPr>
          <w:sz w:val="20"/>
          <w:szCs w:val="20"/>
          <w:color w:val="auto"/>
        </w:rPr>
      </w:pPr>
    </w:p>
    <w:p>
      <w:pPr>
        <w:ind w:right="840" w:firstLine="324"/>
        <w:spacing w:after="0" w:line="312" w:lineRule="auto"/>
        <w:rPr>
          <w:sz w:val="20"/>
          <w:szCs w:val="20"/>
          <w:color w:val="auto"/>
        </w:rPr>
      </w:pPr>
      <w:r>
        <w:rPr>
          <w:rFonts w:ascii="Arial" w:cs="Arial" w:eastAsia="Arial" w:hAnsi="Arial"/>
          <w:sz w:val="19"/>
          <w:szCs w:val="19"/>
          <w:color w:val="auto"/>
        </w:rPr>
        <w:t>"Micron's improved competitive position and strong execution helped us deliver solid results despite a challenging environment," said Micron Technology President and CEO Sanjay Mehrotra. "While we are seeing early signs of demand improvement, we plan to reduce our capital expenditures in fiscal 2020 to help improve industry supply-demand balance."</w:t>
      </w:r>
    </w:p>
    <w:p>
      <w:pPr>
        <w:spacing w:after="0" w:line="317"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350" w:type="dxa"/>
        <w:tblCellMar>
          <w:top w:w="0" w:type="dxa"/>
          <w:left w:w="0" w:type="dxa"/>
          <w:bottom w:w="0" w:type="dxa"/>
          <w:right w:w="0" w:type="dxa"/>
        </w:tblCellMar>
      </w:tblPr>
      <w:tr>
        <w:trPr>
          <w:trHeight w:val="281"/>
        </w:trPr>
        <w:tc>
          <w:tcPr>
            <w:tcW w:w="304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30"/>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w w:val="96"/>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FQ3-19</w:t>
            </w:r>
          </w:p>
        </w:tc>
        <w:tc>
          <w:tcPr>
            <w:tcW w:w="120" w:type="dxa"/>
            <w:vAlign w:val="bottom"/>
          </w:tcPr>
          <w:p>
            <w:pPr>
              <w:spacing w:after="0"/>
              <w:rPr>
                <w:sz w:val="20"/>
                <w:szCs w:val="20"/>
                <w:color w:val="auto"/>
              </w:rPr>
            </w:pP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FQ2-19</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FQ3-18</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FQ3-19</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FQ2-19</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FQ3-18</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5,835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7,797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5,835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7,797</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1,828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2,864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4,723</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2,928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4,750</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38.2%</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3"/>
              </w:rPr>
              <w:t>49.1%</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60.6%</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i w:val="1"/>
                <w:iCs w:val="1"/>
                <w:color w:val="auto"/>
              </w:rPr>
              <w:t>39.3%</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0"/>
              </w:rPr>
              <w:t>50.2%</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60.9%</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3,953</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4,017</w:t>
            </w:r>
          </w:p>
        </w:tc>
      </w:tr>
      <w:tr>
        <w:trPr>
          <w:trHeight w:val="302"/>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21.1%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3"/>
              </w:rPr>
              <w:t>33.5%</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50.7%</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23.2%</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0"/>
              </w:rPr>
              <w:t>36.2%</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51.5%</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840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3,823</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1,971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3,898</w:t>
            </w:r>
          </w:p>
        </w:tc>
      </w:tr>
      <w:tr>
        <w:trPr>
          <w:trHeight w:val="27"/>
        </w:trPr>
        <w:tc>
          <w:tcPr>
            <w:tcW w:w="3040" w:type="dxa"/>
            <w:vAlign w:val="bottom"/>
            <w:tcBorders>
              <w:left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r>
      <w:tr>
        <w:trPr>
          <w:trHeight w:val="250"/>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3.15</w:t>
            </w:r>
          </w:p>
        </w:tc>
      </w:tr>
      <w:tr>
        <w:trPr>
          <w:trHeight w:val="20"/>
        </w:trPr>
        <w:tc>
          <w:tcPr>
            <w:tcW w:w="3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r>
    </w:tbl>
    <w:p>
      <w:pPr>
        <w:spacing w:after="0" w:line="249" w:lineRule="exact"/>
        <w:rPr>
          <w:sz w:val="20"/>
          <w:szCs w:val="20"/>
          <w:color w:val="auto"/>
        </w:rPr>
      </w:pPr>
    </w:p>
    <w:p>
      <w:pPr>
        <w:ind w:right="100" w:firstLine="324"/>
        <w:spacing w:after="0" w:line="222" w:lineRule="auto"/>
        <w:rPr>
          <w:sz w:val="20"/>
          <w:szCs w:val="20"/>
          <w:color w:val="auto"/>
        </w:rPr>
      </w:pPr>
      <w:r>
        <w:rPr>
          <w:rFonts w:ascii="Arial" w:cs="Arial" w:eastAsia="Arial" w:hAnsi="Arial"/>
          <w:sz w:val="22"/>
          <w:szCs w:val="22"/>
          <w:color w:val="auto"/>
        </w:rPr>
        <w:t>Investments in capital expenditures, net of amounts funded by partners, were $2.21 billion for the third quarter of 2019, which resulted in adjusted free cash flow</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of $504 million. Micron repurchased an aggregate of 67 million shares of its common stock for $2.66 billion during the first nine months of 2019 in connection with its $10 billion share repurchase authorization. The company ended the third quarter with cash, marketable investments, and restricted cash of $7.93 billion for a net cash</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position of $3.02 billion.</w:t>
      </w:r>
    </w:p>
    <w:p>
      <w:pPr>
        <w:sectPr>
          <w:pgSz w:w="11900" w:h="16838" w:orient="portrait"/>
          <w:cols w:equalWidth="0" w:num="1">
            <w:col w:w="11420"/>
          </w:cols>
          <w:pgMar w:left="240" w:top="625" w:right="239" w:bottom="1440" w:gutter="0" w:footer="0" w:header="0"/>
        </w:sectPr>
      </w:pPr>
    </w:p>
    <w:bookmarkStart w:id="4" w:name="page5"/>
    <w:bookmarkEnd w:id="4"/>
    <w:p>
      <w:pPr>
        <w:ind w:firstLine="324"/>
        <w:spacing w:after="0" w:line="297" w:lineRule="auto"/>
        <w:rPr>
          <w:sz w:val="20"/>
          <w:szCs w:val="20"/>
          <w:color w:val="auto"/>
        </w:rPr>
      </w:pPr>
      <w:r>
        <w:rPr>
          <w:rFonts w:ascii="Arial" w:cs="Arial" w:eastAsia="Arial" w:hAnsi="Arial"/>
          <w:sz w:val="19"/>
          <w:szCs w:val="19"/>
          <w:color w:val="auto"/>
        </w:rPr>
        <w:t xml:space="preserve">Micron will host a conference call on Tuesday, June 25, 2019 at 2:30 p.m. MT to discuss financial results and provide forward-looking guidance for its fiscal fourth quarter. The call, audio, and slides will be available online at </w:t>
      </w:r>
      <w:r>
        <w:rPr>
          <w:rFonts w:ascii="Arial" w:cs="Arial" w:eastAsia="Arial" w:hAnsi="Arial"/>
          <w:sz w:val="19"/>
          <w:szCs w:val="19"/>
          <w:u w:val="single" w:color="auto"/>
          <w:color w:val="006EBF"/>
        </w:rPr>
        <w:t>investors.micron.com</w:t>
      </w:r>
      <w:r>
        <w:rPr>
          <w:rFonts w:ascii="Arial" w:cs="Arial" w:eastAsia="Arial" w:hAnsi="Arial"/>
          <w:sz w:val="19"/>
          <w:szCs w:val="19"/>
          <w:color w:val="auto"/>
        </w:rPr>
        <w:t xml:space="preserve">. A webcast replay will be available on our website until June 25, 2020. A taped audio replay of the conference call will also be available at 1-404-537-3406 or 1-855-859-2056 (conference number: 3684209) beginning at 5:30 p.m. MT, June 25, 2019 and continuing through July 2, 2019. For Investor Relations and other company updates, follow @MicronTech on Twitter at </w:t>
      </w:r>
      <w:r>
        <w:rPr>
          <w:rFonts w:ascii="Arial" w:cs="Arial" w:eastAsia="Arial" w:hAnsi="Arial"/>
          <w:sz w:val="19"/>
          <w:szCs w:val="19"/>
          <w:u w:val="single" w:color="auto"/>
          <w:color w:val="006EBF"/>
        </w:rPr>
        <w:t>twitter.com/MicronTech</w:t>
      </w:r>
      <w:r>
        <w:rPr>
          <w:rFonts w:ascii="Arial" w:cs="Arial" w:eastAsia="Arial" w:hAnsi="Arial"/>
          <w:sz w:val="19"/>
          <w:szCs w:val="19"/>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Micron Technology, Inc.</w:t>
      </w:r>
    </w:p>
    <w:p>
      <w:pPr>
        <w:spacing w:after="0" w:line="215" w:lineRule="exact"/>
        <w:rPr>
          <w:sz w:val="20"/>
          <w:szCs w:val="20"/>
          <w:color w:val="auto"/>
        </w:rPr>
      </w:pPr>
    </w:p>
    <w:p>
      <w:pPr>
        <w:ind w:right="60" w:firstLine="324"/>
        <w:spacing w:after="0" w:line="268" w:lineRule="auto"/>
        <w:rPr>
          <w:sz w:val="20"/>
          <w:szCs w:val="20"/>
          <w:color w:val="auto"/>
        </w:rPr>
      </w:pPr>
      <w:r>
        <w:rPr>
          <w:rFonts w:ascii="Arial" w:cs="Arial" w:eastAsia="Arial" w:hAnsi="Arial"/>
          <w:sz w:val="19"/>
          <w:szCs w:val="19"/>
          <w:color w:val="auto"/>
        </w:rPr>
        <w:t xml:space="preserve">We are an industry leader in innovative memory and storage solutions. Through our global brands </w:t>
      </w:r>
      <w:r>
        <w:rPr>
          <w:rFonts w:ascii="Arial" w:cs="Arial" w:eastAsia="Arial" w:hAnsi="Arial"/>
          <w:sz w:val="16"/>
          <w:szCs w:val="16"/>
          <w:color w:val="auto"/>
        </w:rPr>
        <w:t>–</w:t>
      </w:r>
      <w:r>
        <w:rPr>
          <w:rFonts w:ascii="Arial" w:cs="Arial" w:eastAsia="Arial" w:hAnsi="Arial"/>
          <w:sz w:val="19"/>
          <w:szCs w:val="19"/>
          <w:color w:val="auto"/>
        </w:rPr>
        <w:t xml:space="preserve"> Micron</w:t>
      </w:r>
      <w:r>
        <w:rPr>
          <w:rFonts w:ascii="Arial" w:cs="Arial" w:eastAsia="Arial" w:hAnsi="Arial"/>
          <w:sz w:val="25"/>
          <w:szCs w:val="25"/>
          <w:color w:val="auto"/>
          <w:vertAlign w:val="superscript"/>
        </w:rPr>
        <w:t>®</w:t>
      </w:r>
      <w:r>
        <w:rPr>
          <w:rFonts w:ascii="Arial" w:cs="Arial" w:eastAsia="Arial" w:hAnsi="Arial"/>
          <w:sz w:val="19"/>
          <w:szCs w:val="19"/>
          <w:color w:val="auto"/>
        </w:rPr>
        <w:t>, Crucial</w:t>
      </w:r>
      <w:r>
        <w:rPr>
          <w:rFonts w:ascii="Arial" w:cs="Arial" w:eastAsia="Arial" w:hAnsi="Arial"/>
          <w:sz w:val="25"/>
          <w:szCs w:val="25"/>
          <w:color w:val="auto"/>
          <w:vertAlign w:val="superscript"/>
        </w:rPr>
        <w:t>®</w:t>
      </w:r>
      <w:r>
        <w:rPr>
          <w:rFonts w:ascii="Arial" w:cs="Arial" w:eastAsia="Arial" w:hAnsi="Arial"/>
          <w:sz w:val="19"/>
          <w:szCs w:val="19"/>
          <w:color w:val="auto"/>
        </w:rPr>
        <w:t>, and Ballistix</w:t>
      </w:r>
      <w:r>
        <w:rPr>
          <w:rFonts w:ascii="Arial" w:cs="Arial" w:eastAsia="Arial" w:hAnsi="Arial"/>
          <w:sz w:val="25"/>
          <w:szCs w:val="25"/>
          <w:color w:val="auto"/>
          <w:vertAlign w:val="superscript"/>
        </w:rPr>
        <w:t>®</w:t>
      </w:r>
      <w:r>
        <w:rPr>
          <w:rFonts w:ascii="Arial" w:cs="Arial" w:eastAsia="Arial" w:hAnsi="Arial"/>
          <w:sz w:val="19"/>
          <w:szCs w:val="19"/>
          <w:color w:val="auto"/>
        </w:rPr>
        <w:t xml:space="preserve"> </w:t>
      </w:r>
      <w:r>
        <w:rPr>
          <w:rFonts w:ascii="Arial" w:cs="Arial" w:eastAsia="Arial" w:hAnsi="Arial"/>
          <w:sz w:val="16"/>
          <w:szCs w:val="16"/>
          <w:color w:val="auto"/>
        </w:rPr>
        <w:t>–</w:t>
      </w:r>
      <w:r>
        <w:rPr>
          <w:rFonts w:ascii="Arial" w:cs="Arial" w:eastAsia="Arial" w:hAnsi="Arial"/>
          <w:sz w:val="19"/>
          <w:szCs w:val="19"/>
          <w:color w:val="auto"/>
        </w:rPr>
        <w:t xml:space="preserve">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 Our common stock is traded on the Nasdaq under the MU symbol. To learn more about Micron Technology, Inc., visit </w:t>
      </w:r>
      <w:r>
        <w:rPr>
          <w:rFonts w:ascii="Arial" w:cs="Arial" w:eastAsia="Arial" w:hAnsi="Arial"/>
          <w:sz w:val="19"/>
          <w:szCs w:val="19"/>
          <w:u w:val="single" w:color="auto"/>
          <w:color w:val="006EBF"/>
        </w:rPr>
        <w:t>micron.com</w:t>
      </w:r>
      <w:r>
        <w:rPr>
          <w:rFonts w:ascii="Arial" w:cs="Arial" w:eastAsia="Arial" w:hAnsi="Arial"/>
          <w:sz w:val="19"/>
          <w:szCs w:val="19"/>
          <w:color w:val="auto"/>
        </w:rPr>
        <w:t>.</w:t>
      </w:r>
    </w:p>
    <w:p>
      <w:pPr>
        <w:spacing w:after="0" w:line="216" w:lineRule="exact"/>
        <w:rPr>
          <w:sz w:val="20"/>
          <w:szCs w:val="20"/>
          <w:color w:val="auto"/>
        </w:rPr>
      </w:pPr>
    </w:p>
    <w:p>
      <w:pPr>
        <w:ind w:right="200" w:firstLine="324"/>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21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9"/>
          <w:szCs w:val="19"/>
          <w:i w:val="1"/>
          <w:iCs w:val="1"/>
          <w:color w:val="auto"/>
        </w:rPr>
        <w:t xml:space="preserve">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9"/>
          <w:szCs w:val="19"/>
          <w:i w:val="1"/>
          <w:iCs w:val="1"/>
          <w:u w:val="single" w:color="auto"/>
          <w:color w:val="006EBF"/>
        </w:rPr>
        <w:t>www.micron.com/certainfactors</w:t>
      </w:r>
      <w:r>
        <w:rPr>
          <w:rFonts w:ascii="Arial" w:cs="Arial" w:eastAsia="Arial" w:hAnsi="Arial"/>
          <w:sz w:val="19"/>
          <w:szCs w:val="19"/>
          <w:i w:val="1"/>
          <w:iCs w:val="1"/>
          <w:color w:val="000000"/>
        </w:rPr>
        <w:t>. Although we believe that the expectations reflected in the forward-looking statements are</w:t>
      </w:r>
      <w:r>
        <w:rPr>
          <w:rFonts w:ascii="Arial" w:cs="Arial" w:eastAsia="Arial" w:hAnsi="Arial"/>
          <w:sz w:val="19"/>
          <w:szCs w:val="19"/>
          <w:i w:val="1"/>
          <w:iCs w:val="1"/>
          <w:color w:val="006EBF"/>
        </w:rPr>
        <w:t xml:space="preserve"> </w:t>
      </w:r>
      <w:r>
        <w:rPr>
          <w:rFonts w:ascii="Arial" w:cs="Arial" w:eastAsia="Arial" w:hAnsi="Arial"/>
          <w:sz w:val="19"/>
          <w:szCs w:val="19"/>
          <w:i w:val="1"/>
          <w:iCs w:val="1"/>
          <w:color w:val="000000"/>
        </w:rPr>
        <w:t>reasonable, we cannot guarantee future results, levels of activity, performance, or achievements. We are under no duty to update any of the forward-looking statements after the date of this release to conform these statements to actual results.</w:t>
      </w:r>
    </w:p>
    <w:p>
      <w:pPr>
        <w:spacing w:after="0" w:line="161" w:lineRule="exact"/>
        <w:rPr>
          <w:sz w:val="20"/>
          <w:szCs w:val="20"/>
          <w:color w:val="auto"/>
        </w:rPr>
      </w:pPr>
    </w:p>
    <w:p>
      <w:pPr>
        <w:ind w:left="560" w:hanging="228"/>
        <w:spacing w:after="0"/>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right="320" w:firstLine="332"/>
        <w:spacing w:after="0" w:line="25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our management excludes in analyzing our operating results and understanding trends in our earnings. Non-GAAP shares used in per share calculations also include the impact of our outstanding capped call transactions and the effect of stock-based compensation. For a reconciliation of GAAP to non-GAAP results, see the accompanying financial tables and footnotes.</w:t>
      </w:r>
    </w:p>
    <w:p>
      <w:pPr>
        <w:ind w:right="380" w:firstLine="332"/>
        <w:spacing w:after="0" w:line="23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Adjusted free cash flow consists of cash provided by operating activities of $2.71 billion for the third quarter of 2019 less investments in capital expenditures, net of amounts funded by partners.</w:t>
      </w:r>
    </w:p>
    <w:p>
      <w:pPr>
        <w:ind w:left="560" w:hanging="228"/>
        <w:spacing w:after="0" w:line="198" w:lineRule="auto"/>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Net cash consists of cash, marketable investments, and restricted cash less current and long-term debt of $4.91 billion.</w:t>
      </w:r>
    </w:p>
    <w:p>
      <w:pPr>
        <w:sectPr>
          <w:pgSz w:w="11900" w:h="16838" w:orient="portrait"/>
          <w:cols w:equalWidth="0" w:num="1">
            <w:col w:w="11420"/>
          </w:cols>
          <w:pgMar w:left="240" w:top="888" w:right="239" w:bottom="1440" w:gutter="0" w:footer="0" w:header="0"/>
        </w:sectPr>
      </w:pPr>
    </w:p>
    <w:bookmarkStart w:id="5" w:name="page6"/>
    <w:bookmarkEnd w:id="5"/>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p>
      <w:pPr>
        <w:spacing w:after="0" w:line="4"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60" w:type="dxa"/>
            <w:vAlign w:val="bottom"/>
          </w:tcPr>
          <w:p>
            <w:pPr>
              <w:spacing w:after="0"/>
              <w:rPr>
                <w:sz w:val="24"/>
                <w:szCs w:val="24"/>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260" w:type="dxa"/>
            <w:vAlign w:val="bottom"/>
          </w:tcPr>
          <w:p>
            <w:pPr>
              <w:spacing w:after="0"/>
              <w:rPr>
                <w:sz w:val="24"/>
                <w:szCs w:val="24"/>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May 30,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May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5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21,951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9,211</w:t>
            </w:r>
          </w:p>
        </w:tc>
      </w:tr>
      <w:tr>
        <w:trPr>
          <w:trHeight w:val="27"/>
        </w:trPr>
        <w:tc>
          <w:tcPr>
            <w:tcW w:w="3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598</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10,617</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 xml:space="preserve">Other non-operating income (expense), net </w:t>
            </w:r>
            <w:r>
              <w:rPr>
                <w:rFonts w:ascii="Arial" w:cs="Arial" w:eastAsia="Arial" w:hAnsi="Arial"/>
                <w:sz w:val="25"/>
                <w:szCs w:val="25"/>
                <w:color w:val="auto"/>
                <w:w w:val="94"/>
                <w:vertAlign w:val="superscript"/>
              </w:rPr>
              <w:t>(2)</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35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income (loss) of equity method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investees</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9,810</w:t>
            </w:r>
          </w:p>
        </w:tc>
      </w:tr>
      <w:tr>
        <w:trPr>
          <w:trHeight w:val="20"/>
        </w:trPr>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r>
      <w:tr>
        <w:trPr>
          <w:trHeight w:val="297"/>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1,150</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r>
      <w:tr>
        <w:trPr>
          <w:trHeight w:val="27"/>
        </w:trPr>
        <w:tc>
          <w:tcPr>
            <w:tcW w:w="3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Receivables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5,478</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current assets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16,550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16,039</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23,672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43,376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(2)(4)</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5,754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3,777</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(1)(2)(5)</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32,294</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Noncontrolling interests in subsidiaries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33,164</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52"/>
        </w:trPr>
        <w:tc>
          <w:tcPr>
            <w:tcW w:w="8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(6,087)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r>
      <w:tr>
        <w:trPr>
          <w:trHeight w:val="297"/>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(6,798)</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Payments to acquire treasury stock </w:t>
            </w:r>
            <w:r>
              <w:rPr>
                <w:rFonts w:ascii="Arial" w:cs="Arial" w:eastAsia="Arial" w:hAnsi="Arial"/>
                <w:sz w:val="25"/>
                <w:szCs w:val="25"/>
                <w:color w:val="auto"/>
                <w:vertAlign w:val="superscript"/>
              </w:rPr>
              <w:t>(5)</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w:t>
            </w:r>
          </w:p>
        </w:tc>
      </w:tr>
      <w:tr>
        <w:trPr>
          <w:trHeight w:val="341"/>
        </w:trPr>
        <w:tc>
          <w:tcPr>
            <w:tcW w:w="8360" w:type="dxa"/>
            <w:vAlign w:val="bottom"/>
          </w:tcPr>
          <w:p>
            <w:pPr>
              <w:ind w:left="40"/>
              <w:spacing w:after="0"/>
              <w:rPr>
                <w:sz w:val="20"/>
                <w:szCs w:val="20"/>
                <w:color w:val="auto"/>
              </w:rPr>
            </w:pPr>
            <w:r>
              <w:rPr>
                <w:rFonts w:ascii="Arial" w:cs="Arial" w:eastAsia="Arial" w:hAnsi="Arial"/>
                <w:sz w:val="18"/>
                <w:szCs w:val="18"/>
                <w:color w:val="auto"/>
              </w:rPr>
              <w:t xml:space="preserve">Proceeds from issuance of debt </w:t>
            </w:r>
            <w:r>
              <w:rPr>
                <w:rFonts w:ascii="Arial" w:cs="Arial" w:eastAsia="Arial" w:hAnsi="Arial"/>
                <w:sz w:val="25"/>
                <w:szCs w:val="25"/>
                <w:color w:val="auto"/>
                <w:vertAlign w:val="superscript"/>
              </w:rPr>
              <w:t>(2)</w:t>
            </w: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969</w:t>
            </w:r>
          </w:p>
        </w:tc>
      </w:tr>
    </w:tbl>
    <w:p>
      <w:pPr>
        <w:sectPr>
          <w:pgSz w:w="11900" w:h="16838" w:orient="portrait"/>
          <w:cols w:equalWidth="0" w:num="1">
            <w:col w:w="11420"/>
          </w:cols>
          <w:pgMar w:left="240" w:top="625" w:right="239" w:bottom="1440" w:gutter="0" w:footer="0" w:header="0"/>
        </w:sectPr>
      </w:pPr>
    </w:p>
    <w:bookmarkStart w:id="7" w:name="page8"/>
    <w:bookmarkEnd w:id="7"/>
    <w:p>
      <w:pPr>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the first quarter of 2019, we adopted ASU 2014-09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amended, "ASC 606"), which supersedes nearly all existing revenue recognition guidance under generally accepted accounting principles in the United States. The core principal of ASC 606 is that an entity should recognize revenue when it transfers control of promised goods or services to customers in an amount that reflects the consideration to which the entity expects to be entitled in exchange for those goods or services. We adopted ASC 606 in the first quarter of 2019 under the modified retrospective method and, in connection therewith, made certain adjustments to our opening balances as of August 31, 2018. Adjustments to opening balances included an increase to receivables of $114 million, reduction of deferred tax assets of $92 million, increase of other current assets of $30 million, and an increase to retained earnings of $50 million.</w:t>
      </w:r>
    </w:p>
    <w:p>
      <w:pPr>
        <w:spacing w:after="0" w:line="189" w:lineRule="exact"/>
        <w:rPr>
          <w:rFonts w:ascii="Arial" w:cs="Arial" w:eastAsia="Arial" w:hAnsi="Arial"/>
          <w:sz w:val="18"/>
          <w:szCs w:val="18"/>
          <w:color w:val="auto"/>
        </w:rPr>
      </w:pPr>
    </w:p>
    <w:p>
      <w:pPr>
        <w:ind w:left="340" w:right="16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February 6, 2019, we issued $600 million, $500 million, and $700 million in principal of senior unsecured notes due in 2024, 2026, and 2029, respectively. On February 8, 2019, we notified holders of our convertible senior notes due in 2043 ("2043G Notes") that we would redeem all of the outstanding 2043G Notes on March 13, 2019. In connection with our notice, we made an irrevocable election to settle any conversions in cash and, as a result, we reclassified $336 million from equity to a derivative debt liability. Holders converted substantially all of the 2043G Notes and, on March 13, 2019, we paid $1.43 billion to settle the conversions. We incurred losses of $316 million and $84 million in the third and second quarters of 2019, respectively, in connection with these transactions.</w:t>
      </w:r>
    </w:p>
    <w:p>
      <w:pPr>
        <w:spacing w:after="0" w:line="193" w:lineRule="exact"/>
        <w:rPr>
          <w:rFonts w:ascii="Arial" w:cs="Arial" w:eastAsia="Arial" w:hAnsi="Arial"/>
          <w:sz w:val="18"/>
          <w:szCs w:val="18"/>
          <w:color w:val="auto"/>
        </w:rPr>
      </w:pPr>
    </w:p>
    <w:p>
      <w:pPr>
        <w:jc w:val="both"/>
        <w:ind w:left="340" w:right="28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22, 2017, the United States enacted comprehensive tax legislation, commonly referred to as the Tax Cuts and Jobs Act (the "Tax Act"), which imposed a one-time transition tax in 2018 (the "Repatriation Tax") and created a new minimum tax on certain foreign earnings. Our income tax provision consisted of the following: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3560" w:type="dxa"/>
            <w:vAlign w:val="bottom"/>
          </w:tcPr>
          <w:p>
            <w:pPr>
              <w:spacing w:after="0"/>
              <w:rPr>
                <w:sz w:val="18"/>
                <w:szCs w:val="18"/>
                <w:color w:val="auto"/>
              </w:rPr>
            </w:pPr>
          </w:p>
        </w:tc>
        <w:tc>
          <w:tcPr>
            <w:tcW w:w="1080" w:type="dxa"/>
            <w:vAlign w:val="bottom"/>
          </w:tcPr>
          <w:p>
            <w:pPr>
              <w:jc w:val="center"/>
              <w:ind w:left="290"/>
              <w:spacing w:after="0"/>
              <w:rPr>
                <w:sz w:val="20"/>
                <w:szCs w:val="20"/>
                <w:color w:val="auto"/>
              </w:rPr>
            </w:pPr>
            <w:r>
              <w:rPr>
                <w:rFonts w:ascii="Arial" w:cs="Arial" w:eastAsia="Arial" w:hAnsi="Arial"/>
                <w:sz w:val="18"/>
                <w:szCs w:val="18"/>
                <w:b w:val="1"/>
                <w:bCs w:val="1"/>
                <w:color w:val="auto"/>
                <w:w w:val="95"/>
              </w:rPr>
              <w:t>May 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b w:val="1"/>
                <w:bCs w:val="1"/>
                <w:color w:val="auto"/>
              </w:rPr>
              <w:t>February 28,</w:t>
            </w:r>
          </w:p>
        </w:tc>
        <w:tc>
          <w:tcPr>
            <w:tcW w:w="106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May 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3560" w:type="dxa"/>
            <w:vAlign w:val="bottom"/>
          </w:tcPr>
          <w:p>
            <w:pPr>
              <w:spacing w:after="0"/>
              <w:rPr>
                <w:sz w:val="20"/>
                <w:szCs w:val="20"/>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2019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5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 benefit, excluding</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items below</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Utilization of and other changes in net</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deferred tax assets of MMJ, MMT, and</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MTTW</w:t>
            </w: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Repatriation Tax, net of adjustments related to</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uncertain tax positions</w:t>
            </w: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Release of the valuation allowance on net</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deferred tax assets of our U.S. operations</w:t>
            </w:r>
          </w:p>
        </w:tc>
        <w:tc>
          <w:tcPr>
            <w:tcW w:w="108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7"/>
        </w:trPr>
        <w:tc>
          <w:tcPr>
            <w:tcW w:w="3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Remeasurement of deferred tax assets and</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liabilities reflecting lower U.S. corporate tax</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rates</w:t>
            </w:r>
          </w:p>
        </w:tc>
        <w:tc>
          <w:tcPr>
            <w:tcW w:w="10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356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135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(280)</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3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9" w:lineRule="auto"/>
        <w:rPr>
          <w:sz w:val="20"/>
          <w:szCs w:val="20"/>
          <w:color w:val="auto"/>
        </w:rPr>
      </w:pPr>
      <w:r>
        <w:rPr>
          <w:rFonts w:ascii="Arial" w:cs="Arial" w:eastAsia="Arial" w:hAnsi="Arial"/>
          <w:sz w:val="17"/>
          <w:szCs w:val="17"/>
          <w:color w:val="auto"/>
        </w:rPr>
        <w:t>The decrease in our income tax provision in the third quarter of 2019 as compared to the second quarter of 2019 was due primarily to a reduction in profit before tax and a related reduction in the foreign minimum tax. The Repatriation Tax and our deferred tax liabilities on unremitted earnings were also reduced in the third quarter of 2019 due to Tax Act-related law changes. Our provision for income tax and the effective tax rate increased in the first nine months of 2019 as compared to the corresponding period of 2018 primarily as a result of the foreign minimum tax.</w:t>
      </w:r>
    </w:p>
    <w:p>
      <w:pPr>
        <w:spacing w:after="0" w:line="171" w:lineRule="exact"/>
        <w:rPr>
          <w:sz w:val="20"/>
          <w:szCs w:val="20"/>
          <w:color w:val="auto"/>
        </w:rPr>
      </w:pPr>
    </w:p>
    <w:p>
      <w:pPr>
        <w:ind w:left="340" w:right="20" w:hanging="332"/>
        <w:spacing w:after="0" w:line="31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January 2019, we exercised our option to acquire Intel's interest in our joint venture, IM Flash Technologies, LLC ("IMFT") and, in the third quarter of 2019, Intel set the closing date of the transaction to occur on October 31, 2019. At closing, we expect to pay Intel approximately $1.4 billion in cash for Intel's noncontrolling interest in IMFT and IMFT member debt. As of May 30, 2019, current debt included $858 million of IMFT member debt.</w:t>
      </w:r>
    </w:p>
    <w:p>
      <w:pPr>
        <w:spacing w:after="0" w:line="146" w:lineRule="exact"/>
        <w:rPr>
          <w:rFonts w:ascii="Arial" w:cs="Arial" w:eastAsia="Arial" w:hAnsi="Arial"/>
          <w:sz w:val="16"/>
          <w:szCs w:val="16"/>
          <w:color w:val="auto"/>
        </w:rPr>
      </w:pPr>
    </w:p>
    <w:p>
      <w:pPr>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third quarter and first nine months of 2019, we repurchased 4 million shares of our common stock for $157 million and 67 million shares of our common stock for $2.66 billion, respectively, under an accelerated share repurchase agreement, Rule 10b5-1 plans, and through open market repurchases. The shares were recorded as treasury stock.</w:t>
      </w:r>
    </w:p>
    <w:p>
      <w:pPr>
        <w:sectPr>
          <w:pgSz w:w="11900" w:h="16838" w:orient="portrait"/>
          <w:cols w:equalWidth="0" w:num="1">
            <w:col w:w="11420"/>
          </w:cols>
          <w:pgMar w:left="240" w:top="625" w:right="239" w:bottom="1440" w:gutter="0" w:footer="0" w:header="0"/>
        </w:sectPr>
      </w:pPr>
    </w:p>
    <w:bookmarkStart w:id="8" w:name="page9"/>
    <w:bookmarkEnd w:id="8"/>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RECONCILIATION OF GAAP TO NON-GAAP RESULTS</w:t>
      </w:r>
    </w:p>
    <w:p>
      <w:pPr>
        <w:spacing w:after="0" w:line="4"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25"/>
                <w:szCs w:val="25"/>
                <w:b w:val="1"/>
                <w:bCs w:val="1"/>
                <w:color w:val="auto"/>
                <w:w w:val="90"/>
                <w:vertAlign w:val="superscript"/>
              </w:rPr>
              <w:t>rd</w:t>
            </w:r>
            <w:r>
              <w:rPr>
                <w:rFonts w:ascii="Arial" w:cs="Arial" w:eastAsia="Arial" w:hAnsi="Arial"/>
                <w:sz w:val="18"/>
                <w:szCs w:val="18"/>
                <w:b w:val="1"/>
                <w:bCs w:val="1"/>
                <w:color w:val="auto"/>
                <w:w w:val="90"/>
              </w:rPr>
              <w:t xml:space="preserve"> Qtr.</w:t>
            </w:r>
          </w:p>
        </w:tc>
        <w:tc>
          <w:tcPr>
            <w:tcW w:w="180" w:type="dxa"/>
            <w:vAlign w:val="bottom"/>
          </w:tcPr>
          <w:p>
            <w:pPr>
              <w:spacing w:after="0"/>
              <w:rPr>
                <w:sz w:val="24"/>
                <w:szCs w:val="24"/>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260" w:type="dxa"/>
            <w:vAlign w:val="bottom"/>
          </w:tcPr>
          <w:p>
            <w:pPr>
              <w:spacing w:after="0"/>
              <w:rPr>
                <w:sz w:val="24"/>
                <w:szCs w:val="24"/>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r>
      <w:tr>
        <w:trPr>
          <w:trHeight w:val="216"/>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May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May 31,</w:t>
            </w:r>
          </w:p>
        </w:tc>
      </w:t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gross margin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Start-up and preproduction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Employee severance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gross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4,750</w:t>
            </w:r>
          </w:p>
        </w:tc>
      </w:tr>
      <w:tr>
        <w:trPr>
          <w:trHeight w:val="284"/>
        </w:trPr>
        <w:tc>
          <w:tcPr>
            <w:tcW w:w="6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GAAP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3,953</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Start-up and preproduction costs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severance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operating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4,017</w:t>
            </w:r>
          </w:p>
        </w:tc>
      </w:tr>
      <w:tr>
        <w:trPr>
          <w:trHeight w:val="257"/>
        </w:trPr>
        <w:tc>
          <w:tcPr>
            <w:tcW w:w="6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GAAP net income attributable to Micron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3,823</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Start-up and preproduction costs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severance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other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(Gain) loss on debt repurchases and conversions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from changes in currency exchange rates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U.S. income tax reform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6760" w:type="dxa"/>
            <w:vAlign w:val="bottom"/>
          </w:tcPr>
          <w:p>
            <w:pPr>
              <w:ind w:left="180"/>
              <w:spacing w:after="0"/>
              <w:rPr>
                <w:sz w:val="20"/>
                <w:szCs w:val="20"/>
                <w:color w:val="auto"/>
              </w:rPr>
            </w:pPr>
            <w:r>
              <w:rPr>
                <w:rFonts w:ascii="Arial" w:cs="Arial" w:eastAsia="Arial" w:hAnsi="Arial"/>
                <w:sz w:val="18"/>
                <w:szCs w:val="18"/>
                <w:color w:val="auto"/>
                <w:w w:val="97"/>
              </w:rPr>
              <w:t>Estimated tax effects of above, non-cash changes in net deferred income taxes,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760" w:type="dxa"/>
            <w:vAlign w:val="bottom"/>
          </w:tcPr>
          <w:p>
            <w:pPr>
              <w:ind w:left="340"/>
              <w:spacing w:after="0"/>
              <w:rPr>
                <w:sz w:val="20"/>
                <w:szCs w:val="20"/>
                <w:color w:val="auto"/>
              </w:rPr>
            </w:pPr>
            <w:r>
              <w:rPr>
                <w:rFonts w:ascii="Arial" w:cs="Arial" w:eastAsia="Arial" w:hAnsi="Arial"/>
                <w:sz w:val="18"/>
                <w:szCs w:val="18"/>
                <w:color w:val="auto"/>
              </w:rPr>
              <w:t>assessments of tax exposures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attributable to Micron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3,898</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weighted-average common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Adjustment for capped calls and stock-based compensation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weighted-average common shares outstanding - Diluted</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Effects of the above adjustments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earnings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tables above reconcile GAAP to non-GAAP gross margin, operating income, net income attributable to Micron, diluted shares, and diluted earnings per share.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w:t>
      </w:r>
    </w:p>
    <w:p>
      <w:pPr>
        <w:sectPr>
          <w:pgSz w:w="11900" w:h="16838" w:orient="portrait"/>
          <w:cols w:equalWidth="0" w:num="1">
            <w:col w:w="11420"/>
          </w:cols>
          <w:pgMar w:left="240" w:top="625"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numbers presented in accordance with U.S. GAAP and therefore may not be comparable to amounts reported by other companies. Our management excludes the following items in analyzing our operating results and understanding trends in our earnings: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U.S. income tax reform for the Repatriation Tax, release of U.S. valuation allowance, and remeasurement of net deferred taxes reflecting lower U.S. corporate tax rates;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and assessments of tax exposures.</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capped calls based on the average share price for the period the capped calls are outstanding. Non-GAAP diluted shares are also adjusted for the impact of additional shares resulting from the exclusion of stock-based compensation from non-GAAP income.</w:t>
      </w:r>
    </w:p>
    <w:sectPr>
      <w:pgSz w:w="11900" w:h="16838" w:orient="portrait"/>
      <w:cols w:equalWidth="0" w:num="1">
        <w:col w:w="11340"/>
      </w:cols>
      <w:pgMar w:left="240" w:top="6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2019-12-28T10:56:01Z</dcterms:created>
  <dcterms:modified xsi:type="dcterms:W3CDTF">2019-12-28T10:56:01Z</dcterms:modified>
</cp:coreProperties>
</file>