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252095</wp:posOffset>
            </wp:positionH>
            <wp:positionV relativeFrom="page">
              <wp:posOffset>612140</wp:posOffset>
            </wp:positionV>
            <wp:extent cx="70580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58025" cy="8890"/>
                    </a:xfrm>
                    <a:prstGeom prst="rect">
                      <a:avLst/>
                    </a:prstGeom>
                    <a:noFill/>
                  </pic:spPr>
                </pic:pic>
              </a:graphicData>
            </a:graphic>
          </wp:anchor>
        </w:drawing>
        <w:drawing>
          <wp:anchor simplePos="0" relativeHeight="251657728" behindDoc="1" locked="0" layoutInCell="0" allowOverlap="1">
            <wp:simplePos x="0" y="0"/>
            <wp:positionH relativeFrom="page">
              <wp:posOffset>252095</wp:posOffset>
            </wp:positionH>
            <wp:positionV relativeFrom="page">
              <wp:posOffset>629285</wp:posOffset>
            </wp:positionV>
            <wp:extent cx="70580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8-K</w:t>
      </w:r>
    </w:p>
    <w:p>
      <w:pPr>
        <w:spacing w:after="0" w:line="200" w:lineRule="exact"/>
        <w:rPr>
          <w:sz w:val="24"/>
          <w:szCs w:val="24"/>
          <w:color w:val="auto"/>
        </w:rPr>
      </w:pPr>
    </w:p>
    <w:p>
      <w:pPr>
        <w:spacing w:after="0" w:line="37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January 4, 2016</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w:t>
      </w:r>
    </w:p>
    <w:p>
      <w:pPr>
        <w:spacing w:after="0" w:line="37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40005</wp:posOffset>
            </wp:positionV>
            <wp:extent cx="7229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6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422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3180" w:type="dxa"/>
            <w:vAlign w:val="bottom"/>
          </w:tcPr>
          <w:p>
            <w:pPr>
              <w:jc w:val="right"/>
              <w:ind w:right="1250"/>
              <w:spacing w:after="0"/>
              <w:rPr>
                <w:sz w:val="20"/>
                <w:szCs w:val="20"/>
                <w:color w:val="auto"/>
              </w:rPr>
            </w:pPr>
            <w:r>
              <w:rPr>
                <w:rFonts w:ascii="Arial" w:cs="Arial" w:eastAsia="Arial" w:hAnsi="Arial"/>
                <w:sz w:val="18"/>
                <w:szCs w:val="18"/>
                <w:b w:val="1"/>
                <w:bCs w:val="1"/>
                <w:color w:val="auto"/>
              </w:rPr>
              <w:t>1-10658</w:t>
            </w:r>
          </w:p>
        </w:tc>
        <w:tc>
          <w:tcPr>
            <w:tcW w:w="3980" w:type="dxa"/>
            <w:vAlign w:val="bottom"/>
          </w:tcPr>
          <w:p>
            <w:pPr>
              <w:jc w:val="right"/>
              <w:ind w:right="1510"/>
              <w:spacing w:after="0"/>
              <w:rPr>
                <w:sz w:val="20"/>
                <w:szCs w:val="20"/>
                <w:color w:val="auto"/>
              </w:rPr>
            </w:pPr>
            <w:r>
              <w:rPr>
                <w:rFonts w:ascii="Arial" w:cs="Arial" w:eastAsia="Arial" w:hAnsi="Arial"/>
                <w:sz w:val="18"/>
                <w:szCs w:val="18"/>
                <w:b w:val="1"/>
                <w:bCs w:val="1"/>
                <w:color w:val="auto"/>
              </w:rPr>
              <w:t>75-1618004</w:t>
            </w:r>
          </w:p>
        </w:tc>
      </w:tr>
      <w:tr>
        <w:trPr>
          <w:trHeight w:val="27"/>
        </w:trPr>
        <w:tc>
          <w:tcPr>
            <w:tcW w:w="422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r>
      <w:tr>
        <w:trPr>
          <w:trHeight w:val="237"/>
        </w:trPr>
        <w:tc>
          <w:tcPr>
            <w:tcW w:w="4220" w:type="dxa"/>
            <w:vAlign w:val="bottom"/>
          </w:tcPr>
          <w:p>
            <w:pPr>
              <w:jc w:val="center"/>
              <w:spacing w:after="0"/>
              <w:rPr>
                <w:sz w:val="20"/>
                <w:szCs w:val="20"/>
                <w:color w:val="auto"/>
              </w:rPr>
            </w:pPr>
            <w:r>
              <w:rPr>
                <w:rFonts w:ascii="Arial" w:cs="Arial" w:eastAsia="Arial" w:hAnsi="Arial"/>
                <w:sz w:val="18"/>
                <w:szCs w:val="18"/>
                <w:color w:val="auto"/>
                <w:w w:val="93"/>
              </w:rPr>
              <w:t>(State or other jurisdiction of incorporation)</w:t>
            </w:r>
          </w:p>
        </w:tc>
        <w:tc>
          <w:tcPr>
            <w:tcW w:w="3180" w:type="dxa"/>
            <w:vAlign w:val="bottom"/>
          </w:tcPr>
          <w:p>
            <w:pPr>
              <w:jc w:val="center"/>
              <w:ind w:right="10"/>
              <w:spacing w:after="0"/>
              <w:rPr>
                <w:sz w:val="20"/>
                <w:szCs w:val="20"/>
                <w:color w:val="auto"/>
              </w:rPr>
            </w:pPr>
            <w:r>
              <w:rPr>
                <w:rFonts w:ascii="Arial" w:cs="Arial" w:eastAsia="Arial" w:hAnsi="Arial"/>
                <w:sz w:val="18"/>
                <w:szCs w:val="18"/>
                <w:color w:val="auto"/>
                <w:w w:val="93"/>
              </w:rPr>
              <w:t>(Commission File Number)</w:t>
            </w:r>
          </w:p>
        </w:tc>
        <w:tc>
          <w:tcPr>
            <w:tcW w:w="3980" w:type="dxa"/>
            <w:vAlign w:val="bottom"/>
          </w:tcPr>
          <w:p>
            <w:pPr>
              <w:jc w:val="center"/>
              <w:ind w:right="10"/>
              <w:spacing w:after="0"/>
              <w:rPr>
                <w:sz w:val="20"/>
                <w:szCs w:val="20"/>
                <w:color w:val="auto"/>
              </w:rPr>
            </w:pPr>
            <w:r>
              <w:rPr>
                <w:rFonts w:ascii="Arial" w:cs="Arial" w:eastAsia="Arial" w:hAnsi="Arial"/>
                <w:sz w:val="18"/>
                <w:szCs w:val="18"/>
                <w:color w:val="auto"/>
                <w:w w:val="93"/>
              </w:rPr>
              <w:t>(I.R.S. Employer 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8000 South Federal Way</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7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67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99695</wp:posOffset>
            </wp:positionH>
            <wp:positionV relativeFrom="paragraph">
              <wp:posOffset>314960</wp:posOffset>
            </wp:positionV>
            <wp:extent cx="70580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58025" cy="8890"/>
                    </a:xfrm>
                    <a:prstGeom prst="rect">
                      <a:avLst/>
                    </a:prstGeom>
                    <a:noFill/>
                  </pic:spPr>
                </pic:pic>
              </a:graphicData>
            </a:graphic>
          </wp:anchor>
        </w:drawing>
        <w:drawing>
          <wp:anchor simplePos="0" relativeHeight="251657728" behindDoc="1" locked="0" layoutInCell="0" allowOverlap="1">
            <wp:simplePos x="0" y="0"/>
            <wp:positionH relativeFrom="column">
              <wp:posOffset>99695</wp:posOffset>
            </wp:positionH>
            <wp:positionV relativeFrom="paragraph">
              <wp:posOffset>332105</wp:posOffset>
            </wp:positionV>
            <wp:extent cx="70580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 w:name="page2"/>
    <w:bookmarkEnd w:id="1"/>
    <w:p>
      <w:pPr>
        <w:ind w:left="1120" w:right="2640" w:hanging="1093"/>
        <w:spacing w:after="0" w:line="282" w:lineRule="auto"/>
        <w:tabs>
          <w:tab w:leader="none" w:pos="110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93"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On January 4, 2016, the Company announced that its President, Mark W. Adams, will be resigning from the Company on February 1, 2016. A press release related to Mr. Adams' resignation is attached hereto as Exhibit 99.1.</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ind w:left="40"/>
              <w:spacing w:after="0"/>
              <w:rPr>
                <w:sz w:val="20"/>
                <w:szCs w:val="20"/>
                <w:color w:val="auto"/>
              </w:rPr>
            </w:pPr>
            <w:r>
              <w:rPr>
                <w:rFonts w:ascii="Arial" w:cs="Arial" w:eastAsia="Arial" w:hAnsi="Arial"/>
                <w:sz w:val="18"/>
                <w:szCs w:val="18"/>
                <w:b w:val="1"/>
                <w:bCs w:val="1"/>
                <w:color w:val="auto"/>
              </w:rPr>
              <w:t>Item 9.01.</w:t>
            </w:r>
          </w:p>
        </w:tc>
        <w:tc>
          <w:tcPr>
            <w:tcW w:w="10380" w:type="dxa"/>
            <w:vAlign w:val="bottom"/>
            <w:gridSpan w:val="3"/>
          </w:tcPr>
          <w:p>
            <w:pPr>
              <w:ind w:left="100"/>
              <w:spacing w:after="0"/>
              <w:rPr>
                <w:sz w:val="20"/>
                <w:szCs w:val="20"/>
                <w:color w:val="auto"/>
              </w:rPr>
            </w:pPr>
            <w:r>
              <w:rPr>
                <w:rFonts w:ascii="Arial" w:cs="Arial" w:eastAsia="Arial" w:hAnsi="Arial"/>
                <w:sz w:val="18"/>
                <w:szCs w:val="18"/>
                <w:b w:val="1"/>
                <w:bCs w:val="1"/>
                <w:color w:val="auto"/>
              </w:rPr>
              <w:t>Financial Statements and Exhibits.</w:t>
            </w:r>
          </w:p>
        </w:tc>
      </w:tr>
      <w:tr>
        <w:trPr>
          <w:trHeight w:val="567"/>
        </w:trPr>
        <w:tc>
          <w:tcPr>
            <w:tcW w:w="1020" w:type="dxa"/>
            <w:vAlign w:val="bottom"/>
          </w:tcPr>
          <w:p>
            <w:pPr>
              <w:spacing w:after="0"/>
              <w:rPr>
                <w:sz w:val="24"/>
                <w:szCs w:val="24"/>
                <w:color w:val="auto"/>
              </w:rPr>
            </w:pPr>
          </w:p>
        </w:tc>
        <w:tc>
          <w:tcPr>
            <w:tcW w:w="10380" w:type="dxa"/>
            <w:vAlign w:val="bottom"/>
            <w:gridSpan w:val="3"/>
          </w:tcPr>
          <w:p>
            <w:pPr>
              <w:ind w:left="120"/>
              <w:spacing w:after="0"/>
              <w:rPr>
                <w:sz w:val="20"/>
                <w:szCs w:val="20"/>
                <w:color w:val="auto"/>
              </w:rPr>
            </w:pPr>
            <w:r>
              <w:rPr>
                <w:rFonts w:ascii="Arial" w:cs="Arial" w:eastAsia="Arial" w:hAnsi="Arial"/>
                <w:sz w:val="18"/>
                <w:szCs w:val="18"/>
                <w:color w:val="auto"/>
              </w:rPr>
              <w:t>(d) Exhibits.</w:t>
            </w:r>
          </w:p>
        </w:tc>
      </w:tr>
      <w:tr>
        <w:trPr>
          <w:trHeight w:val="837"/>
        </w:trPr>
        <w:tc>
          <w:tcPr>
            <w:tcW w:w="1020" w:type="dxa"/>
            <w:vAlign w:val="bottom"/>
          </w:tcPr>
          <w:p>
            <w:pPr>
              <w:ind w:left="40"/>
              <w:spacing w:after="0"/>
              <w:rPr>
                <w:sz w:val="20"/>
                <w:szCs w:val="20"/>
                <w:color w:val="auto"/>
              </w:rPr>
            </w:pPr>
            <w:r>
              <w:rPr>
                <w:rFonts w:ascii="Arial" w:cs="Arial" w:eastAsia="Arial" w:hAnsi="Arial"/>
                <w:sz w:val="18"/>
                <w:szCs w:val="18"/>
                <w:b w:val="1"/>
                <w:bCs w:val="1"/>
                <w:color w:val="auto"/>
              </w:rPr>
              <w:t>Exhibit No.</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80" w:type="dxa"/>
            <w:vAlign w:val="bottom"/>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780" w:type="dxa"/>
            <w:vAlign w:val="bottom"/>
            <w:tcBorders>
              <w:bottom w:val="single" w:sz="8" w:color="auto"/>
            </w:tcBorders>
          </w:tcPr>
          <w:p>
            <w:pPr>
              <w:spacing w:after="0"/>
              <w:rPr>
                <w:sz w:val="2"/>
                <w:szCs w:val="2"/>
                <w:color w:val="auto"/>
              </w:rPr>
            </w:pPr>
          </w:p>
        </w:tc>
      </w:tr>
      <w:tr>
        <w:trPr>
          <w:trHeight w:val="237"/>
        </w:trPr>
        <w:tc>
          <w:tcPr>
            <w:tcW w:w="1020" w:type="dxa"/>
            <w:vAlign w:val="bottom"/>
          </w:tcPr>
          <w:p>
            <w:pPr>
              <w:jc w:val="right"/>
              <w:ind w:right="70"/>
              <w:spacing w:after="0"/>
              <w:rPr>
                <w:sz w:val="20"/>
                <w:szCs w:val="20"/>
                <w:color w:val="auto"/>
              </w:rPr>
            </w:pPr>
            <w:r>
              <w:rPr>
                <w:rFonts w:ascii="Arial" w:cs="Arial" w:eastAsia="Arial" w:hAnsi="Arial"/>
                <w:sz w:val="18"/>
                <w:szCs w:val="18"/>
                <w:color w:val="auto"/>
              </w:rPr>
              <w:t>99.1</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80" w:type="dxa"/>
            <w:vAlign w:val="bottom"/>
          </w:tcPr>
          <w:p>
            <w:pPr>
              <w:ind w:left="20"/>
              <w:spacing w:after="0"/>
              <w:rPr>
                <w:sz w:val="20"/>
                <w:szCs w:val="20"/>
                <w:color w:val="auto"/>
              </w:rPr>
            </w:pPr>
            <w:r>
              <w:rPr>
                <w:rFonts w:ascii="Arial" w:cs="Arial" w:eastAsia="Arial" w:hAnsi="Arial"/>
                <w:sz w:val="18"/>
                <w:szCs w:val="18"/>
                <w:color w:val="auto"/>
              </w:rPr>
              <w:t>Press Release issued on January 4, 2016</w:t>
            </w:r>
          </w:p>
        </w:tc>
      </w:tr>
    </w:tbl>
    <w:p>
      <w:pPr>
        <w:sectPr>
          <w:pgSz w:w="11900" w:h="16838" w:orient="portrait"/>
          <w:cols w:equalWidth="0" w:num="1">
            <w:col w:w="11400"/>
          </w:cols>
          <w:pgMar w:left="240" w:top="742" w:right="259" w:bottom="1440" w:gutter="0" w:footer="0" w:header="0"/>
        </w:sectPr>
      </w:pPr>
    </w:p>
    <w:bookmarkStart w:id="2" w:name="page3"/>
    <w:bookmarkEnd w:id="2"/>
    <w:p>
      <w:pPr>
        <w:jc w:val="center"/>
        <w:ind w:right="-57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7080" w:type="dxa"/>
            <w:vAlign w:val="bottom"/>
            <w:gridSpan w:val="2"/>
          </w:tcPr>
          <w:p>
            <w:pPr>
              <w:ind w:left="1820"/>
              <w:spacing w:after="0"/>
              <w:rPr>
                <w:sz w:val="20"/>
                <w:szCs w:val="20"/>
                <w:color w:val="auto"/>
              </w:rPr>
            </w:pPr>
            <w:r>
              <w:rPr>
                <w:rFonts w:ascii="Arial" w:cs="Arial" w:eastAsia="Arial" w:hAnsi="Arial"/>
                <w:sz w:val="18"/>
                <w:szCs w:val="18"/>
                <w:b w:val="1"/>
                <w:bCs w:val="1"/>
                <w:color w:val="auto"/>
              </w:rPr>
              <w:t>MICRON TECHNOLOGY, INC.</w:t>
            </w:r>
          </w:p>
        </w:tc>
        <w:tc>
          <w:tcPr>
            <w:tcW w:w="0" w:type="dxa"/>
            <w:vAlign w:val="bottom"/>
          </w:tcPr>
          <w:p>
            <w:pPr>
              <w:spacing w:after="0"/>
              <w:rPr>
                <w:sz w:val="1"/>
                <w:szCs w:val="1"/>
                <w:color w:val="auto"/>
              </w:rPr>
            </w:pPr>
          </w:p>
        </w:tc>
      </w:tr>
      <w:tr>
        <w:trPr>
          <w:trHeight w:val="864"/>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140" w:type="dxa"/>
            <w:vAlign w:val="bottom"/>
          </w:tcPr>
          <w:p>
            <w:pPr>
              <w:ind w:left="180"/>
              <w:spacing w:after="0"/>
              <w:rPr>
                <w:sz w:val="20"/>
                <w:szCs w:val="20"/>
                <w:color w:val="auto"/>
              </w:rPr>
            </w:pPr>
            <w:r>
              <w:rPr>
                <w:rFonts w:ascii="Arial" w:cs="Arial" w:eastAsia="Arial" w:hAnsi="Arial"/>
                <w:sz w:val="18"/>
                <w:szCs w:val="18"/>
                <w:color w:val="auto"/>
              </w:rPr>
              <w:t>January 4, 2016</w:t>
            </w:r>
          </w:p>
        </w:tc>
        <w:tc>
          <w:tcPr>
            <w:tcW w:w="2760" w:type="dxa"/>
            <w:vAlign w:val="bottom"/>
          </w:tcPr>
          <w:p>
            <w:pPr>
              <w:ind w:left="1820"/>
              <w:spacing w:after="0"/>
              <w:rPr>
                <w:sz w:val="20"/>
                <w:szCs w:val="20"/>
                <w:color w:val="auto"/>
              </w:rPr>
            </w:pPr>
            <w:r>
              <w:rPr>
                <w:rFonts w:ascii="Arial" w:cs="Arial" w:eastAsia="Arial" w:hAnsi="Arial"/>
                <w:sz w:val="18"/>
                <w:szCs w:val="18"/>
                <w:color w:val="auto"/>
              </w:rPr>
              <w:t>By:</w:t>
            </w:r>
          </w:p>
        </w:tc>
        <w:tc>
          <w:tcPr>
            <w:tcW w:w="4320" w:type="dxa"/>
            <w:vAlign w:val="bottom"/>
          </w:tcPr>
          <w:p>
            <w:pPr>
              <w:ind w:left="20"/>
              <w:spacing w:after="0"/>
              <w:rPr>
                <w:sz w:val="20"/>
                <w:szCs w:val="20"/>
                <w:color w:val="auto"/>
              </w:rPr>
            </w:pPr>
            <w:r>
              <w:rPr>
                <w:rFonts w:ascii="Arial" w:cs="Arial" w:eastAsia="Arial" w:hAnsi="Arial"/>
                <w:sz w:val="18"/>
                <w:szCs w:val="18"/>
                <w:i w:val="1"/>
                <w:iCs w:val="1"/>
                <w:color w:val="auto"/>
              </w:rPr>
              <w:t>/s/ Ernest E. Maddock</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760" w:type="dxa"/>
            <w:vAlign w:val="bottom"/>
            <w:vMerge w:val="restart"/>
          </w:tcPr>
          <w:p>
            <w:pPr>
              <w:ind w:left="1820"/>
              <w:spacing w:after="0"/>
              <w:rPr>
                <w:sz w:val="20"/>
                <w:szCs w:val="20"/>
                <w:color w:val="auto"/>
              </w:rPr>
            </w:pPr>
            <w:r>
              <w:rPr>
                <w:rFonts w:ascii="Arial" w:cs="Arial" w:eastAsia="Arial" w:hAnsi="Arial"/>
                <w:sz w:val="18"/>
                <w:szCs w:val="18"/>
                <w:color w:val="auto"/>
              </w:rPr>
              <w:t>Name:</w:t>
            </w:r>
          </w:p>
        </w:tc>
        <w:tc>
          <w:tcPr>
            <w:tcW w:w="4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760" w:type="dxa"/>
            <w:vAlign w:val="bottom"/>
            <w:vMerge w:val="continue"/>
          </w:tcPr>
          <w:p>
            <w:pPr>
              <w:spacing w:after="0"/>
              <w:rPr>
                <w:sz w:val="20"/>
                <w:szCs w:val="20"/>
                <w:color w:val="auto"/>
              </w:rPr>
            </w:pPr>
          </w:p>
        </w:tc>
        <w:tc>
          <w:tcPr>
            <w:tcW w:w="4320" w:type="dxa"/>
            <w:vAlign w:val="bottom"/>
          </w:tcPr>
          <w:p>
            <w:pPr>
              <w:ind w:left="20"/>
              <w:spacing w:after="0"/>
              <w:rPr>
                <w:sz w:val="20"/>
                <w:szCs w:val="20"/>
                <w:color w:val="auto"/>
              </w:rPr>
            </w:pPr>
            <w:r>
              <w:rPr>
                <w:rFonts w:ascii="Arial" w:cs="Arial" w:eastAsia="Arial" w:hAnsi="Arial"/>
                <w:sz w:val="18"/>
                <w:szCs w:val="18"/>
                <w:color w:val="auto"/>
              </w:rPr>
              <w:t>Ernest E. Maddock</w:t>
            </w:r>
          </w:p>
        </w:tc>
        <w:tc>
          <w:tcPr>
            <w:tcW w:w="0" w:type="dxa"/>
            <w:vAlign w:val="bottom"/>
          </w:tcPr>
          <w:p>
            <w:pPr>
              <w:spacing w:after="0"/>
              <w:rPr>
                <w:sz w:val="1"/>
                <w:szCs w:val="1"/>
                <w:color w:val="auto"/>
              </w:rPr>
            </w:pPr>
          </w:p>
        </w:tc>
      </w:tr>
      <w:tr>
        <w:trPr>
          <w:trHeight w:val="256"/>
        </w:trPr>
        <w:tc>
          <w:tcPr>
            <w:tcW w:w="58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2760" w:type="dxa"/>
            <w:vAlign w:val="bottom"/>
          </w:tcPr>
          <w:p>
            <w:pPr>
              <w:ind w:left="1820"/>
              <w:spacing w:after="0"/>
              <w:rPr>
                <w:sz w:val="20"/>
                <w:szCs w:val="20"/>
                <w:color w:val="auto"/>
              </w:rPr>
            </w:pPr>
            <w:r>
              <w:rPr>
                <w:rFonts w:ascii="Arial" w:cs="Arial" w:eastAsia="Arial" w:hAnsi="Arial"/>
                <w:sz w:val="18"/>
                <w:szCs w:val="18"/>
                <w:color w:val="auto"/>
              </w:rPr>
              <w:t>Title:</w:t>
            </w:r>
          </w:p>
        </w:tc>
        <w:tc>
          <w:tcPr>
            <w:tcW w:w="4320" w:type="dxa"/>
            <w:vAlign w:val="bottom"/>
          </w:tcPr>
          <w:p>
            <w:pPr>
              <w:ind w:left="20"/>
              <w:spacing w:after="0"/>
              <w:rPr>
                <w:sz w:val="20"/>
                <w:szCs w:val="20"/>
                <w:color w:val="auto"/>
              </w:rPr>
            </w:pPr>
            <w:r>
              <w:rPr>
                <w:rFonts w:ascii="Arial" w:cs="Arial" w:eastAsia="Arial" w:hAnsi="Arial"/>
                <w:sz w:val="18"/>
                <w:szCs w:val="18"/>
                <w:color w:val="auto"/>
              </w:rPr>
              <w:t>Chief Financial Officer and</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320" w:type="dxa"/>
            <w:vAlign w:val="bottom"/>
          </w:tcPr>
          <w:p>
            <w:pPr>
              <w:ind w:left="20"/>
              <w:spacing w:after="0"/>
              <w:rPr>
                <w:sz w:val="20"/>
                <w:szCs w:val="20"/>
                <w:color w:val="auto"/>
              </w:rPr>
            </w:pPr>
            <w:r>
              <w:rPr>
                <w:rFonts w:ascii="Arial" w:cs="Arial" w:eastAsia="Arial" w:hAnsi="Arial"/>
                <w:sz w:val="18"/>
                <w:szCs w:val="18"/>
                <w:color w:val="auto"/>
              </w:rPr>
              <w:t>Vice President, Finance</w:t>
            </w:r>
          </w:p>
        </w:tc>
        <w:tc>
          <w:tcPr>
            <w:tcW w:w="0" w:type="dxa"/>
            <w:vAlign w:val="bottom"/>
          </w:tcPr>
          <w:p>
            <w:pPr>
              <w:spacing w:after="0"/>
              <w:rPr>
                <w:sz w:val="1"/>
                <w:szCs w:val="1"/>
                <w:color w:val="auto"/>
              </w:rPr>
            </w:pPr>
          </w:p>
        </w:tc>
      </w:tr>
    </w:tbl>
    <w:p>
      <w:pPr>
        <w:sectPr>
          <w:pgSz w:w="11900" w:h="16838" w:orient="portrait"/>
          <w:cols w:equalWidth="0" w:num="1">
            <w:col w:w="10840"/>
          </w:cols>
          <w:pgMar w:left="240" w:top="796" w:right="819" w:bottom="1440" w:gutter="0" w:footer="0" w:header="0"/>
        </w:sectPr>
      </w:pPr>
    </w:p>
    <w:bookmarkStart w:id="3" w:name="page4"/>
    <w:bookmarkEnd w:id="3"/>
    <w:p>
      <w:pPr>
        <w:jc w:val="center"/>
        <w:ind w:right="-780"/>
        <w:spacing w:after="0"/>
        <w:rPr>
          <w:sz w:val="20"/>
          <w:szCs w:val="20"/>
          <w:color w:val="auto"/>
        </w:rPr>
      </w:pPr>
      <w:r>
        <w:rPr>
          <w:rFonts w:ascii="Arial" w:cs="Arial" w:eastAsia="Arial" w:hAnsi="Arial"/>
          <w:sz w:val="18"/>
          <w:szCs w:val="18"/>
          <w:b w:val="1"/>
          <w:bCs w:val="1"/>
          <w:color w:val="auto"/>
        </w:rPr>
        <w:t>INDEX TO EXHIBITS FILED WITH</w:t>
      </w:r>
    </w:p>
    <w:p>
      <w:pPr>
        <w:spacing w:after="0" w:line="27"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THE CURRENT REPORT ON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34290</wp:posOffset>
            </wp:positionV>
            <wp:extent cx="72294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61" w:lineRule="exact"/>
        <w:rPr>
          <w:sz w:val="20"/>
          <w:szCs w:val="20"/>
          <w:color w:val="auto"/>
        </w:rPr>
      </w:pPr>
    </w:p>
    <w:p>
      <w:pPr>
        <w:ind w:left="120"/>
        <w:spacing w:after="0"/>
        <w:tabs>
          <w:tab w:leader="none" w:pos="12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issued on January 4, 2016</w:t>
      </w:r>
    </w:p>
    <w:p>
      <w:pPr>
        <w:sectPr>
          <w:pgSz w:w="11900" w:h="16838" w:orient="portrait"/>
          <w:cols w:equalWidth="0" w:num="1">
            <w:col w:w="9799"/>
          </w:cols>
          <w:pgMar w:left="660" w:top="796"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960" w:type="dxa"/>
            <w:vAlign w:val="bottom"/>
            <w:gridSpan w:val="3"/>
          </w:tcPr>
          <w:p>
            <w:pPr>
              <w:spacing w:after="0"/>
              <w:rPr>
                <w:sz w:val="20"/>
                <w:szCs w:val="20"/>
                <w:color w:val="auto"/>
              </w:rPr>
            </w:pPr>
            <w:r>
              <w:rPr>
                <w:rFonts w:ascii="Arial" w:cs="Arial" w:eastAsia="Arial" w:hAnsi="Arial"/>
                <w:sz w:val="22"/>
                <w:szCs w:val="22"/>
                <w:b w:val="1"/>
                <w:bCs w:val="1"/>
                <w:color w:val="auto"/>
              </w:rPr>
              <w:t>FOR IMMEDIATE RELEASE</w:t>
            </w:r>
          </w:p>
        </w:tc>
        <w:tc>
          <w:tcPr>
            <w:tcW w:w="2120" w:type="dxa"/>
            <w:vAlign w:val="bottom"/>
          </w:tcPr>
          <w:p>
            <w:pPr>
              <w:spacing w:after="0"/>
              <w:rPr>
                <w:sz w:val="24"/>
                <w:szCs w:val="24"/>
                <w:color w:val="auto"/>
              </w:rPr>
            </w:pPr>
          </w:p>
        </w:tc>
      </w:tr>
      <w:tr>
        <w:trPr>
          <w:trHeight w:val="662"/>
        </w:trPr>
        <w:tc>
          <w:tcPr>
            <w:tcW w:w="3960" w:type="dxa"/>
            <w:vAlign w:val="bottom"/>
            <w:gridSpan w:val="3"/>
          </w:tcPr>
          <w:p>
            <w:pPr>
              <w:ind w:left="40"/>
              <w:spacing w:after="0"/>
              <w:rPr>
                <w:sz w:val="20"/>
                <w:szCs w:val="20"/>
                <w:color w:val="auto"/>
              </w:rPr>
            </w:pPr>
            <w:r>
              <w:rPr>
                <w:rFonts w:ascii="Arial" w:cs="Arial" w:eastAsia="Arial" w:hAnsi="Arial"/>
                <w:sz w:val="22"/>
                <w:szCs w:val="22"/>
                <w:color w:val="auto"/>
                <w:w w:val="88"/>
              </w:rPr>
              <w:t>Contacts:Ivan Donaldson</w:t>
            </w:r>
          </w:p>
        </w:tc>
        <w:tc>
          <w:tcPr>
            <w:tcW w:w="2120" w:type="dxa"/>
            <w:vAlign w:val="bottom"/>
          </w:tcPr>
          <w:p>
            <w:pPr>
              <w:spacing w:after="0"/>
              <w:rPr>
                <w:sz w:val="20"/>
                <w:szCs w:val="20"/>
                <w:color w:val="auto"/>
              </w:rPr>
            </w:pPr>
            <w:r>
              <w:rPr>
                <w:rFonts w:ascii="Arial" w:cs="Arial" w:eastAsia="Arial" w:hAnsi="Arial"/>
                <w:sz w:val="22"/>
                <w:szCs w:val="22"/>
                <w:color w:val="auto"/>
              </w:rPr>
              <w:t>Daniel Francisco</w:t>
            </w:r>
          </w:p>
        </w:tc>
      </w:tr>
      <w:tr>
        <w:trPr>
          <w:trHeight w:val="297"/>
        </w:trPr>
        <w:tc>
          <w:tcPr>
            <w:tcW w:w="1260" w:type="dxa"/>
            <w:vAlign w:val="bottom"/>
          </w:tcPr>
          <w:p>
            <w:pPr>
              <w:spacing w:after="0"/>
              <w:rPr>
                <w:sz w:val="24"/>
                <w:szCs w:val="24"/>
                <w:color w:val="auto"/>
              </w:rPr>
            </w:pPr>
          </w:p>
        </w:tc>
        <w:tc>
          <w:tcPr>
            <w:tcW w:w="2700" w:type="dxa"/>
            <w:vAlign w:val="bottom"/>
            <w:gridSpan w:val="2"/>
          </w:tcPr>
          <w:p>
            <w:pPr>
              <w:spacing w:after="0"/>
              <w:rPr>
                <w:sz w:val="20"/>
                <w:szCs w:val="20"/>
                <w:color w:val="auto"/>
              </w:rPr>
            </w:pPr>
            <w:r>
              <w:rPr>
                <w:rFonts w:ascii="Arial" w:cs="Arial" w:eastAsia="Arial" w:hAnsi="Arial"/>
                <w:sz w:val="22"/>
                <w:szCs w:val="22"/>
                <w:color w:val="auto"/>
              </w:rPr>
              <w:t>Micron Investor Relations</w:t>
            </w:r>
          </w:p>
        </w:tc>
        <w:tc>
          <w:tcPr>
            <w:tcW w:w="2120" w:type="dxa"/>
            <w:vAlign w:val="bottom"/>
          </w:tcPr>
          <w:p>
            <w:pPr>
              <w:spacing w:after="0"/>
              <w:rPr>
                <w:sz w:val="20"/>
                <w:szCs w:val="20"/>
                <w:color w:val="auto"/>
              </w:rPr>
            </w:pPr>
            <w:r>
              <w:rPr>
                <w:rFonts w:ascii="Arial" w:cs="Arial" w:eastAsia="Arial" w:hAnsi="Arial"/>
                <w:sz w:val="22"/>
                <w:szCs w:val="22"/>
                <w:color w:val="auto"/>
                <w:w w:val="91"/>
              </w:rPr>
              <w:t>Micron Media Relations</w:t>
            </w:r>
          </w:p>
        </w:tc>
      </w:tr>
      <w:tr>
        <w:trPr>
          <w:trHeight w:val="247"/>
        </w:trPr>
        <w:tc>
          <w:tcPr>
            <w:tcW w:w="1260" w:type="dxa"/>
            <w:vAlign w:val="bottom"/>
          </w:tcPr>
          <w:p>
            <w:pPr>
              <w:spacing w:after="0"/>
              <w:rPr>
                <w:sz w:val="21"/>
                <w:szCs w:val="21"/>
                <w:color w:val="auto"/>
              </w:rPr>
            </w:pPr>
          </w:p>
        </w:tc>
        <w:tc>
          <w:tcPr>
            <w:tcW w:w="2180" w:type="dxa"/>
            <w:vAlign w:val="bottom"/>
            <w:tcBorders>
              <w:bottom w:val="single" w:sz="8" w:color="0000FF"/>
            </w:tcBorders>
          </w:tcPr>
          <w:p>
            <w:pPr>
              <w:spacing w:after="0" w:line="246" w:lineRule="exact"/>
              <w:rPr>
                <w:sz w:val="20"/>
                <w:szCs w:val="20"/>
                <w:color w:val="auto"/>
              </w:rPr>
            </w:pPr>
            <w:r>
              <w:rPr>
                <w:rFonts w:ascii="Arial" w:cs="Arial" w:eastAsia="Arial" w:hAnsi="Arial"/>
                <w:sz w:val="22"/>
                <w:szCs w:val="22"/>
                <w:color w:val="0000FF"/>
                <w:w w:val="89"/>
              </w:rPr>
              <w:t>idonaldson@micron.com</w:t>
            </w:r>
          </w:p>
        </w:tc>
        <w:tc>
          <w:tcPr>
            <w:tcW w:w="520" w:type="dxa"/>
            <w:vAlign w:val="bottom"/>
          </w:tcPr>
          <w:p>
            <w:pPr>
              <w:spacing w:after="0"/>
              <w:rPr>
                <w:sz w:val="21"/>
                <w:szCs w:val="21"/>
                <w:color w:val="auto"/>
              </w:rPr>
            </w:pPr>
          </w:p>
        </w:tc>
        <w:tc>
          <w:tcPr>
            <w:tcW w:w="2120" w:type="dxa"/>
            <w:vAlign w:val="bottom"/>
            <w:tcBorders>
              <w:bottom w:val="single" w:sz="8" w:color="0000FF"/>
            </w:tcBorders>
          </w:tcPr>
          <w:p>
            <w:pPr>
              <w:spacing w:after="0" w:line="246" w:lineRule="exact"/>
              <w:rPr>
                <w:sz w:val="20"/>
                <w:szCs w:val="20"/>
                <w:color w:val="auto"/>
              </w:rPr>
            </w:pPr>
            <w:r>
              <w:rPr>
                <w:rFonts w:ascii="Arial" w:cs="Arial" w:eastAsia="Arial" w:hAnsi="Arial"/>
                <w:sz w:val="22"/>
                <w:szCs w:val="22"/>
                <w:color w:val="0000FF"/>
                <w:w w:val="88"/>
              </w:rPr>
              <w:t>dfrancisco@micron.com</w:t>
            </w:r>
          </w:p>
        </w:tc>
      </w:tr>
      <w:tr>
        <w:trPr>
          <w:trHeight w:val="328"/>
        </w:trPr>
        <w:tc>
          <w:tcPr>
            <w:tcW w:w="3440" w:type="dxa"/>
            <w:vAlign w:val="bottom"/>
            <w:gridSpan w:val="2"/>
          </w:tcPr>
          <w:p>
            <w:pPr>
              <w:ind w:left="1260"/>
              <w:spacing w:after="0"/>
              <w:rPr>
                <w:sz w:val="20"/>
                <w:szCs w:val="20"/>
                <w:color w:val="auto"/>
              </w:rPr>
            </w:pPr>
            <w:r>
              <w:rPr>
                <w:rFonts w:ascii="Arial" w:cs="Arial" w:eastAsia="Arial" w:hAnsi="Arial"/>
                <w:sz w:val="22"/>
                <w:szCs w:val="22"/>
                <w:color w:val="auto"/>
              </w:rPr>
              <w:t>(208) 368-4093</w:t>
            </w:r>
          </w:p>
        </w:tc>
        <w:tc>
          <w:tcPr>
            <w:tcW w:w="520" w:type="dxa"/>
            <w:vAlign w:val="bottom"/>
          </w:tcPr>
          <w:p>
            <w:pPr>
              <w:spacing w:after="0"/>
              <w:rPr>
                <w:sz w:val="24"/>
                <w:szCs w:val="24"/>
                <w:color w:val="auto"/>
              </w:rPr>
            </w:pPr>
          </w:p>
        </w:tc>
        <w:tc>
          <w:tcPr>
            <w:tcW w:w="2120" w:type="dxa"/>
            <w:vAlign w:val="bottom"/>
          </w:tcPr>
          <w:p>
            <w:pPr>
              <w:spacing w:after="0"/>
              <w:rPr>
                <w:sz w:val="20"/>
                <w:szCs w:val="20"/>
                <w:color w:val="auto"/>
              </w:rPr>
            </w:pPr>
            <w:r>
              <w:rPr>
                <w:rFonts w:ascii="Arial" w:cs="Arial" w:eastAsia="Arial" w:hAnsi="Arial"/>
                <w:sz w:val="22"/>
                <w:szCs w:val="22"/>
                <w:color w:val="auto"/>
              </w:rPr>
              <w:t>(208) 368-5584</w:t>
            </w:r>
          </w:p>
        </w:tc>
      </w:tr>
    </w:tbl>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MICRON TECHNOLOGY ANNOUNCES RESIGNATION OF PRESIDENT MARK ADAMS</w:t>
      </w:r>
    </w:p>
    <w:p>
      <w:pPr>
        <w:spacing w:after="0" w:line="274" w:lineRule="exact"/>
        <w:rPr>
          <w:sz w:val="20"/>
          <w:szCs w:val="20"/>
          <w:color w:val="auto"/>
        </w:rPr>
      </w:pPr>
    </w:p>
    <w:p>
      <w:pPr>
        <w:ind w:right="100"/>
        <w:spacing w:after="0" w:line="401" w:lineRule="auto"/>
        <w:rPr>
          <w:sz w:val="20"/>
          <w:szCs w:val="20"/>
          <w:color w:val="auto"/>
        </w:rPr>
      </w:pPr>
      <w:r>
        <w:rPr>
          <w:rFonts w:ascii="Arial" w:cs="Arial" w:eastAsia="Arial" w:hAnsi="Arial"/>
          <w:sz w:val="21"/>
          <w:szCs w:val="21"/>
          <w:b w:val="1"/>
          <w:bCs w:val="1"/>
          <w:color w:val="auto"/>
        </w:rPr>
        <w:t xml:space="preserve">BOISE, Idaho, Jan. 4, 2016 - </w:t>
      </w:r>
      <w:r>
        <w:rPr>
          <w:rFonts w:ascii="Arial" w:cs="Arial" w:eastAsia="Arial" w:hAnsi="Arial"/>
          <w:sz w:val="21"/>
          <w:szCs w:val="21"/>
          <w:color w:val="auto"/>
        </w:rPr>
        <w:t>Micron Technology, Inc. (NASDAQ: MU) today announced that President Mark Adams will resign</w:t>
      </w:r>
      <w:r>
        <w:rPr>
          <w:rFonts w:ascii="Arial" w:cs="Arial" w:eastAsia="Arial" w:hAnsi="Arial"/>
          <w:sz w:val="21"/>
          <w:szCs w:val="21"/>
          <w:b w:val="1"/>
          <w:bCs w:val="1"/>
          <w:color w:val="auto"/>
        </w:rPr>
        <w:t xml:space="preserve"> </w:t>
      </w:r>
      <w:r>
        <w:rPr>
          <w:rFonts w:ascii="Arial" w:cs="Arial" w:eastAsia="Arial" w:hAnsi="Arial"/>
          <w:sz w:val="21"/>
          <w:szCs w:val="21"/>
          <w:color w:val="auto"/>
        </w:rPr>
        <w:t>for personal health reasons. He will remain with the company until February 1, 2016, to support the transition.</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Adams joined Micron in June 2006 and has served as President since February 2012.</w:t>
      </w:r>
    </w:p>
    <w:p>
      <w:pPr>
        <w:spacing w:after="0" w:line="200" w:lineRule="exact"/>
        <w:rPr>
          <w:sz w:val="20"/>
          <w:szCs w:val="20"/>
          <w:color w:val="auto"/>
        </w:rPr>
      </w:pPr>
    </w:p>
    <w:p>
      <w:pPr>
        <w:spacing w:after="0" w:line="222" w:lineRule="exact"/>
        <w:rPr>
          <w:sz w:val="20"/>
          <w:szCs w:val="20"/>
          <w:color w:val="auto"/>
        </w:rPr>
      </w:pPr>
    </w:p>
    <w:p>
      <w:pPr>
        <w:ind w:right="40"/>
        <w:spacing w:after="0" w:line="462" w:lineRule="auto"/>
        <w:rPr>
          <w:sz w:val="20"/>
          <w:szCs w:val="20"/>
          <w:color w:val="auto"/>
        </w:rPr>
      </w:pPr>
      <w:r>
        <w:rPr>
          <w:rFonts w:ascii="Arial" w:cs="Arial" w:eastAsia="Arial" w:hAnsi="Arial"/>
          <w:sz w:val="19"/>
          <w:szCs w:val="19"/>
          <w:color w:val="auto"/>
        </w:rPr>
        <w:t>“Mark has been a stellar leader and contributor to Micron's growth and success during his time with the company,” said Micron CEO Mark Durcan. “We thank him for his dedication and service and wish him the very best with his recovery and into the future.”</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Micron</w:t>
      </w:r>
    </w:p>
    <w:p>
      <w:pPr>
        <w:spacing w:after="0" w:line="118" w:lineRule="exact"/>
        <w:rPr>
          <w:sz w:val="20"/>
          <w:szCs w:val="20"/>
          <w:color w:val="auto"/>
        </w:rPr>
      </w:pPr>
    </w:p>
    <w:p>
      <w:pPr>
        <w:spacing w:after="0" w:line="345" w:lineRule="auto"/>
        <w:rPr>
          <w:sz w:val="20"/>
          <w:szCs w:val="20"/>
          <w:color w:val="auto"/>
        </w:rPr>
      </w:pPr>
      <w:r>
        <w:rPr>
          <w:rFonts w:ascii="Arial" w:cs="Arial" w:eastAsia="Arial" w:hAnsi="Arial"/>
          <w:sz w:val="22"/>
          <w:szCs w:val="22"/>
          <w:color w:val="auto"/>
        </w:rPr>
        <w:t xml:space="preserve">Micron Technology, Inc., is a global leader in advanced semiconductor systems. Micron’s broad portfolio of high-performance memory technologies-including DRAM, NAND and NOR Flash-is the basis for solid state drives, modules, multichip packages and other system solutions. Backed by more than 35 years of technology leadership, Micron’s memory solutions enable the world’s most innovative computing, consumer, enterprise storage, networking, mobile, embedded and automotive applications. Micron’s common stock is traded on the NASDAQ under the MU symbol. To learn more about Micron Technology, Inc., visit </w:t>
      </w:r>
      <w:r>
        <w:rPr>
          <w:rFonts w:ascii="Arial" w:cs="Arial" w:eastAsia="Arial" w:hAnsi="Arial"/>
          <w:sz w:val="22"/>
          <w:szCs w:val="22"/>
          <w:u w:val="single" w:color="auto"/>
          <w:color w:val="0000FF"/>
        </w:rPr>
        <w:t>www.micron.com</w:t>
      </w:r>
      <w:r>
        <w:rPr>
          <w:rFonts w:ascii="Arial" w:cs="Arial" w:eastAsia="Arial" w:hAnsi="Arial"/>
          <w:sz w:val="22"/>
          <w:szCs w:val="22"/>
          <w:color w:val="000000"/>
        </w:rPr>
        <w:t>.</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 #</w:t>
      </w:r>
    </w:p>
    <w:p>
      <w:pPr>
        <w:spacing w:after="0" w:line="58" w:lineRule="exact"/>
        <w:rPr>
          <w:sz w:val="20"/>
          <w:szCs w:val="20"/>
          <w:color w:val="auto"/>
        </w:rPr>
      </w:pPr>
    </w:p>
    <w:p>
      <w:pPr>
        <w:ind w:right="760"/>
        <w:spacing w:after="0" w:line="263" w:lineRule="auto"/>
        <w:rPr>
          <w:sz w:val="20"/>
          <w:szCs w:val="20"/>
          <w:color w:val="auto"/>
        </w:rPr>
      </w:pPr>
      <w:r>
        <w:rPr>
          <w:rFonts w:ascii="Arial" w:cs="Arial" w:eastAsia="Arial" w:hAnsi="Arial"/>
          <w:sz w:val="22"/>
          <w:szCs w:val="22"/>
          <w:i w:val="1"/>
          <w:iCs w:val="1"/>
          <w:color w:val="auto"/>
        </w:rPr>
        <w:t>Micron and the Micron orbit logo are trademarks of Micron Technology, Inc. All other trademarks are the property of their respective owners.</w:t>
      </w:r>
    </w:p>
    <w:sectPr>
      <w:pgSz w:w="11900" w:h="16838" w:orient="portrait"/>
      <w:cols w:equalWidth="0" w:num="1">
        <w:col w:w="11420"/>
      </w:cols>
      <w:pgMar w:left="240" w:top="58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2019-12-05T16:42:28Z</dcterms:created>
  <dcterms:modified xsi:type="dcterms:W3CDTF">2019-12-05T16:42:28Z</dcterms:modified>
</cp:coreProperties>
</file>