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629285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8-K/A</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1)</w:t>
      </w:r>
    </w:p>
    <w:p>
      <w:pPr>
        <w:spacing w:after="0" w:line="37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July 31, 2013</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w:t>
      </w:r>
    </w:p>
    <w:p>
      <w:pPr>
        <w:spacing w:after="0" w:line="355"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1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jc w:val="center"/>
              <w:ind w:right="230"/>
              <w:spacing w:after="0"/>
              <w:rPr>
                <w:sz w:val="20"/>
                <w:szCs w:val="20"/>
                <w:color w:val="auto"/>
              </w:rPr>
            </w:pPr>
            <w:r>
              <w:rPr>
                <w:rFonts w:ascii="Arial" w:cs="Arial" w:eastAsia="Arial" w:hAnsi="Arial"/>
                <w:sz w:val="18"/>
                <w:szCs w:val="18"/>
                <w:b w:val="1"/>
                <w:bCs w:val="1"/>
                <w:color w:val="auto"/>
                <w:w w:val="93"/>
              </w:rPr>
              <w:t>Delaware</w:t>
            </w:r>
          </w:p>
        </w:tc>
        <w:tc>
          <w:tcPr>
            <w:tcW w:w="4360" w:type="dxa"/>
            <w:vAlign w:val="bottom"/>
          </w:tcPr>
          <w:p>
            <w:pPr>
              <w:jc w:val="right"/>
              <w:ind w:right="1910"/>
              <w:spacing w:after="0"/>
              <w:rPr>
                <w:sz w:val="20"/>
                <w:szCs w:val="20"/>
                <w:color w:val="auto"/>
              </w:rPr>
            </w:pPr>
            <w:r>
              <w:rPr>
                <w:rFonts w:ascii="Arial" w:cs="Arial" w:eastAsia="Arial" w:hAnsi="Arial"/>
                <w:sz w:val="18"/>
                <w:szCs w:val="18"/>
                <w:b w:val="1"/>
                <w:bCs w:val="1"/>
                <w:color w:val="auto"/>
              </w:rPr>
              <w:t>1-10658</w:t>
            </w:r>
          </w:p>
        </w:tc>
        <w:tc>
          <w:tcPr>
            <w:tcW w:w="3500" w:type="dxa"/>
            <w:vAlign w:val="bottom"/>
          </w:tcPr>
          <w:p>
            <w:pPr>
              <w:jc w:val="right"/>
              <w:ind w:right="1230"/>
              <w:spacing w:after="0"/>
              <w:rPr>
                <w:sz w:val="20"/>
                <w:szCs w:val="20"/>
                <w:color w:val="auto"/>
              </w:rPr>
            </w:pPr>
            <w:r>
              <w:rPr>
                <w:rFonts w:ascii="Arial" w:cs="Arial" w:eastAsia="Arial" w:hAnsi="Arial"/>
                <w:sz w:val="18"/>
                <w:szCs w:val="18"/>
                <w:b w:val="1"/>
                <w:bCs w:val="1"/>
                <w:color w:val="auto"/>
              </w:rPr>
              <w:t>75-1618004</w:t>
            </w:r>
          </w:p>
        </w:tc>
      </w:tr>
      <w:tr>
        <w:trPr>
          <w:trHeight w:val="27"/>
        </w:trPr>
        <w:tc>
          <w:tcPr>
            <w:tcW w:w="3540" w:type="dxa"/>
            <w:vAlign w:val="bottom"/>
            <w:tcBorders>
              <w:bottom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r>
      <w:tr>
        <w:trPr>
          <w:trHeight w:val="222"/>
        </w:trPr>
        <w:tc>
          <w:tcPr>
            <w:tcW w:w="3540" w:type="dxa"/>
            <w:vAlign w:val="bottom"/>
          </w:tcPr>
          <w:p>
            <w:pPr>
              <w:jc w:val="center"/>
              <w:ind w:right="230"/>
              <w:spacing w:after="0"/>
              <w:rPr>
                <w:sz w:val="20"/>
                <w:szCs w:val="20"/>
                <w:color w:val="auto"/>
              </w:rPr>
            </w:pPr>
            <w:r>
              <w:rPr>
                <w:rFonts w:ascii="Arial" w:cs="Arial" w:eastAsia="Arial" w:hAnsi="Arial"/>
                <w:sz w:val="18"/>
                <w:szCs w:val="18"/>
                <w:color w:val="auto"/>
                <w:w w:val="93"/>
              </w:rPr>
              <w:t>(State or other jurisdiction of</w:t>
            </w:r>
          </w:p>
        </w:tc>
        <w:tc>
          <w:tcPr>
            <w:tcW w:w="4360" w:type="dxa"/>
            <w:vAlign w:val="bottom"/>
          </w:tcPr>
          <w:p>
            <w:pPr>
              <w:jc w:val="center"/>
              <w:ind w:right="130"/>
              <w:spacing w:after="0"/>
              <w:rPr>
                <w:sz w:val="20"/>
                <w:szCs w:val="20"/>
                <w:color w:val="auto"/>
              </w:rPr>
            </w:pPr>
            <w:r>
              <w:rPr>
                <w:rFonts w:ascii="Arial" w:cs="Arial" w:eastAsia="Arial" w:hAnsi="Arial"/>
                <w:sz w:val="18"/>
                <w:szCs w:val="18"/>
                <w:color w:val="auto"/>
                <w:w w:val="92"/>
              </w:rPr>
              <w:t>(Commission File Number)</w:t>
            </w:r>
          </w:p>
        </w:tc>
        <w:tc>
          <w:tcPr>
            <w:tcW w:w="3500" w:type="dxa"/>
            <w:vAlign w:val="bottom"/>
          </w:tcPr>
          <w:p>
            <w:pPr>
              <w:jc w:val="center"/>
              <w:spacing w:after="0"/>
              <w:rPr>
                <w:sz w:val="20"/>
                <w:szCs w:val="20"/>
                <w:color w:val="auto"/>
              </w:rPr>
            </w:pPr>
            <w:r>
              <w:rPr>
                <w:rFonts w:ascii="Arial" w:cs="Arial" w:eastAsia="Arial" w:hAnsi="Arial"/>
                <w:sz w:val="18"/>
                <w:szCs w:val="18"/>
                <w:color w:val="auto"/>
                <w:w w:val="93"/>
              </w:rPr>
              <w:t>(I.R.S. Employer Identification No.)</w:t>
            </w:r>
          </w:p>
        </w:tc>
      </w:tr>
      <w:tr>
        <w:trPr>
          <w:trHeight w:val="230"/>
        </w:trPr>
        <w:tc>
          <w:tcPr>
            <w:tcW w:w="3540" w:type="dxa"/>
            <w:vAlign w:val="bottom"/>
          </w:tcPr>
          <w:p>
            <w:pPr>
              <w:jc w:val="center"/>
              <w:ind w:right="230"/>
              <w:spacing w:after="0"/>
              <w:rPr>
                <w:sz w:val="20"/>
                <w:szCs w:val="20"/>
                <w:color w:val="auto"/>
              </w:rPr>
            </w:pPr>
            <w:r>
              <w:rPr>
                <w:rFonts w:ascii="Arial" w:cs="Arial" w:eastAsia="Arial" w:hAnsi="Arial"/>
                <w:sz w:val="18"/>
                <w:szCs w:val="18"/>
                <w:color w:val="auto"/>
                <w:w w:val="92"/>
              </w:rPr>
              <w:t>incorporation)</w:t>
            </w:r>
          </w:p>
        </w:tc>
        <w:tc>
          <w:tcPr>
            <w:tcW w:w="4360" w:type="dxa"/>
            <w:vAlign w:val="bottom"/>
          </w:tcPr>
          <w:p>
            <w:pPr>
              <w:spacing w:after="0"/>
              <w:rPr>
                <w:sz w:val="20"/>
                <w:szCs w:val="20"/>
                <w:color w:val="auto"/>
              </w:rPr>
            </w:pPr>
          </w:p>
        </w:tc>
        <w:tc>
          <w:tcPr>
            <w:tcW w:w="3500" w:type="dxa"/>
            <w:vAlign w:val="bottom"/>
          </w:tcPr>
          <w:p>
            <w:pPr>
              <w:spacing w:after="0"/>
              <w:rPr>
                <w:sz w:val="20"/>
                <w:szCs w:val="20"/>
                <w:color w:val="auto"/>
              </w:rPr>
            </w:pPr>
          </w:p>
        </w:tc>
      </w:tr>
      <w:tr>
        <w:trPr>
          <w:trHeight w:val="621"/>
        </w:trPr>
        <w:tc>
          <w:tcPr>
            <w:tcW w:w="3540" w:type="dxa"/>
            <w:vAlign w:val="bottom"/>
          </w:tcPr>
          <w:p>
            <w:pPr>
              <w:spacing w:after="0"/>
              <w:rPr>
                <w:sz w:val="24"/>
                <w:szCs w:val="24"/>
                <w:color w:val="auto"/>
              </w:rPr>
            </w:pPr>
          </w:p>
        </w:tc>
        <w:tc>
          <w:tcPr>
            <w:tcW w:w="4360" w:type="dxa"/>
            <w:vAlign w:val="bottom"/>
          </w:tcPr>
          <w:p>
            <w:pPr>
              <w:jc w:val="center"/>
              <w:spacing w:after="0"/>
              <w:rPr>
                <w:sz w:val="20"/>
                <w:szCs w:val="20"/>
                <w:color w:val="auto"/>
              </w:rPr>
            </w:pPr>
            <w:r>
              <w:rPr>
                <w:rFonts w:ascii="Arial" w:cs="Arial" w:eastAsia="Arial" w:hAnsi="Arial"/>
                <w:sz w:val="18"/>
                <w:szCs w:val="18"/>
                <w:b w:val="1"/>
                <w:bCs w:val="1"/>
                <w:color w:val="auto"/>
                <w:w w:val="90"/>
              </w:rPr>
              <w:t>8000 South Federal Way</w:t>
            </w:r>
          </w:p>
        </w:tc>
        <w:tc>
          <w:tcPr>
            <w:tcW w:w="3500" w:type="dxa"/>
            <w:vAlign w:val="bottom"/>
          </w:tcPr>
          <w:p>
            <w:pPr>
              <w:spacing w:after="0"/>
              <w:rPr>
                <w:sz w:val="24"/>
                <w:szCs w:val="24"/>
                <w:color w:val="auto"/>
              </w:rPr>
            </w:pPr>
          </w:p>
        </w:tc>
      </w:tr>
      <w:tr>
        <w:trPr>
          <w:trHeight w:val="270"/>
        </w:trPr>
        <w:tc>
          <w:tcPr>
            <w:tcW w:w="3540" w:type="dxa"/>
            <w:vAlign w:val="bottom"/>
          </w:tcPr>
          <w:p>
            <w:pPr>
              <w:spacing w:after="0"/>
              <w:rPr>
                <w:sz w:val="23"/>
                <w:szCs w:val="23"/>
                <w:color w:val="auto"/>
              </w:rPr>
            </w:pPr>
          </w:p>
        </w:tc>
        <w:tc>
          <w:tcPr>
            <w:tcW w:w="4360" w:type="dxa"/>
            <w:vAlign w:val="bottom"/>
          </w:tcPr>
          <w:p>
            <w:pPr>
              <w:jc w:val="center"/>
              <w:spacing w:after="0"/>
              <w:rPr>
                <w:sz w:val="20"/>
                <w:szCs w:val="20"/>
                <w:color w:val="auto"/>
              </w:rPr>
            </w:pPr>
            <w:r>
              <w:rPr>
                <w:rFonts w:ascii="Arial" w:cs="Arial" w:eastAsia="Arial" w:hAnsi="Arial"/>
                <w:sz w:val="18"/>
                <w:szCs w:val="18"/>
                <w:b w:val="1"/>
                <w:bCs w:val="1"/>
                <w:color w:val="auto"/>
                <w:w w:val="92"/>
              </w:rPr>
              <w:t>Boise, Idaho 83716-9632</w:t>
            </w:r>
          </w:p>
        </w:tc>
        <w:tc>
          <w:tcPr>
            <w:tcW w:w="3500" w:type="dxa"/>
            <w:vAlign w:val="bottom"/>
          </w:tcPr>
          <w:p>
            <w:pPr>
              <w:spacing w:after="0"/>
              <w:rPr>
                <w:sz w:val="23"/>
                <w:szCs w:val="23"/>
                <w:color w:val="auto"/>
              </w:rPr>
            </w:pPr>
          </w:p>
        </w:tc>
      </w:tr>
      <w:tr>
        <w:trPr>
          <w:trHeight w:val="27"/>
        </w:trPr>
        <w:tc>
          <w:tcPr>
            <w:tcW w:w="3540" w:type="dxa"/>
            <w:vAlign w:val="bottom"/>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c>
          <w:tcPr>
            <w:tcW w:w="3500" w:type="dxa"/>
            <w:vAlign w:val="bottom"/>
          </w:tcPr>
          <w:p>
            <w:pPr>
              <w:spacing w:after="0"/>
              <w:rPr>
                <w:sz w:val="2"/>
                <w:szCs w:val="2"/>
                <w:color w:val="auto"/>
              </w:rPr>
            </w:pPr>
          </w:p>
        </w:tc>
      </w:tr>
      <w:tr>
        <w:trPr>
          <w:trHeight w:val="237"/>
        </w:trPr>
        <w:tc>
          <w:tcPr>
            <w:tcW w:w="3540" w:type="dxa"/>
            <w:vAlign w:val="bottom"/>
          </w:tcPr>
          <w:p>
            <w:pPr>
              <w:spacing w:after="0"/>
              <w:rPr>
                <w:sz w:val="20"/>
                <w:szCs w:val="20"/>
                <w:color w:val="auto"/>
              </w:rPr>
            </w:pPr>
          </w:p>
        </w:tc>
        <w:tc>
          <w:tcPr>
            <w:tcW w:w="436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500" w:type="dxa"/>
            <w:vAlign w:val="bottom"/>
          </w:tcPr>
          <w:p>
            <w:pPr>
              <w:spacing w:after="0"/>
              <w:rPr>
                <w:sz w:val="20"/>
                <w:szCs w:val="20"/>
                <w:color w:val="auto"/>
              </w:rPr>
            </w:pPr>
          </w:p>
        </w:tc>
      </w:tr>
    </w:tbl>
    <w:p>
      <w:pPr>
        <w:spacing w:after="0" w:line="38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1960245</wp:posOffset>
            </wp:positionH>
            <wp:positionV relativeFrom="paragraph">
              <wp:posOffset>34290</wp:posOffset>
            </wp:positionV>
            <wp:extent cx="33102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61"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(Registrant’s telephone number, including area code)</w:t>
      </w:r>
    </w:p>
    <w:p>
      <w:pPr>
        <w:spacing w:after="0" w:line="252"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452120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469265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right="140" w:firstLine="324"/>
        <w:spacing w:after="0" w:line="270" w:lineRule="auto"/>
        <w:rPr>
          <w:sz w:val="20"/>
          <w:szCs w:val="20"/>
          <w:color w:val="auto"/>
        </w:rPr>
      </w:pPr>
      <w:r>
        <w:rPr>
          <w:rFonts w:ascii="Arial" w:cs="Arial" w:eastAsia="Arial" w:hAnsi="Arial"/>
          <w:sz w:val="17"/>
          <w:szCs w:val="17"/>
          <w:color w:val="auto"/>
        </w:rPr>
        <w:t>In a Current Report on Form 8-K filed July 31, 2013, Micron Technology, Inc. (“Micron”) disclosed that it had completed its acquisition of 100% of the equity of Elpida Memory, Inc. (“Elpida”), a Japanese corporation, pursuant to the Agreement on Support for Reorganization Companies, dated July 2, 2012, as amended, between Micron and Nobuaki Kobayashi and Yukio Sakamoto, in their capacity as trustees of Elpida and Elpida's wholly-owned subsidiary, Akita Elpida Memory, Inc. Micron also disclosed in the Form 8-K filed July 31, 2013 that Micron Semiconductor B.V. (“Micron B.V.”), a wholly owned subsidiary of Micron, completed its acquisition of 713,627,586 shares of common stock of Rexchip Electronic Corporation from Powerchip Technology Corporation and certain of its affiliates (collectively, the “Powerchip Group”) pursuant to that certain Share Purchase Agreement, dated July 2, 2012, by and among Micron, Micron B.V. and the members of the Powerchip Group. This Form 8-K/A is being filed to amend Item 9.01 of the Form 8-K filed July 31, 2013 to provide the historical financial statements and pro forma financial information required by Item 9.01(a) and (b), respectively, which financial statements and information were not included in the Form 8-K filed July 31, 2013.</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Financial Statements of Business Acquired</w:t>
      </w:r>
    </w:p>
    <w:p>
      <w:pPr>
        <w:spacing w:after="0" w:line="225" w:lineRule="exact"/>
        <w:rPr>
          <w:sz w:val="20"/>
          <w:szCs w:val="20"/>
          <w:color w:val="auto"/>
        </w:rPr>
      </w:pPr>
    </w:p>
    <w:p>
      <w:pPr>
        <w:ind w:right="780" w:firstLine="324"/>
        <w:spacing w:after="0" w:line="277" w:lineRule="auto"/>
        <w:rPr>
          <w:sz w:val="20"/>
          <w:szCs w:val="20"/>
          <w:color w:val="auto"/>
        </w:rPr>
      </w:pPr>
      <w:r>
        <w:rPr>
          <w:rFonts w:ascii="Arial" w:cs="Arial" w:eastAsia="Arial" w:hAnsi="Arial"/>
          <w:sz w:val="18"/>
          <w:szCs w:val="18"/>
          <w:color w:val="auto"/>
        </w:rPr>
        <w:t>The audited consolidated financial statements of Elpida for the fiscal years ended February 28, 2013 and March 31, 2012 are attached hereto as Exhibit 99.2.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 Pro Forma Financial Information</w:t>
      </w:r>
    </w:p>
    <w:p>
      <w:pPr>
        <w:spacing w:after="0" w:line="225"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The unaudited pro forma financial information for Micron, after giving effect to the acquisition of Elpida and adjustments described in such pro forma financial information, is attached hereto as Exhibit 99.3.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exhibits are attached herewith:</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00" w:type="dxa"/>
            <w:vAlign w:val="bottom"/>
            <w:gridSpan w:val="2"/>
          </w:tcPr>
          <w:p>
            <w:pPr>
              <w:ind w:left="420"/>
              <w:spacing w:after="0"/>
              <w:rPr>
                <w:sz w:val="20"/>
                <w:szCs w:val="20"/>
                <w:color w:val="auto"/>
              </w:rPr>
            </w:pPr>
            <w:r>
              <w:rPr>
                <w:rFonts w:ascii="Arial" w:cs="Arial" w:eastAsia="Arial" w:hAnsi="Arial"/>
                <w:sz w:val="18"/>
                <w:szCs w:val="18"/>
                <w:b w:val="1"/>
                <w:bCs w:val="1"/>
                <w:color w:val="auto"/>
              </w:rPr>
              <w:t>Exhibit</w:t>
            </w:r>
          </w:p>
        </w:tc>
        <w:tc>
          <w:tcPr>
            <w:tcW w:w="9920" w:type="dxa"/>
            <w:vAlign w:val="bottom"/>
          </w:tcPr>
          <w:p>
            <w:pPr>
              <w:ind w:left="452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920" w:type="dxa"/>
            <w:vAlign w:val="bottom"/>
            <w:tcBorders>
              <w:bottom w:val="single" w:sz="8" w:color="auto"/>
            </w:tcBorders>
          </w:tcPr>
          <w:p>
            <w:pPr>
              <w:spacing w:after="0"/>
              <w:rPr>
                <w:sz w:val="2"/>
                <w:szCs w:val="2"/>
                <w:color w:val="auto"/>
              </w:rPr>
            </w:pPr>
          </w:p>
        </w:tc>
      </w:tr>
      <w:tr>
        <w:trPr>
          <w:trHeight w:val="244"/>
        </w:trPr>
        <w:tc>
          <w:tcPr>
            <w:tcW w:w="1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23.1</w:t>
            </w:r>
          </w:p>
        </w:tc>
        <w:tc>
          <w:tcPr>
            <w:tcW w:w="120" w:type="dxa"/>
            <w:vAlign w:val="bottom"/>
            <w:tcBorders>
              <w:bottom w:val="single" w:sz="8" w:color="CCEEFF"/>
            </w:tcBorders>
            <w:shd w:val="clear" w:color="auto" w:fill="CCEEFF"/>
          </w:tcPr>
          <w:p>
            <w:pPr>
              <w:spacing w:after="0"/>
              <w:rPr>
                <w:sz w:val="21"/>
                <w:szCs w:val="21"/>
                <w:color w:val="auto"/>
              </w:rPr>
            </w:pPr>
          </w:p>
        </w:tc>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Consent of Ernst &amp; Young ShinNihon LLC, independent auditors</w:t>
            </w:r>
          </w:p>
        </w:tc>
      </w:tr>
      <w:tr>
        <w:trPr>
          <w:trHeight w:val="243"/>
        </w:trPr>
        <w:tc>
          <w:tcPr>
            <w:tcW w:w="1380" w:type="dxa"/>
            <w:vAlign w:val="bottom"/>
          </w:tcPr>
          <w:p>
            <w:pPr>
              <w:ind w:left="40"/>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21"/>
                <w:szCs w:val="21"/>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Press release issued on July 31, 2013</w:t>
            </w:r>
          </w:p>
        </w:tc>
      </w:tr>
      <w:tr>
        <w:trPr>
          <w:trHeight w:val="27"/>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920" w:type="dxa"/>
            <w:vAlign w:val="bottom"/>
          </w:tcPr>
          <w:p>
            <w:pPr>
              <w:spacing w:after="0"/>
              <w:rPr>
                <w:sz w:val="2"/>
                <w:szCs w:val="2"/>
                <w:color w:val="auto"/>
              </w:rPr>
            </w:pPr>
          </w:p>
        </w:tc>
      </w:tr>
      <w:tr>
        <w:trPr>
          <w:trHeight w:val="229"/>
        </w:trPr>
        <w:tc>
          <w:tcPr>
            <w:tcW w:w="1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99.2</w:t>
            </w:r>
          </w:p>
        </w:tc>
        <w:tc>
          <w:tcPr>
            <w:tcW w:w="120" w:type="dxa"/>
            <w:vAlign w:val="bottom"/>
            <w:shd w:val="clear" w:color="auto" w:fill="CCEEFF"/>
          </w:tcPr>
          <w:p>
            <w:pPr>
              <w:spacing w:after="0"/>
              <w:rPr>
                <w:sz w:val="19"/>
                <w:szCs w:val="19"/>
                <w:color w:val="auto"/>
              </w:rPr>
            </w:pPr>
          </w:p>
        </w:tc>
        <w:tc>
          <w:tcPr>
            <w:tcW w:w="99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Elpida Memory, Inc.’s audited consolidated financial statements, including the report of Ernst &amp; Young ShinNihon LLC, independent</w:t>
            </w:r>
          </w:p>
        </w:tc>
      </w:tr>
      <w:tr>
        <w:trPr>
          <w:trHeight w:val="237"/>
        </w:trPr>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auditors, for the fiscal years ended February 28, 2013 and March 31, 2012</w:t>
            </w:r>
          </w:p>
        </w:tc>
      </w:tr>
      <w:tr>
        <w:trPr>
          <w:trHeight w:val="229"/>
        </w:trPr>
        <w:tc>
          <w:tcPr>
            <w:tcW w:w="1380" w:type="dxa"/>
            <w:vAlign w:val="bottom"/>
          </w:tcPr>
          <w:p>
            <w:pPr>
              <w:ind w:left="40"/>
              <w:spacing w:after="0"/>
              <w:rPr>
                <w:sz w:val="20"/>
                <w:szCs w:val="20"/>
                <w:color w:val="auto"/>
              </w:rPr>
            </w:pPr>
            <w:r>
              <w:rPr>
                <w:rFonts w:ascii="Arial" w:cs="Arial" w:eastAsia="Arial" w:hAnsi="Arial"/>
                <w:sz w:val="18"/>
                <w:szCs w:val="18"/>
                <w:color w:val="auto"/>
              </w:rPr>
              <w:t>99.3</w:t>
            </w:r>
          </w:p>
        </w:tc>
        <w:tc>
          <w:tcPr>
            <w:tcW w:w="120" w:type="dxa"/>
            <w:vAlign w:val="bottom"/>
          </w:tcPr>
          <w:p>
            <w:pPr>
              <w:spacing w:after="0"/>
              <w:rPr>
                <w:sz w:val="19"/>
                <w:szCs w:val="19"/>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Unaudited pro forma financial information for Micron Technology, Inc., after giving effect to the acquisition of Elpida Memory, Inc. and</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adjustments described in such pro forma financial information</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8"/>
          <w:szCs w:val="18"/>
          <w:color w:val="auto"/>
        </w:rPr>
        <w:t>* Previously filed as an exhibit to the Form 8-K filed on July 31, 2013</w:t>
      </w:r>
    </w:p>
    <w:p>
      <w:pPr>
        <w:sectPr>
          <w:pgSz w:w="11900" w:h="16838" w:orient="portrait"/>
          <w:cols w:equalWidth="0" w:num="1">
            <w:col w:w="11420"/>
          </w:cols>
          <w:pgMar w:left="240" w:top="580" w:right="23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7500" w:type="dxa"/>
            <w:vAlign w:val="bottom"/>
            <w:gridSpan w:val="2"/>
          </w:tcPr>
          <w:p>
            <w:pPr>
              <w:ind w:left="1600"/>
              <w:spacing w:after="0"/>
              <w:rPr>
                <w:sz w:val="20"/>
                <w:szCs w:val="20"/>
                <w:color w:val="auto"/>
              </w:rPr>
            </w:pPr>
            <w:r>
              <w:rPr>
                <w:rFonts w:ascii="Arial" w:cs="Arial" w:eastAsia="Arial" w:hAnsi="Arial"/>
                <w:sz w:val="18"/>
                <w:szCs w:val="18"/>
                <w:b w:val="1"/>
                <w:bCs w:val="1"/>
                <w:color w:val="auto"/>
              </w:rPr>
              <w:t>MICRON TECHNOLOGY, INC.</w:t>
            </w:r>
          </w:p>
        </w:tc>
        <w:tc>
          <w:tcPr>
            <w:tcW w:w="0" w:type="dxa"/>
            <w:vAlign w:val="bottom"/>
          </w:tcPr>
          <w:p>
            <w:pPr>
              <w:spacing w:after="0"/>
              <w:rPr>
                <w:sz w:val="1"/>
                <w:szCs w:val="1"/>
                <w:color w:val="auto"/>
              </w:rPr>
            </w:pPr>
          </w:p>
        </w:tc>
      </w:tr>
      <w:tr>
        <w:trPr>
          <w:trHeight w:val="810"/>
        </w:trPr>
        <w:tc>
          <w:tcPr>
            <w:tcW w:w="3440" w:type="dxa"/>
            <w:vAlign w:val="bottom"/>
          </w:tcPr>
          <w:p>
            <w:pPr>
              <w:spacing w:after="0"/>
              <w:rPr>
                <w:sz w:val="20"/>
                <w:szCs w:val="20"/>
                <w:color w:val="auto"/>
              </w:rPr>
            </w:pPr>
            <w:r>
              <w:rPr>
                <w:rFonts w:ascii="Arial" w:cs="Arial" w:eastAsia="Arial" w:hAnsi="Arial"/>
                <w:sz w:val="18"/>
                <w:szCs w:val="18"/>
                <w:color w:val="auto"/>
              </w:rPr>
              <w:t>Date:  October 16, 2013</w:t>
            </w:r>
          </w:p>
        </w:tc>
        <w:tc>
          <w:tcPr>
            <w:tcW w:w="2260" w:type="dxa"/>
            <w:vAlign w:val="bottom"/>
          </w:tcPr>
          <w:p>
            <w:pPr>
              <w:ind w:left="1600"/>
              <w:spacing w:after="0"/>
              <w:rPr>
                <w:sz w:val="20"/>
                <w:szCs w:val="20"/>
                <w:color w:val="auto"/>
              </w:rPr>
            </w:pPr>
            <w:r>
              <w:rPr>
                <w:rFonts w:ascii="Arial" w:cs="Arial" w:eastAsia="Arial" w:hAnsi="Arial"/>
                <w:sz w:val="18"/>
                <w:szCs w:val="18"/>
                <w:color w:val="auto"/>
              </w:rPr>
              <w:t>By:</w:t>
            </w:r>
          </w:p>
        </w:tc>
        <w:tc>
          <w:tcPr>
            <w:tcW w:w="5240" w:type="dxa"/>
            <w:vAlign w:val="bottom"/>
          </w:tcPr>
          <w:p>
            <w:pPr>
              <w:ind w:left="60"/>
              <w:spacing w:after="0"/>
              <w:rPr>
                <w:sz w:val="20"/>
                <w:szCs w:val="20"/>
                <w:color w:val="auto"/>
              </w:rPr>
            </w:pPr>
            <w:r>
              <w:rPr>
                <w:rFonts w:ascii="Arial" w:cs="Arial" w:eastAsia="Arial" w:hAnsi="Arial"/>
                <w:sz w:val="18"/>
                <w:szCs w:val="18"/>
                <w:i w:val="1"/>
                <w:iCs w:val="1"/>
                <w:color w:val="auto"/>
              </w:rPr>
              <w:t>/s/ Ronald C. Foster</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260" w:type="dxa"/>
            <w:vAlign w:val="bottom"/>
            <w:vMerge w:val="restart"/>
          </w:tcPr>
          <w:p>
            <w:pPr>
              <w:ind w:left="1600"/>
              <w:spacing w:after="0"/>
              <w:rPr>
                <w:sz w:val="20"/>
                <w:szCs w:val="20"/>
                <w:color w:val="auto"/>
              </w:rPr>
            </w:pPr>
            <w:r>
              <w:rPr>
                <w:rFonts w:ascii="Arial" w:cs="Arial" w:eastAsia="Arial" w:hAnsi="Arial"/>
                <w:sz w:val="18"/>
                <w:szCs w:val="18"/>
                <w:color w:val="auto"/>
              </w:rPr>
              <w:t>Name:</w:t>
            </w:r>
          </w:p>
        </w:tc>
        <w:tc>
          <w:tcPr>
            <w:tcW w:w="5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40" w:type="dxa"/>
            <w:vAlign w:val="bottom"/>
          </w:tcPr>
          <w:p>
            <w:pPr>
              <w:spacing w:after="0"/>
              <w:rPr>
                <w:sz w:val="20"/>
                <w:szCs w:val="20"/>
                <w:color w:val="auto"/>
              </w:rPr>
            </w:pPr>
          </w:p>
        </w:tc>
        <w:tc>
          <w:tcPr>
            <w:tcW w:w="2260" w:type="dxa"/>
            <w:vAlign w:val="bottom"/>
            <w:vMerge w:val="continue"/>
          </w:tcPr>
          <w:p>
            <w:pPr>
              <w:spacing w:after="0"/>
              <w:rPr>
                <w:sz w:val="20"/>
                <w:szCs w:val="20"/>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Ronald C. Foster</w:t>
            </w:r>
          </w:p>
        </w:tc>
        <w:tc>
          <w:tcPr>
            <w:tcW w:w="0" w:type="dxa"/>
            <w:vAlign w:val="bottom"/>
          </w:tcPr>
          <w:p>
            <w:pPr>
              <w:spacing w:after="0"/>
              <w:rPr>
                <w:sz w:val="1"/>
                <w:szCs w:val="1"/>
                <w:color w:val="auto"/>
              </w:rPr>
            </w:pPr>
          </w:p>
        </w:tc>
      </w:tr>
      <w:tr>
        <w:trPr>
          <w:trHeight w:val="270"/>
        </w:trPr>
        <w:tc>
          <w:tcPr>
            <w:tcW w:w="3440" w:type="dxa"/>
            <w:vAlign w:val="bottom"/>
          </w:tcPr>
          <w:p>
            <w:pPr>
              <w:spacing w:after="0"/>
              <w:rPr>
                <w:sz w:val="23"/>
                <w:szCs w:val="23"/>
                <w:color w:val="auto"/>
              </w:rPr>
            </w:pPr>
          </w:p>
        </w:tc>
        <w:tc>
          <w:tcPr>
            <w:tcW w:w="2260" w:type="dxa"/>
            <w:vAlign w:val="bottom"/>
          </w:tcPr>
          <w:p>
            <w:pPr>
              <w:ind w:left="1600"/>
              <w:spacing w:after="0"/>
              <w:rPr>
                <w:sz w:val="20"/>
                <w:szCs w:val="20"/>
                <w:color w:val="auto"/>
              </w:rPr>
            </w:pPr>
            <w:r>
              <w:rPr>
                <w:rFonts w:ascii="Arial" w:cs="Arial" w:eastAsia="Arial" w:hAnsi="Arial"/>
                <w:sz w:val="18"/>
                <w:szCs w:val="18"/>
                <w:color w:val="auto"/>
              </w:rPr>
              <w:t>Title:</w:t>
            </w:r>
          </w:p>
        </w:tc>
        <w:tc>
          <w:tcPr>
            <w:tcW w:w="5240" w:type="dxa"/>
            <w:vAlign w:val="bottom"/>
          </w:tcPr>
          <w:p>
            <w:pPr>
              <w:ind w:left="20"/>
              <w:spacing w:after="0"/>
              <w:rPr>
                <w:sz w:val="20"/>
                <w:szCs w:val="20"/>
                <w:color w:val="auto"/>
              </w:rPr>
            </w:pPr>
            <w:r>
              <w:rPr>
                <w:rFonts w:ascii="Arial" w:cs="Arial" w:eastAsia="Arial" w:hAnsi="Arial"/>
                <w:sz w:val="18"/>
                <w:szCs w:val="18"/>
                <w:color w:val="auto"/>
              </w:rPr>
              <w:t>Chief Financial Officer and</w:t>
            </w:r>
          </w:p>
        </w:tc>
        <w:tc>
          <w:tcPr>
            <w:tcW w:w="0" w:type="dxa"/>
            <w:vAlign w:val="bottom"/>
          </w:tcPr>
          <w:p>
            <w:pPr>
              <w:spacing w:after="0"/>
              <w:rPr>
                <w:sz w:val="1"/>
                <w:szCs w:val="1"/>
                <w:color w:val="auto"/>
              </w:rPr>
            </w:pPr>
          </w:p>
        </w:tc>
      </w:tr>
      <w:tr>
        <w:trPr>
          <w:trHeight w:val="270"/>
        </w:trPr>
        <w:tc>
          <w:tcPr>
            <w:tcW w:w="344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Vice President of Finance</w:t>
            </w:r>
          </w:p>
        </w:tc>
        <w:tc>
          <w:tcPr>
            <w:tcW w:w="0" w:type="dxa"/>
            <w:vAlign w:val="bottom"/>
          </w:tcPr>
          <w:p>
            <w:pPr>
              <w:spacing w:after="0"/>
              <w:rPr>
                <w:sz w:val="1"/>
                <w:szCs w:val="1"/>
                <w:color w:val="auto"/>
              </w:rPr>
            </w:pPr>
          </w:p>
        </w:tc>
      </w:tr>
    </w:tbl>
    <w:p>
      <w:pPr>
        <w:sectPr>
          <w:pgSz w:w="11900" w:h="16838" w:orient="portrait"/>
          <w:cols w:equalWidth="0" w:num="1">
            <w:col w:w="10980"/>
          </w:cols>
          <w:pgMar w:left="240" w:top="580" w:right="67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INDEX TO EXHIBITS FILED WITH</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CURRENT REPORT ON FORM 8-K/A DATED JULY 31,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40" w:type="dxa"/>
            <w:vAlign w:val="bottom"/>
            <w:gridSpan w:val="2"/>
          </w:tcPr>
          <w:p>
            <w:pPr>
              <w:ind w:left="300"/>
              <w:spacing w:after="0"/>
              <w:rPr>
                <w:sz w:val="20"/>
                <w:szCs w:val="20"/>
                <w:color w:val="auto"/>
              </w:rPr>
            </w:pPr>
            <w:r>
              <w:rPr>
                <w:rFonts w:ascii="Arial" w:cs="Arial" w:eastAsia="Arial" w:hAnsi="Arial"/>
                <w:sz w:val="18"/>
                <w:szCs w:val="18"/>
                <w:b w:val="1"/>
                <w:bCs w:val="1"/>
                <w:color w:val="auto"/>
              </w:rPr>
              <w:t>Exhibit</w:t>
            </w:r>
          </w:p>
        </w:tc>
        <w:tc>
          <w:tcPr>
            <w:tcW w:w="9480" w:type="dxa"/>
            <w:vAlign w:val="bottom"/>
          </w:tcPr>
          <w:p>
            <w:pPr>
              <w:ind w:left="428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9480" w:type="dxa"/>
            <w:vAlign w:val="bottom"/>
            <w:tcBorders>
              <w:bottom w:val="single" w:sz="8" w:color="auto"/>
            </w:tcBorders>
          </w:tcPr>
          <w:p>
            <w:pPr>
              <w:spacing w:after="0"/>
              <w:rPr>
                <w:sz w:val="2"/>
                <w:szCs w:val="2"/>
                <w:color w:val="auto"/>
              </w:rPr>
            </w:pPr>
          </w:p>
        </w:tc>
      </w:tr>
      <w:tr>
        <w:trPr>
          <w:trHeight w:val="244"/>
        </w:trPr>
        <w:tc>
          <w:tcPr>
            <w:tcW w:w="1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23.1</w:t>
            </w:r>
          </w:p>
        </w:tc>
        <w:tc>
          <w:tcPr>
            <w:tcW w:w="340" w:type="dxa"/>
            <w:vAlign w:val="bottom"/>
            <w:tcBorders>
              <w:bottom w:val="single" w:sz="8" w:color="CCEEFF"/>
            </w:tcBorders>
            <w:shd w:val="clear" w:color="auto" w:fill="CCEEFF"/>
          </w:tcPr>
          <w:p>
            <w:pPr>
              <w:spacing w:after="0"/>
              <w:rPr>
                <w:sz w:val="21"/>
                <w:szCs w:val="21"/>
                <w:color w:val="auto"/>
              </w:rPr>
            </w:pPr>
          </w:p>
        </w:tc>
        <w:tc>
          <w:tcPr>
            <w:tcW w:w="9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Consent of Ernst &amp; Young ShinNihon LLC, independent auditors</w:t>
            </w:r>
          </w:p>
        </w:tc>
      </w:tr>
      <w:tr>
        <w:trPr>
          <w:trHeight w:val="243"/>
        </w:trPr>
        <w:tc>
          <w:tcPr>
            <w:tcW w:w="1200" w:type="dxa"/>
            <w:vAlign w:val="bottom"/>
          </w:tcPr>
          <w:p>
            <w:pPr>
              <w:ind w:left="20"/>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21"/>
                <w:szCs w:val="21"/>
                <w:color w:val="auto"/>
              </w:rPr>
            </w:pPr>
          </w:p>
        </w:tc>
        <w:tc>
          <w:tcPr>
            <w:tcW w:w="9480" w:type="dxa"/>
            <w:vAlign w:val="bottom"/>
          </w:tcPr>
          <w:p>
            <w:pPr>
              <w:ind w:left="20"/>
              <w:spacing w:after="0"/>
              <w:rPr>
                <w:sz w:val="20"/>
                <w:szCs w:val="20"/>
                <w:color w:val="auto"/>
              </w:rPr>
            </w:pPr>
            <w:r>
              <w:rPr>
                <w:rFonts w:ascii="Arial" w:cs="Arial" w:eastAsia="Arial" w:hAnsi="Arial"/>
                <w:sz w:val="18"/>
                <w:szCs w:val="18"/>
                <w:color w:val="auto"/>
              </w:rPr>
              <w:t>Press release issued on July 31, 2013</w:t>
            </w:r>
          </w:p>
        </w:tc>
      </w:tr>
      <w:tr>
        <w:trPr>
          <w:trHeight w:val="27"/>
        </w:trPr>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80" w:type="dxa"/>
            <w:vAlign w:val="bottom"/>
          </w:tcPr>
          <w:p>
            <w:pPr>
              <w:spacing w:after="0"/>
              <w:rPr>
                <w:sz w:val="2"/>
                <w:szCs w:val="2"/>
                <w:color w:val="auto"/>
              </w:rPr>
            </w:pPr>
          </w:p>
        </w:tc>
      </w:tr>
      <w:tr>
        <w:trPr>
          <w:trHeight w:val="229"/>
        </w:trPr>
        <w:tc>
          <w:tcPr>
            <w:tcW w:w="1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99.2</w:t>
            </w:r>
          </w:p>
        </w:tc>
        <w:tc>
          <w:tcPr>
            <w:tcW w:w="340" w:type="dxa"/>
            <w:vAlign w:val="bottom"/>
            <w:shd w:val="clear" w:color="auto" w:fill="CCEEFF"/>
          </w:tcPr>
          <w:p>
            <w:pPr>
              <w:spacing w:after="0"/>
              <w:rPr>
                <w:sz w:val="19"/>
                <w:szCs w:val="19"/>
                <w:color w:val="auto"/>
              </w:rPr>
            </w:pPr>
          </w:p>
        </w:tc>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Elpida Memory, Inc.’s audited consolidated financial statements, including the report of Ernst &amp; Young ShinNihon LLC,</w:t>
            </w:r>
          </w:p>
        </w:tc>
      </w:tr>
      <w:tr>
        <w:trPr>
          <w:trHeight w:val="237"/>
        </w:trPr>
        <w:tc>
          <w:tcPr>
            <w:tcW w:w="12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independent auditors, for the fiscal years ended February 28, 2013 and March 31, 2012</w:t>
            </w:r>
          </w:p>
        </w:tc>
      </w:tr>
      <w:tr>
        <w:trPr>
          <w:trHeight w:val="229"/>
        </w:trPr>
        <w:tc>
          <w:tcPr>
            <w:tcW w:w="1200" w:type="dxa"/>
            <w:vAlign w:val="bottom"/>
          </w:tcPr>
          <w:p>
            <w:pPr>
              <w:ind w:left="20"/>
              <w:spacing w:after="0"/>
              <w:rPr>
                <w:sz w:val="20"/>
                <w:szCs w:val="20"/>
                <w:color w:val="auto"/>
              </w:rPr>
            </w:pPr>
            <w:r>
              <w:rPr>
                <w:rFonts w:ascii="Arial" w:cs="Arial" w:eastAsia="Arial" w:hAnsi="Arial"/>
                <w:sz w:val="18"/>
                <w:szCs w:val="18"/>
                <w:color w:val="auto"/>
              </w:rPr>
              <w:t>99.3</w:t>
            </w:r>
          </w:p>
        </w:tc>
        <w:tc>
          <w:tcPr>
            <w:tcW w:w="340" w:type="dxa"/>
            <w:vAlign w:val="bottom"/>
          </w:tcPr>
          <w:p>
            <w:pPr>
              <w:spacing w:after="0"/>
              <w:rPr>
                <w:sz w:val="19"/>
                <w:szCs w:val="19"/>
                <w:color w:val="auto"/>
              </w:rPr>
            </w:pPr>
          </w:p>
        </w:tc>
        <w:tc>
          <w:tcPr>
            <w:tcW w:w="9480" w:type="dxa"/>
            <w:vAlign w:val="bottom"/>
          </w:tcPr>
          <w:p>
            <w:pPr>
              <w:ind w:left="20"/>
              <w:spacing w:after="0"/>
              <w:rPr>
                <w:sz w:val="20"/>
                <w:szCs w:val="20"/>
                <w:color w:val="auto"/>
              </w:rPr>
            </w:pPr>
            <w:r>
              <w:rPr>
                <w:rFonts w:ascii="Arial" w:cs="Arial" w:eastAsia="Arial" w:hAnsi="Arial"/>
                <w:sz w:val="18"/>
                <w:szCs w:val="18"/>
                <w:color w:val="auto"/>
                <w:w w:val="95"/>
              </w:rPr>
              <w:t>Unaudited pro forma financial information for Micron Technology, Inc., after giving effect to the acquisition of Elpida Memory,</w:t>
            </w:r>
          </w:p>
        </w:tc>
      </w:tr>
      <w:tr>
        <w:trPr>
          <w:trHeight w:val="230"/>
        </w:trPr>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80" w:type="dxa"/>
            <w:vAlign w:val="bottom"/>
          </w:tcPr>
          <w:p>
            <w:pPr>
              <w:ind w:left="20"/>
              <w:spacing w:after="0"/>
              <w:rPr>
                <w:sz w:val="20"/>
                <w:szCs w:val="20"/>
                <w:color w:val="auto"/>
              </w:rPr>
            </w:pPr>
            <w:r>
              <w:rPr>
                <w:rFonts w:ascii="Arial" w:cs="Arial" w:eastAsia="Arial" w:hAnsi="Arial"/>
                <w:sz w:val="18"/>
                <w:szCs w:val="18"/>
                <w:color w:val="auto"/>
              </w:rPr>
              <w:t>Inc. and adjustments described in such pro forma financial information</w:t>
            </w: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 Previously filed as an exhibit to the Form 8-K filed on July 31, 2013</w:t>
      </w:r>
    </w:p>
    <w:p>
      <w:pPr>
        <w:sectPr>
          <w:pgSz w:w="11900" w:h="16838" w:orient="portrait"/>
          <w:cols w:equalWidth="0" w:num="1">
            <w:col w:w="11020"/>
          </w:cols>
          <w:pgMar w:left="460" w:top="580" w:right="41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23.1</w:t>
      </w:r>
    </w:p>
    <w:p>
      <w:pPr>
        <w:spacing w:after="0" w:line="200" w:lineRule="exact"/>
        <w:rPr>
          <w:sz w:val="20"/>
          <w:szCs w:val="20"/>
          <w:color w:val="auto"/>
        </w:rPr>
      </w:pPr>
    </w:p>
    <w:p>
      <w:pPr>
        <w:spacing w:after="0" w:line="272" w:lineRule="exact"/>
        <w:rPr>
          <w:sz w:val="20"/>
          <w:szCs w:val="20"/>
          <w:color w:val="auto"/>
        </w:rPr>
      </w:pPr>
    </w:p>
    <w:p>
      <w:pPr>
        <w:ind w:left="4440"/>
        <w:spacing w:after="0"/>
        <w:rPr>
          <w:sz w:val="20"/>
          <w:szCs w:val="20"/>
          <w:color w:val="auto"/>
        </w:rPr>
      </w:pPr>
      <w:r>
        <w:rPr>
          <w:rFonts w:ascii="Arial" w:cs="Arial" w:eastAsia="Arial" w:hAnsi="Arial"/>
          <w:sz w:val="18"/>
          <w:szCs w:val="18"/>
          <w:b w:val="1"/>
          <w:bCs w:val="1"/>
          <w:u w:val="single" w:color="auto"/>
          <w:color w:val="auto"/>
        </w:rPr>
        <w:t>Consent of Independent Auditors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(Form S-3 No. 333-143026, 333-158473) of Micron Technology, Inc., and</w:t>
      </w:r>
    </w:p>
    <w:p>
      <w:pPr>
        <w:spacing w:after="0" w:line="225" w:lineRule="exact"/>
        <w:rPr>
          <w:rFonts w:ascii="Arial" w:cs="Arial" w:eastAsia="Arial" w:hAnsi="Arial"/>
          <w:sz w:val="18"/>
          <w:szCs w:val="18"/>
          <w:color w:val="auto"/>
        </w:rPr>
      </w:pPr>
    </w:p>
    <w:p>
      <w:pPr>
        <w:ind w:left="660" w:right="20" w:hanging="328"/>
        <w:spacing w:after="0" w:line="342"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Registration Statement (Form S-8 No. 333-17073, 333-50353, 333-71249, 333-102545, 333-103341, 333-111170, 333-120620, 333-133667, 333-135459, 333-140091, 333-148357, 333-159711, 333-167536, 333-167536/A, 333-171717, 333-179592, 333-190010) of Micron Technology, Inc.;</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of our report dated August 29, 2013, with respect to the consolidated financial statements of Elpida Memory, Inc. included in the Current Report on Form 8-K/A of Micron Technology, Inc. dated October 16, 2013.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ShinNihon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Tokyo, Japan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16, 2013</w:t>
      </w:r>
    </w:p>
    <w:p>
      <w:pPr>
        <w:sectPr>
          <w:pgSz w:w="11900" w:h="16838" w:orient="portrait"/>
          <w:cols w:equalWidth="0" w:num="1">
            <w:col w:w="11420"/>
          </w:cols>
          <w:pgMar w:left="240" w:top="585"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left="1880" w:right="3060"/>
        <w:spacing w:after="0" w:line="361" w:lineRule="auto"/>
        <w:rPr>
          <w:sz w:val="20"/>
          <w:szCs w:val="20"/>
          <w:color w:val="auto"/>
        </w:rPr>
      </w:pPr>
      <w:r>
        <w:rPr>
          <w:rFonts w:ascii="Arial" w:cs="Arial" w:eastAsia="Arial" w:hAnsi="Arial"/>
          <w:sz w:val="25"/>
          <w:szCs w:val="25"/>
          <w:b w:val="1"/>
          <w:bCs w:val="1"/>
          <w:color w:val="auto"/>
        </w:rPr>
        <w:t>ELPIDA MEMORY, INC. AND SUBSIDIARIES (DEBTORS-IN-POSSESSION) CONSOLIDATED FINANCIAL STATEMENTS</w:t>
      </w:r>
    </w:p>
    <w:p>
      <w:pPr>
        <w:spacing w:after="0" w:line="1" w:lineRule="exact"/>
        <w:rPr>
          <w:sz w:val="20"/>
          <w:szCs w:val="20"/>
          <w:color w:val="auto"/>
        </w:rPr>
      </w:pPr>
    </w:p>
    <w:p>
      <w:pPr>
        <w:ind w:left="2760"/>
        <w:spacing w:after="0"/>
        <w:rPr>
          <w:sz w:val="20"/>
          <w:szCs w:val="20"/>
          <w:color w:val="auto"/>
        </w:rPr>
      </w:pPr>
      <w:r>
        <w:rPr>
          <w:rFonts w:ascii="Arial" w:cs="Arial" w:eastAsia="Arial" w:hAnsi="Arial"/>
          <w:sz w:val="22"/>
          <w:szCs w:val="22"/>
          <w:b w:val="1"/>
          <w:bCs w:val="1"/>
          <w:i w:val="1"/>
          <w:iCs w:val="1"/>
          <w:color w:val="auto"/>
        </w:rPr>
        <w:t>February 28, 2013 and March 31, 2012</w:t>
      </w:r>
    </w:p>
    <w:p>
      <w:pPr>
        <w:sectPr>
          <w:pgSz w:w="11900" w:h="16838" w:orient="portrait"/>
          <w:cols w:equalWidth="0" w:num="1">
            <w:col w:w="10220"/>
          </w:cols>
          <w:pgMar w:left="1440" w:top="585" w:right="239" w:bottom="1440" w:gutter="0" w:footer="0" w:header="0"/>
        </w:sectPr>
      </w:pPr>
    </w:p>
    <w:bookmarkStart w:id="6" w:name="page7"/>
    <w:bookmarkEnd w:id="6"/>
    <w:p>
      <w:pPr>
        <w:jc w:val="center"/>
        <w:ind w:right="-59"/>
        <w:spacing w:after="0"/>
        <w:rPr>
          <w:sz w:val="20"/>
          <w:szCs w:val="20"/>
          <w:color w:val="auto"/>
        </w:rPr>
      </w:pPr>
      <w:r>
        <w:rPr>
          <w:rFonts w:ascii="Arial" w:cs="Arial" w:eastAsia="Arial" w:hAnsi="Arial"/>
          <w:sz w:val="20"/>
          <w:szCs w:val="20"/>
          <w:b w:val="1"/>
          <w:bCs w:val="1"/>
          <w:color w:val="auto"/>
        </w:rPr>
        <w:t>ELPIDA MEMORY, INC. AND SUBSIDIARIES</w:t>
      </w:r>
    </w:p>
    <w:p>
      <w:pPr>
        <w:spacing w:after="0" w:line="108"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(DEBTORS-IN-POSSESSION)</w:t>
      </w:r>
    </w:p>
    <w:p>
      <w:pPr>
        <w:spacing w:after="0" w:line="108"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CONSOLIDATED FINANCIAL STATEMENTS</w:t>
      </w:r>
    </w:p>
    <w:p>
      <w:pPr>
        <w:spacing w:after="0" w:line="123"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i w:val="1"/>
          <w:iCs w:val="1"/>
          <w:color w:val="auto"/>
        </w:rPr>
        <w:t>February 28, 2013 and March 31, 2012</w:t>
      </w:r>
    </w:p>
    <w:p>
      <w:pPr>
        <w:spacing w:after="0" w:line="200" w:lineRule="exact"/>
        <w:rPr>
          <w:sz w:val="20"/>
          <w:szCs w:val="20"/>
          <w:color w:val="auto"/>
        </w:rPr>
      </w:pPr>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7520" w:type="dxa"/>
            <w:vAlign w:val="bottom"/>
          </w:tcPr>
          <w:p>
            <w:pPr>
              <w:spacing w:after="0"/>
              <w:rPr>
                <w:sz w:val="22"/>
                <w:szCs w:val="22"/>
                <w:color w:val="auto"/>
              </w:rPr>
            </w:pPr>
          </w:p>
        </w:tc>
        <w:tc>
          <w:tcPr>
            <w:tcW w:w="2280" w:type="dxa"/>
            <w:vAlign w:val="bottom"/>
          </w:tcPr>
          <w:p>
            <w:pPr>
              <w:jc w:val="right"/>
              <w:spacing w:after="0"/>
              <w:rPr>
                <w:sz w:val="20"/>
                <w:szCs w:val="20"/>
                <w:color w:val="auto"/>
              </w:rPr>
            </w:pPr>
            <w:r>
              <w:rPr>
                <w:rFonts w:ascii="Arial" w:cs="Arial" w:eastAsia="Arial" w:hAnsi="Arial"/>
                <w:sz w:val="20"/>
                <w:szCs w:val="20"/>
                <w:b w:val="1"/>
                <w:bCs w:val="1"/>
                <w:color w:val="auto"/>
              </w:rPr>
              <w:t>Page</w:t>
            </w:r>
          </w:p>
        </w:tc>
      </w:tr>
      <w:tr>
        <w:trPr>
          <w:trHeight w:val="284"/>
        </w:trPr>
        <w:tc>
          <w:tcPr>
            <w:tcW w:w="7520" w:type="dxa"/>
            <w:vAlign w:val="bottom"/>
          </w:tcPr>
          <w:p>
            <w:pPr>
              <w:spacing w:after="0"/>
              <w:rPr>
                <w:sz w:val="20"/>
                <w:szCs w:val="20"/>
                <w:color w:val="auto"/>
              </w:rPr>
            </w:pPr>
            <w:r>
              <w:rPr>
                <w:rFonts w:ascii="Arial" w:cs="Arial" w:eastAsia="Arial" w:hAnsi="Arial"/>
                <w:sz w:val="20"/>
                <w:szCs w:val="20"/>
                <w:color w:val="auto"/>
              </w:rPr>
              <w:t>Report of Independent Auditors</w:t>
            </w:r>
          </w:p>
        </w:tc>
        <w:tc>
          <w:tcPr>
            <w:tcW w:w="228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554"/>
        </w:trPr>
        <w:tc>
          <w:tcPr>
            <w:tcW w:w="7520" w:type="dxa"/>
            <w:vAlign w:val="bottom"/>
          </w:tcPr>
          <w:p>
            <w:pPr>
              <w:spacing w:after="0"/>
              <w:rPr>
                <w:sz w:val="20"/>
                <w:szCs w:val="20"/>
                <w:color w:val="auto"/>
              </w:rPr>
            </w:pPr>
            <w:r>
              <w:rPr>
                <w:rFonts w:ascii="Arial" w:cs="Arial" w:eastAsia="Arial" w:hAnsi="Arial"/>
                <w:sz w:val="20"/>
                <w:szCs w:val="20"/>
                <w:color w:val="auto"/>
              </w:rPr>
              <w:t>Consolidated Balance Sheets</w:t>
            </w:r>
          </w:p>
        </w:tc>
        <w:tc>
          <w:tcPr>
            <w:tcW w:w="2280" w:type="dxa"/>
            <w:vAlign w:val="bottom"/>
          </w:tcPr>
          <w:p>
            <w:pPr>
              <w:jc w:val="right"/>
              <w:spacing w:after="0"/>
              <w:rPr>
                <w:sz w:val="20"/>
                <w:szCs w:val="20"/>
                <w:color w:val="auto"/>
              </w:rPr>
            </w:pPr>
            <w:r>
              <w:rPr>
                <w:rFonts w:ascii="Arial" w:cs="Arial" w:eastAsia="Arial" w:hAnsi="Arial"/>
                <w:sz w:val="20"/>
                <w:szCs w:val="20"/>
                <w:color w:val="auto"/>
              </w:rPr>
              <w:t>2 - 3</w:t>
            </w:r>
          </w:p>
        </w:tc>
      </w:tr>
      <w:tr>
        <w:trPr>
          <w:trHeight w:val="554"/>
        </w:trPr>
        <w:tc>
          <w:tcPr>
            <w:tcW w:w="7520" w:type="dxa"/>
            <w:vAlign w:val="bottom"/>
          </w:tcPr>
          <w:p>
            <w:pPr>
              <w:spacing w:after="0"/>
              <w:rPr>
                <w:sz w:val="20"/>
                <w:szCs w:val="20"/>
                <w:color w:val="auto"/>
              </w:rPr>
            </w:pPr>
            <w:r>
              <w:rPr>
                <w:rFonts w:ascii="Arial" w:cs="Arial" w:eastAsia="Arial" w:hAnsi="Arial"/>
                <w:sz w:val="20"/>
                <w:szCs w:val="20"/>
                <w:color w:val="auto"/>
              </w:rPr>
              <w:t>Consolidated Statements of Operations</w:t>
            </w:r>
          </w:p>
        </w:tc>
        <w:tc>
          <w:tcPr>
            <w:tcW w:w="2280" w:type="dxa"/>
            <w:vAlign w:val="bottom"/>
          </w:tcPr>
          <w:p>
            <w:pPr>
              <w:jc w:val="right"/>
              <w:spacing w:after="0"/>
              <w:rPr>
                <w:sz w:val="20"/>
                <w:szCs w:val="20"/>
                <w:color w:val="auto"/>
              </w:rPr>
            </w:pPr>
            <w:r>
              <w:rPr>
                <w:rFonts w:ascii="Arial" w:cs="Arial" w:eastAsia="Arial" w:hAnsi="Arial"/>
                <w:sz w:val="20"/>
                <w:szCs w:val="20"/>
                <w:color w:val="auto"/>
              </w:rPr>
              <w:t>4</w:t>
            </w:r>
          </w:p>
        </w:tc>
      </w:tr>
      <w:tr>
        <w:trPr>
          <w:trHeight w:val="554"/>
        </w:trPr>
        <w:tc>
          <w:tcPr>
            <w:tcW w:w="7520" w:type="dxa"/>
            <w:vAlign w:val="bottom"/>
          </w:tcPr>
          <w:p>
            <w:pPr>
              <w:spacing w:after="0"/>
              <w:rPr>
                <w:sz w:val="20"/>
                <w:szCs w:val="20"/>
                <w:color w:val="auto"/>
              </w:rPr>
            </w:pPr>
            <w:r>
              <w:rPr>
                <w:rFonts w:ascii="Arial" w:cs="Arial" w:eastAsia="Arial" w:hAnsi="Arial"/>
                <w:sz w:val="20"/>
                <w:szCs w:val="20"/>
                <w:color w:val="auto"/>
              </w:rPr>
              <w:t>Consolidated Statements of Comprehensive Income (loss)</w:t>
            </w:r>
          </w:p>
        </w:tc>
        <w:tc>
          <w:tcPr>
            <w:tcW w:w="228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533"/>
        </w:trPr>
        <w:tc>
          <w:tcPr>
            <w:tcW w:w="7520" w:type="dxa"/>
            <w:vAlign w:val="bottom"/>
          </w:tcPr>
          <w:p>
            <w:pPr>
              <w:spacing w:after="0"/>
              <w:rPr>
                <w:sz w:val="20"/>
                <w:szCs w:val="20"/>
                <w:color w:val="auto"/>
              </w:rPr>
            </w:pPr>
            <w:r>
              <w:rPr>
                <w:rFonts w:ascii="Arial" w:cs="Arial" w:eastAsia="Arial" w:hAnsi="Arial"/>
                <w:sz w:val="20"/>
                <w:szCs w:val="20"/>
                <w:color w:val="auto"/>
              </w:rPr>
              <w:t>Consolidated Statements of Stockholders’ Equity,</w:t>
            </w:r>
          </w:p>
        </w:tc>
        <w:tc>
          <w:tcPr>
            <w:tcW w:w="2280" w:type="dxa"/>
            <w:vAlign w:val="bottom"/>
          </w:tcPr>
          <w:p>
            <w:pPr>
              <w:spacing w:after="0"/>
              <w:rPr>
                <w:sz w:val="24"/>
                <w:szCs w:val="24"/>
                <w:color w:val="auto"/>
              </w:rPr>
            </w:pPr>
          </w:p>
        </w:tc>
      </w:tr>
      <w:tr>
        <w:trPr>
          <w:trHeight w:val="250"/>
        </w:trPr>
        <w:tc>
          <w:tcPr>
            <w:tcW w:w="7520" w:type="dxa"/>
            <w:vAlign w:val="bottom"/>
          </w:tcPr>
          <w:p>
            <w:pPr>
              <w:ind w:left="160"/>
              <w:spacing w:after="0"/>
              <w:rPr>
                <w:sz w:val="20"/>
                <w:szCs w:val="20"/>
                <w:color w:val="auto"/>
              </w:rPr>
            </w:pPr>
            <w:r>
              <w:rPr>
                <w:rFonts w:ascii="Arial" w:cs="Arial" w:eastAsia="Arial" w:hAnsi="Arial"/>
                <w:sz w:val="20"/>
                <w:szCs w:val="20"/>
                <w:color w:val="auto"/>
              </w:rPr>
              <w:t>Redeemable Noncontrolling Interest and Redeemable Preferred Stock</w:t>
            </w:r>
          </w:p>
        </w:tc>
        <w:tc>
          <w:tcPr>
            <w:tcW w:w="228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554"/>
        </w:trPr>
        <w:tc>
          <w:tcPr>
            <w:tcW w:w="7520" w:type="dxa"/>
            <w:vAlign w:val="bottom"/>
          </w:tcPr>
          <w:p>
            <w:pPr>
              <w:spacing w:after="0"/>
              <w:rPr>
                <w:sz w:val="20"/>
                <w:szCs w:val="20"/>
                <w:color w:val="auto"/>
              </w:rPr>
            </w:pPr>
            <w:r>
              <w:rPr>
                <w:rFonts w:ascii="Arial" w:cs="Arial" w:eastAsia="Arial" w:hAnsi="Arial"/>
                <w:sz w:val="20"/>
                <w:szCs w:val="20"/>
                <w:color w:val="auto"/>
              </w:rPr>
              <w:t>Consolidated Statements of Cash Flows</w:t>
            </w:r>
          </w:p>
        </w:tc>
        <w:tc>
          <w:tcPr>
            <w:tcW w:w="228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554"/>
        </w:trPr>
        <w:tc>
          <w:tcPr>
            <w:tcW w:w="7520" w:type="dxa"/>
            <w:vAlign w:val="bottom"/>
          </w:tcPr>
          <w:p>
            <w:pPr>
              <w:spacing w:after="0"/>
              <w:rPr>
                <w:sz w:val="20"/>
                <w:szCs w:val="20"/>
                <w:color w:val="auto"/>
              </w:rPr>
            </w:pPr>
            <w:r>
              <w:rPr>
                <w:rFonts w:ascii="Arial" w:cs="Arial" w:eastAsia="Arial" w:hAnsi="Arial"/>
                <w:sz w:val="20"/>
                <w:szCs w:val="20"/>
                <w:color w:val="auto"/>
              </w:rPr>
              <w:t>Notes to Consolidated Financial Statements</w:t>
            </w:r>
          </w:p>
        </w:tc>
        <w:tc>
          <w:tcPr>
            <w:tcW w:w="2280" w:type="dxa"/>
            <w:vAlign w:val="bottom"/>
          </w:tcPr>
          <w:p>
            <w:pPr>
              <w:jc w:val="right"/>
              <w:spacing w:after="0"/>
              <w:rPr>
                <w:sz w:val="20"/>
                <w:szCs w:val="20"/>
                <w:color w:val="auto"/>
              </w:rPr>
            </w:pPr>
            <w:r>
              <w:rPr>
                <w:rFonts w:ascii="Arial" w:cs="Arial" w:eastAsia="Arial" w:hAnsi="Arial"/>
                <w:sz w:val="20"/>
                <w:szCs w:val="20"/>
                <w:color w:val="auto"/>
              </w:rPr>
              <w:t>8 - 43</w:t>
            </w:r>
          </w:p>
        </w:tc>
      </w:tr>
    </w:tbl>
    <w:p>
      <w:pPr>
        <w:sectPr>
          <w:pgSz w:w="11900" w:h="16838" w:orient="portrait"/>
          <w:cols w:equalWidth="0" w:num="1">
            <w:col w:w="9800"/>
          </w:cols>
          <w:pgMar w:left="1020" w:top="1008" w:right="107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3576320" cy="9347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3576320" cy="93472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3"/>
          <w:szCs w:val="23"/>
          <w:color w:val="auto"/>
        </w:rPr>
        <w:t>Report of Independent Auditors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 Trustee</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Elpida Memory, Inc.</w:t>
      </w:r>
    </w:p>
    <w:p>
      <w:pPr>
        <w:spacing w:after="0" w:line="30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We have audited the accompanying consolidated financial statements of Elpida Memory, Inc. and subsidiaries, which comprise the consolidated balance sheets as of February 28, 2013 and March 31, 2012, and the related consolidated statements of operations, comprehensive income, stockholder’s equity, redeemable noncontrolling interest and redeemable preferred stock, and cash flows for the eleven months ended February 28, 2013 and the year ended March 31, 2012, and the related notes to the consolidated financial statements.</w:t>
      </w:r>
    </w:p>
    <w:p>
      <w:pPr>
        <w:spacing w:after="0" w:line="1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Trustee’s Responsibility for the Financial Statements</w:t>
      </w:r>
    </w:p>
    <w:p>
      <w:pPr>
        <w:spacing w:after="0" w:line="8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Trustee is responsible for the preparation and fair presentation of these financial statements in conformity with U.S. generally accepted accounting principles; this includes the design, implementation, and maintenance of internal control relevant to the preparation and fair presentation of financial statements that are free of material misstatement, whether due to fraud or error.</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Auditor’s Responsibility</w:t>
      </w:r>
    </w:p>
    <w:p>
      <w:pPr>
        <w:spacing w:after="0" w:line="8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Our responsibility is to express an opinion on these financial statements based on our audits. We conducted our audits in accordance with auditing standards generally accepted in the United States. Those standards require that we plan and perform the audit to obtain reasonable assurance about whether the financial statements are free of material misstatement.</w:t>
      </w:r>
    </w:p>
    <w:p>
      <w:pPr>
        <w:spacing w:after="0" w:line="51"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An audit involves performing procedures to obtain audit evidence about the amounts and disclosures in the financial statements. The procedures selected depend on the auditor’s judgment, including the assessment of the risks of material misstatement of the financial statements, whether due to fraud or error. In making those risk assessments, the auditor considers internal control relevant to the entity’s preparation and fair presentation of the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significant accounting estimates made by trustee, as well as evaluating the overall presentation of the financial statements.</w:t>
      </w:r>
    </w:p>
    <w:p>
      <w:pPr>
        <w:spacing w:after="0" w:line="44" w:lineRule="exact"/>
        <w:rPr>
          <w:sz w:val="20"/>
          <w:szCs w:val="20"/>
          <w:color w:val="auto"/>
        </w:rPr>
      </w:pPr>
    </w:p>
    <w:p>
      <w:pPr>
        <w:ind w:right="1820"/>
        <w:spacing w:after="0" w:line="366" w:lineRule="auto"/>
        <w:rPr>
          <w:sz w:val="20"/>
          <w:szCs w:val="20"/>
          <w:color w:val="auto"/>
        </w:rPr>
      </w:pPr>
      <w:r>
        <w:rPr>
          <w:rFonts w:ascii="Arial" w:cs="Arial" w:eastAsia="Arial" w:hAnsi="Arial"/>
          <w:sz w:val="20"/>
          <w:szCs w:val="20"/>
          <w:color w:val="auto"/>
        </w:rPr>
        <w:t xml:space="preserve">We believe that the audit evidence we have obtained is sufficient and appropriate to provide a basis for our audit opinion. </w:t>
      </w:r>
      <w:r>
        <w:rPr>
          <w:rFonts w:ascii="Arial" w:cs="Arial" w:eastAsia="Arial" w:hAnsi="Arial"/>
          <w:sz w:val="20"/>
          <w:szCs w:val="20"/>
          <w:b w:val="1"/>
          <w:bCs w:val="1"/>
          <w:color w:val="auto"/>
        </w:rPr>
        <w:t>Opinion</w:t>
      </w:r>
    </w:p>
    <w:p>
      <w:pPr>
        <w:spacing w:after="0" w:line="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In our opinion, the financial statements referred to above present fairly, in all material respects, the consolidated financial position of Elpida Memory, Inc. and subsidiaries at February 28, 2013 and March 31, 2012, and the consolidated results of their operations and their cash flows for the eleven months ended February 28, 2013 and the year ended March 31, 2012, in conformity with U.S. generally accepted accounting principles.</w:t>
      </w:r>
    </w:p>
    <w:p>
      <w:pPr>
        <w:spacing w:after="0" w:line="327" w:lineRule="exact"/>
        <w:rPr>
          <w:sz w:val="20"/>
          <w:szCs w:val="20"/>
          <w:color w:val="auto"/>
        </w:rPr>
      </w:pPr>
    </w:p>
    <w:p>
      <w:pPr>
        <w:ind w:left="5840"/>
        <w:spacing w:after="0"/>
        <w:rPr>
          <w:sz w:val="20"/>
          <w:szCs w:val="20"/>
          <w:color w:val="auto"/>
        </w:rPr>
      </w:pPr>
      <w:r>
        <w:rPr>
          <w:rFonts w:ascii="Arial" w:cs="Arial" w:eastAsia="Arial" w:hAnsi="Arial"/>
          <w:sz w:val="20"/>
          <w:szCs w:val="20"/>
          <w:color w:val="auto"/>
        </w:rPr>
        <w:t>/s/Ernst &amp; Young ShinNihon LLC</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color w:val="auto"/>
        </w:rPr>
        <w:t>August 29, 2013</w:t>
      </w: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440" w:right="239" w:bottom="1440" w:gutter="0" w:footer="0" w:header="0"/>
        </w:sectPr>
      </w:pPr>
    </w:p>
    <w:bookmarkStart w:id="8" w:name="page9"/>
    <w:bookmarkEnd w:id="8"/>
    <w:p>
      <w:pPr>
        <w:jc w:val="center"/>
        <w:ind w:right="680"/>
        <w:spacing w:after="0"/>
        <w:rPr>
          <w:sz w:val="20"/>
          <w:szCs w:val="20"/>
          <w:color w:val="auto"/>
        </w:rPr>
      </w:pPr>
      <w:r>
        <w:rPr>
          <w:rFonts w:ascii="Arial" w:cs="Arial" w:eastAsia="Arial" w:hAnsi="Arial"/>
          <w:sz w:val="20"/>
          <w:szCs w:val="20"/>
          <w:b w:val="1"/>
          <w:bCs w:val="1"/>
          <w:color w:val="auto"/>
        </w:rPr>
        <w:t>ELPIDA MEMORY, INC. AND SUBSIDIARIES</w:t>
      </w:r>
    </w:p>
    <w:p>
      <w:pPr>
        <w:spacing w:after="0" w:line="54" w:lineRule="exact"/>
        <w:rPr>
          <w:sz w:val="20"/>
          <w:szCs w:val="20"/>
          <w:color w:val="auto"/>
        </w:rPr>
      </w:pPr>
    </w:p>
    <w:p>
      <w:pPr>
        <w:jc w:val="center"/>
        <w:ind w:right="680"/>
        <w:spacing w:after="0"/>
        <w:rPr>
          <w:sz w:val="20"/>
          <w:szCs w:val="20"/>
          <w:color w:val="auto"/>
        </w:rPr>
      </w:pPr>
      <w:r>
        <w:rPr>
          <w:rFonts w:ascii="Arial" w:cs="Arial" w:eastAsia="Arial" w:hAnsi="Arial"/>
          <w:sz w:val="20"/>
          <w:szCs w:val="20"/>
          <w:b w:val="1"/>
          <w:bCs w:val="1"/>
          <w:color w:val="auto"/>
        </w:rPr>
        <w:t>(DEBTORS-IN-POSSESSION)</w:t>
      </w:r>
    </w:p>
    <w:p>
      <w:pPr>
        <w:spacing w:after="0" w:line="54" w:lineRule="exact"/>
        <w:rPr>
          <w:sz w:val="20"/>
          <w:szCs w:val="20"/>
          <w:color w:val="auto"/>
        </w:rPr>
      </w:pPr>
    </w:p>
    <w:p>
      <w:pPr>
        <w:jc w:val="center"/>
        <w:ind w:right="680"/>
        <w:spacing w:after="0"/>
        <w:rPr>
          <w:sz w:val="20"/>
          <w:szCs w:val="20"/>
          <w:color w:val="auto"/>
        </w:rPr>
      </w:pPr>
      <w:r>
        <w:rPr>
          <w:rFonts w:ascii="Arial" w:cs="Arial" w:eastAsia="Arial" w:hAnsi="Arial"/>
          <w:sz w:val="20"/>
          <w:szCs w:val="20"/>
          <w:b w:val="1"/>
          <w:bCs w:val="1"/>
          <w:color w:val="auto"/>
        </w:rPr>
        <w:t>CONSOLIDATED BALANCE SHEETS</w:t>
      </w:r>
    </w:p>
    <w:p>
      <w:pPr>
        <w:spacing w:after="0" w:line="54" w:lineRule="exact"/>
        <w:rPr>
          <w:sz w:val="20"/>
          <w:szCs w:val="20"/>
          <w:color w:val="auto"/>
        </w:rPr>
      </w:pPr>
    </w:p>
    <w:p>
      <w:pPr>
        <w:jc w:val="center"/>
        <w:ind w:right="680"/>
        <w:spacing w:after="0"/>
        <w:rPr>
          <w:sz w:val="20"/>
          <w:szCs w:val="20"/>
          <w:color w:val="auto"/>
        </w:rPr>
      </w:pPr>
      <w:r>
        <w:rPr>
          <w:rFonts w:ascii="Arial" w:cs="Arial" w:eastAsia="Arial" w:hAnsi="Arial"/>
          <w:sz w:val="20"/>
          <w:szCs w:val="20"/>
          <w:b w:val="1"/>
          <w:bCs w:val="1"/>
          <w:color w:val="auto"/>
        </w:rPr>
        <w:t>Eleven months ended February 28, 2013 and Year ended March 31, 2012</w:t>
      </w:r>
    </w:p>
    <w:p>
      <w:pPr>
        <w:spacing w:after="0" w:line="54" w:lineRule="exact"/>
        <w:rPr>
          <w:sz w:val="20"/>
          <w:szCs w:val="20"/>
          <w:color w:val="auto"/>
        </w:rPr>
      </w:pPr>
    </w:p>
    <w:p>
      <w:pPr>
        <w:jc w:val="center"/>
        <w:ind w:right="680"/>
        <w:spacing w:after="0"/>
        <w:rPr>
          <w:sz w:val="20"/>
          <w:szCs w:val="20"/>
          <w:color w:val="auto"/>
        </w:rPr>
      </w:pPr>
      <w:r>
        <w:rPr>
          <w:rFonts w:ascii="Arial" w:cs="Arial" w:eastAsia="Arial" w:hAnsi="Arial"/>
          <w:sz w:val="20"/>
          <w:szCs w:val="20"/>
          <w:b w:val="1"/>
          <w:bCs w:val="1"/>
          <w:color w:val="auto"/>
        </w:rPr>
        <w:t>(Yen in millions, except share data)</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gridSpan w:val="3"/>
          </w:tcPr>
          <w:p>
            <w:pPr>
              <w:jc w:val="right"/>
              <w:ind w:right="640"/>
              <w:spacing w:after="0"/>
              <w:rPr>
                <w:sz w:val="20"/>
                <w:szCs w:val="20"/>
                <w:color w:val="auto"/>
              </w:rPr>
            </w:pPr>
            <w:r>
              <w:rPr>
                <w:rFonts w:ascii="Arial" w:cs="Arial" w:eastAsia="Arial" w:hAnsi="Arial"/>
                <w:sz w:val="20"/>
                <w:szCs w:val="20"/>
                <w:b w:val="1"/>
                <w:bCs w:val="1"/>
                <w:color w:val="auto"/>
                <w:w w:val="95"/>
              </w:rPr>
              <w:t>February 28,</w:t>
            </w:r>
          </w:p>
        </w:tc>
        <w:tc>
          <w:tcPr>
            <w:tcW w:w="1360" w:type="dxa"/>
            <w:vAlign w:val="bottom"/>
          </w:tcPr>
          <w:p>
            <w:pPr>
              <w:jc w:val="right"/>
              <w:ind w:right="281"/>
              <w:spacing w:after="0"/>
              <w:rPr>
                <w:sz w:val="20"/>
                <w:szCs w:val="20"/>
                <w:color w:val="auto"/>
              </w:rPr>
            </w:pPr>
            <w:r>
              <w:rPr>
                <w:rFonts w:ascii="Arial" w:cs="Arial" w:eastAsia="Arial" w:hAnsi="Arial"/>
                <w:sz w:val="20"/>
                <w:szCs w:val="20"/>
                <w:b w:val="1"/>
                <w:bCs w:val="1"/>
                <w:color w:val="auto"/>
              </w:rPr>
              <w:t>March 31,</w:t>
            </w:r>
          </w:p>
        </w:tc>
        <w:tc>
          <w:tcPr>
            <w:tcW w:w="0" w:type="dxa"/>
            <w:vAlign w:val="bottom"/>
          </w:tcPr>
          <w:p>
            <w:pPr>
              <w:spacing w:after="0"/>
              <w:rPr>
                <w:sz w:val="1"/>
                <w:szCs w:val="1"/>
                <w:color w:val="auto"/>
              </w:rPr>
            </w:pPr>
          </w:p>
        </w:tc>
      </w:tr>
      <w:tr>
        <w:trPr>
          <w:trHeight w:val="256"/>
        </w:trPr>
        <w:tc>
          <w:tcPr>
            <w:tcW w:w="60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tcPr>
          <w:p>
            <w:pPr>
              <w:jc w:val="right"/>
              <w:ind w:right="521"/>
              <w:spacing w:after="0"/>
              <w:rPr>
                <w:sz w:val="20"/>
                <w:szCs w:val="20"/>
                <w:color w:val="auto"/>
              </w:rPr>
            </w:pPr>
            <w:r>
              <w:rPr>
                <w:rFonts w:ascii="Arial" w:cs="Arial" w:eastAsia="Arial" w:hAnsi="Arial"/>
                <w:sz w:val="20"/>
                <w:szCs w:val="20"/>
                <w:b w:val="1"/>
                <w:bCs w:val="1"/>
                <w:color w:val="auto"/>
              </w:rPr>
              <w:t>2013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60" w:type="dxa"/>
            <w:vAlign w:val="bottom"/>
          </w:tcPr>
          <w:p>
            <w:pPr>
              <w:jc w:val="right"/>
              <w:ind w:right="501"/>
              <w:spacing w:after="0"/>
              <w:rPr>
                <w:sz w:val="20"/>
                <w:szCs w:val="20"/>
                <w:color w:val="auto"/>
              </w:rPr>
            </w:pPr>
            <w:r>
              <w:rPr>
                <w:rFonts w:ascii="Arial" w:cs="Arial" w:eastAsia="Arial" w:hAnsi="Arial"/>
                <w:sz w:val="20"/>
                <w:szCs w:val="20"/>
                <w:b w:val="1"/>
                <w:bCs w:val="1"/>
                <w:color w:val="auto"/>
              </w:rPr>
              <w:t>2012</w:t>
            </w:r>
          </w:p>
        </w:tc>
        <w:tc>
          <w:tcPr>
            <w:tcW w:w="0" w:type="dxa"/>
            <w:vAlign w:val="bottom"/>
          </w:tcPr>
          <w:p>
            <w:pPr>
              <w:spacing w:after="0"/>
              <w:rPr>
                <w:sz w:val="1"/>
                <w:szCs w:val="1"/>
                <w:color w:val="auto"/>
              </w:rPr>
            </w:pPr>
          </w:p>
        </w:tc>
      </w:tr>
      <w:tr>
        <w:trPr>
          <w:trHeight w:val="23"/>
        </w:trPr>
        <w:tc>
          <w:tcPr>
            <w:tcW w:w="6060" w:type="dxa"/>
            <w:vAlign w:val="bottom"/>
            <w:vMerge w:val="restart"/>
          </w:tcPr>
          <w:p>
            <w:pPr>
              <w:ind w:left="2700"/>
              <w:spacing w:after="0"/>
              <w:rPr>
                <w:sz w:val="20"/>
                <w:szCs w:val="20"/>
                <w:color w:val="auto"/>
              </w:rPr>
            </w:pPr>
            <w:r>
              <w:rPr>
                <w:rFonts w:ascii="Arial" w:cs="Arial" w:eastAsia="Arial" w:hAnsi="Arial"/>
                <w:sz w:val="20"/>
                <w:szCs w:val="20"/>
                <w:b w:val="1"/>
                <w:bCs w:val="1"/>
                <w:color w:val="auto"/>
              </w:rPr>
              <w:t>Assets</w:t>
            </w: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60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6060" w:type="dxa"/>
            <w:vAlign w:val="bottom"/>
          </w:tcPr>
          <w:p>
            <w:pPr>
              <w:spacing w:after="0"/>
              <w:rPr>
                <w:sz w:val="20"/>
                <w:szCs w:val="20"/>
                <w:color w:val="auto"/>
              </w:rPr>
            </w:pPr>
            <w:r>
              <w:rPr>
                <w:rFonts w:ascii="Arial" w:cs="Arial" w:eastAsia="Arial" w:hAnsi="Arial"/>
                <w:sz w:val="20"/>
                <w:szCs w:val="20"/>
                <w:color w:val="auto"/>
              </w:rPr>
              <w:t>Current assets:</w:t>
            </w: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060" w:type="dxa"/>
            <w:vAlign w:val="bottom"/>
          </w:tcPr>
          <w:p>
            <w:pPr>
              <w:ind w:left="240"/>
              <w:spacing w:after="0"/>
              <w:rPr>
                <w:sz w:val="20"/>
                <w:szCs w:val="20"/>
                <w:color w:val="auto"/>
              </w:rPr>
            </w:pPr>
            <w:r>
              <w:rPr>
                <w:rFonts w:ascii="Arial" w:cs="Arial" w:eastAsia="Arial" w:hAnsi="Arial"/>
                <w:sz w:val="20"/>
                <w:szCs w:val="20"/>
                <w:color w:val="auto"/>
              </w:rPr>
              <w:t>Cash and cash equivalents</w:t>
            </w:r>
          </w:p>
        </w:tc>
        <w:tc>
          <w:tcPr>
            <w:tcW w:w="20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800" w:type="dxa"/>
            <w:vAlign w:val="bottom"/>
            <w:gridSpan w:val="3"/>
          </w:tcPr>
          <w:p>
            <w:pPr>
              <w:jc w:val="right"/>
              <w:ind w:right="140"/>
              <w:spacing w:after="0"/>
              <w:rPr>
                <w:sz w:val="20"/>
                <w:szCs w:val="20"/>
                <w:color w:val="auto"/>
              </w:rPr>
            </w:pPr>
            <w:r>
              <w:rPr>
                <w:rFonts w:ascii="Arial" w:cs="Arial" w:eastAsia="Arial" w:hAnsi="Arial"/>
                <w:sz w:val="20"/>
                <w:szCs w:val="20"/>
                <w:color w:val="auto"/>
              </w:rPr>
              <w:t>45,422   ¥</w:t>
            </w:r>
          </w:p>
        </w:tc>
        <w:tc>
          <w:tcPr>
            <w:tcW w:w="1360" w:type="dxa"/>
            <w:vAlign w:val="bottom"/>
          </w:tcPr>
          <w:p>
            <w:pPr>
              <w:jc w:val="right"/>
              <w:spacing w:after="0"/>
              <w:rPr>
                <w:sz w:val="20"/>
                <w:szCs w:val="20"/>
                <w:color w:val="auto"/>
              </w:rPr>
            </w:pPr>
            <w:r>
              <w:rPr>
                <w:rFonts w:ascii="Arial" w:cs="Arial" w:eastAsia="Arial" w:hAnsi="Arial"/>
                <w:sz w:val="20"/>
                <w:szCs w:val="20"/>
                <w:color w:val="auto"/>
              </w:rPr>
              <w:t>51,428</w:t>
            </w:r>
          </w:p>
        </w:tc>
        <w:tc>
          <w:tcPr>
            <w:tcW w:w="0" w:type="dxa"/>
            <w:vAlign w:val="bottom"/>
          </w:tcPr>
          <w:p>
            <w:pPr>
              <w:spacing w:after="0"/>
              <w:rPr>
                <w:sz w:val="1"/>
                <w:szCs w:val="1"/>
                <w:color w:val="auto"/>
              </w:rPr>
            </w:pPr>
          </w:p>
        </w:tc>
      </w:tr>
      <w:tr>
        <w:trPr>
          <w:trHeight w:val="263"/>
        </w:trPr>
        <w:tc>
          <w:tcPr>
            <w:tcW w:w="6060" w:type="dxa"/>
            <w:vAlign w:val="bottom"/>
          </w:tcPr>
          <w:p>
            <w:pPr>
              <w:ind w:left="240"/>
              <w:spacing w:after="0"/>
              <w:rPr>
                <w:sz w:val="20"/>
                <w:szCs w:val="20"/>
                <w:color w:val="auto"/>
              </w:rPr>
            </w:pPr>
            <w:r>
              <w:rPr>
                <w:rFonts w:ascii="Arial" w:cs="Arial" w:eastAsia="Arial" w:hAnsi="Arial"/>
                <w:sz w:val="20"/>
                <w:szCs w:val="20"/>
                <w:color w:val="auto"/>
                <w:w w:val="94"/>
              </w:rPr>
              <w:t>Accounts receivable, trade (less allowance for doubtful accounts of nil</w:t>
            </w:r>
          </w:p>
        </w:tc>
        <w:tc>
          <w:tcPr>
            <w:tcW w:w="2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060" w:type="dxa"/>
            <w:vAlign w:val="bottom"/>
          </w:tcPr>
          <w:p>
            <w:pPr>
              <w:ind w:left="400"/>
              <w:spacing w:after="0"/>
              <w:rPr>
                <w:sz w:val="20"/>
                <w:szCs w:val="20"/>
                <w:color w:val="auto"/>
              </w:rPr>
            </w:pPr>
            <w:r>
              <w:rPr>
                <w:rFonts w:ascii="Arial" w:cs="Arial" w:eastAsia="Arial" w:hAnsi="Arial"/>
                <w:sz w:val="20"/>
                <w:szCs w:val="20"/>
                <w:color w:val="auto"/>
                <w:w w:val="94"/>
              </w:rPr>
              <w:t>and ¥1,875 at February 28, 2013 and March 31, 2012, respectively)</w:t>
            </w: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42,151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28,794</w:t>
            </w:r>
          </w:p>
        </w:tc>
        <w:tc>
          <w:tcPr>
            <w:tcW w:w="0" w:type="dxa"/>
            <w:vAlign w:val="bottom"/>
          </w:tcPr>
          <w:p>
            <w:pPr>
              <w:spacing w:after="0"/>
              <w:rPr>
                <w:sz w:val="1"/>
                <w:szCs w:val="1"/>
                <w:color w:val="auto"/>
              </w:rPr>
            </w:pPr>
          </w:p>
        </w:tc>
      </w:tr>
      <w:tr>
        <w:trPr>
          <w:trHeight w:val="284"/>
        </w:trPr>
        <w:tc>
          <w:tcPr>
            <w:tcW w:w="6060" w:type="dxa"/>
            <w:vAlign w:val="bottom"/>
          </w:tcPr>
          <w:p>
            <w:pPr>
              <w:ind w:left="240"/>
              <w:spacing w:after="0"/>
              <w:rPr>
                <w:sz w:val="20"/>
                <w:szCs w:val="20"/>
                <w:color w:val="auto"/>
              </w:rPr>
            </w:pPr>
            <w:r>
              <w:rPr>
                <w:rFonts w:ascii="Arial" w:cs="Arial" w:eastAsia="Arial" w:hAnsi="Arial"/>
                <w:sz w:val="20"/>
                <w:szCs w:val="20"/>
                <w:color w:val="auto"/>
              </w:rPr>
              <w:t>Accounts receivable, other</w:t>
            </w:r>
          </w:p>
        </w:tc>
        <w:tc>
          <w:tcPr>
            <w:tcW w:w="2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16,402</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11,499</w:t>
            </w:r>
          </w:p>
        </w:tc>
        <w:tc>
          <w:tcPr>
            <w:tcW w:w="0" w:type="dxa"/>
            <w:vAlign w:val="bottom"/>
          </w:tcPr>
          <w:p>
            <w:pPr>
              <w:spacing w:after="0"/>
              <w:rPr>
                <w:sz w:val="1"/>
                <w:szCs w:val="1"/>
                <w:color w:val="auto"/>
              </w:rPr>
            </w:pPr>
          </w:p>
        </w:tc>
      </w:tr>
      <w:tr>
        <w:trPr>
          <w:trHeight w:val="284"/>
        </w:trPr>
        <w:tc>
          <w:tcPr>
            <w:tcW w:w="6060" w:type="dxa"/>
            <w:vAlign w:val="bottom"/>
          </w:tcPr>
          <w:p>
            <w:pPr>
              <w:ind w:left="240"/>
              <w:spacing w:after="0"/>
              <w:rPr>
                <w:sz w:val="20"/>
                <w:szCs w:val="20"/>
                <w:color w:val="auto"/>
              </w:rPr>
            </w:pPr>
            <w:r>
              <w:rPr>
                <w:rFonts w:ascii="Arial" w:cs="Arial" w:eastAsia="Arial" w:hAnsi="Arial"/>
                <w:sz w:val="20"/>
                <w:szCs w:val="20"/>
                <w:color w:val="auto"/>
              </w:rPr>
              <w:t>Inventories</w:t>
            </w:r>
          </w:p>
        </w:tc>
        <w:tc>
          <w:tcPr>
            <w:tcW w:w="2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66,487</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81,053</w:t>
            </w:r>
          </w:p>
        </w:tc>
        <w:tc>
          <w:tcPr>
            <w:tcW w:w="0" w:type="dxa"/>
            <w:vAlign w:val="bottom"/>
          </w:tcPr>
          <w:p>
            <w:pPr>
              <w:spacing w:after="0"/>
              <w:rPr>
                <w:sz w:val="1"/>
                <w:szCs w:val="1"/>
                <w:color w:val="auto"/>
              </w:rPr>
            </w:pPr>
          </w:p>
        </w:tc>
      </w:tr>
      <w:tr>
        <w:trPr>
          <w:trHeight w:val="284"/>
        </w:trPr>
        <w:tc>
          <w:tcPr>
            <w:tcW w:w="6060" w:type="dxa"/>
            <w:vAlign w:val="bottom"/>
          </w:tcPr>
          <w:p>
            <w:pPr>
              <w:ind w:left="240"/>
              <w:spacing w:after="0"/>
              <w:rPr>
                <w:sz w:val="20"/>
                <w:szCs w:val="20"/>
                <w:color w:val="auto"/>
              </w:rPr>
            </w:pPr>
            <w:r>
              <w:rPr>
                <w:rFonts w:ascii="Arial" w:cs="Arial" w:eastAsia="Arial" w:hAnsi="Arial"/>
                <w:sz w:val="20"/>
                <w:szCs w:val="20"/>
                <w:color w:val="auto"/>
              </w:rPr>
              <w:t>Prepaid expense and other current assets</w:t>
            </w:r>
          </w:p>
        </w:tc>
        <w:tc>
          <w:tcPr>
            <w:tcW w:w="2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4,447</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5,301</w:t>
            </w:r>
          </w:p>
        </w:tc>
        <w:tc>
          <w:tcPr>
            <w:tcW w:w="0" w:type="dxa"/>
            <w:vAlign w:val="bottom"/>
          </w:tcPr>
          <w:p>
            <w:pPr>
              <w:spacing w:after="0"/>
              <w:rPr>
                <w:sz w:val="1"/>
                <w:szCs w:val="1"/>
                <w:color w:val="auto"/>
              </w:rPr>
            </w:pPr>
          </w:p>
        </w:tc>
      </w:tr>
      <w:tr>
        <w:trPr>
          <w:trHeight w:val="23"/>
        </w:trPr>
        <w:tc>
          <w:tcPr>
            <w:tcW w:w="60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6060" w:type="dxa"/>
            <w:vAlign w:val="bottom"/>
          </w:tcPr>
          <w:p>
            <w:pPr>
              <w:ind w:left="680"/>
              <w:spacing w:after="0"/>
              <w:rPr>
                <w:sz w:val="20"/>
                <w:szCs w:val="20"/>
                <w:color w:val="auto"/>
              </w:rPr>
            </w:pPr>
            <w:r>
              <w:rPr>
                <w:rFonts w:ascii="Arial" w:cs="Arial" w:eastAsia="Arial" w:hAnsi="Arial"/>
                <w:sz w:val="20"/>
                <w:szCs w:val="20"/>
                <w:color w:val="auto"/>
              </w:rPr>
              <w:t>Total current assets</w:t>
            </w:r>
          </w:p>
        </w:tc>
        <w:tc>
          <w:tcPr>
            <w:tcW w:w="20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174,909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178,075</w:t>
            </w:r>
          </w:p>
        </w:tc>
        <w:tc>
          <w:tcPr>
            <w:tcW w:w="0" w:type="dxa"/>
            <w:vAlign w:val="bottom"/>
          </w:tcPr>
          <w:p>
            <w:pPr>
              <w:spacing w:after="0"/>
              <w:rPr>
                <w:sz w:val="1"/>
                <w:szCs w:val="1"/>
                <w:color w:val="auto"/>
              </w:rPr>
            </w:pPr>
          </w:p>
        </w:tc>
      </w:tr>
      <w:tr>
        <w:trPr>
          <w:trHeight w:val="284"/>
        </w:trPr>
        <w:tc>
          <w:tcPr>
            <w:tcW w:w="6060" w:type="dxa"/>
            <w:vAlign w:val="bottom"/>
          </w:tcPr>
          <w:p>
            <w:pPr>
              <w:spacing w:after="0"/>
              <w:rPr>
                <w:sz w:val="20"/>
                <w:szCs w:val="20"/>
                <w:color w:val="auto"/>
              </w:rPr>
            </w:pPr>
            <w:r>
              <w:rPr>
                <w:rFonts w:ascii="Arial" w:cs="Arial" w:eastAsia="Arial" w:hAnsi="Arial"/>
                <w:sz w:val="20"/>
                <w:szCs w:val="20"/>
                <w:color w:val="auto"/>
              </w:rPr>
              <w:t>Property, plant, and equipment:</w:t>
            </w: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060" w:type="dxa"/>
            <w:vAlign w:val="bottom"/>
          </w:tcPr>
          <w:p>
            <w:pPr>
              <w:ind w:left="240"/>
              <w:spacing w:after="0"/>
              <w:rPr>
                <w:sz w:val="20"/>
                <w:szCs w:val="20"/>
                <w:color w:val="auto"/>
              </w:rPr>
            </w:pPr>
            <w:r>
              <w:rPr>
                <w:rFonts w:ascii="Arial" w:cs="Arial" w:eastAsia="Arial" w:hAnsi="Arial"/>
                <w:sz w:val="20"/>
                <w:szCs w:val="20"/>
                <w:color w:val="auto"/>
              </w:rPr>
              <w:t>Land</w:t>
            </w:r>
          </w:p>
        </w:tc>
        <w:tc>
          <w:tcPr>
            <w:tcW w:w="2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504</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504</w:t>
            </w:r>
          </w:p>
        </w:tc>
        <w:tc>
          <w:tcPr>
            <w:tcW w:w="0" w:type="dxa"/>
            <w:vAlign w:val="bottom"/>
          </w:tcPr>
          <w:p>
            <w:pPr>
              <w:spacing w:after="0"/>
              <w:rPr>
                <w:sz w:val="1"/>
                <w:szCs w:val="1"/>
                <w:color w:val="auto"/>
              </w:rPr>
            </w:pPr>
          </w:p>
        </w:tc>
      </w:tr>
      <w:tr>
        <w:trPr>
          <w:trHeight w:val="284"/>
        </w:trPr>
        <w:tc>
          <w:tcPr>
            <w:tcW w:w="6060" w:type="dxa"/>
            <w:vAlign w:val="bottom"/>
          </w:tcPr>
          <w:p>
            <w:pPr>
              <w:ind w:left="240"/>
              <w:spacing w:after="0"/>
              <w:rPr>
                <w:sz w:val="20"/>
                <w:szCs w:val="20"/>
                <w:color w:val="auto"/>
              </w:rPr>
            </w:pPr>
            <w:r>
              <w:rPr>
                <w:rFonts w:ascii="Arial" w:cs="Arial" w:eastAsia="Arial" w:hAnsi="Arial"/>
                <w:sz w:val="20"/>
                <w:szCs w:val="20"/>
                <w:color w:val="auto"/>
              </w:rPr>
              <w:t>Buildings and structures</w:t>
            </w:r>
          </w:p>
        </w:tc>
        <w:tc>
          <w:tcPr>
            <w:tcW w:w="2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40,297</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36,615</w:t>
            </w:r>
          </w:p>
        </w:tc>
        <w:tc>
          <w:tcPr>
            <w:tcW w:w="0" w:type="dxa"/>
            <w:vAlign w:val="bottom"/>
          </w:tcPr>
          <w:p>
            <w:pPr>
              <w:spacing w:after="0"/>
              <w:rPr>
                <w:sz w:val="1"/>
                <w:szCs w:val="1"/>
                <w:color w:val="auto"/>
              </w:rPr>
            </w:pPr>
          </w:p>
        </w:tc>
      </w:tr>
      <w:tr>
        <w:trPr>
          <w:trHeight w:val="284"/>
        </w:trPr>
        <w:tc>
          <w:tcPr>
            <w:tcW w:w="6060" w:type="dxa"/>
            <w:vAlign w:val="bottom"/>
          </w:tcPr>
          <w:p>
            <w:pPr>
              <w:ind w:left="240"/>
              <w:spacing w:after="0"/>
              <w:rPr>
                <w:sz w:val="20"/>
                <w:szCs w:val="20"/>
                <w:color w:val="auto"/>
              </w:rPr>
            </w:pPr>
            <w:r>
              <w:rPr>
                <w:rFonts w:ascii="Arial" w:cs="Arial" w:eastAsia="Arial" w:hAnsi="Arial"/>
                <w:sz w:val="20"/>
                <w:szCs w:val="20"/>
                <w:color w:val="auto"/>
              </w:rPr>
              <w:t>Machinery and equipment</w:t>
            </w:r>
          </w:p>
        </w:tc>
        <w:tc>
          <w:tcPr>
            <w:tcW w:w="2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521,284</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467,745</w:t>
            </w:r>
          </w:p>
        </w:tc>
        <w:tc>
          <w:tcPr>
            <w:tcW w:w="0" w:type="dxa"/>
            <w:vAlign w:val="bottom"/>
          </w:tcPr>
          <w:p>
            <w:pPr>
              <w:spacing w:after="0"/>
              <w:rPr>
                <w:sz w:val="1"/>
                <w:szCs w:val="1"/>
                <w:color w:val="auto"/>
              </w:rPr>
            </w:pPr>
          </w:p>
        </w:tc>
      </w:tr>
      <w:tr>
        <w:trPr>
          <w:trHeight w:val="284"/>
        </w:trPr>
        <w:tc>
          <w:tcPr>
            <w:tcW w:w="6060" w:type="dxa"/>
            <w:vAlign w:val="bottom"/>
          </w:tcPr>
          <w:p>
            <w:pPr>
              <w:ind w:left="240"/>
              <w:spacing w:after="0"/>
              <w:rPr>
                <w:sz w:val="20"/>
                <w:szCs w:val="20"/>
                <w:color w:val="auto"/>
              </w:rPr>
            </w:pPr>
            <w:r>
              <w:rPr>
                <w:rFonts w:ascii="Arial" w:cs="Arial" w:eastAsia="Arial" w:hAnsi="Arial"/>
                <w:sz w:val="20"/>
                <w:szCs w:val="20"/>
                <w:color w:val="auto"/>
              </w:rPr>
              <w:t>Furniture and fixtures</w:t>
            </w:r>
          </w:p>
        </w:tc>
        <w:tc>
          <w:tcPr>
            <w:tcW w:w="2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9,190</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6,134</w:t>
            </w:r>
          </w:p>
        </w:tc>
        <w:tc>
          <w:tcPr>
            <w:tcW w:w="0" w:type="dxa"/>
            <w:vAlign w:val="bottom"/>
          </w:tcPr>
          <w:p>
            <w:pPr>
              <w:spacing w:after="0"/>
              <w:rPr>
                <w:sz w:val="1"/>
                <w:szCs w:val="1"/>
                <w:color w:val="auto"/>
              </w:rPr>
            </w:pPr>
          </w:p>
        </w:tc>
      </w:tr>
      <w:tr>
        <w:trPr>
          <w:trHeight w:val="284"/>
        </w:trPr>
        <w:tc>
          <w:tcPr>
            <w:tcW w:w="6060" w:type="dxa"/>
            <w:vAlign w:val="bottom"/>
          </w:tcPr>
          <w:p>
            <w:pPr>
              <w:ind w:left="240"/>
              <w:spacing w:after="0"/>
              <w:rPr>
                <w:sz w:val="20"/>
                <w:szCs w:val="20"/>
                <w:color w:val="auto"/>
              </w:rPr>
            </w:pPr>
            <w:r>
              <w:rPr>
                <w:rFonts w:ascii="Arial" w:cs="Arial" w:eastAsia="Arial" w:hAnsi="Arial"/>
                <w:sz w:val="20"/>
                <w:szCs w:val="20"/>
                <w:color w:val="auto"/>
              </w:rPr>
              <w:t>Construction in progress</w:t>
            </w:r>
          </w:p>
        </w:tc>
        <w:tc>
          <w:tcPr>
            <w:tcW w:w="2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17,785</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13,728</w:t>
            </w:r>
          </w:p>
        </w:tc>
        <w:tc>
          <w:tcPr>
            <w:tcW w:w="0" w:type="dxa"/>
            <w:vAlign w:val="bottom"/>
          </w:tcPr>
          <w:p>
            <w:pPr>
              <w:spacing w:after="0"/>
              <w:rPr>
                <w:sz w:val="1"/>
                <w:szCs w:val="1"/>
                <w:color w:val="auto"/>
              </w:rPr>
            </w:pPr>
          </w:p>
        </w:tc>
      </w:tr>
      <w:tr>
        <w:trPr>
          <w:trHeight w:val="23"/>
        </w:trPr>
        <w:tc>
          <w:tcPr>
            <w:tcW w:w="60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6060" w:type="dxa"/>
            <w:vAlign w:val="bottom"/>
          </w:tcPr>
          <w:p>
            <w:pPr>
              <w:ind w:left="680"/>
              <w:spacing w:after="0"/>
              <w:rPr>
                <w:sz w:val="20"/>
                <w:szCs w:val="20"/>
                <w:color w:val="auto"/>
              </w:rPr>
            </w:pPr>
            <w:r>
              <w:rPr>
                <w:rFonts w:ascii="Arial" w:cs="Arial" w:eastAsia="Arial" w:hAnsi="Arial"/>
                <w:sz w:val="20"/>
                <w:szCs w:val="20"/>
                <w:color w:val="auto"/>
              </w:rPr>
              <w:t>Total property, plant, and equipment</w:t>
            </w:r>
          </w:p>
        </w:tc>
        <w:tc>
          <w:tcPr>
            <w:tcW w:w="20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589,060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524,726</w:t>
            </w:r>
          </w:p>
        </w:tc>
        <w:tc>
          <w:tcPr>
            <w:tcW w:w="0" w:type="dxa"/>
            <w:vAlign w:val="bottom"/>
          </w:tcPr>
          <w:p>
            <w:pPr>
              <w:spacing w:after="0"/>
              <w:rPr>
                <w:sz w:val="1"/>
                <w:szCs w:val="1"/>
                <w:color w:val="auto"/>
              </w:rPr>
            </w:pPr>
          </w:p>
        </w:tc>
      </w:tr>
      <w:tr>
        <w:trPr>
          <w:trHeight w:val="284"/>
        </w:trPr>
        <w:tc>
          <w:tcPr>
            <w:tcW w:w="6060" w:type="dxa"/>
            <w:vAlign w:val="bottom"/>
          </w:tcPr>
          <w:p>
            <w:pPr>
              <w:ind w:left="240"/>
              <w:spacing w:after="0"/>
              <w:rPr>
                <w:sz w:val="20"/>
                <w:szCs w:val="20"/>
                <w:color w:val="auto"/>
              </w:rPr>
            </w:pPr>
            <w:r>
              <w:rPr>
                <w:rFonts w:ascii="Arial" w:cs="Arial" w:eastAsia="Arial" w:hAnsi="Arial"/>
                <w:sz w:val="20"/>
                <w:szCs w:val="20"/>
                <w:color w:val="auto"/>
              </w:rPr>
              <w:t>Less accumulated depreciation and amortization</w:t>
            </w:r>
          </w:p>
        </w:tc>
        <w:tc>
          <w:tcPr>
            <w:tcW w:w="2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(292,556)</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(195,287)</w:t>
            </w:r>
          </w:p>
        </w:tc>
        <w:tc>
          <w:tcPr>
            <w:tcW w:w="0" w:type="dxa"/>
            <w:vAlign w:val="bottom"/>
          </w:tcPr>
          <w:p>
            <w:pPr>
              <w:spacing w:after="0"/>
              <w:rPr>
                <w:sz w:val="1"/>
                <w:szCs w:val="1"/>
                <w:color w:val="auto"/>
              </w:rPr>
            </w:pPr>
          </w:p>
        </w:tc>
      </w:tr>
      <w:tr>
        <w:trPr>
          <w:trHeight w:val="23"/>
        </w:trPr>
        <w:tc>
          <w:tcPr>
            <w:tcW w:w="60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6060" w:type="dxa"/>
            <w:vAlign w:val="bottom"/>
          </w:tcPr>
          <w:p>
            <w:pPr>
              <w:ind w:left="680"/>
              <w:spacing w:after="0"/>
              <w:rPr>
                <w:sz w:val="20"/>
                <w:szCs w:val="20"/>
                <w:color w:val="auto"/>
              </w:rPr>
            </w:pPr>
            <w:r>
              <w:rPr>
                <w:rFonts w:ascii="Arial" w:cs="Arial" w:eastAsia="Arial" w:hAnsi="Arial"/>
                <w:sz w:val="20"/>
                <w:szCs w:val="20"/>
                <w:color w:val="auto"/>
              </w:rPr>
              <w:t>Net property, plant, and equipment</w:t>
            </w:r>
          </w:p>
        </w:tc>
        <w:tc>
          <w:tcPr>
            <w:tcW w:w="20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296,504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329,439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000" w:type="dxa"/>
            <w:vAlign w:val="bottom"/>
          </w:tcPr>
          <w:p>
            <w:pPr>
              <w:spacing w:after="0"/>
              <w:rPr>
                <w:sz w:val="20"/>
                <w:szCs w:val="20"/>
                <w:color w:val="auto"/>
              </w:rPr>
            </w:pPr>
            <w:r>
              <w:rPr>
                <w:rFonts w:ascii="Arial" w:cs="Arial" w:eastAsia="Arial" w:hAnsi="Arial"/>
                <w:sz w:val="20"/>
                <w:szCs w:val="20"/>
                <w:color w:val="auto"/>
              </w:rPr>
              <w:t>Investment securities</w:t>
            </w:r>
          </w:p>
        </w:tc>
        <w:tc>
          <w:tcPr>
            <w:tcW w:w="3240" w:type="dxa"/>
            <w:vAlign w:val="bottom"/>
          </w:tcPr>
          <w:p>
            <w:pPr>
              <w:jc w:val="right"/>
              <w:ind w:right="541"/>
              <w:spacing w:after="0"/>
              <w:rPr>
                <w:sz w:val="20"/>
                <w:szCs w:val="20"/>
                <w:color w:val="auto"/>
              </w:rPr>
            </w:pPr>
            <w:r>
              <w:rPr>
                <w:rFonts w:ascii="Arial" w:cs="Arial" w:eastAsia="Arial" w:hAnsi="Arial"/>
                <w:sz w:val="20"/>
                <w:szCs w:val="20"/>
                <w:color w:val="auto"/>
              </w:rPr>
              <w:t>82</w:t>
            </w:r>
          </w:p>
        </w:tc>
        <w:tc>
          <w:tcPr>
            <w:tcW w:w="1100" w:type="dxa"/>
            <w:vAlign w:val="bottom"/>
          </w:tcPr>
          <w:p>
            <w:pPr>
              <w:jc w:val="right"/>
              <w:spacing w:after="0"/>
              <w:rPr>
                <w:sz w:val="20"/>
                <w:szCs w:val="20"/>
                <w:color w:val="auto"/>
              </w:rPr>
            </w:pPr>
            <w:r>
              <w:rPr>
                <w:rFonts w:ascii="Arial" w:cs="Arial" w:eastAsia="Arial" w:hAnsi="Arial"/>
                <w:sz w:val="20"/>
                <w:szCs w:val="20"/>
                <w:color w:val="auto"/>
              </w:rPr>
              <w:t>2,113</w:t>
            </w:r>
          </w:p>
        </w:tc>
      </w:tr>
      <w:tr>
        <w:trPr>
          <w:trHeight w:val="284"/>
        </w:trPr>
        <w:tc>
          <w:tcPr>
            <w:tcW w:w="5000" w:type="dxa"/>
            <w:vAlign w:val="bottom"/>
          </w:tcPr>
          <w:p>
            <w:pPr>
              <w:spacing w:after="0"/>
              <w:rPr>
                <w:sz w:val="20"/>
                <w:szCs w:val="20"/>
                <w:color w:val="auto"/>
              </w:rPr>
            </w:pPr>
            <w:r>
              <w:rPr>
                <w:rFonts w:ascii="Arial" w:cs="Arial" w:eastAsia="Arial" w:hAnsi="Arial"/>
                <w:sz w:val="20"/>
                <w:szCs w:val="20"/>
                <w:color w:val="auto"/>
              </w:rPr>
              <w:t>Investment in an affiliated company</w:t>
            </w:r>
          </w:p>
        </w:tc>
        <w:tc>
          <w:tcPr>
            <w:tcW w:w="3240" w:type="dxa"/>
            <w:vAlign w:val="bottom"/>
          </w:tcPr>
          <w:p>
            <w:pPr>
              <w:jc w:val="right"/>
              <w:ind w:right="541"/>
              <w:spacing w:after="0"/>
              <w:rPr>
                <w:sz w:val="20"/>
                <w:szCs w:val="20"/>
                <w:color w:val="auto"/>
              </w:rPr>
            </w:pPr>
            <w:r>
              <w:rPr>
                <w:rFonts w:ascii="Arial" w:cs="Arial" w:eastAsia="Arial" w:hAnsi="Arial"/>
                <w:sz w:val="20"/>
                <w:szCs w:val="20"/>
                <w:color w:val="auto"/>
              </w:rPr>
              <w:t>3,226</w:t>
            </w:r>
          </w:p>
        </w:tc>
        <w:tc>
          <w:tcPr>
            <w:tcW w:w="1100" w:type="dxa"/>
            <w:vAlign w:val="bottom"/>
          </w:tcPr>
          <w:p>
            <w:pPr>
              <w:jc w:val="right"/>
              <w:spacing w:after="0"/>
              <w:rPr>
                <w:sz w:val="20"/>
                <w:szCs w:val="20"/>
                <w:color w:val="auto"/>
              </w:rPr>
            </w:pPr>
            <w:r>
              <w:rPr>
                <w:rFonts w:ascii="Arial" w:cs="Arial" w:eastAsia="Arial" w:hAnsi="Arial"/>
                <w:sz w:val="20"/>
                <w:szCs w:val="20"/>
                <w:color w:val="auto"/>
              </w:rPr>
              <w:t>3,172</w:t>
            </w:r>
          </w:p>
        </w:tc>
      </w:tr>
      <w:tr>
        <w:trPr>
          <w:trHeight w:val="284"/>
        </w:trPr>
        <w:tc>
          <w:tcPr>
            <w:tcW w:w="5000" w:type="dxa"/>
            <w:vAlign w:val="bottom"/>
          </w:tcPr>
          <w:p>
            <w:pPr>
              <w:spacing w:after="0"/>
              <w:rPr>
                <w:sz w:val="20"/>
                <w:szCs w:val="20"/>
                <w:color w:val="auto"/>
              </w:rPr>
            </w:pPr>
            <w:r>
              <w:rPr>
                <w:rFonts w:ascii="Arial" w:cs="Arial" w:eastAsia="Arial" w:hAnsi="Arial"/>
                <w:sz w:val="20"/>
                <w:szCs w:val="20"/>
                <w:color w:val="auto"/>
              </w:rPr>
              <w:t>Intangible assets</w:t>
            </w:r>
          </w:p>
        </w:tc>
        <w:tc>
          <w:tcPr>
            <w:tcW w:w="3240" w:type="dxa"/>
            <w:vAlign w:val="bottom"/>
          </w:tcPr>
          <w:p>
            <w:pPr>
              <w:jc w:val="right"/>
              <w:ind w:right="541"/>
              <w:spacing w:after="0"/>
              <w:rPr>
                <w:sz w:val="20"/>
                <w:szCs w:val="20"/>
                <w:color w:val="auto"/>
              </w:rPr>
            </w:pPr>
            <w:r>
              <w:rPr>
                <w:rFonts w:ascii="Arial" w:cs="Arial" w:eastAsia="Arial" w:hAnsi="Arial"/>
                <w:sz w:val="20"/>
                <w:szCs w:val="20"/>
                <w:color w:val="auto"/>
              </w:rPr>
              <w:t>3,486</w:t>
            </w:r>
          </w:p>
        </w:tc>
        <w:tc>
          <w:tcPr>
            <w:tcW w:w="1100" w:type="dxa"/>
            <w:vAlign w:val="bottom"/>
          </w:tcPr>
          <w:p>
            <w:pPr>
              <w:jc w:val="right"/>
              <w:spacing w:after="0"/>
              <w:rPr>
                <w:sz w:val="20"/>
                <w:szCs w:val="20"/>
                <w:color w:val="auto"/>
              </w:rPr>
            </w:pPr>
            <w:r>
              <w:rPr>
                <w:rFonts w:ascii="Arial" w:cs="Arial" w:eastAsia="Arial" w:hAnsi="Arial"/>
                <w:sz w:val="20"/>
                <w:szCs w:val="20"/>
                <w:color w:val="auto"/>
              </w:rPr>
              <w:t>1,807</w:t>
            </w:r>
          </w:p>
        </w:tc>
      </w:tr>
      <w:tr>
        <w:trPr>
          <w:trHeight w:val="284"/>
        </w:trPr>
        <w:tc>
          <w:tcPr>
            <w:tcW w:w="5000" w:type="dxa"/>
            <w:vAlign w:val="bottom"/>
          </w:tcPr>
          <w:p>
            <w:pPr>
              <w:spacing w:after="0"/>
              <w:rPr>
                <w:sz w:val="20"/>
                <w:szCs w:val="20"/>
                <w:color w:val="auto"/>
              </w:rPr>
            </w:pPr>
            <w:r>
              <w:rPr>
                <w:rFonts w:ascii="Arial" w:cs="Arial" w:eastAsia="Arial" w:hAnsi="Arial"/>
                <w:sz w:val="20"/>
                <w:szCs w:val="20"/>
                <w:color w:val="auto"/>
              </w:rPr>
              <w:t>Other assets</w:t>
            </w:r>
          </w:p>
        </w:tc>
        <w:tc>
          <w:tcPr>
            <w:tcW w:w="3240" w:type="dxa"/>
            <w:vAlign w:val="bottom"/>
          </w:tcPr>
          <w:p>
            <w:pPr>
              <w:jc w:val="right"/>
              <w:ind w:right="541"/>
              <w:spacing w:after="0"/>
              <w:rPr>
                <w:sz w:val="20"/>
                <w:szCs w:val="20"/>
                <w:color w:val="auto"/>
              </w:rPr>
            </w:pPr>
            <w:r>
              <w:rPr>
                <w:rFonts w:ascii="Arial" w:cs="Arial" w:eastAsia="Arial" w:hAnsi="Arial"/>
                <w:sz w:val="20"/>
                <w:szCs w:val="20"/>
                <w:color w:val="auto"/>
              </w:rPr>
              <w:t>681</w:t>
            </w:r>
          </w:p>
        </w:tc>
        <w:tc>
          <w:tcPr>
            <w:tcW w:w="1100" w:type="dxa"/>
            <w:vAlign w:val="bottom"/>
          </w:tcPr>
          <w:p>
            <w:pPr>
              <w:jc w:val="right"/>
              <w:spacing w:after="0"/>
              <w:rPr>
                <w:sz w:val="20"/>
                <w:szCs w:val="20"/>
                <w:color w:val="auto"/>
              </w:rPr>
            </w:pPr>
            <w:r>
              <w:rPr>
                <w:rFonts w:ascii="Arial" w:cs="Arial" w:eastAsia="Arial" w:hAnsi="Arial"/>
                <w:sz w:val="20"/>
                <w:szCs w:val="20"/>
                <w:color w:val="auto"/>
              </w:rPr>
              <w:t>680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3844290</wp:posOffset>
            </wp:positionH>
            <wp:positionV relativeFrom="paragraph">
              <wp:posOffset>1849755</wp:posOffset>
            </wp:positionV>
            <wp:extent cx="21437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tabs>
          <w:tab w:leader="none" w:pos="6060" w:val="left"/>
          <w:tab w:leader="none" w:pos="6940" w:val="left"/>
          <w:tab w:leader="none" w:pos="7800" w:val="left"/>
          <w:tab w:leader="none" w:pos="8680" w:val="left"/>
        </w:tabs>
        <w:rPr>
          <w:sz w:val="20"/>
          <w:szCs w:val="20"/>
          <w:color w:val="auto"/>
        </w:rPr>
      </w:pPr>
      <w:r>
        <w:rPr>
          <w:rFonts w:ascii="Arial" w:cs="Arial" w:eastAsia="Arial" w:hAnsi="Arial"/>
          <w:sz w:val="20"/>
          <w:szCs w:val="20"/>
          <w:color w:val="auto"/>
        </w:rPr>
        <w:t>Total assets</w:t>
      </w:r>
      <w:r>
        <w:rPr>
          <w:sz w:val="20"/>
          <w:szCs w:val="20"/>
          <w:color w:val="auto"/>
        </w:rPr>
        <w:tab/>
      </w: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478,888</w:t>
        <w:tab/>
        <w:t>¥</w:t>
      </w:r>
      <w:r>
        <w:rPr>
          <w:sz w:val="20"/>
          <w:szCs w:val="20"/>
          <w:color w:val="auto"/>
        </w:rPr>
        <w:tab/>
      </w:r>
      <w:r>
        <w:rPr>
          <w:rFonts w:ascii="Arial" w:cs="Arial" w:eastAsia="Arial" w:hAnsi="Arial"/>
          <w:sz w:val="16"/>
          <w:szCs w:val="16"/>
          <w:color w:val="auto"/>
        </w:rPr>
        <w:t>515,286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3844290</wp:posOffset>
            </wp:positionH>
            <wp:positionV relativeFrom="paragraph">
              <wp:posOffset>27305</wp:posOffset>
            </wp:positionV>
            <wp:extent cx="214376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43760" cy="26035"/>
                    </a:xfrm>
                    <a:prstGeom prst="rect">
                      <a:avLst/>
                    </a:prstGeom>
                    <a:noFill/>
                  </pic:spPr>
                </pic:pic>
              </a:graphicData>
            </a:graphic>
          </wp:anchor>
        </w:drawing>
      </w:r>
    </w:p>
    <w:p>
      <w:pPr>
        <w:sectPr>
          <w:pgSz w:w="11900" w:h="16838" w:orient="portrait"/>
          <w:cols w:equalWidth="0" w:num="1">
            <w:col w:w="10740"/>
          </w:cols>
          <w:pgMar w:left="920" w:top="1008" w:right="239" w:bottom="1440" w:gutter="0" w:footer="0" w:header="0"/>
        </w:sectPr>
      </w:pPr>
    </w:p>
    <w:p>
      <w:pPr>
        <w:spacing w:after="0" w:line="313" w:lineRule="exact"/>
        <w:rPr>
          <w:sz w:val="20"/>
          <w:szCs w:val="20"/>
          <w:color w:val="auto"/>
        </w:rPr>
      </w:pPr>
    </w:p>
    <w:p>
      <w:pPr>
        <w:ind w:left="10660"/>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0740"/>
          </w:cols>
          <w:pgMar w:left="920" w:top="1008" w:right="239" w:bottom="1440" w:gutter="0" w:footer="0" w:header="0"/>
          <w:type w:val="continuous"/>
        </w:sectPr>
      </w:pPr>
    </w:p>
    <w:bookmarkStart w:id="9" w:name="page10"/>
    <w:bookmarkEnd w:id="9"/>
    <w:tbl>
      <w:tblPr>
        <w:tblLayout w:type="fixed"/>
        <w:tblInd w:w="680" w:type="dxa"/>
        <w:tblCellMar>
          <w:top w:w="0" w:type="dxa"/>
          <w:left w:w="0" w:type="dxa"/>
          <w:bottom w:w="0" w:type="dxa"/>
          <w:right w:w="0" w:type="dxa"/>
        </w:tblCellMar>
      </w:tblPr>
      <w:tr>
        <w:trPr>
          <w:trHeight w:val="230"/>
        </w:trPr>
        <w:tc>
          <w:tcPr>
            <w:tcW w:w="6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ind w:left="60"/>
              <w:spacing w:after="0"/>
              <w:rPr>
                <w:sz w:val="20"/>
                <w:szCs w:val="20"/>
                <w:color w:val="auto"/>
              </w:rPr>
            </w:pPr>
            <w:r>
              <w:rPr>
                <w:rFonts w:ascii="Arial" w:cs="Arial" w:eastAsia="Arial" w:hAnsi="Arial"/>
                <w:sz w:val="20"/>
                <w:szCs w:val="20"/>
                <w:b w:val="1"/>
                <w:bCs w:val="1"/>
                <w:color w:val="auto"/>
              </w:rPr>
              <w:t>February 28,</w:t>
            </w:r>
          </w:p>
        </w:tc>
        <w:tc>
          <w:tcPr>
            <w:tcW w:w="260" w:type="dxa"/>
            <w:vAlign w:val="bottom"/>
          </w:tcPr>
          <w:p>
            <w:pPr>
              <w:spacing w:after="0"/>
              <w:rPr>
                <w:sz w:val="19"/>
                <w:szCs w:val="19"/>
                <w:color w:val="auto"/>
              </w:rPr>
            </w:pPr>
          </w:p>
        </w:tc>
        <w:tc>
          <w:tcPr>
            <w:tcW w:w="1360" w:type="dxa"/>
            <w:vAlign w:val="bottom"/>
          </w:tcPr>
          <w:p>
            <w:pPr>
              <w:jc w:val="right"/>
              <w:ind w:right="281"/>
              <w:spacing w:after="0"/>
              <w:rPr>
                <w:sz w:val="20"/>
                <w:szCs w:val="20"/>
                <w:color w:val="auto"/>
              </w:rPr>
            </w:pPr>
            <w:r>
              <w:rPr>
                <w:rFonts w:ascii="Arial" w:cs="Arial" w:eastAsia="Arial" w:hAnsi="Arial"/>
                <w:sz w:val="20"/>
                <w:szCs w:val="20"/>
                <w:b w:val="1"/>
                <w:bCs w:val="1"/>
                <w:color w:val="auto"/>
              </w:rPr>
              <w:t>March 31,</w:t>
            </w:r>
          </w:p>
        </w:tc>
        <w:tc>
          <w:tcPr>
            <w:tcW w:w="0" w:type="dxa"/>
            <w:vAlign w:val="bottom"/>
          </w:tcPr>
          <w:p>
            <w:pPr>
              <w:spacing w:after="0"/>
              <w:rPr>
                <w:sz w:val="1"/>
                <w:szCs w:val="1"/>
                <w:color w:val="auto"/>
              </w:rPr>
            </w:pPr>
          </w:p>
        </w:tc>
      </w:tr>
      <w:tr>
        <w:trPr>
          <w:trHeight w:val="256"/>
        </w:trPr>
        <w:tc>
          <w:tcPr>
            <w:tcW w:w="60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tcPr>
          <w:p>
            <w:pPr>
              <w:jc w:val="right"/>
              <w:ind w:right="521"/>
              <w:spacing w:after="0"/>
              <w:rPr>
                <w:sz w:val="20"/>
                <w:szCs w:val="20"/>
                <w:color w:val="auto"/>
              </w:rPr>
            </w:pPr>
            <w:r>
              <w:rPr>
                <w:rFonts w:ascii="Arial" w:cs="Arial" w:eastAsia="Arial" w:hAnsi="Arial"/>
                <w:sz w:val="20"/>
                <w:szCs w:val="20"/>
                <w:b w:val="1"/>
                <w:bCs w:val="1"/>
                <w:color w:val="auto"/>
              </w:rPr>
              <w:t>2013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60" w:type="dxa"/>
            <w:vAlign w:val="bottom"/>
          </w:tcPr>
          <w:p>
            <w:pPr>
              <w:jc w:val="right"/>
              <w:ind w:right="501"/>
              <w:spacing w:after="0"/>
              <w:rPr>
                <w:sz w:val="20"/>
                <w:szCs w:val="20"/>
                <w:color w:val="auto"/>
              </w:rPr>
            </w:pPr>
            <w:r>
              <w:rPr>
                <w:rFonts w:ascii="Arial" w:cs="Arial" w:eastAsia="Arial" w:hAnsi="Arial"/>
                <w:sz w:val="20"/>
                <w:szCs w:val="20"/>
                <w:b w:val="1"/>
                <w:bCs w:val="1"/>
                <w:color w:val="auto"/>
              </w:rPr>
              <w:t>2012</w:t>
            </w:r>
          </w:p>
        </w:tc>
        <w:tc>
          <w:tcPr>
            <w:tcW w:w="0" w:type="dxa"/>
            <w:vAlign w:val="bottom"/>
          </w:tcPr>
          <w:p>
            <w:pPr>
              <w:spacing w:after="0"/>
              <w:rPr>
                <w:sz w:val="1"/>
                <w:szCs w:val="1"/>
                <w:color w:val="auto"/>
              </w:rPr>
            </w:pPr>
          </w:p>
        </w:tc>
      </w:tr>
      <w:tr>
        <w:trPr>
          <w:trHeight w:val="23"/>
        </w:trPr>
        <w:tc>
          <w:tcPr>
            <w:tcW w:w="6060" w:type="dxa"/>
            <w:vAlign w:val="bottom"/>
            <w:vMerge w:val="restart"/>
          </w:tcPr>
          <w:p>
            <w:pPr>
              <w:ind w:left="1060"/>
              <w:spacing w:after="0"/>
              <w:rPr>
                <w:sz w:val="20"/>
                <w:szCs w:val="20"/>
                <w:color w:val="auto"/>
              </w:rPr>
            </w:pPr>
            <w:r>
              <w:rPr>
                <w:rFonts w:ascii="Arial" w:cs="Arial" w:eastAsia="Arial" w:hAnsi="Arial"/>
                <w:sz w:val="20"/>
                <w:szCs w:val="20"/>
                <w:b w:val="1"/>
                <w:bCs w:val="1"/>
                <w:color w:val="auto"/>
              </w:rPr>
              <w:t>Liabilities and Stockholders’ Equity (Deficit)</w:t>
            </w: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60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6060" w:type="dxa"/>
            <w:vAlign w:val="bottom"/>
          </w:tcPr>
          <w:p>
            <w:pPr>
              <w:spacing w:after="0"/>
              <w:rPr>
                <w:sz w:val="20"/>
                <w:szCs w:val="20"/>
                <w:color w:val="auto"/>
              </w:rPr>
            </w:pPr>
            <w:r>
              <w:rPr>
                <w:rFonts w:ascii="Arial" w:cs="Arial" w:eastAsia="Arial" w:hAnsi="Arial"/>
                <w:sz w:val="20"/>
                <w:szCs w:val="20"/>
                <w:color w:val="auto"/>
              </w:rPr>
              <w:t>Current liabilities not subject to compromise:</w:t>
            </w: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060" w:type="dxa"/>
            <w:vAlign w:val="bottom"/>
          </w:tcPr>
          <w:p>
            <w:pPr>
              <w:ind w:left="240"/>
              <w:spacing w:after="0"/>
              <w:rPr>
                <w:sz w:val="20"/>
                <w:szCs w:val="20"/>
                <w:color w:val="auto"/>
              </w:rPr>
            </w:pPr>
            <w:r>
              <w:rPr>
                <w:rFonts w:ascii="Arial" w:cs="Arial" w:eastAsia="Arial" w:hAnsi="Arial"/>
                <w:sz w:val="20"/>
                <w:szCs w:val="20"/>
                <w:color w:val="auto"/>
              </w:rPr>
              <w:t>Short-term borrowings</w:t>
            </w:r>
          </w:p>
        </w:tc>
        <w:tc>
          <w:tcPr>
            <w:tcW w:w="20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420" w:type="dxa"/>
            <w:vAlign w:val="bottom"/>
          </w:tcPr>
          <w:p>
            <w:pPr>
              <w:jc w:val="right"/>
              <w:spacing w:after="0"/>
              <w:rPr>
                <w:sz w:val="20"/>
                <w:szCs w:val="20"/>
                <w:color w:val="auto"/>
              </w:rPr>
            </w:pPr>
            <w:r>
              <w:rPr>
                <w:rFonts w:ascii="Arial" w:cs="Arial" w:eastAsia="Arial" w:hAnsi="Arial"/>
                <w:sz w:val="20"/>
                <w:szCs w:val="20"/>
                <w:color w:val="auto"/>
              </w:rPr>
              <w:t>8,000</w:t>
            </w:r>
          </w:p>
        </w:tc>
        <w:tc>
          <w:tcPr>
            <w:tcW w:w="120" w:type="dxa"/>
            <w:vAlign w:val="bottom"/>
          </w:tcPr>
          <w:p>
            <w:pPr>
              <w:spacing w:after="0"/>
              <w:rPr>
                <w:sz w:val="24"/>
                <w:szCs w:val="24"/>
                <w:color w:val="auto"/>
              </w:rPr>
            </w:pPr>
          </w:p>
        </w:tc>
        <w:tc>
          <w:tcPr>
            <w:tcW w:w="260" w:type="dxa"/>
            <w:vAlign w:val="bottom"/>
          </w:tcPr>
          <w:p>
            <w:pPr>
              <w:jc w:val="right"/>
              <w:ind w:right="41"/>
              <w:spacing w:after="0"/>
              <w:rPr>
                <w:sz w:val="20"/>
                <w:szCs w:val="20"/>
                <w:color w:val="auto"/>
              </w:rPr>
            </w:pPr>
            <w:r>
              <w:rPr>
                <w:rFonts w:ascii="Arial" w:cs="Arial" w:eastAsia="Arial" w:hAnsi="Arial"/>
                <w:sz w:val="20"/>
                <w:szCs w:val="20"/>
                <w:color w:val="auto"/>
                <w:w w:val="89"/>
              </w:rPr>
              <w:t>¥</w:t>
            </w:r>
          </w:p>
        </w:tc>
        <w:tc>
          <w:tcPr>
            <w:tcW w:w="136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84"/>
        </w:trPr>
        <w:tc>
          <w:tcPr>
            <w:tcW w:w="6060" w:type="dxa"/>
            <w:vAlign w:val="bottom"/>
          </w:tcPr>
          <w:p>
            <w:pPr>
              <w:ind w:left="240"/>
              <w:spacing w:after="0"/>
              <w:rPr>
                <w:sz w:val="20"/>
                <w:szCs w:val="20"/>
                <w:color w:val="auto"/>
              </w:rPr>
            </w:pPr>
            <w:r>
              <w:rPr>
                <w:rFonts w:ascii="Arial" w:cs="Arial" w:eastAsia="Arial" w:hAnsi="Arial"/>
                <w:sz w:val="20"/>
                <w:szCs w:val="20"/>
                <w:color w:val="auto"/>
              </w:rPr>
              <w:t>Current portion of long-term debt</w:t>
            </w:r>
          </w:p>
        </w:tc>
        <w:tc>
          <w:tcPr>
            <w:tcW w:w="2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21,520</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27,840</w:t>
            </w:r>
          </w:p>
        </w:tc>
        <w:tc>
          <w:tcPr>
            <w:tcW w:w="0" w:type="dxa"/>
            <w:vAlign w:val="bottom"/>
          </w:tcPr>
          <w:p>
            <w:pPr>
              <w:spacing w:after="0"/>
              <w:rPr>
                <w:sz w:val="1"/>
                <w:szCs w:val="1"/>
                <w:color w:val="auto"/>
              </w:rPr>
            </w:pPr>
          </w:p>
        </w:tc>
      </w:tr>
      <w:tr>
        <w:trPr>
          <w:trHeight w:val="284"/>
        </w:trPr>
        <w:tc>
          <w:tcPr>
            <w:tcW w:w="6060" w:type="dxa"/>
            <w:vAlign w:val="bottom"/>
          </w:tcPr>
          <w:p>
            <w:pPr>
              <w:ind w:left="240"/>
              <w:spacing w:after="0"/>
              <w:rPr>
                <w:sz w:val="20"/>
                <w:szCs w:val="20"/>
                <w:color w:val="auto"/>
              </w:rPr>
            </w:pPr>
            <w:r>
              <w:rPr>
                <w:rFonts w:ascii="Arial" w:cs="Arial" w:eastAsia="Arial" w:hAnsi="Arial"/>
                <w:sz w:val="20"/>
                <w:szCs w:val="20"/>
                <w:color w:val="auto"/>
              </w:rPr>
              <w:t>Current portion of obligations under capital leases</w:t>
            </w:r>
          </w:p>
        </w:tc>
        <w:tc>
          <w:tcPr>
            <w:tcW w:w="2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25,597</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10,900</w:t>
            </w:r>
          </w:p>
        </w:tc>
        <w:tc>
          <w:tcPr>
            <w:tcW w:w="0" w:type="dxa"/>
            <w:vAlign w:val="bottom"/>
          </w:tcPr>
          <w:p>
            <w:pPr>
              <w:spacing w:after="0"/>
              <w:rPr>
                <w:sz w:val="1"/>
                <w:szCs w:val="1"/>
                <w:color w:val="auto"/>
              </w:rPr>
            </w:pPr>
          </w:p>
        </w:tc>
      </w:tr>
      <w:tr>
        <w:trPr>
          <w:trHeight w:val="284"/>
        </w:trPr>
        <w:tc>
          <w:tcPr>
            <w:tcW w:w="6060" w:type="dxa"/>
            <w:vAlign w:val="bottom"/>
          </w:tcPr>
          <w:p>
            <w:pPr>
              <w:ind w:left="240"/>
              <w:spacing w:after="0"/>
              <w:rPr>
                <w:sz w:val="20"/>
                <w:szCs w:val="20"/>
                <w:color w:val="auto"/>
              </w:rPr>
            </w:pPr>
            <w:r>
              <w:rPr>
                <w:rFonts w:ascii="Arial" w:cs="Arial" w:eastAsia="Arial" w:hAnsi="Arial"/>
                <w:sz w:val="20"/>
                <w:szCs w:val="20"/>
                <w:color w:val="auto"/>
              </w:rPr>
              <w:t>Accounts payable, trade</w:t>
            </w:r>
          </w:p>
        </w:tc>
        <w:tc>
          <w:tcPr>
            <w:tcW w:w="2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18,481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19,912</w:t>
            </w:r>
          </w:p>
        </w:tc>
        <w:tc>
          <w:tcPr>
            <w:tcW w:w="0" w:type="dxa"/>
            <w:vAlign w:val="bottom"/>
          </w:tcPr>
          <w:p>
            <w:pPr>
              <w:spacing w:after="0"/>
              <w:rPr>
                <w:sz w:val="1"/>
                <w:szCs w:val="1"/>
                <w:color w:val="auto"/>
              </w:rPr>
            </w:pPr>
          </w:p>
        </w:tc>
      </w:tr>
      <w:tr>
        <w:trPr>
          <w:trHeight w:val="284"/>
        </w:trPr>
        <w:tc>
          <w:tcPr>
            <w:tcW w:w="6060" w:type="dxa"/>
            <w:vAlign w:val="bottom"/>
          </w:tcPr>
          <w:p>
            <w:pPr>
              <w:ind w:left="240"/>
              <w:spacing w:after="0"/>
              <w:rPr>
                <w:sz w:val="20"/>
                <w:szCs w:val="20"/>
                <w:color w:val="auto"/>
              </w:rPr>
            </w:pPr>
            <w:r>
              <w:rPr>
                <w:rFonts w:ascii="Arial" w:cs="Arial" w:eastAsia="Arial" w:hAnsi="Arial"/>
                <w:sz w:val="20"/>
                <w:szCs w:val="20"/>
                <w:color w:val="auto"/>
              </w:rPr>
              <w:t>Accounts payable, other</w:t>
            </w:r>
          </w:p>
        </w:tc>
        <w:tc>
          <w:tcPr>
            <w:tcW w:w="2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7,767</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4,726</w:t>
            </w:r>
          </w:p>
        </w:tc>
        <w:tc>
          <w:tcPr>
            <w:tcW w:w="0" w:type="dxa"/>
            <w:vAlign w:val="bottom"/>
          </w:tcPr>
          <w:p>
            <w:pPr>
              <w:spacing w:after="0"/>
              <w:rPr>
                <w:sz w:val="1"/>
                <w:szCs w:val="1"/>
                <w:color w:val="auto"/>
              </w:rPr>
            </w:pPr>
          </w:p>
        </w:tc>
      </w:tr>
      <w:tr>
        <w:trPr>
          <w:trHeight w:val="284"/>
        </w:trPr>
        <w:tc>
          <w:tcPr>
            <w:tcW w:w="6060" w:type="dxa"/>
            <w:vAlign w:val="bottom"/>
          </w:tcPr>
          <w:p>
            <w:pPr>
              <w:ind w:left="240"/>
              <w:spacing w:after="0"/>
              <w:rPr>
                <w:sz w:val="20"/>
                <w:szCs w:val="20"/>
                <w:color w:val="auto"/>
              </w:rPr>
            </w:pPr>
            <w:r>
              <w:rPr>
                <w:rFonts w:ascii="Arial" w:cs="Arial" w:eastAsia="Arial" w:hAnsi="Arial"/>
                <w:sz w:val="20"/>
                <w:szCs w:val="20"/>
                <w:color w:val="auto"/>
              </w:rPr>
              <w:t>Accrued income taxes</w:t>
            </w:r>
          </w:p>
        </w:tc>
        <w:tc>
          <w:tcPr>
            <w:tcW w:w="2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820</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1,016</w:t>
            </w:r>
          </w:p>
        </w:tc>
        <w:tc>
          <w:tcPr>
            <w:tcW w:w="0" w:type="dxa"/>
            <w:vAlign w:val="bottom"/>
          </w:tcPr>
          <w:p>
            <w:pPr>
              <w:spacing w:after="0"/>
              <w:rPr>
                <w:sz w:val="1"/>
                <w:szCs w:val="1"/>
                <w:color w:val="auto"/>
              </w:rPr>
            </w:pPr>
          </w:p>
        </w:tc>
      </w:tr>
      <w:tr>
        <w:trPr>
          <w:trHeight w:val="284"/>
        </w:trPr>
        <w:tc>
          <w:tcPr>
            <w:tcW w:w="6060" w:type="dxa"/>
            <w:vAlign w:val="bottom"/>
          </w:tcPr>
          <w:p>
            <w:pPr>
              <w:ind w:left="240"/>
              <w:spacing w:after="0"/>
              <w:rPr>
                <w:sz w:val="20"/>
                <w:szCs w:val="20"/>
                <w:color w:val="auto"/>
              </w:rPr>
            </w:pPr>
            <w:r>
              <w:rPr>
                <w:rFonts w:ascii="Arial" w:cs="Arial" w:eastAsia="Arial" w:hAnsi="Arial"/>
                <w:sz w:val="20"/>
                <w:szCs w:val="20"/>
                <w:color w:val="auto"/>
              </w:rPr>
              <w:t>Accrued expenses and other current liabilities</w:t>
            </w:r>
          </w:p>
        </w:tc>
        <w:tc>
          <w:tcPr>
            <w:tcW w:w="2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11,090</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13,574</w:t>
            </w:r>
          </w:p>
        </w:tc>
        <w:tc>
          <w:tcPr>
            <w:tcW w:w="0" w:type="dxa"/>
            <w:vAlign w:val="bottom"/>
          </w:tcPr>
          <w:p>
            <w:pPr>
              <w:spacing w:after="0"/>
              <w:rPr>
                <w:sz w:val="1"/>
                <w:szCs w:val="1"/>
                <w:color w:val="auto"/>
              </w:rPr>
            </w:pPr>
          </w:p>
        </w:tc>
      </w:tr>
      <w:tr>
        <w:trPr>
          <w:trHeight w:val="23"/>
        </w:trPr>
        <w:tc>
          <w:tcPr>
            <w:tcW w:w="60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6060" w:type="dxa"/>
            <w:vAlign w:val="bottom"/>
          </w:tcPr>
          <w:p>
            <w:pPr>
              <w:ind w:left="580"/>
              <w:spacing w:after="0"/>
              <w:rPr>
                <w:sz w:val="20"/>
                <w:szCs w:val="20"/>
                <w:color w:val="auto"/>
              </w:rPr>
            </w:pPr>
            <w:r>
              <w:rPr>
                <w:rFonts w:ascii="Arial" w:cs="Arial" w:eastAsia="Arial" w:hAnsi="Arial"/>
                <w:sz w:val="20"/>
                <w:szCs w:val="20"/>
                <w:color w:val="auto"/>
              </w:rPr>
              <w:t>Total current liabilities not subject to compromise</w:t>
            </w:r>
          </w:p>
        </w:tc>
        <w:tc>
          <w:tcPr>
            <w:tcW w:w="20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93,275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77,968</w:t>
            </w:r>
          </w:p>
        </w:tc>
        <w:tc>
          <w:tcPr>
            <w:tcW w:w="0" w:type="dxa"/>
            <w:vAlign w:val="bottom"/>
          </w:tcPr>
          <w:p>
            <w:pPr>
              <w:spacing w:after="0"/>
              <w:rPr>
                <w:sz w:val="1"/>
                <w:szCs w:val="1"/>
                <w:color w:val="auto"/>
              </w:rPr>
            </w:pPr>
          </w:p>
        </w:tc>
      </w:tr>
      <w:tr>
        <w:trPr>
          <w:trHeight w:val="23"/>
        </w:trPr>
        <w:tc>
          <w:tcPr>
            <w:tcW w:w="6060" w:type="dxa"/>
            <w:vAlign w:val="bottom"/>
            <w:vMerge w:val="restart"/>
          </w:tcPr>
          <w:p>
            <w:pPr>
              <w:spacing w:after="0"/>
              <w:rPr>
                <w:sz w:val="20"/>
                <w:szCs w:val="20"/>
                <w:color w:val="auto"/>
              </w:rPr>
            </w:pPr>
            <w:r>
              <w:rPr>
                <w:rFonts w:ascii="Arial" w:cs="Arial" w:eastAsia="Arial" w:hAnsi="Arial"/>
                <w:sz w:val="20"/>
                <w:szCs w:val="20"/>
                <w:color w:val="auto"/>
              </w:rPr>
              <w:t>Long-term liabilities not subject to compromise:</w:t>
            </w: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60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6060" w:type="dxa"/>
            <w:vAlign w:val="bottom"/>
          </w:tcPr>
          <w:p>
            <w:pPr>
              <w:ind w:left="240"/>
              <w:spacing w:after="0"/>
              <w:rPr>
                <w:sz w:val="20"/>
                <w:szCs w:val="20"/>
                <w:color w:val="auto"/>
              </w:rPr>
            </w:pPr>
            <w:r>
              <w:rPr>
                <w:rFonts w:ascii="Arial" w:cs="Arial" w:eastAsia="Arial" w:hAnsi="Arial"/>
                <w:sz w:val="20"/>
                <w:szCs w:val="20"/>
                <w:color w:val="auto"/>
              </w:rPr>
              <w:t>Long-term debt, excluding current portion</w:t>
            </w:r>
          </w:p>
        </w:tc>
        <w:tc>
          <w:tcPr>
            <w:tcW w:w="2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59,226</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10,849</w:t>
            </w:r>
          </w:p>
        </w:tc>
        <w:tc>
          <w:tcPr>
            <w:tcW w:w="0" w:type="dxa"/>
            <w:vAlign w:val="bottom"/>
          </w:tcPr>
          <w:p>
            <w:pPr>
              <w:spacing w:after="0"/>
              <w:rPr>
                <w:sz w:val="1"/>
                <w:szCs w:val="1"/>
                <w:color w:val="auto"/>
              </w:rPr>
            </w:pPr>
          </w:p>
        </w:tc>
      </w:tr>
      <w:tr>
        <w:trPr>
          <w:trHeight w:val="284"/>
        </w:trPr>
        <w:tc>
          <w:tcPr>
            <w:tcW w:w="6060" w:type="dxa"/>
            <w:vAlign w:val="bottom"/>
          </w:tcPr>
          <w:p>
            <w:pPr>
              <w:ind w:left="240"/>
              <w:spacing w:after="0"/>
              <w:rPr>
                <w:sz w:val="20"/>
                <w:szCs w:val="20"/>
                <w:color w:val="auto"/>
              </w:rPr>
            </w:pPr>
            <w:r>
              <w:rPr>
                <w:rFonts w:ascii="Arial" w:cs="Arial" w:eastAsia="Arial" w:hAnsi="Arial"/>
                <w:sz w:val="20"/>
                <w:szCs w:val="20"/>
                <w:color w:val="auto"/>
              </w:rPr>
              <w:t>Obligations under capital leases, excluding current portion</w:t>
            </w:r>
          </w:p>
        </w:tc>
        <w:tc>
          <w:tcPr>
            <w:tcW w:w="2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65,392</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30,794</w:t>
            </w:r>
          </w:p>
        </w:tc>
        <w:tc>
          <w:tcPr>
            <w:tcW w:w="0" w:type="dxa"/>
            <w:vAlign w:val="bottom"/>
          </w:tcPr>
          <w:p>
            <w:pPr>
              <w:spacing w:after="0"/>
              <w:rPr>
                <w:sz w:val="1"/>
                <w:szCs w:val="1"/>
                <w:color w:val="auto"/>
              </w:rPr>
            </w:pPr>
          </w:p>
        </w:tc>
      </w:tr>
      <w:tr>
        <w:trPr>
          <w:trHeight w:val="284"/>
        </w:trPr>
        <w:tc>
          <w:tcPr>
            <w:tcW w:w="6060" w:type="dxa"/>
            <w:vAlign w:val="bottom"/>
          </w:tcPr>
          <w:p>
            <w:pPr>
              <w:ind w:left="240"/>
              <w:spacing w:after="0"/>
              <w:rPr>
                <w:sz w:val="20"/>
                <w:szCs w:val="20"/>
                <w:color w:val="auto"/>
              </w:rPr>
            </w:pPr>
            <w:r>
              <w:rPr>
                <w:rFonts w:ascii="Arial" w:cs="Arial" w:eastAsia="Arial" w:hAnsi="Arial"/>
                <w:sz w:val="20"/>
                <w:szCs w:val="20"/>
                <w:color w:val="auto"/>
              </w:rPr>
              <w:t>Liability for retirement benefits</w:t>
            </w:r>
          </w:p>
        </w:tc>
        <w:tc>
          <w:tcPr>
            <w:tcW w:w="2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5,109</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5,261</w:t>
            </w:r>
          </w:p>
        </w:tc>
        <w:tc>
          <w:tcPr>
            <w:tcW w:w="0" w:type="dxa"/>
            <w:vAlign w:val="bottom"/>
          </w:tcPr>
          <w:p>
            <w:pPr>
              <w:spacing w:after="0"/>
              <w:rPr>
                <w:sz w:val="1"/>
                <w:szCs w:val="1"/>
                <w:color w:val="auto"/>
              </w:rPr>
            </w:pPr>
          </w:p>
        </w:tc>
      </w:tr>
      <w:tr>
        <w:trPr>
          <w:trHeight w:val="284"/>
        </w:trPr>
        <w:tc>
          <w:tcPr>
            <w:tcW w:w="6060" w:type="dxa"/>
            <w:vAlign w:val="bottom"/>
          </w:tcPr>
          <w:p>
            <w:pPr>
              <w:ind w:left="240"/>
              <w:spacing w:after="0"/>
              <w:rPr>
                <w:sz w:val="20"/>
                <w:szCs w:val="20"/>
                <w:color w:val="auto"/>
              </w:rPr>
            </w:pPr>
            <w:r>
              <w:rPr>
                <w:rFonts w:ascii="Arial" w:cs="Arial" w:eastAsia="Arial" w:hAnsi="Arial"/>
                <w:sz w:val="20"/>
                <w:szCs w:val="20"/>
                <w:color w:val="auto"/>
              </w:rPr>
              <w:t>Deferred income taxes</w:t>
            </w:r>
          </w:p>
        </w:tc>
        <w:tc>
          <w:tcPr>
            <w:tcW w:w="2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495</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777</w:t>
            </w:r>
          </w:p>
        </w:tc>
        <w:tc>
          <w:tcPr>
            <w:tcW w:w="0" w:type="dxa"/>
            <w:vAlign w:val="bottom"/>
          </w:tcPr>
          <w:p>
            <w:pPr>
              <w:spacing w:after="0"/>
              <w:rPr>
                <w:sz w:val="1"/>
                <w:szCs w:val="1"/>
                <w:color w:val="auto"/>
              </w:rPr>
            </w:pPr>
          </w:p>
        </w:tc>
      </w:tr>
      <w:tr>
        <w:trPr>
          <w:trHeight w:val="284"/>
        </w:trPr>
        <w:tc>
          <w:tcPr>
            <w:tcW w:w="6060" w:type="dxa"/>
            <w:vAlign w:val="bottom"/>
          </w:tcPr>
          <w:p>
            <w:pPr>
              <w:ind w:left="240"/>
              <w:spacing w:after="0"/>
              <w:rPr>
                <w:sz w:val="20"/>
                <w:szCs w:val="20"/>
                <w:color w:val="auto"/>
              </w:rPr>
            </w:pPr>
            <w:r>
              <w:rPr>
                <w:rFonts w:ascii="Arial" w:cs="Arial" w:eastAsia="Arial" w:hAnsi="Arial"/>
                <w:sz w:val="20"/>
                <w:szCs w:val="20"/>
                <w:color w:val="auto"/>
              </w:rPr>
              <w:t>Other liabilities</w:t>
            </w:r>
          </w:p>
        </w:tc>
        <w:tc>
          <w:tcPr>
            <w:tcW w:w="2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7,350</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1,702</w:t>
            </w:r>
          </w:p>
        </w:tc>
        <w:tc>
          <w:tcPr>
            <w:tcW w:w="0" w:type="dxa"/>
            <w:vAlign w:val="bottom"/>
          </w:tcPr>
          <w:p>
            <w:pPr>
              <w:spacing w:after="0"/>
              <w:rPr>
                <w:sz w:val="1"/>
                <w:szCs w:val="1"/>
                <w:color w:val="auto"/>
              </w:rPr>
            </w:pPr>
          </w:p>
        </w:tc>
      </w:tr>
      <w:tr>
        <w:trPr>
          <w:trHeight w:val="23"/>
        </w:trPr>
        <w:tc>
          <w:tcPr>
            <w:tcW w:w="60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6060" w:type="dxa"/>
            <w:vAlign w:val="bottom"/>
          </w:tcPr>
          <w:p>
            <w:pPr>
              <w:ind w:left="580"/>
              <w:spacing w:after="0"/>
              <w:rPr>
                <w:sz w:val="20"/>
                <w:szCs w:val="20"/>
                <w:color w:val="auto"/>
              </w:rPr>
            </w:pPr>
            <w:r>
              <w:rPr>
                <w:rFonts w:ascii="Arial" w:cs="Arial" w:eastAsia="Arial" w:hAnsi="Arial"/>
                <w:sz w:val="20"/>
                <w:szCs w:val="20"/>
                <w:color w:val="auto"/>
              </w:rPr>
              <w:t>Total long-term liabilities not subject to compromise</w:t>
            </w:r>
          </w:p>
        </w:tc>
        <w:tc>
          <w:tcPr>
            <w:tcW w:w="20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137,572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49,383</w:t>
            </w:r>
          </w:p>
        </w:tc>
        <w:tc>
          <w:tcPr>
            <w:tcW w:w="0" w:type="dxa"/>
            <w:vAlign w:val="bottom"/>
          </w:tcPr>
          <w:p>
            <w:pPr>
              <w:spacing w:after="0"/>
              <w:rPr>
                <w:sz w:val="1"/>
                <w:szCs w:val="1"/>
                <w:color w:val="auto"/>
              </w:rPr>
            </w:pPr>
          </w:p>
        </w:tc>
      </w:tr>
      <w:tr>
        <w:trPr>
          <w:trHeight w:val="23"/>
        </w:trPr>
        <w:tc>
          <w:tcPr>
            <w:tcW w:w="60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6060" w:type="dxa"/>
            <w:vAlign w:val="bottom"/>
          </w:tcPr>
          <w:p>
            <w:pPr>
              <w:ind w:left="580"/>
              <w:spacing w:after="0"/>
              <w:rPr>
                <w:sz w:val="20"/>
                <w:szCs w:val="20"/>
                <w:color w:val="auto"/>
              </w:rPr>
            </w:pPr>
            <w:r>
              <w:rPr>
                <w:rFonts w:ascii="Arial" w:cs="Arial" w:eastAsia="Arial" w:hAnsi="Arial"/>
                <w:sz w:val="20"/>
                <w:szCs w:val="20"/>
                <w:color w:val="auto"/>
              </w:rPr>
              <w:t>Total liabilities not subject to compromise</w:t>
            </w:r>
          </w:p>
        </w:tc>
        <w:tc>
          <w:tcPr>
            <w:tcW w:w="20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230,847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127,351</w:t>
            </w:r>
          </w:p>
        </w:tc>
        <w:tc>
          <w:tcPr>
            <w:tcW w:w="0" w:type="dxa"/>
            <w:vAlign w:val="bottom"/>
          </w:tcPr>
          <w:p>
            <w:pPr>
              <w:spacing w:after="0"/>
              <w:rPr>
                <w:sz w:val="1"/>
                <w:szCs w:val="1"/>
                <w:color w:val="auto"/>
              </w:rPr>
            </w:pPr>
          </w:p>
        </w:tc>
      </w:tr>
      <w:tr>
        <w:trPr>
          <w:trHeight w:val="284"/>
        </w:trPr>
        <w:tc>
          <w:tcPr>
            <w:tcW w:w="6060" w:type="dxa"/>
            <w:vAlign w:val="bottom"/>
          </w:tcPr>
          <w:p>
            <w:pPr>
              <w:spacing w:after="0"/>
              <w:rPr>
                <w:sz w:val="20"/>
                <w:szCs w:val="20"/>
                <w:color w:val="auto"/>
              </w:rPr>
            </w:pPr>
            <w:r>
              <w:rPr>
                <w:rFonts w:ascii="Arial" w:cs="Arial" w:eastAsia="Arial" w:hAnsi="Arial"/>
                <w:sz w:val="20"/>
                <w:szCs w:val="20"/>
                <w:color w:val="auto"/>
              </w:rPr>
              <w:t>Liabilities subject to compromise</w:t>
            </w:r>
          </w:p>
        </w:tc>
        <w:tc>
          <w:tcPr>
            <w:tcW w:w="2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85,862</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362,246</w:t>
            </w:r>
          </w:p>
        </w:tc>
        <w:tc>
          <w:tcPr>
            <w:tcW w:w="0" w:type="dxa"/>
            <w:vAlign w:val="bottom"/>
          </w:tcPr>
          <w:p>
            <w:pPr>
              <w:spacing w:after="0"/>
              <w:rPr>
                <w:sz w:val="1"/>
                <w:szCs w:val="1"/>
                <w:color w:val="auto"/>
              </w:rPr>
            </w:pPr>
          </w:p>
        </w:tc>
      </w:tr>
      <w:tr>
        <w:trPr>
          <w:trHeight w:val="23"/>
        </w:trPr>
        <w:tc>
          <w:tcPr>
            <w:tcW w:w="60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6060" w:type="dxa"/>
            <w:vAlign w:val="bottom"/>
          </w:tcPr>
          <w:p>
            <w:pPr>
              <w:ind w:left="580"/>
              <w:spacing w:after="0"/>
              <w:rPr>
                <w:sz w:val="20"/>
                <w:szCs w:val="20"/>
                <w:color w:val="auto"/>
              </w:rPr>
            </w:pPr>
            <w:r>
              <w:rPr>
                <w:rFonts w:ascii="Arial" w:cs="Arial" w:eastAsia="Arial" w:hAnsi="Arial"/>
                <w:sz w:val="20"/>
                <w:szCs w:val="20"/>
                <w:color w:val="auto"/>
              </w:rPr>
              <w:t>Total liabilities</w:t>
            </w:r>
          </w:p>
        </w:tc>
        <w:tc>
          <w:tcPr>
            <w:tcW w:w="20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316,709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489,597</w:t>
            </w:r>
          </w:p>
        </w:tc>
        <w:tc>
          <w:tcPr>
            <w:tcW w:w="0" w:type="dxa"/>
            <w:vAlign w:val="bottom"/>
          </w:tcPr>
          <w:p>
            <w:pPr>
              <w:spacing w:after="0"/>
              <w:rPr>
                <w:sz w:val="1"/>
                <w:szCs w:val="1"/>
                <w:color w:val="auto"/>
              </w:rPr>
            </w:pPr>
          </w:p>
        </w:tc>
      </w:tr>
      <w:tr>
        <w:trPr>
          <w:trHeight w:val="23"/>
        </w:trPr>
        <w:tc>
          <w:tcPr>
            <w:tcW w:w="60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6060" w:type="dxa"/>
            <w:vAlign w:val="bottom"/>
          </w:tcPr>
          <w:p>
            <w:pPr>
              <w:spacing w:after="0"/>
              <w:rPr>
                <w:sz w:val="20"/>
                <w:szCs w:val="20"/>
                <w:color w:val="auto"/>
              </w:rPr>
            </w:pPr>
            <w:r>
              <w:rPr>
                <w:rFonts w:ascii="Arial" w:cs="Arial" w:eastAsia="Arial" w:hAnsi="Arial"/>
                <w:sz w:val="20"/>
                <w:szCs w:val="20"/>
                <w:color w:val="auto"/>
              </w:rPr>
              <w:t>Redeemable noncontrolling interest</w:t>
            </w:r>
          </w:p>
        </w:tc>
        <w:tc>
          <w:tcPr>
            <w:tcW w:w="20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4,550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19,550</w:t>
            </w:r>
          </w:p>
        </w:tc>
        <w:tc>
          <w:tcPr>
            <w:tcW w:w="0" w:type="dxa"/>
            <w:vAlign w:val="bottom"/>
          </w:tcPr>
          <w:p>
            <w:pPr>
              <w:spacing w:after="0"/>
              <w:rPr>
                <w:sz w:val="1"/>
                <w:szCs w:val="1"/>
                <w:color w:val="auto"/>
              </w:rPr>
            </w:pPr>
          </w:p>
        </w:tc>
      </w:tr>
      <w:tr>
        <w:trPr>
          <w:trHeight w:val="263"/>
        </w:trPr>
        <w:tc>
          <w:tcPr>
            <w:tcW w:w="6060" w:type="dxa"/>
            <w:vAlign w:val="bottom"/>
          </w:tcPr>
          <w:p>
            <w:pPr>
              <w:spacing w:after="0"/>
              <w:rPr>
                <w:sz w:val="20"/>
                <w:szCs w:val="20"/>
                <w:color w:val="auto"/>
              </w:rPr>
            </w:pPr>
            <w:r>
              <w:rPr>
                <w:rFonts w:ascii="Arial" w:cs="Arial" w:eastAsia="Arial" w:hAnsi="Arial"/>
                <w:sz w:val="20"/>
                <w:szCs w:val="20"/>
                <w:color w:val="auto"/>
              </w:rPr>
              <w:t>Redeemable Type I preferred stock,</w:t>
            </w:r>
          </w:p>
        </w:tc>
        <w:tc>
          <w:tcPr>
            <w:tcW w:w="2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160"/>
              <w:spacing w:after="0"/>
              <w:rPr>
                <w:sz w:val="20"/>
                <w:szCs w:val="20"/>
                <w:color w:val="auto"/>
              </w:rPr>
            </w:pPr>
            <w:r>
              <w:rPr>
                <w:rFonts w:ascii="Arial" w:cs="Arial" w:eastAsia="Arial" w:hAnsi="Arial"/>
                <w:sz w:val="20"/>
                <w:szCs w:val="20"/>
                <w:color w:val="auto"/>
                <w:w w:val="92"/>
              </w:rPr>
              <w:t>Authorized 1,000,000 shares; issued and outstanding 1,000,000 shares</w:t>
            </w: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060" w:type="dxa"/>
            <w:vAlign w:val="bottom"/>
          </w:tcPr>
          <w:p>
            <w:pPr>
              <w:ind w:left="160"/>
              <w:spacing w:after="0"/>
              <w:rPr>
                <w:sz w:val="20"/>
                <w:szCs w:val="20"/>
                <w:color w:val="auto"/>
              </w:rPr>
            </w:pPr>
            <w:r>
              <w:rPr>
                <w:rFonts w:ascii="Arial" w:cs="Arial" w:eastAsia="Arial" w:hAnsi="Arial"/>
                <w:sz w:val="20"/>
                <w:szCs w:val="20"/>
                <w:color w:val="auto"/>
              </w:rPr>
              <w:t>at February 28, 2013 and March 31, 2012</w:t>
            </w: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10,554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10,554</w:t>
            </w:r>
          </w:p>
        </w:tc>
        <w:tc>
          <w:tcPr>
            <w:tcW w:w="0" w:type="dxa"/>
            <w:vAlign w:val="bottom"/>
          </w:tcPr>
          <w:p>
            <w:pPr>
              <w:spacing w:after="0"/>
              <w:rPr>
                <w:sz w:val="1"/>
                <w:szCs w:val="1"/>
                <w:color w:val="auto"/>
              </w:rPr>
            </w:pPr>
          </w:p>
        </w:tc>
      </w:tr>
      <w:tr>
        <w:trPr>
          <w:trHeight w:val="263"/>
        </w:trPr>
        <w:tc>
          <w:tcPr>
            <w:tcW w:w="6060" w:type="dxa"/>
            <w:vAlign w:val="bottom"/>
          </w:tcPr>
          <w:p>
            <w:pPr>
              <w:spacing w:after="0"/>
              <w:rPr>
                <w:sz w:val="20"/>
                <w:szCs w:val="20"/>
                <w:color w:val="auto"/>
              </w:rPr>
            </w:pPr>
            <w:r>
              <w:rPr>
                <w:rFonts w:ascii="Arial" w:cs="Arial" w:eastAsia="Arial" w:hAnsi="Arial"/>
                <w:sz w:val="20"/>
                <w:szCs w:val="20"/>
                <w:color w:val="auto"/>
              </w:rPr>
              <w:t>Redeemable Type II preferred stock,</w:t>
            </w:r>
          </w:p>
        </w:tc>
        <w:tc>
          <w:tcPr>
            <w:tcW w:w="2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160"/>
              <w:spacing w:after="0"/>
              <w:rPr>
                <w:sz w:val="20"/>
                <w:szCs w:val="20"/>
                <w:color w:val="auto"/>
              </w:rPr>
            </w:pPr>
            <w:r>
              <w:rPr>
                <w:rFonts w:ascii="Arial" w:cs="Arial" w:eastAsia="Arial" w:hAnsi="Arial"/>
                <w:sz w:val="20"/>
                <w:szCs w:val="20"/>
                <w:color w:val="auto"/>
                <w:w w:val="92"/>
              </w:rPr>
              <w:t>Authorized 2,000,000 shares; issued 2,000,000 shares and outstanding</w:t>
            </w: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060" w:type="dxa"/>
            <w:vAlign w:val="bottom"/>
          </w:tcPr>
          <w:p>
            <w:pPr>
              <w:ind w:left="160"/>
              <w:spacing w:after="0"/>
              <w:rPr>
                <w:sz w:val="20"/>
                <w:szCs w:val="20"/>
                <w:color w:val="auto"/>
              </w:rPr>
            </w:pPr>
            <w:r>
              <w:rPr>
                <w:rFonts w:ascii="Arial" w:cs="Arial" w:eastAsia="Arial" w:hAnsi="Arial"/>
                <w:sz w:val="20"/>
                <w:szCs w:val="20"/>
                <w:color w:val="auto"/>
              </w:rPr>
              <w:t>1,838,967 shares at February 28, 2013 and March 31, 2012</w:t>
            </w: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19,409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19,409</w:t>
            </w:r>
          </w:p>
        </w:tc>
        <w:tc>
          <w:tcPr>
            <w:tcW w:w="0" w:type="dxa"/>
            <w:vAlign w:val="bottom"/>
          </w:tcPr>
          <w:p>
            <w:pPr>
              <w:spacing w:after="0"/>
              <w:rPr>
                <w:sz w:val="1"/>
                <w:szCs w:val="1"/>
                <w:color w:val="auto"/>
              </w:rPr>
            </w:pPr>
          </w:p>
        </w:tc>
      </w:tr>
      <w:tr>
        <w:trPr>
          <w:trHeight w:val="284"/>
        </w:trPr>
        <w:tc>
          <w:tcPr>
            <w:tcW w:w="6060" w:type="dxa"/>
            <w:vAlign w:val="bottom"/>
          </w:tcPr>
          <w:p>
            <w:pPr>
              <w:spacing w:after="0"/>
              <w:rPr>
                <w:sz w:val="20"/>
                <w:szCs w:val="20"/>
                <w:color w:val="auto"/>
              </w:rPr>
            </w:pPr>
            <w:r>
              <w:rPr>
                <w:rFonts w:ascii="Arial" w:cs="Arial" w:eastAsia="Arial" w:hAnsi="Arial"/>
                <w:sz w:val="20"/>
                <w:szCs w:val="20"/>
                <w:color w:val="auto"/>
              </w:rPr>
              <w:t>Stockholders’ equity:</w:t>
            </w: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6060" w:type="dxa"/>
            <w:vAlign w:val="bottom"/>
          </w:tcPr>
          <w:p>
            <w:pPr>
              <w:ind w:left="240"/>
              <w:spacing w:after="0"/>
              <w:rPr>
                <w:sz w:val="20"/>
                <w:szCs w:val="20"/>
                <w:color w:val="auto"/>
              </w:rPr>
            </w:pPr>
            <w:r>
              <w:rPr>
                <w:rFonts w:ascii="Arial" w:cs="Arial" w:eastAsia="Arial" w:hAnsi="Arial"/>
                <w:sz w:val="20"/>
                <w:szCs w:val="20"/>
                <w:color w:val="auto"/>
              </w:rPr>
              <w:t>Common stock,</w:t>
            </w:r>
          </w:p>
        </w:tc>
        <w:tc>
          <w:tcPr>
            <w:tcW w:w="2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400"/>
              <w:spacing w:after="0"/>
              <w:rPr>
                <w:sz w:val="20"/>
                <w:szCs w:val="20"/>
                <w:color w:val="auto"/>
              </w:rPr>
            </w:pPr>
            <w:r>
              <w:rPr>
                <w:rFonts w:ascii="Arial" w:cs="Arial" w:eastAsia="Arial" w:hAnsi="Arial"/>
                <w:sz w:val="20"/>
                <w:szCs w:val="20"/>
                <w:color w:val="auto"/>
                <w:w w:val="92"/>
              </w:rPr>
              <w:t>Authorized 400,000,000 shares; issued and outstanding 271,787,370</w:t>
            </w: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060" w:type="dxa"/>
            <w:vAlign w:val="bottom"/>
          </w:tcPr>
          <w:p>
            <w:pPr>
              <w:ind w:left="400"/>
              <w:spacing w:after="0"/>
              <w:rPr>
                <w:sz w:val="20"/>
                <w:szCs w:val="20"/>
                <w:color w:val="auto"/>
              </w:rPr>
            </w:pPr>
            <w:r>
              <w:rPr>
                <w:rFonts w:ascii="Arial" w:cs="Arial" w:eastAsia="Arial" w:hAnsi="Arial"/>
                <w:sz w:val="20"/>
                <w:szCs w:val="20"/>
                <w:color w:val="auto"/>
              </w:rPr>
              <w:t>shares at February 28, 2013 and March 31, 2012</w:t>
            </w: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222,738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222,738</w:t>
            </w:r>
          </w:p>
        </w:tc>
        <w:tc>
          <w:tcPr>
            <w:tcW w:w="0" w:type="dxa"/>
            <w:vAlign w:val="bottom"/>
          </w:tcPr>
          <w:p>
            <w:pPr>
              <w:spacing w:after="0"/>
              <w:rPr>
                <w:sz w:val="1"/>
                <w:szCs w:val="1"/>
                <w:color w:val="auto"/>
              </w:rPr>
            </w:pPr>
          </w:p>
        </w:tc>
      </w:tr>
      <w:tr>
        <w:trPr>
          <w:trHeight w:val="284"/>
        </w:trPr>
        <w:tc>
          <w:tcPr>
            <w:tcW w:w="6060" w:type="dxa"/>
            <w:vAlign w:val="bottom"/>
          </w:tcPr>
          <w:p>
            <w:pPr>
              <w:ind w:left="240"/>
              <w:spacing w:after="0"/>
              <w:rPr>
                <w:sz w:val="20"/>
                <w:szCs w:val="20"/>
                <w:color w:val="auto"/>
              </w:rPr>
            </w:pPr>
            <w:r>
              <w:rPr>
                <w:rFonts w:ascii="Arial" w:cs="Arial" w:eastAsia="Arial" w:hAnsi="Arial"/>
                <w:sz w:val="20"/>
                <w:szCs w:val="20"/>
                <w:color w:val="auto"/>
              </w:rPr>
              <w:t>Additional paid-in capital</w:t>
            </w:r>
          </w:p>
        </w:tc>
        <w:tc>
          <w:tcPr>
            <w:tcW w:w="2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234,179</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234,179</w:t>
            </w:r>
          </w:p>
        </w:tc>
        <w:tc>
          <w:tcPr>
            <w:tcW w:w="0" w:type="dxa"/>
            <w:vAlign w:val="bottom"/>
          </w:tcPr>
          <w:p>
            <w:pPr>
              <w:spacing w:after="0"/>
              <w:rPr>
                <w:sz w:val="1"/>
                <w:szCs w:val="1"/>
                <w:color w:val="auto"/>
              </w:rPr>
            </w:pPr>
          </w:p>
        </w:tc>
      </w:tr>
      <w:tr>
        <w:trPr>
          <w:trHeight w:val="284"/>
        </w:trPr>
        <w:tc>
          <w:tcPr>
            <w:tcW w:w="6060" w:type="dxa"/>
            <w:vAlign w:val="bottom"/>
          </w:tcPr>
          <w:p>
            <w:pPr>
              <w:ind w:left="240"/>
              <w:spacing w:after="0"/>
              <w:rPr>
                <w:sz w:val="20"/>
                <w:szCs w:val="20"/>
                <w:color w:val="auto"/>
              </w:rPr>
            </w:pPr>
            <w:r>
              <w:rPr>
                <w:rFonts w:ascii="Arial" w:cs="Arial" w:eastAsia="Arial" w:hAnsi="Arial"/>
                <w:sz w:val="20"/>
                <w:szCs w:val="20"/>
                <w:color w:val="auto"/>
              </w:rPr>
              <w:t>Accumulated deficit</w:t>
            </w:r>
          </w:p>
        </w:tc>
        <w:tc>
          <w:tcPr>
            <w:tcW w:w="2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(380,281)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(513,256)</w:t>
            </w:r>
          </w:p>
        </w:tc>
        <w:tc>
          <w:tcPr>
            <w:tcW w:w="0" w:type="dxa"/>
            <w:vAlign w:val="bottom"/>
          </w:tcPr>
          <w:p>
            <w:pPr>
              <w:spacing w:after="0"/>
              <w:rPr>
                <w:sz w:val="1"/>
                <w:szCs w:val="1"/>
                <w:color w:val="auto"/>
              </w:rPr>
            </w:pPr>
          </w:p>
        </w:tc>
      </w:tr>
      <w:tr>
        <w:trPr>
          <w:trHeight w:val="284"/>
        </w:trPr>
        <w:tc>
          <w:tcPr>
            <w:tcW w:w="6060" w:type="dxa"/>
            <w:vAlign w:val="bottom"/>
          </w:tcPr>
          <w:p>
            <w:pPr>
              <w:ind w:left="240"/>
              <w:spacing w:after="0"/>
              <w:rPr>
                <w:sz w:val="20"/>
                <w:szCs w:val="20"/>
                <w:color w:val="auto"/>
              </w:rPr>
            </w:pPr>
            <w:r>
              <w:rPr>
                <w:rFonts w:ascii="Arial" w:cs="Arial" w:eastAsia="Arial" w:hAnsi="Arial"/>
                <w:sz w:val="20"/>
                <w:szCs w:val="20"/>
                <w:color w:val="auto"/>
              </w:rPr>
              <w:t>Accumulated other comprehensive loss</w:t>
            </w:r>
          </w:p>
        </w:tc>
        <w:tc>
          <w:tcPr>
            <w:tcW w:w="2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(9,535)</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(22,796)</w:t>
            </w:r>
          </w:p>
        </w:tc>
        <w:tc>
          <w:tcPr>
            <w:tcW w:w="0" w:type="dxa"/>
            <w:vAlign w:val="bottom"/>
          </w:tcPr>
          <w:p>
            <w:pPr>
              <w:spacing w:after="0"/>
              <w:rPr>
                <w:sz w:val="1"/>
                <w:szCs w:val="1"/>
                <w:color w:val="auto"/>
              </w:rPr>
            </w:pPr>
          </w:p>
        </w:tc>
      </w:tr>
      <w:tr>
        <w:trPr>
          <w:trHeight w:val="263"/>
        </w:trPr>
        <w:tc>
          <w:tcPr>
            <w:tcW w:w="6060" w:type="dxa"/>
            <w:vAlign w:val="bottom"/>
          </w:tcPr>
          <w:p>
            <w:pPr>
              <w:ind w:left="240"/>
              <w:spacing w:after="0"/>
              <w:rPr>
                <w:sz w:val="20"/>
                <w:szCs w:val="20"/>
                <w:color w:val="auto"/>
              </w:rPr>
            </w:pPr>
            <w:r>
              <w:rPr>
                <w:rFonts w:ascii="Arial" w:cs="Arial" w:eastAsia="Arial" w:hAnsi="Arial"/>
                <w:sz w:val="20"/>
                <w:szCs w:val="20"/>
                <w:color w:val="auto"/>
              </w:rPr>
              <w:t>Treasury stock,</w:t>
            </w:r>
          </w:p>
        </w:tc>
        <w:tc>
          <w:tcPr>
            <w:tcW w:w="2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400"/>
              <w:spacing w:after="0"/>
              <w:rPr>
                <w:sz w:val="20"/>
                <w:szCs w:val="20"/>
                <w:color w:val="auto"/>
              </w:rPr>
            </w:pPr>
            <w:r>
              <w:rPr>
                <w:rFonts w:ascii="Arial" w:cs="Arial" w:eastAsia="Arial" w:hAnsi="Arial"/>
                <w:sz w:val="20"/>
                <w:szCs w:val="20"/>
                <w:color w:val="auto"/>
                <w:w w:val="97"/>
              </w:rPr>
              <w:t>1,518 common shares at February 28, 2013 and March 31, 2012,</w:t>
            </w: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060" w:type="dxa"/>
            <w:vAlign w:val="bottom"/>
          </w:tcPr>
          <w:p>
            <w:pPr>
              <w:ind w:left="400"/>
              <w:spacing w:after="0"/>
              <w:rPr>
                <w:sz w:val="20"/>
                <w:szCs w:val="20"/>
                <w:color w:val="auto"/>
              </w:rPr>
            </w:pPr>
            <w:r>
              <w:rPr>
                <w:rFonts w:ascii="Arial" w:cs="Arial" w:eastAsia="Arial" w:hAnsi="Arial"/>
                <w:sz w:val="20"/>
                <w:szCs w:val="20"/>
                <w:color w:val="auto"/>
              </w:rPr>
              <w:t>respectively, at cost</w:t>
            </w: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23"/>
        </w:trPr>
        <w:tc>
          <w:tcPr>
            <w:tcW w:w="6060" w:type="dxa"/>
            <w:vAlign w:val="bottom"/>
            <w:vMerge w:val="restart"/>
          </w:tcPr>
          <w:p>
            <w:pPr>
              <w:ind w:left="580"/>
              <w:spacing w:after="0"/>
              <w:rPr>
                <w:sz w:val="20"/>
                <w:szCs w:val="20"/>
                <w:color w:val="auto"/>
              </w:rPr>
            </w:pPr>
            <w:r>
              <w:rPr>
                <w:rFonts w:ascii="Arial" w:cs="Arial" w:eastAsia="Arial" w:hAnsi="Arial"/>
                <w:sz w:val="20"/>
                <w:szCs w:val="20"/>
                <w:color w:val="auto"/>
                <w:w w:val="96"/>
              </w:rPr>
              <w:t>Total stockholders’ equity (deficit) attributable to Elpida Memory,</w:t>
            </w: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60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060" w:type="dxa"/>
            <w:vAlign w:val="bottom"/>
          </w:tcPr>
          <w:p>
            <w:pPr>
              <w:ind w:left="740"/>
              <w:spacing w:after="0"/>
              <w:rPr>
                <w:sz w:val="20"/>
                <w:szCs w:val="20"/>
                <w:color w:val="auto"/>
              </w:rPr>
            </w:pPr>
            <w:r>
              <w:rPr>
                <w:rFonts w:ascii="Arial" w:cs="Arial" w:eastAsia="Arial" w:hAnsi="Arial"/>
                <w:sz w:val="20"/>
                <w:szCs w:val="20"/>
                <w:color w:val="auto"/>
              </w:rPr>
              <w:t>Inc. and subsidiaries</w:t>
            </w: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67,096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(79,140)</w:t>
            </w:r>
          </w:p>
        </w:tc>
        <w:tc>
          <w:tcPr>
            <w:tcW w:w="0" w:type="dxa"/>
            <w:vAlign w:val="bottom"/>
          </w:tcPr>
          <w:p>
            <w:pPr>
              <w:spacing w:after="0"/>
              <w:rPr>
                <w:sz w:val="1"/>
                <w:szCs w:val="1"/>
                <w:color w:val="auto"/>
              </w:rPr>
            </w:pPr>
          </w:p>
        </w:tc>
      </w:tr>
      <w:tr>
        <w:trPr>
          <w:trHeight w:val="284"/>
        </w:trPr>
        <w:tc>
          <w:tcPr>
            <w:tcW w:w="6060" w:type="dxa"/>
            <w:vAlign w:val="bottom"/>
          </w:tcPr>
          <w:p>
            <w:pPr>
              <w:spacing w:after="0"/>
              <w:rPr>
                <w:sz w:val="20"/>
                <w:szCs w:val="20"/>
                <w:color w:val="auto"/>
              </w:rPr>
            </w:pPr>
            <w:r>
              <w:rPr>
                <w:rFonts w:ascii="Arial" w:cs="Arial" w:eastAsia="Arial" w:hAnsi="Arial"/>
                <w:sz w:val="20"/>
                <w:szCs w:val="20"/>
                <w:color w:val="auto"/>
              </w:rPr>
              <w:t>Noncontrolling interest</w:t>
            </w:r>
          </w:p>
        </w:tc>
        <w:tc>
          <w:tcPr>
            <w:tcW w:w="2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60,570</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55,316</w:t>
            </w:r>
          </w:p>
        </w:tc>
        <w:tc>
          <w:tcPr>
            <w:tcW w:w="0" w:type="dxa"/>
            <w:vAlign w:val="bottom"/>
          </w:tcPr>
          <w:p>
            <w:pPr>
              <w:spacing w:after="0"/>
              <w:rPr>
                <w:sz w:val="1"/>
                <w:szCs w:val="1"/>
                <w:color w:val="auto"/>
              </w:rPr>
            </w:pPr>
          </w:p>
        </w:tc>
      </w:tr>
      <w:tr>
        <w:trPr>
          <w:trHeight w:val="23"/>
        </w:trPr>
        <w:tc>
          <w:tcPr>
            <w:tcW w:w="60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6060" w:type="dxa"/>
            <w:vAlign w:val="bottom"/>
          </w:tcPr>
          <w:p>
            <w:pPr>
              <w:ind w:left="580"/>
              <w:spacing w:after="0"/>
              <w:rPr>
                <w:sz w:val="20"/>
                <w:szCs w:val="20"/>
                <w:color w:val="auto"/>
              </w:rPr>
            </w:pPr>
            <w:r>
              <w:rPr>
                <w:rFonts w:ascii="Arial" w:cs="Arial" w:eastAsia="Arial" w:hAnsi="Arial"/>
                <w:sz w:val="20"/>
                <w:szCs w:val="20"/>
                <w:color w:val="auto"/>
              </w:rPr>
              <w:t>Total stockholders’ equity (deficit)</w:t>
            </w:r>
          </w:p>
        </w:tc>
        <w:tc>
          <w:tcPr>
            <w:tcW w:w="20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127,666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(23,824)</w:t>
            </w:r>
          </w:p>
        </w:tc>
        <w:tc>
          <w:tcPr>
            <w:tcW w:w="0" w:type="dxa"/>
            <w:vAlign w:val="bottom"/>
          </w:tcPr>
          <w:p>
            <w:pPr>
              <w:spacing w:after="0"/>
              <w:rPr>
                <w:sz w:val="1"/>
                <w:szCs w:val="1"/>
                <w:color w:val="auto"/>
              </w:rPr>
            </w:pPr>
          </w:p>
        </w:tc>
      </w:tr>
      <w:tr>
        <w:trPr>
          <w:trHeight w:val="23"/>
        </w:trPr>
        <w:tc>
          <w:tcPr>
            <w:tcW w:w="60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6060" w:type="dxa"/>
            <w:vAlign w:val="bottom"/>
          </w:tcPr>
          <w:p>
            <w:pPr>
              <w:ind w:left="580"/>
              <w:spacing w:after="0"/>
              <w:rPr>
                <w:sz w:val="20"/>
                <w:szCs w:val="20"/>
                <w:color w:val="auto"/>
              </w:rPr>
            </w:pPr>
            <w:r>
              <w:rPr>
                <w:rFonts w:ascii="Arial" w:cs="Arial" w:eastAsia="Arial" w:hAnsi="Arial"/>
                <w:sz w:val="20"/>
                <w:szCs w:val="20"/>
                <w:color w:val="auto"/>
              </w:rPr>
              <w:t>Total liabilities and stockholders’ equity</w:t>
            </w:r>
          </w:p>
        </w:tc>
        <w:tc>
          <w:tcPr>
            <w:tcW w:w="20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420" w:type="dxa"/>
            <w:vAlign w:val="bottom"/>
          </w:tcPr>
          <w:p>
            <w:pPr>
              <w:jc w:val="right"/>
              <w:spacing w:after="0"/>
              <w:rPr>
                <w:sz w:val="20"/>
                <w:szCs w:val="20"/>
                <w:color w:val="auto"/>
              </w:rPr>
            </w:pPr>
            <w:r>
              <w:rPr>
                <w:rFonts w:ascii="Arial" w:cs="Arial" w:eastAsia="Arial" w:hAnsi="Arial"/>
                <w:sz w:val="20"/>
                <w:szCs w:val="20"/>
                <w:color w:val="auto"/>
              </w:rPr>
              <w:t>478,888</w:t>
            </w:r>
          </w:p>
        </w:tc>
        <w:tc>
          <w:tcPr>
            <w:tcW w:w="120" w:type="dxa"/>
            <w:vAlign w:val="bottom"/>
          </w:tcPr>
          <w:p>
            <w:pPr>
              <w:spacing w:after="0"/>
              <w:rPr>
                <w:sz w:val="23"/>
                <w:szCs w:val="23"/>
                <w:color w:val="auto"/>
              </w:rPr>
            </w:pPr>
          </w:p>
        </w:tc>
        <w:tc>
          <w:tcPr>
            <w:tcW w:w="260" w:type="dxa"/>
            <w:vAlign w:val="bottom"/>
          </w:tcPr>
          <w:p>
            <w:pPr>
              <w:jc w:val="right"/>
              <w:ind w:right="41"/>
              <w:spacing w:after="0"/>
              <w:rPr>
                <w:sz w:val="20"/>
                <w:szCs w:val="20"/>
                <w:color w:val="auto"/>
              </w:rPr>
            </w:pPr>
            <w:r>
              <w:rPr>
                <w:rFonts w:ascii="Arial" w:cs="Arial" w:eastAsia="Arial" w:hAnsi="Arial"/>
                <w:sz w:val="20"/>
                <w:szCs w:val="20"/>
                <w:color w:val="auto"/>
                <w:w w:val="89"/>
              </w:rPr>
              <w:t>¥</w:t>
            </w:r>
          </w:p>
        </w:tc>
        <w:tc>
          <w:tcPr>
            <w:tcW w:w="1360" w:type="dxa"/>
            <w:vAlign w:val="bottom"/>
          </w:tcPr>
          <w:p>
            <w:pPr>
              <w:jc w:val="right"/>
              <w:spacing w:after="0"/>
              <w:rPr>
                <w:sz w:val="20"/>
                <w:szCs w:val="20"/>
                <w:color w:val="auto"/>
              </w:rPr>
            </w:pPr>
            <w:r>
              <w:rPr>
                <w:rFonts w:ascii="Arial" w:cs="Arial" w:eastAsia="Arial" w:hAnsi="Arial"/>
                <w:sz w:val="20"/>
                <w:szCs w:val="20"/>
                <w:color w:val="auto"/>
              </w:rPr>
              <w:t>515,286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6350</wp:posOffset>
            </wp:positionV>
            <wp:extent cx="21437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-143510</wp:posOffset>
            </wp:positionV>
            <wp:extent cx="21437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954" w:right="2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20"/>
          <w:szCs w:val="20"/>
          <w:b w:val="1"/>
          <w:bCs w:val="1"/>
          <w:color w:val="auto"/>
        </w:rPr>
        <w:t>ELPIDA MEMORY, INC. AND SUBSIDIARIES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(DEBTORS-IN-POSSESSION)</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Eleven months ended February 28, 2013 and Year ended March 31, 2012</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(Yen in millions)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680" w:type="dxa"/>
        <w:tblCellMar>
          <w:top w:w="0" w:type="dxa"/>
          <w:left w:w="0" w:type="dxa"/>
          <w:bottom w:w="0" w:type="dxa"/>
          <w:right w:w="0" w:type="dxa"/>
        </w:tblCellMar>
      </w:tblPr>
      <w:tr>
        <w:trPr>
          <w:trHeight w:val="230"/>
        </w:trPr>
        <w:tc>
          <w:tcPr>
            <w:tcW w:w="6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20"/>
                <w:szCs w:val="20"/>
                <w:b w:val="1"/>
                <w:bCs w:val="1"/>
                <w:color w:val="auto"/>
                <w:w w:val="87"/>
              </w:rPr>
              <w:t>Eleven months</w:t>
            </w:r>
          </w:p>
        </w:tc>
        <w:tc>
          <w:tcPr>
            <w:tcW w:w="260" w:type="dxa"/>
            <w:vAlign w:val="bottom"/>
          </w:tcPr>
          <w:p>
            <w:pPr>
              <w:spacing w:after="0"/>
              <w:rPr>
                <w:sz w:val="19"/>
                <w:szCs w:val="19"/>
                <w:color w:val="auto"/>
              </w:rPr>
            </w:pPr>
          </w:p>
        </w:tc>
        <w:tc>
          <w:tcPr>
            <w:tcW w:w="1400" w:type="dxa"/>
            <w:vAlign w:val="bottom"/>
          </w:tcPr>
          <w:p>
            <w:pPr>
              <w:jc w:val="center"/>
              <w:ind w:right="141"/>
              <w:spacing w:after="0"/>
              <w:rPr>
                <w:sz w:val="20"/>
                <w:szCs w:val="20"/>
                <w:color w:val="auto"/>
              </w:rPr>
            </w:pPr>
            <w:r>
              <w:rPr>
                <w:rFonts w:ascii="Arial" w:cs="Arial" w:eastAsia="Arial" w:hAnsi="Arial"/>
                <w:sz w:val="20"/>
                <w:szCs w:val="20"/>
                <w:b w:val="1"/>
                <w:bCs w:val="1"/>
                <w:color w:val="auto"/>
                <w:w w:val="92"/>
              </w:rPr>
              <w:t>Year</w:t>
            </w:r>
          </w:p>
        </w:tc>
        <w:tc>
          <w:tcPr>
            <w:tcW w:w="0" w:type="dxa"/>
            <w:vAlign w:val="bottom"/>
          </w:tcPr>
          <w:p>
            <w:pPr>
              <w:spacing w:after="0"/>
              <w:rPr>
                <w:sz w:val="1"/>
                <w:szCs w:val="1"/>
                <w:color w:val="auto"/>
              </w:rPr>
            </w:pPr>
          </w:p>
        </w:tc>
      </w:tr>
      <w:tr>
        <w:trPr>
          <w:trHeight w:val="230"/>
        </w:trPr>
        <w:tc>
          <w:tcPr>
            <w:tcW w:w="6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20"/>
                <w:szCs w:val="20"/>
                <w:b w:val="1"/>
                <w:bCs w:val="1"/>
                <w:color w:val="auto"/>
                <w:w w:val="91"/>
              </w:rPr>
              <w:t>Ended</w:t>
            </w:r>
          </w:p>
        </w:tc>
        <w:tc>
          <w:tcPr>
            <w:tcW w:w="260" w:type="dxa"/>
            <w:vAlign w:val="bottom"/>
          </w:tcPr>
          <w:p>
            <w:pPr>
              <w:spacing w:after="0"/>
              <w:rPr>
                <w:sz w:val="19"/>
                <w:szCs w:val="19"/>
                <w:color w:val="auto"/>
              </w:rPr>
            </w:pPr>
          </w:p>
        </w:tc>
        <w:tc>
          <w:tcPr>
            <w:tcW w:w="1400" w:type="dxa"/>
            <w:vAlign w:val="bottom"/>
          </w:tcPr>
          <w:p>
            <w:pPr>
              <w:jc w:val="center"/>
              <w:ind w:right="161"/>
              <w:spacing w:after="0"/>
              <w:rPr>
                <w:sz w:val="20"/>
                <w:szCs w:val="20"/>
                <w:color w:val="auto"/>
              </w:rPr>
            </w:pPr>
            <w:r>
              <w:rPr>
                <w:rFonts w:ascii="Arial" w:cs="Arial" w:eastAsia="Arial" w:hAnsi="Arial"/>
                <w:sz w:val="20"/>
                <w:szCs w:val="20"/>
                <w:b w:val="1"/>
                <w:bCs w:val="1"/>
                <w:color w:val="auto"/>
                <w:w w:val="84"/>
              </w:rPr>
              <w:t>ended</w:t>
            </w:r>
          </w:p>
        </w:tc>
        <w:tc>
          <w:tcPr>
            <w:tcW w:w="0" w:type="dxa"/>
            <w:vAlign w:val="bottom"/>
          </w:tcPr>
          <w:p>
            <w:pPr>
              <w:spacing w:after="0"/>
              <w:rPr>
                <w:sz w:val="1"/>
                <w:szCs w:val="1"/>
                <w:color w:val="auto"/>
              </w:rPr>
            </w:pPr>
          </w:p>
        </w:tc>
      </w:tr>
      <w:tr>
        <w:trPr>
          <w:trHeight w:val="230"/>
        </w:trPr>
        <w:tc>
          <w:tcPr>
            <w:tcW w:w="6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20"/>
                <w:szCs w:val="20"/>
                <w:b w:val="1"/>
                <w:bCs w:val="1"/>
                <w:color w:val="auto"/>
                <w:w w:val="92"/>
              </w:rPr>
              <w:t>February 28,</w:t>
            </w:r>
          </w:p>
        </w:tc>
        <w:tc>
          <w:tcPr>
            <w:tcW w:w="260" w:type="dxa"/>
            <w:vAlign w:val="bottom"/>
          </w:tcPr>
          <w:p>
            <w:pPr>
              <w:spacing w:after="0"/>
              <w:rPr>
                <w:sz w:val="19"/>
                <w:szCs w:val="19"/>
                <w:color w:val="auto"/>
              </w:rPr>
            </w:pPr>
          </w:p>
        </w:tc>
        <w:tc>
          <w:tcPr>
            <w:tcW w:w="1400" w:type="dxa"/>
            <w:vAlign w:val="bottom"/>
          </w:tcPr>
          <w:p>
            <w:pPr>
              <w:jc w:val="center"/>
              <w:ind w:right="161"/>
              <w:spacing w:after="0"/>
              <w:rPr>
                <w:sz w:val="20"/>
                <w:szCs w:val="20"/>
                <w:color w:val="auto"/>
              </w:rPr>
            </w:pPr>
            <w:r>
              <w:rPr>
                <w:rFonts w:ascii="Arial" w:cs="Arial" w:eastAsia="Arial" w:hAnsi="Arial"/>
                <w:sz w:val="20"/>
                <w:szCs w:val="20"/>
                <w:b w:val="1"/>
                <w:bCs w:val="1"/>
                <w:color w:val="auto"/>
                <w:w w:val="93"/>
              </w:rPr>
              <w:t>March 31,</w:t>
            </w:r>
          </w:p>
        </w:tc>
        <w:tc>
          <w:tcPr>
            <w:tcW w:w="0" w:type="dxa"/>
            <w:vAlign w:val="bottom"/>
          </w:tcPr>
          <w:p>
            <w:pPr>
              <w:spacing w:after="0"/>
              <w:rPr>
                <w:sz w:val="1"/>
                <w:szCs w:val="1"/>
                <w:color w:val="auto"/>
              </w:rPr>
            </w:pPr>
          </w:p>
        </w:tc>
      </w:tr>
      <w:tr>
        <w:trPr>
          <w:trHeight w:val="256"/>
        </w:trPr>
        <w:tc>
          <w:tcPr>
            <w:tcW w:w="6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jc w:val="center"/>
              <w:ind w:right="61"/>
              <w:spacing w:after="0"/>
              <w:rPr>
                <w:sz w:val="20"/>
                <w:szCs w:val="20"/>
                <w:color w:val="auto"/>
              </w:rPr>
            </w:pPr>
            <w:r>
              <w:rPr>
                <w:rFonts w:ascii="Arial" w:cs="Arial" w:eastAsia="Arial" w:hAnsi="Arial"/>
                <w:sz w:val="20"/>
                <w:szCs w:val="20"/>
                <w:b w:val="1"/>
                <w:bCs w:val="1"/>
                <w:color w:val="auto"/>
                <w:w w:val="89"/>
              </w:rPr>
              <w:t>2013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0" w:type="dxa"/>
            <w:vAlign w:val="bottom"/>
          </w:tcPr>
          <w:p>
            <w:pPr>
              <w:jc w:val="center"/>
              <w:ind w:right="141"/>
              <w:spacing w:after="0"/>
              <w:rPr>
                <w:sz w:val="20"/>
                <w:szCs w:val="20"/>
                <w:color w:val="auto"/>
              </w:rPr>
            </w:pPr>
            <w:r>
              <w:rPr>
                <w:rFonts w:ascii="Arial" w:cs="Arial" w:eastAsia="Arial" w:hAnsi="Arial"/>
                <w:sz w:val="20"/>
                <w:szCs w:val="20"/>
                <w:b w:val="1"/>
                <w:bCs w:val="1"/>
                <w:color w:val="auto"/>
                <w:w w:val="89"/>
              </w:rPr>
              <w:t>2012</w:t>
            </w:r>
          </w:p>
        </w:tc>
        <w:tc>
          <w:tcPr>
            <w:tcW w:w="0" w:type="dxa"/>
            <w:vAlign w:val="bottom"/>
          </w:tcPr>
          <w:p>
            <w:pPr>
              <w:spacing w:after="0"/>
              <w:rPr>
                <w:sz w:val="1"/>
                <w:szCs w:val="1"/>
                <w:color w:val="auto"/>
              </w:rPr>
            </w:pPr>
          </w:p>
        </w:tc>
      </w:tr>
      <w:tr>
        <w:trPr>
          <w:trHeight w:val="23"/>
        </w:trPr>
        <w:tc>
          <w:tcPr>
            <w:tcW w:w="60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6060" w:type="dxa"/>
            <w:vAlign w:val="bottom"/>
          </w:tcPr>
          <w:p>
            <w:pPr>
              <w:spacing w:after="0"/>
              <w:rPr>
                <w:sz w:val="20"/>
                <w:szCs w:val="20"/>
                <w:color w:val="auto"/>
              </w:rPr>
            </w:pPr>
            <w:r>
              <w:rPr>
                <w:rFonts w:ascii="Arial" w:cs="Arial" w:eastAsia="Arial" w:hAnsi="Arial"/>
                <w:sz w:val="20"/>
                <w:szCs w:val="20"/>
                <w:color w:val="auto"/>
              </w:rPr>
              <w:t>Net sales</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1480" w:type="dxa"/>
            <w:vAlign w:val="bottom"/>
          </w:tcPr>
          <w:p>
            <w:pPr>
              <w:jc w:val="right"/>
              <w:ind w:right="1"/>
              <w:spacing w:after="0"/>
              <w:rPr>
                <w:sz w:val="20"/>
                <w:szCs w:val="20"/>
                <w:color w:val="auto"/>
              </w:rPr>
            </w:pPr>
            <w:r>
              <w:rPr>
                <w:rFonts w:ascii="Arial" w:cs="Arial" w:eastAsia="Arial" w:hAnsi="Arial"/>
                <w:sz w:val="20"/>
                <w:szCs w:val="20"/>
                <w:color w:val="auto"/>
              </w:rPr>
              <w:t>266,378</w:t>
            </w:r>
          </w:p>
        </w:tc>
        <w:tc>
          <w:tcPr>
            <w:tcW w:w="100" w:type="dxa"/>
            <w:vAlign w:val="bottom"/>
          </w:tcPr>
          <w:p>
            <w:pPr>
              <w:spacing w:after="0"/>
              <w:rPr>
                <w:sz w:val="22"/>
                <w:szCs w:val="22"/>
                <w:color w:val="auto"/>
              </w:rPr>
            </w:pPr>
          </w:p>
        </w:tc>
        <w:tc>
          <w:tcPr>
            <w:tcW w:w="2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400" w:type="dxa"/>
            <w:vAlign w:val="bottom"/>
          </w:tcPr>
          <w:p>
            <w:pPr>
              <w:jc w:val="right"/>
              <w:ind w:right="1"/>
              <w:spacing w:after="0"/>
              <w:rPr>
                <w:sz w:val="20"/>
                <w:szCs w:val="20"/>
                <w:color w:val="auto"/>
              </w:rPr>
            </w:pPr>
            <w:r>
              <w:rPr>
                <w:rFonts w:ascii="Arial" w:cs="Arial" w:eastAsia="Arial" w:hAnsi="Arial"/>
                <w:sz w:val="20"/>
                <w:szCs w:val="20"/>
                <w:color w:val="auto"/>
              </w:rPr>
              <w:t>284,410</w:t>
            </w:r>
          </w:p>
        </w:tc>
        <w:tc>
          <w:tcPr>
            <w:tcW w:w="0" w:type="dxa"/>
            <w:vAlign w:val="bottom"/>
          </w:tcPr>
          <w:p>
            <w:pPr>
              <w:spacing w:after="0"/>
              <w:rPr>
                <w:sz w:val="1"/>
                <w:szCs w:val="1"/>
                <w:color w:val="auto"/>
              </w:rPr>
            </w:pPr>
          </w:p>
        </w:tc>
      </w:tr>
      <w:tr>
        <w:trPr>
          <w:trHeight w:val="284"/>
        </w:trPr>
        <w:tc>
          <w:tcPr>
            <w:tcW w:w="6060" w:type="dxa"/>
            <w:vAlign w:val="bottom"/>
          </w:tcPr>
          <w:p>
            <w:pPr>
              <w:spacing w:after="0"/>
              <w:rPr>
                <w:sz w:val="20"/>
                <w:szCs w:val="20"/>
                <w:color w:val="auto"/>
              </w:rPr>
            </w:pPr>
            <w:r>
              <w:rPr>
                <w:rFonts w:ascii="Arial" w:cs="Arial" w:eastAsia="Arial" w:hAnsi="Arial"/>
                <w:sz w:val="20"/>
                <w:szCs w:val="20"/>
                <w:color w:val="auto"/>
              </w:rPr>
              <w:t>Cost of sales</w:t>
            </w:r>
          </w:p>
        </w:tc>
        <w:tc>
          <w:tcPr>
            <w:tcW w:w="160" w:type="dxa"/>
            <w:vAlign w:val="bottom"/>
          </w:tcPr>
          <w:p>
            <w:pPr>
              <w:spacing w:after="0"/>
              <w:rPr>
                <w:sz w:val="24"/>
                <w:szCs w:val="24"/>
                <w:color w:val="auto"/>
              </w:rPr>
            </w:pPr>
          </w:p>
        </w:tc>
        <w:tc>
          <w:tcPr>
            <w:tcW w:w="1480" w:type="dxa"/>
            <w:vAlign w:val="bottom"/>
          </w:tcPr>
          <w:p>
            <w:pPr>
              <w:jc w:val="right"/>
              <w:ind w:right="1"/>
              <w:spacing w:after="0"/>
              <w:rPr>
                <w:sz w:val="20"/>
                <w:szCs w:val="20"/>
                <w:color w:val="auto"/>
              </w:rPr>
            </w:pPr>
            <w:r>
              <w:rPr>
                <w:rFonts w:ascii="Arial" w:cs="Arial" w:eastAsia="Arial" w:hAnsi="Arial"/>
                <w:sz w:val="20"/>
                <w:szCs w:val="20"/>
                <w:color w:val="auto"/>
              </w:rPr>
              <w:t>255,283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jc w:val="right"/>
              <w:ind w:right="1"/>
              <w:spacing w:after="0"/>
              <w:rPr>
                <w:sz w:val="20"/>
                <w:szCs w:val="20"/>
                <w:color w:val="auto"/>
              </w:rPr>
            </w:pPr>
            <w:r>
              <w:rPr>
                <w:rFonts w:ascii="Arial" w:cs="Arial" w:eastAsia="Arial" w:hAnsi="Arial"/>
                <w:sz w:val="20"/>
                <w:szCs w:val="20"/>
                <w:color w:val="auto"/>
              </w:rPr>
              <w:t>331,523</w:t>
            </w:r>
          </w:p>
        </w:tc>
        <w:tc>
          <w:tcPr>
            <w:tcW w:w="0" w:type="dxa"/>
            <w:vAlign w:val="bottom"/>
          </w:tcPr>
          <w:p>
            <w:pPr>
              <w:spacing w:after="0"/>
              <w:rPr>
                <w:sz w:val="1"/>
                <w:szCs w:val="1"/>
                <w:color w:val="auto"/>
              </w:rPr>
            </w:pPr>
          </w:p>
        </w:tc>
      </w:tr>
      <w:tr>
        <w:trPr>
          <w:trHeight w:val="23"/>
        </w:trPr>
        <w:tc>
          <w:tcPr>
            <w:tcW w:w="60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6060" w:type="dxa"/>
            <w:vAlign w:val="bottom"/>
          </w:tcPr>
          <w:p>
            <w:pPr>
              <w:ind w:left="580"/>
              <w:spacing w:after="0"/>
              <w:rPr>
                <w:sz w:val="20"/>
                <w:szCs w:val="20"/>
                <w:color w:val="auto"/>
              </w:rPr>
            </w:pPr>
            <w:r>
              <w:rPr>
                <w:rFonts w:ascii="Arial" w:cs="Arial" w:eastAsia="Arial" w:hAnsi="Arial"/>
                <w:sz w:val="20"/>
                <w:szCs w:val="20"/>
                <w:color w:val="auto"/>
              </w:rPr>
              <w:t>Gross profit (loss)</w:t>
            </w:r>
          </w:p>
        </w:tc>
        <w:tc>
          <w:tcPr>
            <w:tcW w:w="160" w:type="dxa"/>
            <w:vAlign w:val="bottom"/>
          </w:tcPr>
          <w:p>
            <w:pPr>
              <w:spacing w:after="0"/>
              <w:rPr>
                <w:sz w:val="22"/>
                <w:szCs w:val="22"/>
                <w:color w:val="auto"/>
              </w:rPr>
            </w:pPr>
          </w:p>
        </w:tc>
        <w:tc>
          <w:tcPr>
            <w:tcW w:w="1480" w:type="dxa"/>
            <w:vAlign w:val="bottom"/>
          </w:tcPr>
          <w:p>
            <w:pPr>
              <w:jc w:val="right"/>
              <w:ind w:right="1"/>
              <w:spacing w:after="0"/>
              <w:rPr>
                <w:sz w:val="20"/>
                <w:szCs w:val="20"/>
                <w:color w:val="auto"/>
              </w:rPr>
            </w:pPr>
            <w:r>
              <w:rPr>
                <w:rFonts w:ascii="Arial" w:cs="Arial" w:eastAsia="Arial" w:hAnsi="Arial"/>
                <w:sz w:val="20"/>
                <w:szCs w:val="20"/>
                <w:color w:val="auto"/>
              </w:rPr>
              <w:t>11,095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(47,113)</w:t>
            </w:r>
          </w:p>
        </w:tc>
        <w:tc>
          <w:tcPr>
            <w:tcW w:w="0" w:type="dxa"/>
            <w:vAlign w:val="bottom"/>
          </w:tcPr>
          <w:p>
            <w:pPr>
              <w:spacing w:after="0"/>
              <w:rPr>
                <w:sz w:val="1"/>
                <w:szCs w:val="1"/>
                <w:color w:val="auto"/>
              </w:rPr>
            </w:pPr>
          </w:p>
        </w:tc>
      </w:tr>
      <w:tr>
        <w:trPr>
          <w:trHeight w:val="284"/>
        </w:trPr>
        <w:tc>
          <w:tcPr>
            <w:tcW w:w="6060" w:type="dxa"/>
            <w:vAlign w:val="bottom"/>
          </w:tcPr>
          <w:p>
            <w:pPr>
              <w:spacing w:after="0"/>
              <w:rPr>
                <w:sz w:val="20"/>
                <w:szCs w:val="20"/>
                <w:color w:val="auto"/>
              </w:rPr>
            </w:pPr>
            <w:r>
              <w:rPr>
                <w:rFonts w:ascii="Arial" w:cs="Arial" w:eastAsia="Arial" w:hAnsi="Arial"/>
                <w:sz w:val="20"/>
                <w:szCs w:val="20"/>
                <w:color w:val="auto"/>
              </w:rPr>
              <w:t>Selling, general, and administrative expenses</w:t>
            </w:r>
          </w:p>
        </w:tc>
        <w:tc>
          <w:tcPr>
            <w:tcW w:w="160" w:type="dxa"/>
            <w:vAlign w:val="bottom"/>
          </w:tcPr>
          <w:p>
            <w:pPr>
              <w:spacing w:after="0"/>
              <w:rPr>
                <w:sz w:val="24"/>
                <w:szCs w:val="24"/>
                <w:color w:val="auto"/>
              </w:rPr>
            </w:pPr>
          </w:p>
        </w:tc>
        <w:tc>
          <w:tcPr>
            <w:tcW w:w="1480" w:type="dxa"/>
            <w:vAlign w:val="bottom"/>
          </w:tcPr>
          <w:p>
            <w:pPr>
              <w:jc w:val="right"/>
              <w:ind w:right="1"/>
              <w:spacing w:after="0"/>
              <w:rPr>
                <w:sz w:val="20"/>
                <w:szCs w:val="20"/>
                <w:color w:val="auto"/>
              </w:rPr>
            </w:pPr>
            <w:r>
              <w:rPr>
                <w:rFonts w:ascii="Arial" w:cs="Arial" w:eastAsia="Arial" w:hAnsi="Arial"/>
                <w:sz w:val="20"/>
                <w:szCs w:val="20"/>
                <w:color w:val="auto"/>
              </w:rPr>
              <w:t>44,901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jc w:val="right"/>
              <w:ind w:right="1"/>
              <w:spacing w:after="0"/>
              <w:rPr>
                <w:sz w:val="20"/>
                <w:szCs w:val="20"/>
                <w:color w:val="auto"/>
              </w:rPr>
            </w:pPr>
            <w:r>
              <w:rPr>
                <w:rFonts w:ascii="Arial" w:cs="Arial" w:eastAsia="Arial" w:hAnsi="Arial"/>
                <w:sz w:val="20"/>
                <w:szCs w:val="20"/>
                <w:color w:val="auto"/>
              </w:rPr>
              <w:t>64,201</w:t>
            </w:r>
          </w:p>
        </w:tc>
        <w:tc>
          <w:tcPr>
            <w:tcW w:w="0" w:type="dxa"/>
            <w:vAlign w:val="bottom"/>
          </w:tcPr>
          <w:p>
            <w:pPr>
              <w:spacing w:after="0"/>
              <w:rPr>
                <w:sz w:val="1"/>
                <w:szCs w:val="1"/>
                <w:color w:val="auto"/>
              </w:rPr>
            </w:pPr>
          </w:p>
        </w:tc>
      </w:tr>
      <w:tr>
        <w:trPr>
          <w:trHeight w:val="284"/>
        </w:trPr>
        <w:tc>
          <w:tcPr>
            <w:tcW w:w="6060" w:type="dxa"/>
            <w:vAlign w:val="bottom"/>
          </w:tcPr>
          <w:p>
            <w:pPr>
              <w:spacing w:after="0"/>
              <w:rPr>
                <w:sz w:val="20"/>
                <w:szCs w:val="20"/>
                <w:color w:val="auto"/>
              </w:rPr>
            </w:pPr>
            <w:r>
              <w:rPr>
                <w:rFonts w:ascii="Arial" w:cs="Arial" w:eastAsia="Arial" w:hAnsi="Arial"/>
                <w:sz w:val="20"/>
                <w:szCs w:val="20"/>
                <w:color w:val="auto"/>
              </w:rPr>
              <w:t>Impairment charge</w:t>
            </w:r>
          </w:p>
        </w:tc>
        <w:tc>
          <w:tcPr>
            <w:tcW w:w="160" w:type="dxa"/>
            <w:vAlign w:val="bottom"/>
          </w:tcPr>
          <w:p>
            <w:pPr>
              <w:spacing w:after="0"/>
              <w:rPr>
                <w:sz w:val="24"/>
                <w:szCs w:val="24"/>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4"/>
                <w:szCs w:val="24"/>
                <w:color w:val="auto"/>
              </w:rPr>
            </w:pPr>
          </w:p>
        </w:tc>
        <w:tc>
          <w:tcPr>
            <w:tcW w:w="1400" w:type="dxa"/>
            <w:vAlign w:val="bottom"/>
          </w:tcPr>
          <w:p>
            <w:pPr>
              <w:jc w:val="right"/>
              <w:ind w:right="1"/>
              <w:spacing w:after="0"/>
              <w:rPr>
                <w:sz w:val="20"/>
                <w:szCs w:val="20"/>
                <w:color w:val="auto"/>
              </w:rPr>
            </w:pPr>
            <w:r>
              <w:rPr>
                <w:rFonts w:ascii="Arial" w:cs="Arial" w:eastAsia="Arial" w:hAnsi="Arial"/>
                <w:sz w:val="20"/>
                <w:szCs w:val="20"/>
                <w:color w:val="auto"/>
              </w:rPr>
              <w:t>229,560</w:t>
            </w:r>
          </w:p>
        </w:tc>
        <w:tc>
          <w:tcPr>
            <w:tcW w:w="0" w:type="dxa"/>
            <w:vAlign w:val="bottom"/>
          </w:tcPr>
          <w:p>
            <w:pPr>
              <w:spacing w:after="0"/>
              <w:rPr>
                <w:sz w:val="1"/>
                <w:szCs w:val="1"/>
                <w:color w:val="auto"/>
              </w:rPr>
            </w:pPr>
          </w:p>
        </w:tc>
      </w:tr>
      <w:tr>
        <w:trPr>
          <w:trHeight w:val="23"/>
        </w:trPr>
        <w:tc>
          <w:tcPr>
            <w:tcW w:w="60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6060" w:type="dxa"/>
            <w:vAlign w:val="bottom"/>
          </w:tcPr>
          <w:p>
            <w:pPr>
              <w:ind w:left="580"/>
              <w:spacing w:after="0"/>
              <w:rPr>
                <w:sz w:val="20"/>
                <w:szCs w:val="20"/>
                <w:color w:val="auto"/>
              </w:rPr>
            </w:pPr>
            <w:r>
              <w:rPr>
                <w:rFonts w:ascii="Arial" w:cs="Arial" w:eastAsia="Arial" w:hAnsi="Arial"/>
                <w:sz w:val="20"/>
                <w:szCs w:val="20"/>
                <w:color w:val="auto"/>
              </w:rPr>
              <w:t>Operating loss</w:t>
            </w:r>
          </w:p>
        </w:tc>
        <w:tc>
          <w:tcPr>
            <w:tcW w:w="16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(33,806)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(340,874)</w:t>
            </w:r>
          </w:p>
        </w:tc>
        <w:tc>
          <w:tcPr>
            <w:tcW w:w="0" w:type="dxa"/>
            <w:vAlign w:val="bottom"/>
          </w:tcPr>
          <w:p>
            <w:pPr>
              <w:spacing w:after="0"/>
              <w:rPr>
                <w:sz w:val="1"/>
                <w:szCs w:val="1"/>
                <w:color w:val="auto"/>
              </w:rPr>
            </w:pPr>
          </w:p>
        </w:tc>
      </w:tr>
      <w:tr>
        <w:trPr>
          <w:trHeight w:val="284"/>
        </w:trPr>
        <w:tc>
          <w:tcPr>
            <w:tcW w:w="6060" w:type="dxa"/>
            <w:vAlign w:val="bottom"/>
          </w:tcPr>
          <w:p>
            <w:pPr>
              <w:spacing w:after="0"/>
              <w:rPr>
                <w:sz w:val="20"/>
                <w:szCs w:val="20"/>
                <w:color w:val="auto"/>
              </w:rPr>
            </w:pPr>
            <w:r>
              <w:rPr>
                <w:rFonts w:ascii="Arial" w:cs="Arial" w:eastAsia="Arial" w:hAnsi="Arial"/>
                <w:sz w:val="20"/>
                <w:szCs w:val="20"/>
                <w:color w:val="auto"/>
              </w:rPr>
              <w:t>Equity in income (loss) of an equity method investee</w:t>
            </w:r>
          </w:p>
        </w:tc>
        <w:tc>
          <w:tcPr>
            <w:tcW w:w="160" w:type="dxa"/>
            <w:vAlign w:val="bottom"/>
          </w:tcPr>
          <w:p>
            <w:pPr>
              <w:spacing w:after="0"/>
              <w:rPr>
                <w:sz w:val="24"/>
                <w:szCs w:val="24"/>
                <w:color w:val="auto"/>
              </w:rPr>
            </w:pPr>
          </w:p>
        </w:tc>
        <w:tc>
          <w:tcPr>
            <w:tcW w:w="1480" w:type="dxa"/>
            <w:vAlign w:val="bottom"/>
          </w:tcPr>
          <w:p>
            <w:pPr>
              <w:jc w:val="right"/>
              <w:ind w:right="1"/>
              <w:spacing w:after="0"/>
              <w:rPr>
                <w:sz w:val="20"/>
                <w:szCs w:val="20"/>
                <w:color w:val="auto"/>
              </w:rPr>
            </w:pPr>
            <w:r>
              <w:rPr>
                <w:rFonts w:ascii="Arial" w:cs="Arial" w:eastAsia="Arial" w:hAnsi="Arial"/>
                <w:sz w:val="20"/>
                <w:szCs w:val="20"/>
                <w:color w:val="auto"/>
              </w:rPr>
              <w:t>270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(2,392)</w:t>
            </w:r>
          </w:p>
        </w:tc>
        <w:tc>
          <w:tcPr>
            <w:tcW w:w="0" w:type="dxa"/>
            <w:vAlign w:val="bottom"/>
          </w:tcPr>
          <w:p>
            <w:pPr>
              <w:spacing w:after="0"/>
              <w:rPr>
                <w:sz w:val="1"/>
                <w:szCs w:val="1"/>
                <w:color w:val="auto"/>
              </w:rPr>
            </w:pPr>
          </w:p>
        </w:tc>
      </w:tr>
      <w:tr>
        <w:trPr>
          <w:trHeight w:val="284"/>
        </w:trPr>
        <w:tc>
          <w:tcPr>
            <w:tcW w:w="6060" w:type="dxa"/>
            <w:vAlign w:val="bottom"/>
          </w:tcPr>
          <w:p>
            <w:pPr>
              <w:spacing w:after="0"/>
              <w:rPr>
                <w:sz w:val="20"/>
                <w:szCs w:val="20"/>
                <w:color w:val="auto"/>
              </w:rPr>
            </w:pPr>
            <w:r>
              <w:rPr>
                <w:rFonts w:ascii="Arial" w:cs="Arial" w:eastAsia="Arial" w:hAnsi="Arial"/>
                <w:sz w:val="20"/>
                <w:szCs w:val="20"/>
                <w:color w:val="auto"/>
              </w:rPr>
              <w:t>Interest income</w:t>
            </w:r>
          </w:p>
        </w:tc>
        <w:tc>
          <w:tcPr>
            <w:tcW w:w="160" w:type="dxa"/>
            <w:vAlign w:val="bottom"/>
          </w:tcPr>
          <w:p>
            <w:pPr>
              <w:spacing w:after="0"/>
              <w:rPr>
                <w:sz w:val="24"/>
                <w:szCs w:val="24"/>
                <w:color w:val="auto"/>
              </w:rPr>
            </w:pPr>
          </w:p>
        </w:tc>
        <w:tc>
          <w:tcPr>
            <w:tcW w:w="1480" w:type="dxa"/>
            <w:vAlign w:val="bottom"/>
          </w:tcPr>
          <w:p>
            <w:pPr>
              <w:jc w:val="right"/>
              <w:ind w:right="1"/>
              <w:spacing w:after="0"/>
              <w:rPr>
                <w:sz w:val="20"/>
                <w:szCs w:val="20"/>
                <w:color w:val="auto"/>
              </w:rPr>
            </w:pPr>
            <w:r>
              <w:rPr>
                <w:rFonts w:ascii="Arial" w:cs="Arial" w:eastAsia="Arial" w:hAnsi="Arial"/>
                <w:sz w:val="20"/>
                <w:szCs w:val="20"/>
                <w:color w:val="auto"/>
              </w:rPr>
              <w:t>196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jc w:val="right"/>
              <w:ind w:right="1"/>
              <w:spacing w:after="0"/>
              <w:rPr>
                <w:sz w:val="20"/>
                <w:szCs w:val="20"/>
                <w:color w:val="auto"/>
              </w:rPr>
            </w:pPr>
            <w:r>
              <w:rPr>
                <w:rFonts w:ascii="Arial" w:cs="Arial" w:eastAsia="Arial" w:hAnsi="Arial"/>
                <w:sz w:val="20"/>
                <w:szCs w:val="20"/>
                <w:color w:val="auto"/>
              </w:rPr>
              <w:t>236</w:t>
            </w:r>
          </w:p>
        </w:tc>
        <w:tc>
          <w:tcPr>
            <w:tcW w:w="0" w:type="dxa"/>
            <w:vAlign w:val="bottom"/>
          </w:tcPr>
          <w:p>
            <w:pPr>
              <w:spacing w:after="0"/>
              <w:rPr>
                <w:sz w:val="1"/>
                <w:szCs w:val="1"/>
                <w:color w:val="auto"/>
              </w:rPr>
            </w:pPr>
          </w:p>
        </w:tc>
      </w:tr>
      <w:tr>
        <w:trPr>
          <w:trHeight w:val="263"/>
        </w:trPr>
        <w:tc>
          <w:tcPr>
            <w:tcW w:w="6060" w:type="dxa"/>
            <w:vAlign w:val="bottom"/>
          </w:tcPr>
          <w:p>
            <w:pPr>
              <w:spacing w:after="0"/>
              <w:rPr>
                <w:sz w:val="20"/>
                <w:szCs w:val="20"/>
                <w:color w:val="auto"/>
              </w:rPr>
            </w:pPr>
            <w:r>
              <w:rPr>
                <w:rFonts w:ascii="Arial" w:cs="Arial" w:eastAsia="Arial" w:hAnsi="Arial"/>
                <w:sz w:val="20"/>
                <w:szCs w:val="20"/>
                <w:color w:val="auto"/>
              </w:rPr>
              <w:t>Interest expense</w:t>
            </w:r>
          </w:p>
        </w:tc>
        <w:tc>
          <w:tcPr>
            <w:tcW w:w="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160"/>
              <w:spacing w:after="0"/>
              <w:rPr>
                <w:sz w:val="20"/>
                <w:szCs w:val="20"/>
                <w:color w:val="auto"/>
              </w:rPr>
            </w:pPr>
            <w:r>
              <w:rPr>
                <w:rFonts w:ascii="Arial" w:cs="Arial" w:eastAsia="Arial" w:hAnsi="Arial"/>
                <w:sz w:val="20"/>
                <w:szCs w:val="20"/>
                <w:color w:val="auto"/>
              </w:rPr>
              <w:t>(contractual interest expense of ¥3,838 and ¥8,576 for the eleven</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160"/>
              <w:spacing w:after="0"/>
              <w:rPr>
                <w:sz w:val="20"/>
                <w:szCs w:val="20"/>
                <w:color w:val="auto"/>
              </w:rPr>
            </w:pPr>
            <w:r>
              <w:rPr>
                <w:rFonts w:ascii="Arial" w:cs="Arial" w:eastAsia="Arial" w:hAnsi="Arial"/>
                <w:sz w:val="20"/>
                <w:szCs w:val="20"/>
                <w:color w:val="auto"/>
                <w:w w:val="99"/>
              </w:rPr>
              <w:t>months ended February 28, 2013 and year ended March 31, 2012,</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060" w:type="dxa"/>
            <w:vAlign w:val="bottom"/>
          </w:tcPr>
          <w:p>
            <w:pPr>
              <w:ind w:left="160"/>
              <w:spacing w:after="0"/>
              <w:rPr>
                <w:sz w:val="20"/>
                <w:szCs w:val="20"/>
                <w:color w:val="auto"/>
              </w:rPr>
            </w:pPr>
            <w:r>
              <w:rPr>
                <w:rFonts w:ascii="Arial" w:cs="Arial" w:eastAsia="Arial" w:hAnsi="Arial"/>
                <w:sz w:val="20"/>
                <w:szCs w:val="20"/>
                <w:color w:val="auto"/>
              </w:rPr>
              <w:t>respectively)</w:t>
            </w: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(1,952)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(8,445)</w:t>
            </w:r>
          </w:p>
        </w:tc>
        <w:tc>
          <w:tcPr>
            <w:tcW w:w="0" w:type="dxa"/>
            <w:vAlign w:val="bottom"/>
          </w:tcPr>
          <w:p>
            <w:pPr>
              <w:spacing w:after="0"/>
              <w:rPr>
                <w:sz w:val="1"/>
                <w:szCs w:val="1"/>
                <w:color w:val="auto"/>
              </w:rPr>
            </w:pPr>
          </w:p>
        </w:tc>
      </w:tr>
      <w:tr>
        <w:trPr>
          <w:trHeight w:val="284"/>
        </w:trPr>
        <w:tc>
          <w:tcPr>
            <w:tcW w:w="6060" w:type="dxa"/>
            <w:vAlign w:val="bottom"/>
          </w:tcPr>
          <w:p>
            <w:pPr>
              <w:spacing w:after="0"/>
              <w:rPr>
                <w:sz w:val="20"/>
                <w:szCs w:val="20"/>
                <w:color w:val="auto"/>
              </w:rPr>
            </w:pPr>
            <w:r>
              <w:rPr>
                <w:rFonts w:ascii="Arial" w:cs="Arial" w:eastAsia="Arial" w:hAnsi="Arial"/>
                <w:sz w:val="20"/>
                <w:szCs w:val="20"/>
                <w:color w:val="auto"/>
              </w:rPr>
              <w:t>Foreign exchange gains (losses)</w:t>
            </w:r>
          </w:p>
        </w:tc>
        <w:tc>
          <w:tcPr>
            <w:tcW w:w="160" w:type="dxa"/>
            <w:vAlign w:val="bottom"/>
          </w:tcPr>
          <w:p>
            <w:pPr>
              <w:spacing w:after="0"/>
              <w:rPr>
                <w:sz w:val="24"/>
                <w:szCs w:val="24"/>
                <w:color w:val="auto"/>
              </w:rPr>
            </w:pPr>
          </w:p>
        </w:tc>
        <w:tc>
          <w:tcPr>
            <w:tcW w:w="1480" w:type="dxa"/>
            <w:vAlign w:val="bottom"/>
          </w:tcPr>
          <w:p>
            <w:pPr>
              <w:jc w:val="right"/>
              <w:ind w:right="1"/>
              <w:spacing w:after="0"/>
              <w:rPr>
                <w:sz w:val="20"/>
                <w:szCs w:val="20"/>
                <w:color w:val="auto"/>
              </w:rPr>
            </w:pPr>
            <w:r>
              <w:rPr>
                <w:rFonts w:ascii="Arial" w:cs="Arial" w:eastAsia="Arial" w:hAnsi="Arial"/>
                <w:sz w:val="20"/>
                <w:szCs w:val="20"/>
                <w:color w:val="auto"/>
              </w:rPr>
              <w:t>9,665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(341)</w:t>
            </w:r>
          </w:p>
        </w:tc>
        <w:tc>
          <w:tcPr>
            <w:tcW w:w="0" w:type="dxa"/>
            <w:vAlign w:val="bottom"/>
          </w:tcPr>
          <w:p>
            <w:pPr>
              <w:spacing w:after="0"/>
              <w:rPr>
                <w:sz w:val="1"/>
                <w:szCs w:val="1"/>
                <w:color w:val="auto"/>
              </w:rPr>
            </w:pPr>
          </w:p>
        </w:tc>
      </w:tr>
      <w:tr>
        <w:trPr>
          <w:trHeight w:val="284"/>
        </w:trPr>
        <w:tc>
          <w:tcPr>
            <w:tcW w:w="6060" w:type="dxa"/>
            <w:vAlign w:val="bottom"/>
          </w:tcPr>
          <w:p>
            <w:pPr>
              <w:spacing w:after="0"/>
              <w:rPr>
                <w:sz w:val="20"/>
                <w:szCs w:val="20"/>
                <w:color w:val="auto"/>
              </w:rPr>
            </w:pPr>
            <w:r>
              <w:rPr>
                <w:rFonts w:ascii="Arial" w:cs="Arial" w:eastAsia="Arial" w:hAnsi="Arial"/>
                <w:sz w:val="20"/>
                <w:szCs w:val="20"/>
                <w:color w:val="auto"/>
              </w:rPr>
              <w:t>Other expense, net</w:t>
            </w:r>
          </w:p>
        </w:tc>
        <w:tc>
          <w:tcPr>
            <w:tcW w:w="1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(1,039)</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(7,737)</w:t>
            </w:r>
          </w:p>
        </w:tc>
        <w:tc>
          <w:tcPr>
            <w:tcW w:w="0" w:type="dxa"/>
            <w:vAlign w:val="bottom"/>
          </w:tcPr>
          <w:p>
            <w:pPr>
              <w:spacing w:after="0"/>
              <w:rPr>
                <w:sz w:val="1"/>
                <w:szCs w:val="1"/>
                <w:color w:val="auto"/>
              </w:rPr>
            </w:pPr>
          </w:p>
        </w:tc>
      </w:tr>
      <w:tr>
        <w:trPr>
          <w:trHeight w:val="23"/>
        </w:trPr>
        <w:tc>
          <w:tcPr>
            <w:tcW w:w="6060" w:type="dxa"/>
            <w:vAlign w:val="bottom"/>
            <w:vMerge w:val="restart"/>
          </w:tcPr>
          <w:p>
            <w:pPr>
              <w:ind w:left="580"/>
              <w:spacing w:after="0"/>
              <w:rPr>
                <w:sz w:val="20"/>
                <w:szCs w:val="20"/>
                <w:color w:val="auto"/>
              </w:rPr>
            </w:pPr>
            <w:r>
              <w:rPr>
                <w:rFonts w:ascii="Arial" w:cs="Arial" w:eastAsia="Arial" w:hAnsi="Arial"/>
                <w:sz w:val="20"/>
                <w:szCs w:val="20"/>
                <w:color w:val="auto"/>
              </w:rPr>
              <w:t>Loss before reorganization items and</w:t>
            </w: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606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060" w:type="dxa"/>
            <w:vAlign w:val="bottom"/>
          </w:tcPr>
          <w:p>
            <w:pPr>
              <w:ind w:left="740"/>
              <w:spacing w:after="0"/>
              <w:rPr>
                <w:sz w:val="20"/>
                <w:szCs w:val="20"/>
                <w:color w:val="auto"/>
              </w:rPr>
            </w:pPr>
            <w:r>
              <w:rPr>
                <w:rFonts w:ascii="Arial" w:cs="Arial" w:eastAsia="Arial" w:hAnsi="Arial"/>
                <w:sz w:val="20"/>
                <w:szCs w:val="20"/>
                <w:color w:val="auto"/>
              </w:rPr>
              <w:t>income taxes</w:t>
            </w: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(26,666)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(359,553)</w:t>
            </w:r>
          </w:p>
        </w:tc>
        <w:tc>
          <w:tcPr>
            <w:tcW w:w="0" w:type="dxa"/>
            <w:vAlign w:val="bottom"/>
          </w:tcPr>
          <w:p>
            <w:pPr>
              <w:spacing w:after="0"/>
              <w:rPr>
                <w:sz w:val="1"/>
                <w:szCs w:val="1"/>
                <w:color w:val="auto"/>
              </w:rPr>
            </w:pPr>
          </w:p>
        </w:tc>
      </w:tr>
      <w:tr>
        <w:trPr>
          <w:trHeight w:val="284"/>
        </w:trPr>
        <w:tc>
          <w:tcPr>
            <w:tcW w:w="6060" w:type="dxa"/>
            <w:vAlign w:val="bottom"/>
          </w:tcPr>
          <w:p>
            <w:pPr>
              <w:spacing w:after="0"/>
              <w:rPr>
                <w:sz w:val="20"/>
                <w:szCs w:val="20"/>
                <w:color w:val="auto"/>
              </w:rPr>
            </w:pPr>
            <w:r>
              <w:rPr>
                <w:rFonts w:ascii="Arial" w:cs="Arial" w:eastAsia="Arial" w:hAnsi="Arial"/>
                <w:sz w:val="20"/>
                <w:szCs w:val="20"/>
                <w:color w:val="auto"/>
              </w:rPr>
              <w:t>Reorganization items, net</w:t>
            </w:r>
          </w:p>
        </w:tc>
        <w:tc>
          <w:tcPr>
            <w:tcW w:w="160" w:type="dxa"/>
            <w:vAlign w:val="bottom"/>
          </w:tcPr>
          <w:p>
            <w:pPr>
              <w:spacing w:after="0"/>
              <w:rPr>
                <w:sz w:val="24"/>
                <w:szCs w:val="24"/>
                <w:color w:val="auto"/>
              </w:rPr>
            </w:pPr>
          </w:p>
        </w:tc>
        <w:tc>
          <w:tcPr>
            <w:tcW w:w="1480" w:type="dxa"/>
            <w:vAlign w:val="bottom"/>
          </w:tcPr>
          <w:p>
            <w:pPr>
              <w:jc w:val="right"/>
              <w:ind w:right="1"/>
              <w:spacing w:after="0"/>
              <w:rPr>
                <w:sz w:val="20"/>
                <w:szCs w:val="20"/>
                <w:color w:val="auto"/>
              </w:rPr>
            </w:pPr>
            <w:r>
              <w:rPr>
                <w:rFonts w:ascii="Arial" w:cs="Arial" w:eastAsia="Arial" w:hAnsi="Arial"/>
                <w:sz w:val="20"/>
                <w:szCs w:val="20"/>
                <w:color w:val="auto"/>
              </w:rPr>
              <w:t>159,296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(3,505)</w:t>
            </w:r>
          </w:p>
        </w:tc>
        <w:tc>
          <w:tcPr>
            <w:tcW w:w="0" w:type="dxa"/>
            <w:vAlign w:val="bottom"/>
          </w:tcPr>
          <w:p>
            <w:pPr>
              <w:spacing w:after="0"/>
              <w:rPr>
                <w:sz w:val="1"/>
                <w:szCs w:val="1"/>
                <w:color w:val="auto"/>
              </w:rPr>
            </w:pPr>
          </w:p>
        </w:tc>
      </w:tr>
      <w:tr>
        <w:trPr>
          <w:trHeight w:val="23"/>
        </w:trPr>
        <w:tc>
          <w:tcPr>
            <w:tcW w:w="60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6060" w:type="dxa"/>
            <w:vAlign w:val="bottom"/>
          </w:tcPr>
          <w:p>
            <w:pPr>
              <w:ind w:left="580"/>
              <w:spacing w:after="0"/>
              <w:rPr>
                <w:sz w:val="20"/>
                <w:szCs w:val="20"/>
                <w:color w:val="auto"/>
              </w:rPr>
            </w:pPr>
            <w:r>
              <w:rPr>
                <w:rFonts w:ascii="Arial" w:cs="Arial" w:eastAsia="Arial" w:hAnsi="Arial"/>
                <w:sz w:val="20"/>
                <w:szCs w:val="20"/>
                <w:color w:val="auto"/>
              </w:rPr>
              <w:t>Income (loss) before income taxes</w:t>
            </w:r>
          </w:p>
        </w:tc>
        <w:tc>
          <w:tcPr>
            <w:tcW w:w="160" w:type="dxa"/>
            <w:vAlign w:val="bottom"/>
          </w:tcPr>
          <w:p>
            <w:pPr>
              <w:spacing w:after="0"/>
              <w:rPr>
                <w:sz w:val="22"/>
                <w:szCs w:val="22"/>
                <w:color w:val="auto"/>
              </w:rPr>
            </w:pPr>
          </w:p>
        </w:tc>
        <w:tc>
          <w:tcPr>
            <w:tcW w:w="1480" w:type="dxa"/>
            <w:vAlign w:val="bottom"/>
          </w:tcPr>
          <w:p>
            <w:pPr>
              <w:jc w:val="right"/>
              <w:ind w:right="1"/>
              <w:spacing w:after="0"/>
              <w:rPr>
                <w:sz w:val="20"/>
                <w:szCs w:val="20"/>
                <w:color w:val="auto"/>
              </w:rPr>
            </w:pPr>
            <w:r>
              <w:rPr>
                <w:rFonts w:ascii="Arial" w:cs="Arial" w:eastAsia="Arial" w:hAnsi="Arial"/>
                <w:sz w:val="20"/>
                <w:szCs w:val="20"/>
                <w:color w:val="auto"/>
              </w:rPr>
              <w:t>132,630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(363,058)</w:t>
            </w:r>
          </w:p>
        </w:tc>
        <w:tc>
          <w:tcPr>
            <w:tcW w:w="0" w:type="dxa"/>
            <w:vAlign w:val="bottom"/>
          </w:tcPr>
          <w:p>
            <w:pPr>
              <w:spacing w:after="0"/>
              <w:rPr>
                <w:sz w:val="1"/>
                <w:szCs w:val="1"/>
                <w:color w:val="auto"/>
              </w:rPr>
            </w:pPr>
          </w:p>
        </w:tc>
      </w:tr>
      <w:tr>
        <w:trPr>
          <w:trHeight w:val="284"/>
        </w:trPr>
        <w:tc>
          <w:tcPr>
            <w:tcW w:w="6060" w:type="dxa"/>
            <w:vAlign w:val="bottom"/>
          </w:tcPr>
          <w:p>
            <w:pPr>
              <w:spacing w:after="0"/>
              <w:rPr>
                <w:sz w:val="20"/>
                <w:szCs w:val="20"/>
                <w:color w:val="auto"/>
              </w:rPr>
            </w:pPr>
            <w:r>
              <w:rPr>
                <w:rFonts w:ascii="Arial" w:cs="Arial" w:eastAsia="Arial" w:hAnsi="Arial"/>
                <w:sz w:val="20"/>
                <w:szCs w:val="20"/>
                <w:color w:val="auto"/>
              </w:rPr>
              <w:t>Income taxes:</w:t>
            </w: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060" w:type="dxa"/>
            <w:vAlign w:val="bottom"/>
          </w:tcPr>
          <w:p>
            <w:pPr>
              <w:ind w:left="240"/>
              <w:spacing w:after="0"/>
              <w:rPr>
                <w:sz w:val="20"/>
                <w:szCs w:val="20"/>
                <w:color w:val="auto"/>
              </w:rPr>
            </w:pPr>
            <w:r>
              <w:rPr>
                <w:rFonts w:ascii="Arial" w:cs="Arial" w:eastAsia="Arial" w:hAnsi="Arial"/>
                <w:sz w:val="20"/>
                <w:szCs w:val="20"/>
                <w:color w:val="auto"/>
              </w:rPr>
              <w:t>Current</w:t>
            </w:r>
          </w:p>
        </w:tc>
        <w:tc>
          <w:tcPr>
            <w:tcW w:w="160" w:type="dxa"/>
            <w:vAlign w:val="bottom"/>
          </w:tcPr>
          <w:p>
            <w:pPr>
              <w:spacing w:after="0"/>
              <w:rPr>
                <w:sz w:val="24"/>
                <w:szCs w:val="24"/>
                <w:color w:val="auto"/>
              </w:rPr>
            </w:pPr>
          </w:p>
        </w:tc>
        <w:tc>
          <w:tcPr>
            <w:tcW w:w="1480" w:type="dxa"/>
            <w:vAlign w:val="bottom"/>
          </w:tcPr>
          <w:p>
            <w:pPr>
              <w:jc w:val="right"/>
              <w:ind w:right="1"/>
              <w:spacing w:after="0"/>
              <w:rPr>
                <w:sz w:val="20"/>
                <w:szCs w:val="20"/>
                <w:color w:val="auto"/>
              </w:rPr>
            </w:pPr>
            <w:r>
              <w:rPr>
                <w:rFonts w:ascii="Arial" w:cs="Arial" w:eastAsia="Arial" w:hAnsi="Arial"/>
                <w:sz w:val="20"/>
                <w:szCs w:val="20"/>
                <w:color w:val="auto"/>
              </w:rPr>
              <w:t>951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jc w:val="right"/>
              <w:ind w:right="1"/>
              <w:spacing w:after="0"/>
              <w:rPr>
                <w:sz w:val="20"/>
                <w:szCs w:val="20"/>
                <w:color w:val="auto"/>
              </w:rPr>
            </w:pPr>
            <w:r>
              <w:rPr>
                <w:rFonts w:ascii="Arial" w:cs="Arial" w:eastAsia="Arial" w:hAnsi="Arial"/>
                <w:sz w:val="20"/>
                <w:szCs w:val="20"/>
                <w:color w:val="auto"/>
              </w:rPr>
              <w:t>960</w:t>
            </w:r>
          </w:p>
        </w:tc>
        <w:tc>
          <w:tcPr>
            <w:tcW w:w="0" w:type="dxa"/>
            <w:vAlign w:val="bottom"/>
          </w:tcPr>
          <w:p>
            <w:pPr>
              <w:spacing w:after="0"/>
              <w:rPr>
                <w:sz w:val="1"/>
                <w:szCs w:val="1"/>
                <w:color w:val="auto"/>
              </w:rPr>
            </w:pPr>
          </w:p>
        </w:tc>
      </w:tr>
      <w:tr>
        <w:trPr>
          <w:trHeight w:val="284"/>
        </w:trPr>
        <w:tc>
          <w:tcPr>
            <w:tcW w:w="6060" w:type="dxa"/>
            <w:vAlign w:val="bottom"/>
          </w:tcPr>
          <w:p>
            <w:pPr>
              <w:ind w:left="240"/>
              <w:spacing w:after="0"/>
              <w:rPr>
                <w:sz w:val="20"/>
                <w:szCs w:val="20"/>
                <w:color w:val="auto"/>
              </w:rPr>
            </w:pPr>
            <w:r>
              <w:rPr>
                <w:rFonts w:ascii="Arial" w:cs="Arial" w:eastAsia="Arial" w:hAnsi="Arial"/>
                <w:sz w:val="20"/>
                <w:szCs w:val="20"/>
                <w:color w:val="auto"/>
              </w:rPr>
              <w:t>Deferred</w:t>
            </w:r>
          </w:p>
        </w:tc>
        <w:tc>
          <w:tcPr>
            <w:tcW w:w="1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(143)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(260)</w:t>
            </w:r>
          </w:p>
        </w:tc>
        <w:tc>
          <w:tcPr>
            <w:tcW w:w="0" w:type="dxa"/>
            <w:vAlign w:val="bottom"/>
          </w:tcPr>
          <w:p>
            <w:pPr>
              <w:spacing w:after="0"/>
              <w:rPr>
                <w:sz w:val="1"/>
                <w:szCs w:val="1"/>
                <w:color w:val="auto"/>
              </w:rPr>
            </w:pPr>
          </w:p>
        </w:tc>
      </w:tr>
      <w:tr>
        <w:trPr>
          <w:trHeight w:val="23"/>
        </w:trPr>
        <w:tc>
          <w:tcPr>
            <w:tcW w:w="60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6060" w:type="dxa"/>
            <w:vAlign w:val="bottom"/>
          </w:tcPr>
          <w:p>
            <w:pPr>
              <w:ind w:left="580"/>
              <w:spacing w:after="0"/>
              <w:rPr>
                <w:sz w:val="20"/>
                <w:szCs w:val="20"/>
                <w:color w:val="auto"/>
              </w:rPr>
            </w:pPr>
            <w:r>
              <w:rPr>
                <w:rFonts w:ascii="Arial" w:cs="Arial" w:eastAsia="Arial" w:hAnsi="Arial"/>
                <w:sz w:val="20"/>
                <w:szCs w:val="20"/>
                <w:color w:val="auto"/>
              </w:rPr>
              <w:t>Net income (loss)</w:t>
            </w:r>
          </w:p>
        </w:tc>
        <w:tc>
          <w:tcPr>
            <w:tcW w:w="160" w:type="dxa"/>
            <w:vAlign w:val="bottom"/>
          </w:tcPr>
          <w:p>
            <w:pPr>
              <w:spacing w:after="0"/>
              <w:rPr>
                <w:sz w:val="22"/>
                <w:szCs w:val="22"/>
                <w:color w:val="auto"/>
              </w:rPr>
            </w:pPr>
          </w:p>
        </w:tc>
        <w:tc>
          <w:tcPr>
            <w:tcW w:w="1480" w:type="dxa"/>
            <w:vAlign w:val="bottom"/>
          </w:tcPr>
          <w:p>
            <w:pPr>
              <w:jc w:val="right"/>
              <w:ind w:right="1"/>
              <w:spacing w:after="0"/>
              <w:rPr>
                <w:sz w:val="20"/>
                <w:szCs w:val="20"/>
                <w:color w:val="auto"/>
              </w:rPr>
            </w:pPr>
            <w:r>
              <w:rPr>
                <w:rFonts w:ascii="Arial" w:cs="Arial" w:eastAsia="Arial" w:hAnsi="Arial"/>
                <w:sz w:val="20"/>
                <w:szCs w:val="20"/>
                <w:color w:val="auto"/>
              </w:rPr>
              <w:t>131,822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(363,758)</w:t>
            </w:r>
          </w:p>
        </w:tc>
        <w:tc>
          <w:tcPr>
            <w:tcW w:w="0" w:type="dxa"/>
            <w:vAlign w:val="bottom"/>
          </w:tcPr>
          <w:p>
            <w:pPr>
              <w:spacing w:after="0"/>
              <w:rPr>
                <w:sz w:val="1"/>
                <w:szCs w:val="1"/>
                <w:color w:val="auto"/>
              </w:rPr>
            </w:pPr>
          </w:p>
        </w:tc>
      </w:tr>
      <w:tr>
        <w:trPr>
          <w:trHeight w:val="284"/>
        </w:trPr>
        <w:tc>
          <w:tcPr>
            <w:tcW w:w="6060" w:type="dxa"/>
            <w:vAlign w:val="bottom"/>
          </w:tcPr>
          <w:p>
            <w:pPr>
              <w:spacing w:after="0"/>
              <w:rPr>
                <w:sz w:val="20"/>
                <w:szCs w:val="20"/>
                <w:color w:val="auto"/>
              </w:rPr>
            </w:pPr>
            <w:r>
              <w:rPr>
                <w:rFonts w:ascii="Arial" w:cs="Arial" w:eastAsia="Arial" w:hAnsi="Arial"/>
                <w:sz w:val="20"/>
                <w:szCs w:val="20"/>
                <w:color w:val="auto"/>
              </w:rPr>
              <w:t>Less: Net (loss) income attributable to noncontrolling interest</w:t>
            </w:r>
          </w:p>
        </w:tc>
        <w:tc>
          <w:tcPr>
            <w:tcW w:w="1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(1,153)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(3,344)</w:t>
            </w:r>
          </w:p>
        </w:tc>
        <w:tc>
          <w:tcPr>
            <w:tcW w:w="0" w:type="dxa"/>
            <w:vAlign w:val="bottom"/>
          </w:tcPr>
          <w:p>
            <w:pPr>
              <w:spacing w:after="0"/>
              <w:rPr>
                <w:sz w:val="1"/>
                <w:szCs w:val="1"/>
                <w:color w:val="auto"/>
              </w:rPr>
            </w:pPr>
          </w:p>
        </w:tc>
      </w:tr>
      <w:tr>
        <w:trPr>
          <w:trHeight w:val="23"/>
        </w:trPr>
        <w:tc>
          <w:tcPr>
            <w:tcW w:w="6060" w:type="dxa"/>
            <w:vAlign w:val="bottom"/>
            <w:vMerge w:val="restart"/>
          </w:tcPr>
          <w:p>
            <w:pPr>
              <w:ind w:left="580"/>
              <w:spacing w:after="0"/>
              <w:rPr>
                <w:sz w:val="20"/>
                <w:szCs w:val="20"/>
                <w:color w:val="auto"/>
              </w:rPr>
            </w:pPr>
            <w:r>
              <w:rPr>
                <w:rFonts w:ascii="Arial" w:cs="Arial" w:eastAsia="Arial" w:hAnsi="Arial"/>
                <w:sz w:val="20"/>
                <w:szCs w:val="20"/>
                <w:color w:val="auto"/>
              </w:rPr>
              <w:t>Net income (loss) attributable to Elpida Memory, Inc. and</w:t>
            </w: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6060" w:type="dxa"/>
            <w:vAlign w:val="bottom"/>
            <w:vMerge w:val="continue"/>
          </w:tcPr>
          <w:p>
            <w:pPr>
              <w:spacing w:after="0"/>
              <w:rPr>
                <w:sz w:val="19"/>
                <w:szCs w:val="19"/>
                <w:color w:val="auto"/>
              </w:rPr>
            </w:pPr>
          </w:p>
        </w:tc>
        <w:tc>
          <w:tcPr>
            <w:tcW w:w="16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1480" w:type="dxa"/>
            <w:vAlign w:val="bottom"/>
            <w:vMerge w:val="restart"/>
          </w:tcPr>
          <w:p>
            <w:pPr>
              <w:jc w:val="right"/>
              <w:ind w:right="1"/>
              <w:spacing w:after="0"/>
              <w:rPr>
                <w:sz w:val="20"/>
                <w:szCs w:val="20"/>
                <w:color w:val="auto"/>
              </w:rPr>
            </w:pPr>
            <w:r>
              <w:rPr>
                <w:rFonts w:ascii="Arial" w:cs="Arial" w:eastAsia="Arial" w:hAnsi="Arial"/>
                <w:sz w:val="20"/>
                <w:szCs w:val="20"/>
                <w:color w:val="auto"/>
              </w:rPr>
              <w:t>132,975</w:t>
            </w:r>
          </w:p>
        </w:tc>
        <w:tc>
          <w:tcPr>
            <w:tcW w:w="100" w:type="dxa"/>
            <w:vAlign w:val="bottom"/>
          </w:tcPr>
          <w:p>
            <w:pPr>
              <w:spacing w:after="0"/>
              <w:rPr>
                <w:sz w:val="19"/>
                <w:szCs w:val="19"/>
                <w:color w:val="auto"/>
              </w:rPr>
            </w:pPr>
          </w:p>
        </w:tc>
        <w:tc>
          <w:tcPr>
            <w:tcW w:w="260" w:type="dxa"/>
            <w:vAlign w:val="bottom"/>
            <w:vMerge w:val="restart"/>
          </w:tcPr>
          <w:p>
            <w:pPr>
              <w:jc w:val="right"/>
              <w:ind w:right="21"/>
              <w:spacing w:after="0"/>
              <w:rPr>
                <w:sz w:val="20"/>
                <w:szCs w:val="20"/>
                <w:color w:val="auto"/>
              </w:rPr>
            </w:pPr>
            <w:r>
              <w:rPr>
                <w:rFonts w:ascii="Arial" w:cs="Arial" w:eastAsia="Arial" w:hAnsi="Arial"/>
                <w:sz w:val="20"/>
                <w:szCs w:val="20"/>
                <w:color w:val="auto"/>
              </w:rPr>
              <w:t>¥</w:t>
            </w:r>
          </w:p>
        </w:tc>
        <w:tc>
          <w:tcPr>
            <w:tcW w:w="1400" w:type="dxa"/>
            <w:vAlign w:val="bottom"/>
            <w:vMerge w:val="restart"/>
          </w:tcPr>
          <w:p>
            <w:pPr>
              <w:jc w:val="right"/>
              <w:spacing w:after="0"/>
              <w:rPr>
                <w:sz w:val="20"/>
                <w:szCs w:val="20"/>
                <w:color w:val="auto"/>
              </w:rPr>
            </w:pPr>
            <w:r>
              <w:rPr>
                <w:rFonts w:ascii="Arial" w:cs="Arial" w:eastAsia="Arial" w:hAnsi="Arial"/>
                <w:sz w:val="20"/>
                <w:szCs w:val="20"/>
                <w:color w:val="auto"/>
              </w:rPr>
              <w:t>(360,414)</w:t>
            </w:r>
          </w:p>
        </w:tc>
        <w:tc>
          <w:tcPr>
            <w:tcW w:w="0" w:type="dxa"/>
            <w:vAlign w:val="bottom"/>
          </w:tcPr>
          <w:p>
            <w:pPr>
              <w:spacing w:after="0"/>
              <w:rPr>
                <w:sz w:val="1"/>
                <w:szCs w:val="1"/>
                <w:color w:val="auto"/>
              </w:rPr>
            </w:pPr>
          </w:p>
        </w:tc>
      </w:tr>
      <w:tr>
        <w:trPr>
          <w:trHeight w:val="260"/>
        </w:trPr>
        <w:tc>
          <w:tcPr>
            <w:tcW w:w="6060" w:type="dxa"/>
            <w:vAlign w:val="bottom"/>
          </w:tcPr>
          <w:p>
            <w:pPr>
              <w:ind w:left="740"/>
              <w:spacing w:after="0"/>
              <w:rPr>
                <w:sz w:val="20"/>
                <w:szCs w:val="20"/>
                <w:color w:val="auto"/>
              </w:rPr>
            </w:pPr>
            <w:r>
              <w:rPr>
                <w:rFonts w:ascii="Arial" w:cs="Arial" w:eastAsia="Arial" w:hAnsi="Arial"/>
                <w:sz w:val="20"/>
                <w:szCs w:val="20"/>
                <w:color w:val="auto"/>
              </w:rPr>
              <w:t>subsidiaries</w:t>
            </w:r>
          </w:p>
        </w:tc>
        <w:tc>
          <w:tcPr>
            <w:tcW w:w="160" w:type="dxa"/>
            <w:vAlign w:val="bottom"/>
            <w:tcBorders>
              <w:bottom w:val="single" w:sz="8" w:color="auto"/>
            </w:tcBorders>
            <w:vMerge w:val="continue"/>
          </w:tcPr>
          <w:p>
            <w:pPr>
              <w:spacing w:after="0"/>
              <w:rPr>
                <w:sz w:val="22"/>
                <w:szCs w:val="22"/>
                <w:color w:val="auto"/>
              </w:rPr>
            </w:pPr>
          </w:p>
        </w:tc>
        <w:tc>
          <w:tcPr>
            <w:tcW w:w="1480" w:type="dxa"/>
            <w:vAlign w:val="bottom"/>
            <w:tcBorders>
              <w:bottom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vMerge w:val="continue"/>
          </w:tcPr>
          <w:p>
            <w:pPr>
              <w:spacing w:after="0"/>
              <w:rPr>
                <w:sz w:val="22"/>
                <w:szCs w:val="22"/>
                <w:color w:val="auto"/>
              </w:rPr>
            </w:pPr>
          </w:p>
        </w:tc>
        <w:tc>
          <w:tcPr>
            <w:tcW w:w="14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76" w:right="239" w:bottom="1440" w:gutter="0" w:footer="0" w:header="0"/>
        </w:sectPr>
      </w:pPr>
    </w:p>
    <w:bookmarkStart w:id="11" w:name="page12"/>
    <w:bookmarkEnd w:id="11"/>
    <w:p>
      <w:pPr>
        <w:jc w:val="center"/>
        <w:ind w:right="640"/>
        <w:spacing w:after="0"/>
        <w:rPr>
          <w:sz w:val="20"/>
          <w:szCs w:val="20"/>
          <w:color w:val="auto"/>
        </w:rPr>
      </w:pPr>
      <w:r>
        <w:rPr>
          <w:rFonts w:ascii="Arial" w:cs="Arial" w:eastAsia="Arial" w:hAnsi="Arial"/>
          <w:sz w:val="20"/>
          <w:szCs w:val="20"/>
          <w:b w:val="1"/>
          <w:bCs w:val="1"/>
          <w:color w:val="auto"/>
        </w:rPr>
        <w:t>ELPIDA MEMORY, INC. AND SUBSIDIARIES</w:t>
      </w:r>
    </w:p>
    <w:p>
      <w:pPr>
        <w:spacing w:after="0" w:line="54" w:lineRule="exact"/>
        <w:rPr>
          <w:sz w:val="20"/>
          <w:szCs w:val="20"/>
          <w:color w:val="auto"/>
        </w:rPr>
      </w:pPr>
    </w:p>
    <w:p>
      <w:pPr>
        <w:jc w:val="center"/>
        <w:ind w:right="640"/>
        <w:spacing w:after="0"/>
        <w:rPr>
          <w:sz w:val="20"/>
          <w:szCs w:val="20"/>
          <w:color w:val="auto"/>
        </w:rPr>
      </w:pPr>
      <w:r>
        <w:rPr>
          <w:rFonts w:ascii="Arial" w:cs="Arial" w:eastAsia="Arial" w:hAnsi="Arial"/>
          <w:sz w:val="20"/>
          <w:szCs w:val="20"/>
          <w:b w:val="1"/>
          <w:bCs w:val="1"/>
          <w:color w:val="auto"/>
        </w:rPr>
        <w:t>(DEBTORS-IN-POSSESSION)</w:t>
      </w:r>
    </w:p>
    <w:p>
      <w:pPr>
        <w:spacing w:after="0" w:line="54" w:lineRule="exact"/>
        <w:rPr>
          <w:sz w:val="20"/>
          <w:szCs w:val="20"/>
          <w:color w:val="auto"/>
        </w:rPr>
      </w:pPr>
    </w:p>
    <w:p>
      <w:pPr>
        <w:jc w:val="center"/>
        <w:ind w:right="640"/>
        <w:spacing w:after="0"/>
        <w:rPr>
          <w:sz w:val="20"/>
          <w:szCs w:val="20"/>
          <w:color w:val="auto"/>
        </w:rPr>
      </w:pPr>
      <w:r>
        <w:rPr>
          <w:rFonts w:ascii="Arial" w:cs="Arial" w:eastAsia="Arial" w:hAnsi="Arial"/>
          <w:sz w:val="20"/>
          <w:szCs w:val="20"/>
          <w:b w:val="1"/>
          <w:bCs w:val="1"/>
          <w:color w:val="auto"/>
        </w:rPr>
        <w:t>CONSOLIDATED STATEMENTS OF COMPREHENSIVE INCOME (LOSS)</w:t>
      </w:r>
    </w:p>
    <w:p>
      <w:pPr>
        <w:spacing w:after="0" w:line="54" w:lineRule="exact"/>
        <w:rPr>
          <w:sz w:val="20"/>
          <w:szCs w:val="20"/>
          <w:color w:val="auto"/>
        </w:rPr>
      </w:pPr>
    </w:p>
    <w:p>
      <w:pPr>
        <w:jc w:val="center"/>
        <w:ind w:right="640"/>
        <w:spacing w:after="0"/>
        <w:rPr>
          <w:sz w:val="20"/>
          <w:szCs w:val="20"/>
          <w:color w:val="auto"/>
        </w:rPr>
      </w:pPr>
      <w:r>
        <w:rPr>
          <w:rFonts w:ascii="Arial" w:cs="Arial" w:eastAsia="Arial" w:hAnsi="Arial"/>
          <w:sz w:val="20"/>
          <w:szCs w:val="20"/>
          <w:b w:val="1"/>
          <w:bCs w:val="1"/>
          <w:color w:val="auto"/>
        </w:rPr>
        <w:t>Eleven months ended February 28, 2013 and Year ended March 31, 2012</w:t>
      </w:r>
    </w:p>
    <w:p>
      <w:pPr>
        <w:spacing w:after="0" w:line="54" w:lineRule="exact"/>
        <w:rPr>
          <w:sz w:val="20"/>
          <w:szCs w:val="20"/>
          <w:color w:val="auto"/>
        </w:rPr>
      </w:pPr>
    </w:p>
    <w:p>
      <w:pPr>
        <w:jc w:val="center"/>
        <w:ind w:right="640"/>
        <w:spacing w:after="0"/>
        <w:rPr>
          <w:sz w:val="20"/>
          <w:szCs w:val="20"/>
          <w:color w:val="auto"/>
        </w:rPr>
      </w:pPr>
      <w:r>
        <w:rPr>
          <w:rFonts w:ascii="Arial" w:cs="Arial" w:eastAsia="Arial" w:hAnsi="Arial"/>
          <w:sz w:val="20"/>
          <w:szCs w:val="20"/>
          <w:b w:val="1"/>
          <w:bCs w:val="1"/>
          <w:color w:val="auto"/>
        </w:rPr>
        <w:t>(Yen in millions)</w:t>
      </w:r>
    </w:p>
    <w:p>
      <w:pPr>
        <w:spacing w:after="0" w:line="37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20"/>
                <w:szCs w:val="20"/>
                <w:b w:val="1"/>
                <w:bCs w:val="1"/>
                <w:color w:val="auto"/>
                <w:w w:val="88"/>
              </w:rPr>
              <w:t>Eleven months</w:t>
            </w:r>
          </w:p>
        </w:tc>
        <w:tc>
          <w:tcPr>
            <w:tcW w:w="260" w:type="dxa"/>
            <w:vAlign w:val="bottom"/>
          </w:tcPr>
          <w:p>
            <w:pPr>
              <w:spacing w:after="0"/>
              <w:rPr>
                <w:sz w:val="19"/>
                <w:szCs w:val="19"/>
                <w:color w:val="auto"/>
              </w:rPr>
            </w:pPr>
          </w:p>
        </w:tc>
        <w:tc>
          <w:tcPr>
            <w:tcW w:w="1360" w:type="dxa"/>
            <w:vAlign w:val="bottom"/>
          </w:tcPr>
          <w:p>
            <w:pPr>
              <w:jc w:val="center"/>
              <w:ind w:right="141"/>
              <w:spacing w:after="0"/>
              <w:rPr>
                <w:sz w:val="20"/>
                <w:szCs w:val="20"/>
                <w:color w:val="auto"/>
              </w:rPr>
            </w:pPr>
            <w:r>
              <w:rPr>
                <w:rFonts w:ascii="Arial" w:cs="Arial" w:eastAsia="Arial" w:hAnsi="Arial"/>
                <w:sz w:val="20"/>
                <w:szCs w:val="20"/>
                <w:b w:val="1"/>
                <w:bCs w:val="1"/>
                <w:color w:val="auto"/>
                <w:w w:val="92"/>
              </w:rPr>
              <w:t>Year</w:t>
            </w:r>
          </w:p>
        </w:tc>
        <w:tc>
          <w:tcPr>
            <w:tcW w:w="0" w:type="dxa"/>
            <w:vAlign w:val="bottom"/>
          </w:tcPr>
          <w:p>
            <w:pPr>
              <w:spacing w:after="0"/>
              <w:rPr>
                <w:sz w:val="1"/>
                <w:szCs w:val="1"/>
                <w:color w:val="auto"/>
              </w:rPr>
            </w:pPr>
          </w:p>
        </w:tc>
      </w:tr>
      <w:tr>
        <w:trPr>
          <w:trHeight w:val="230"/>
        </w:trPr>
        <w:tc>
          <w:tcPr>
            <w:tcW w:w="5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20"/>
                <w:szCs w:val="20"/>
                <w:b w:val="1"/>
                <w:bCs w:val="1"/>
                <w:color w:val="auto"/>
                <w:w w:val="84"/>
              </w:rPr>
              <w:t>ended</w:t>
            </w:r>
          </w:p>
        </w:tc>
        <w:tc>
          <w:tcPr>
            <w:tcW w:w="260" w:type="dxa"/>
            <w:vAlign w:val="bottom"/>
          </w:tcPr>
          <w:p>
            <w:pPr>
              <w:spacing w:after="0"/>
              <w:rPr>
                <w:sz w:val="19"/>
                <w:szCs w:val="19"/>
                <w:color w:val="auto"/>
              </w:rPr>
            </w:pPr>
          </w:p>
        </w:tc>
        <w:tc>
          <w:tcPr>
            <w:tcW w:w="1360" w:type="dxa"/>
            <w:vAlign w:val="bottom"/>
          </w:tcPr>
          <w:p>
            <w:pPr>
              <w:jc w:val="center"/>
              <w:ind w:right="161"/>
              <w:spacing w:after="0"/>
              <w:rPr>
                <w:sz w:val="20"/>
                <w:szCs w:val="20"/>
                <w:color w:val="auto"/>
              </w:rPr>
            </w:pPr>
            <w:r>
              <w:rPr>
                <w:rFonts w:ascii="Arial" w:cs="Arial" w:eastAsia="Arial" w:hAnsi="Arial"/>
                <w:sz w:val="20"/>
                <w:szCs w:val="20"/>
                <w:b w:val="1"/>
                <w:bCs w:val="1"/>
                <w:color w:val="auto"/>
                <w:w w:val="84"/>
              </w:rPr>
              <w:t>ended</w:t>
            </w:r>
          </w:p>
        </w:tc>
        <w:tc>
          <w:tcPr>
            <w:tcW w:w="0" w:type="dxa"/>
            <w:vAlign w:val="bottom"/>
          </w:tcPr>
          <w:p>
            <w:pPr>
              <w:spacing w:after="0"/>
              <w:rPr>
                <w:sz w:val="1"/>
                <w:szCs w:val="1"/>
                <w:color w:val="auto"/>
              </w:rPr>
            </w:pPr>
          </w:p>
        </w:tc>
      </w:tr>
      <w:tr>
        <w:trPr>
          <w:trHeight w:val="230"/>
        </w:trPr>
        <w:tc>
          <w:tcPr>
            <w:tcW w:w="5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20"/>
                <w:szCs w:val="20"/>
                <w:b w:val="1"/>
                <w:bCs w:val="1"/>
                <w:color w:val="auto"/>
                <w:w w:val="92"/>
              </w:rPr>
              <w:t>February 28,</w:t>
            </w:r>
          </w:p>
        </w:tc>
        <w:tc>
          <w:tcPr>
            <w:tcW w:w="260" w:type="dxa"/>
            <w:vAlign w:val="bottom"/>
          </w:tcPr>
          <w:p>
            <w:pPr>
              <w:spacing w:after="0"/>
              <w:rPr>
                <w:sz w:val="19"/>
                <w:szCs w:val="19"/>
                <w:color w:val="auto"/>
              </w:rPr>
            </w:pPr>
          </w:p>
        </w:tc>
        <w:tc>
          <w:tcPr>
            <w:tcW w:w="1360" w:type="dxa"/>
            <w:vAlign w:val="bottom"/>
          </w:tcPr>
          <w:p>
            <w:pPr>
              <w:jc w:val="center"/>
              <w:ind w:right="161"/>
              <w:spacing w:after="0"/>
              <w:rPr>
                <w:sz w:val="20"/>
                <w:szCs w:val="20"/>
                <w:color w:val="auto"/>
              </w:rPr>
            </w:pPr>
            <w:r>
              <w:rPr>
                <w:rFonts w:ascii="Arial" w:cs="Arial" w:eastAsia="Arial" w:hAnsi="Arial"/>
                <w:sz w:val="20"/>
                <w:szCs w:val="20"/>
                <w:b w:val="1"/>
                <w:bCs w:val="1"/>
                <w:color w:val="auto"/>
                <w:w w:val="93"/>
              </w:rPr>
              <w:t>March 31,</w:t>
            </w:r>
          </w:p>
        </w:tc>
        <w:tc>
          <w:tcPr>
            <w:tcW w:w="0" w:type="dxa"/>
            <w:vAlign w:val="bottom"/>
          </w:tcPr>
          <w:p>
            <w:pPr>
              <w:spacing w:after="0"/>
              <w:rPr>
                <w:sz w:val="1"/>
                <w:szCs w:val="1"/>
                <w:color w:val="auto"/>
              </w:rPr>
            </w:pPr>
          </w:p>
        </w:tc>
      </w:tr>
      <w:tr>
        <w:trPr>
          <w:trHeight w:val="256"/>
        </w:trPr>
        <w:tc>
          <w:tcPr>
            <w:tcW w:w="5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jc w:val="center"/>
              <w:ind w:right="61"/>
              <w:spacing w:after="0"/>
              <w:rPr>
                <w:sz w:val="20"/>
                <w:szCs w:val="20"/>
                <w:color w:val="auto"/>
              </w:rPr>
            </w:pPr>
            <w:r>
              <w:rPr>
                <w:rFonts w:ascii="Arial" w:cs="Arial" w:eastAsia="Arial" w:hAnsi="Arial"/>
                <w:sz w:val="20"/>
                <w:szCs w:val="20"/>
                <w:b w:val="1"/>
                <w:bCs w:val="1"/>
                <w:color w:val="auto"/>
                <w:w w:val="85"/>
              </w:rPr>
              <w:t>2013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60" w:type="dxa"/>
            <w:vAlign w:val="bottom"/>
          </w:tcPr>
          <w:p>
            <w:pPr>
              <w:jc w:val="center"/>
              <w:ind w:right="141"/>
              <w:spacing w:after="0"/>
              <w:rPr>
                <w:sz w:val="20"/>
                <w:szCs w:val="20"/>
                <w:color w:val="auto"/>
              </w:rPr>
            </w:pPr>
            <w:r>
              <w:rPr>
                <w:rFonts w:ascii="Arial" w:cs="Arial" w:eastAsia="Arial" w:hAnsi="Arial"/>
                <w:sz w:val="20"/>
                <w:szCs w:val="20"/>
                <w:b w:val="1"/>
                <w:bCs w:val="1"/>
                <w:color w:val="auto"/>
                <w:w w:val="89"/>
              </w:rPr>
              <w:t>2012</w:t>
            </w:r>
          </w:p>
        </w:tc>
        <w:tc>
          <w:tcPr>
            <w:tcW w:w="0" w:type="dxa"/>
            <w:vAlign w:val="bottom"/>
          </w:tcPr>
          <w:p>
            <w:pPr>
              <w:spacing w:after="0"/>
              <w:rPr>
                <w:sz w:val="1"/>
                <w:szCs w:val="1"/>
                <w:color w:val="auto"/>
              </w:rPr>
            </w:pPr>
          </w:p>
        </w:tc>
      </w:tr>
      <w:tr>
        <w:trPr>
          <w:trHeight w:val="23"/>
        </w:trPr>
        <w:tc>
          <w:tcPr>
            <w:tcW w:w="59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6060" w:type="dxa"/>
            <w:vAlign w:val="bottom"/>
            <w:gridSpan w:val="2"/>
          </w:tcPr>
          <w:p>
            <w:pPr>
              <w:spacing w:after="0"/>
              <w:rPr>
                <w:sz w:val="20"/>
                <w:szCs w:val="20"/>
                <w:color w:val="auto"/>
              </w:rPr>
            </w:pPr>
            <w:r>
              <w:rPr>
                <w:rFonts w:ascii="Arial" w:cs="Arial" w:eastAsia="Arial" w:hAnsi="Arial"/>
                <w:sz w:val="20"/>
                <w:szCs w:val="20"/>
                <w:color w:val="auto"/>
              </w:rPr>
              <w:t>Net income (loss)</w:t>
            </w:r>
          </w:p>
        </w:tc>
        <w:tc>
          <w:tcPr>
            <w:tcW w:w="16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460" w:type="dxa"/>
            <w:vAlign w:val="bottom"/>
          </w:tcPr>
          <w:p>
            <w:pPr>
              <w:jc w:val="right"/>
              <w:spacing w:after="0"/>
              <w:rPr>
                <w:sz w:val="20"/>
                <w:szCs w:val="20"/>
                <w:color w:val="auto"/>
              </w:rPr>
            </w:pPr>
            <w:r>
              <w:rPr>
                <w:rFonts w:ascii="Arial" w:cs="Arial" w:eastAsia="Arial" w:hAnsi="Arial"/>
                <w:sz w:val="20"/>
                <w:szCs w:val="20"/>
                <w:color w:val="auto"/>
              </w:rPr>
              <w:t>131,822</w:t>
            </w:r>
          </w:p>
        </w:tc>
        <w:tc>
          <w:tcPr>
            <w:tcW w:w="120" w:type="dxa"/>
            <w:vAlign w:val="bottom"/>
          </w:tcPr>
          <w:p>
            <w:pPr>
              <w:spacing w:after="0"/>
              <w:rPr>
                <w:sz w:val="22"/>
                <w:szCs w:val="22"/>
                <w:color w:val="auto"/>
              </w:rPr>
            </w:pPr>
          </w:p>
        </w:tc>
        <w:tc>
          <w:tcPr>
            <w:tcW w:w="260" w:type="dxa"/>
            <w:vAlign w:val="bottom"/>
          </w:tcPr>
          <w:p>
            <w:pPr>
              <w:jc w:val="right"/>
              <w:ind w:right="41"/>
              <w:spacing w:after="0"/>
              <w:rPr>
                <w:sz w:val="20"/>
                <w:szCs w:val="20"/>
                <w:color w:val="auto"/>
              </w:rPr>
            </w:pPr>
            <w:r>
              <w:rPr>
                <w:rFonts w:ascii="Arial" w:cs="Arial" w:eastAsia="Arial" w:hAnsi="Arial"/>
                <w:sz w:val="20"/>
                <w:szCs w:val="20"/>
                <w:color w:val="auto"/>
                <w:w w:val="89"/>
              </w:rPr>
              <w:t>¥</w:t>
            </w:r>
          </w:p>
        </w:tc>
        <w:tc>
          <w:tcPr>
            <w:tcW w:w="1360" w:type="dxa"/>
            <w:vAlign w:val="bottom"/>
          </w:tcPr>
          <w:p>
            <w:pPr>
              <w:jc w:val="right"/>
              <w:spacing w:after="0"/>
              <w:rPr>
                <w:sz w:val="20"/>
                <w:szCs w:val="20"/>
                <w:color w:val="auto"/>
              </w:rPr>
            </w:pPr>
            <w:r>
              <w:rPr>
                <w:rFonts w:ascii="Arial" w:cs="Arial" w:eastAsia="Arial" w:hAnsi="Arial"/>
                <w:sz w:val="20"/>
                <w:szCs w:val="20"/>
                <w:color w:val="auto"/>
              </w:rPr>
              <w:t>(363,758)</w:t>
            </w:r>
          </w:p>
        </w:tc>
        <w:tc>
          <w:tcPr>
            <w:tcW w:w="0" w:type="dxa"/>
            <w:vAlign w:val="bottom"/>
          </w:tcPr>
          <w:p>
            <w:pPr>
              <w:spacing w:after="0"/>
              <w:rPr>
                <w:sz w:val="1"/>
                <w:szCs w:val="1"/>
                <w:color w:val="auto"/>
              </w:rPr>
            </w:pPr>
          </w:p>
        </w:tc>
      </w:tr>
      <w:tr>
        <w:trPr>
          <w:trHeight w:val="284"/>
        </w:trPr>
        <w:tc>
          <w:tcPr>
            <w:tcW w:w="6060" w:type="dxa"/>
            <w:vAlign w:val="bottom"/>
            <w:gridSpan w:val="2"/>
          </w:tcPr>
          <w:p>
            <w:pPr>
              <w:spacing w:after="0"/>
              <w:rPr>
                <w:sz w:val="20"/>
                <w:szCs w:val="20"/>
                <w:color w:val="auto"/>
              </w:rPr>
            </w:pPr>
            <w:r>
              <w:rPr>
                <w:rFonts w:ascii="Arial" w:cs="Arial" w:eastAsia="Arial" w:hAnsi="Arial"/>
                <w:sz w:val="20"/>
                <w:szCs w:val="20"/>
                <w:color w:val="auto"/>
              </w:rPr>
              <w:t>Other comprehensive income (loss), net of tax:</w:t>
            </w: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060" w:type="dxa"/>
            <w:vAlign w:val="bottom"/>
            <w:gridSpan w:val="2"/>
          </w:tcPr>
          <w:p>
            <w:pPr>
              <w:ind w:left="240"/>
              <w:spacing w:after="0"/>
              <w:rPr>
                <w:sz w:val="20"/>
                <w:szCs w:val="20"/>
                <w:color w:val="auto"/>
              </w:rPr>
            </w:pPr>
            <w:r>
              <w:rPr>
                <w:rFonts w:ascii="Arial" w:cs="Arial" w:eastAsia="Arial" w:hAnsi="Arial"/>
                <w:sz w:val="20"/>
                <w:szCs w:val="20"/>
                <w:color w:val="auto"/>
              </w:rPr>
              <w:t>Foreign currency translation adjustments</w:t>
            </w:r>
          </w:p>
        </w:tc>
        <w:tc>
          <w:tcPr>
            <w:tcW w:w="1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18,949</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(3,794)</w:t>
            </w:r>
          </w:p>
        </w:tc>
        <w:tc>
          <w:tcPr>
            <w:tcW w:w="0" w:type="dxa"/>
            <w:vAlign w:val="bottom"/>
          </w:tcPr>
          <w:p>
            <w:pPr>
              <w:spacing w:after="0"/>
              <w:rPr>
                <w:sz w:val="1"/>
                <w:szCs w:val="1"/>
                <w:color w:val="auto"/>
              </w:rPr>
            </w:pPr>
          </w:p>
        </w:tc>
      </w:tr>
      <w:tr>
        <w:trPr>
          <w:trHeight w:val="284"/>
        </w:trPr>
        <w:tc>
          <w:tcPr>
            <w:tcW w:w="6060" w:type="dxa"/>
            <w:vAlign w:val="bottom"/>
            <w:gridSpan w:val="2"/>
          </w:tcPr>
          <w:p>
            <w:pPr>
              <w:ind w:left="240"/>
              <w:spacing w:after="0"/>
              <w:rPr>
                <w:sz w:val="20"/>
                <w:szCs w:val="20"/>
                <w:color w:val="auto"/>
              </w:rPr>
            </w:pPr>
            <w:r>
              <w:rPr>
                <w:rFonts w:ascii="Arial" w:cs="Arial" w:eastAsia="Arial" w:hAnsi="Arial"/>
                <w:sz w:val="20"/>
                <w:szCs w:val="20"/>
                <w:color w:val="auto"/>
              </w:rPr>
              <w:t>Pension and other postretirement benefit plans:</w:t>
            </w: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060" w:type="dxa"/>
            <w:vAlign w:val="bottom"/>
            <w:gridSpan w:val="2"/>
          </w:tcPr>
          <w:p>
            <w:pPr>
              <w:ind w:left="580"/>
              <w:spacing w:after="0"/>
              <w:rPr>
                <w:sz w:val="20"/>
                <w:szCs w:val="20"/>
                <w:color w:val="auto"/>
              </w:rPr>
            </w:pPr>
            <w:r>
              <w:rPr>
                <w:rFonts w:ascii="Arial" w:cs="Arial" w:eastAsia="Arial" w:hAnsi="Arial"/>
                <w:sz w:val="20"/>
                <w:szCs w:val="20"/>
                <w:color w:val="auto"/>
              </w:rPr>
              <w:t>Net actuarial gain (loss)</w:t>
            </w:r>
          </w:p>
        </w:tc>
        <w:tc>
          <w:tcPr>
            <w:tcW w:w="1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626</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(843)</w:t>
            </w:r>
          </w:p>
        </w:tc>
        <w:tc>
          <w:tcPr>
            <w:tcW w:w="0" w:type="dxa"/>
            <w:vAlign w:val="bottom"/>
          </w:tcPr>
          <w:p>
            <w:pPr>
              <w:spacing w:after="0"/>
              <w:rPr>
                <w:sz w:val="1"/>
                <w:szCs w:val="1"/>
                <w:color w:val="auto"/>
              </w:rPr>
            </w:pPr>
          </w:p>
        </w:tc>
      </w:tr>
      <w:tr>
        <w:trPr>
          <w:trHeight w:val="263"/>
        </w:trPr>
        <w:tc>
          <w:tcPr>
            <w:tcW w:w="6060" w:type="dxa"/>
            <w:vAlign w:val="bottom"/>
            <w:gridSpan w:val="2"/>
          </w:tcPr>
          <w:p>
            <w:pPr>
              <w:ind w:left="580"/>
              <w:spacing w:after="0"/>
              <w:rPr>
                <w:sz w:val="20"/>
                <w:szCs w:val="20"/>
                <w:color w:val="auto"/>
              </w:rPr>
            </w:pPr>
            <w:r>
              <w:rPr>
                <w:rFonts w:ascii="Arial" w:cs="Arial" w:eastAsia="Arial" w:hAnsi="Arial"/>
                <w:sz w:val="20"/>
                <w:szCs w:val="20"/>
                <w:color w:val="auto"/>
              </w:rPr>
              <w:t>Less: amortization of prior service cost</w:t>
            </w:r>
          </w:p>
        </w:tc>
        <w:tc>
          <w:tcPr>
            <w:tcW w:w="1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060" w:type="dxa"/>
            <w:vAlign w:val="bottom"/>
            <w:gridSpan w:val="2"/>
          </w:tcPr>
          <w:p>
            <w:pPr>
              <w:ind w:left="740"/>
              <w:spacing w:after="0"/>
              <w:rPr>
                <w:sz w:val="20"/>
                <w:szCs w:val="20"/>
                <w:color w:val="auto"/>
              </w:rPr>
            </w:pPr>
            <w:r>
              <w:rPr>
                <w:rFonts w:ascii="Arial" w:cs="Arial" w:eastAsia="Arial" w:hAnsi="Arial"/>
                <w:sz w:val="20"/>
                <w:szCs w:val="20"/>
                <w:color w:val="auto"/>
              </w:rPr>
              <w:t>included in net periodic pension cost</w:t>
            </w:r>
          </w:p>
        </w:tc>
        <w:tc>
          <w:tcPr>
            <w:tcW w:w="160" w:type="dxa"/>
            <w:vAlign w:val="bottom"/>
          </w:tcPr>
          <w:p>
            <w:pPr>
              <w:spacing w:after="0"/>
              <w:rPr>
                <w:sz w:val="21"/>
                <w:szCs w:val="21"/>
                <w:color w:val="auto"/>
              </w:rPr>
            </w:pPr>
          </w:p>
        </w:tc>
        <w:tc>
          <w:tcPr>
            <w:tcW w:w="1460" w:type="dxa"/>
            <w:vAlign w:val="bottom"/>
            <w:vMerge w:val="restart"/>
          </w:tcPr>
          <w:p>
            <w:pPr>
              <w:jc w:val="right"/>
              <w:spacing w:after="0"/>
              <w:rPr>
                <w:sz w:val="20"/>
                <w:szCs w:val="20"/>
                <w:color w:val="auto"/>
              </w:rPr>
            </w:pPr>
            <w:r>
              <w:rPr>
                <w:rFonts w:ascii="Arial" w:cs="Arial" w:eastAsia="Arial" w:hAnsi="Arial"/>
                <w:sz w:val="20"/>
                <w:szCs w:val="20"/>
                <w:color w:val="auto"/>
              </w:rPr>
              <w:t>93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vMerge w:val="restart"/>
          </w:tcPr>
          <w:p>
            <w:pPr>
              <w:jc w:val="right"/>
              <w:spacing w:after="0"/>
              <w:rPr>
                <w:sz w:val="20"/>
                <w:szCs w:val="20"/>
                <w:color w:val="auto"/>
              </w:rPr>
            </w:pPr>
            <w:r>
              <w:rPr>
                <w:rFonts w:ascii="Arial" w:cs="Arial" w:eastAsia="Arial" w:hAnsi="Arial"/>
                <w:sz w:val="20"/>
                <w:szCs w:val="20"/>
                <w:color w:val="auto"/>
              </w:rPr>
              <w:t>52</w:t>
            </w:r>
          </w:p>
        </w:tc>
        <w:tc>
          <w:tcPr>
            <w:tcW w:w="0" w:type="dxa"/>
            <w:vAlign w:val="bottom"/>
          </w:tcPr>
          <w:p>
            <w:pPr>
              <w:spacing w:after="0"/>
              <w:rPr>
                <w:sz w:val="1"/>
                <w:szCs w:val="1"/>
                <w:color w:val="auto"/>
              </w:rPr>
            </w:pPr>
          </w:p>
        </w:tc>
      </w:tr>
      <w:tr>
        <w:trPr>
          <w:trHeight w:val="135"/>
        </w:trPr>
        <w:tc>
          <w:tcPr>
            <w:tcW w:w="5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6060" w:type="dxa"/>
            <w:vAlign w:val="bottom"/>
            <w:gridSpan w:val="2"/>
            <w:vMerge w:val="restart"/>
          </w:tcPr>
          <w:p>
            <w:pPr>
              <w:ind w:left="1000"/>
              <w:spacing w:after="0"/>
              <w:rPr>
                <w:sz w:val="20"/>
                <w:szCs w:val="20"/>
                <w:color w:val="auto"/>
              </w:rPr>
            </w:pPr>
            <w:r>
              <w:rPr>
                <w:rFonts w:ascii="Arial" w:cs="Arial" w:eastAsia="Arial" w:hAnsi="Arial"/>
                <w:sz w:val="20"/>
                <w:szCs w:val="20"/>
                <w:color w:val="auto"/>
              </w:rPr>
              <w:t>Pension and other postretirement</w:t>
            </w: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60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060" w:type="dxa"/>
            <w:vAlign w:val="bottom"/>
            <w:gridSpan w:val="2"/>
          </w:tcPr>
          <w:p>
            <w:pPr>
              <w:ind w:left="1000"/>
              <w:spacing w:after="0"/>
              <w:rPr>
                <w:sz w:val="20"/>
                <w:szCs w:val="20"/>
                <w:color w:val="auto"/>
              </w:rPr>
            </w:pPr>
            <w:r>
              <w:rPr>
                <w:rFonts w:ascii="Arial" w:cs="Arial" w:eastAsia="Arial" w:hAnsi="Arial"/>
                <w:sz w:val="20"/>
                <w:szCs w:val="20"/>
                <w:color w:val="auto"/>
              </w:rPr>
              <w:t>benefit plans</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719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(790)</w:t>
            </w:r>
          </w:p>
        </w:tc>
        <w:tc>
          <w:tcPr>
            <w:tcW w:w="0" w:type="dxa"/>
            <w:vAlign w:val="bottom"/>
          </w:tcPr>
          <w:p>
            <w:pPr>
              <w:spacing w:after="0"/>
              <w:rPr>
                <w:sz w:val="1"/>
                <w:szCs w:val="1"/>
                <w:color w:val="auto"/>
              </w:rPr>
            </w:pPr>
          </w:p>
        </w:tc>
      </w:tr>
      <w:tr>
        <w:trPr>
          <w:trHeight w:val="284"/>
        </w:trPr>
        <w:tc>
          <w:tcPr>
            <w:tcW w:w="6060" w:type="dxa"/>
            <w:vAlign w:val="bottom"/>
            <w:gridSpan w:val="2"/>
          </w:tcPr>
          <w:p>
            <w:pPr>
              <w:ind w:left="240"/>
              <w:spacing w:after="0"/>
              <w:rPr>
                <w:sz w:val="20"/>
                <w:szCs w:val="20"/>
                <w:color w:val="auto"/>
              </w:rPr>
            </w:pPr>
            <w:r>
              <w:rPr>
                <w:rFonts w:ascii="Arial" w:cs="Arial" w:eastAsia="Arial" w:hAnsi="Arial"/>
                <w:sz w:val="20"/>
                <w:szCs w:val="20"/>
                <w:color w:val="auto"/>
              </w:rPr>
              <w:t>Unrealized holding (losses) gains on securities:</w:t>
            </w: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6060" w:type="dxa"/>
            <w:vAlign w:val="bottom"/>
            <w:gridSpan w:val="2"/>
          </w:tcPr>
          <w:p>
            <w:pPr>
              <w:ind w:left="580"/>
              <w:spacing w:after="0"/>
              <w:rPr>
                <w:sz w:val="20"/>
                <w:szCs w:val="20"/>
                <w:color w:val="auto"/>
              </w:rPr>
            </w:pPr>
            <w:r>
              <w:rPr>
                <w:rFonts w:ascii="Arial" w:cs="Arial" w:eastAsia="Arial" w:hAnsi="Arial"/>
                <w:sz w:val="20"/>
                <w:szCs w:val="20"/>
                <w:color w:val="auto"/>
              </w:rPr>
              <w:t>Unrealized holding (losses) gains arising</w:t>
            </w:r>
          </w:p>
        </w:tc>
        <w:tc>
          <w:tcPr>
            <w:tcW w:w="1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060" w:type="dxa"/>
            <w:vAlign w:val="bottom"/>
            <w:gridSpan w:val="2"/>
          </w:tcPr>
          <w:p>
            <w:pPr>
              <w:ind w:left="740"/>
              <w:spacing w:after="0"/>
              <w:rPr>
                <w:sz w:val="20"/>
                <w:szCs w:val="20"/>
                <w:color w:val="auto"/>
              </w:rPr>
            </w:pPr>
            <w:r>
              <w:rPr>
                <w:rFonts w:ascii="Arial" w:cs="Arial" w:eastAsia="Arial" w:hAnsi="Arial"/>
                <w:sz w:val="20"/>
                <w:szCs w:val="20"/>
                <w:color w:val="auto"/>
              </w:rPr>
              <w:t>during the period</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(26)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(2,443)</w:t>
            </w:r>
          </w:p>
        </w:tc>
        <w:tc>
          <w:tcPr>
            <w:tcW w:w="0" w:type="dxa"/>
            <w:vAlign w:val="bottom"/>
          </w:tcPr>
          <w:p>
            <w:pPr>
              <w:spacing w:after="0"/>
              <w:rPr>
                <w:sz w:val="1"/>
                <w:szCs w:val="1"/>
                <w:color w:val="auto"/>
              </w:rPr>
            </w:pPr>
          </w:p>
        </w:tc>
      </w:tr>
      <w:tr>
        <w:trPr>
          <w:trHeight w:val="263"/>
        </w:trPr>
        <w:tc>
          <w:tcPr>
            <w:tcW w:w="6060" w:type="dxa"/>
            <w:vAlign w:val="bottom"/>
            <w:gridSpan w:val="2"/>
          </w:tcPr>
          <w:p>
            <w:pPr>
              <w:ind w:left="580"/>
              <w:spacing w:after="0"/>
              <w:rPr>
                <w:sz w:val="20"/>
                <w:szCs w:val="20"/>
                <w:color w:val="auto"/>
              </w:rPr>
            </w:pPr>
            <w:r>
              <w:rPr>
                <w:rFonts w:ascii="Arial" w:cs="Arial" w:eastAsia="Arial" w:hAnsi="Arial"/>
                <w:sz w:val="20"/>
                <w:szCs w:val="20"/>
                <w:color w:val="auto"/>
              </w:rPr>
              <w:t>Less: reclassification adjustment for gains</w:t>
            </w:r>
          </w:p>
        </w:tc>
        <w:tc>
          <w:tcPr>
            <w:tcW w:w="1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060" w:type="dxa"/>
            <w:vAlign w:val="bottom"/>
            <w:gridSpan w:val="2"/>
          </w:tcPr>
          <w:p>
            <w:pPr>
              <w:ind w:left="740"/>
              <w:spacing w:after="0"/>
              <w:rPr>
                <w:sz w:val="20"/>
                <w:szCs w:val="20"/>
                <w:color w:val="auto"/>
              </w:rPr>
            </w:pPr>
            <w:r>
              <w:rPr>
                <w:rFonts w:ascii="Arial" w:cs="Arial" w:eastAsia="Arial" w:hAnsi="Arial"/>
                <w:sz w:val="20"/>
                <w:szCs w:val="20"/>
                <w:color w:val="auto"/>
              </w:rPr>
              <w:t>included in net income</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26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2,563</w:t>
            </w:r>
          </w:p>
        </w:tc>
        <w:tc>
          <w:tcPr>
            <w:tcW w:w="0" w:type="dxa"/>
            <w:vAlign w:val="bottom"/>
          </w:tcPr>
          <w:p>
            <w:pPr>
              <w:spacing w:after="0"/>
              <w:rPr>
                <w:sz w:val="1"/>
                <w:szCs w:val="1"/>
                <w:color w:val="auto"/>
              </w:rPr>
            </w:pPr>
          </w:p>
        </w:tc>
      </w:tr>
      <w:tr>
        <w:trPr>
          <w:trHeight w:val="23"/>
        </w:trPr>
        <w:tc>
          <w:tcPr>
            <w:tcW w:w="6060" w:type="dxa"/>
            <w:vAlign w:val="bottom"/>
            <w:gridSpan w:val="2"/>
            <w:vMerge w:val="restart"/>
          </w:tcPr>
          <w:p>
            <w:pPr>
              <w:ind w:left="1000"/>
              <w:spacing w:after="0"/>
              <w:rPr>
                <w:sz w:val="20"/>
                <w:szCs w:val="20"/>
                <w:color w:val="auto"/>
              </w:rPr>
            </w:pPr>
            <w:r>
              <w:rPr>
                <w:rFonts w:ascii="Arial" w:cs="Arial" w:eastAsia="Arial" w:hAnsi="Arial"/>
                <w:sz w:val="20"/>
                <w:szCs w:val="20"/>
                <w:color w:val="auto"/>
              </w:rPr>
              <w:t>Changes in fair value of available</w:t>
            </w: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60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060" w:type="dxa"/>
            <w:vAlign w:val="bottom"/>
            <w:gridSpan w:val="2"/>
          </w:tcPr>
          <w:p>
            <w:pPr>
              <w:ind w:left="1000"/>
              <w:spacing w:after="0"/>
              <w:rPr>
                <w:sz w:val="20"/>
                <w:szCs w:val="20"/>
                <w:color w:val="auto"/>
              </w:rPr>
            </w:pPr>
            <w:r>
              <w:rPr>
                <w:rFonts w:ascii="Arial" w:cs="Arial" w:eastAsia="Arial" w:hAnsi="Arial"/>
                <w:sz w:val="20"/>
                <w:szCs w:val="20"/>
                <w:color w:val="auto"/>
              </w:rPr>
              <w:t>for sale investments</w:t>
            </w:r>
          </w:p>
        </w:tc>
        <w:tc>
          <w:tcPr>
            <w:tcW w:w="16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120</w:t>
            </w:r>
          </w:p>
        </w:tc>
        <w:tc>
          <w:tcPr>
            <w:tcW w:w="0" w:type="dxa"/>
            <w:vAlign w:val="bottom"/>
          </w:tcPr>
          <w:p>
            <w:pPr>
              <w:spacing w:after="0"/>
              <w:rPr>
                <w:sz w:val="1"/>
                <w:szCs w:val="1"/>
                <w:color w:val="auto"/>
              </w:rPr>
            </w:pPr>
          </w:p>
        </w:tc>
      </w:tr>
      <w:tr>
        <w:trPr>
          <w:trHeight w:val="23"/>
        </w:trPr>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6060" w:type="dxa"/>
            <w:vAlign w:val="bottom"/>
            <w:gridSpan w:val="2"/>
          </w:tcPr>
          <w:p>
            <w:pPr>
              <w:ind w:left="1000"/>
              <w:spacing w:after="0"/>
              <w:rPr>
                <w:sz w:val="20"/>
                <w:szCs w:val="20"/>
                <w:color w:val="auto"/>
              </w:rPr>
            </w:pPr>
            <w:r>
              <w:rPr>
                <w:rFonts w:ascii="Arial" w:cs="Arial" w:eastAsia="Arial" w:hAnsi="Arial"/>
                <w:sz w:val="20"/>
                <w:szCs w:val="20"/>
                <w:color w:val="auto"/>
              </w:rPr>
              <w:t>Other comprehensive income (loss)</w:t>
            </w:r>
          </w:p>
        </w:tc>
        <w:tc>
          <w:tcPr>
            <w:tcW w:w="16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19,668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(4,464)</w:t>
            </w:r>
          </w:p>
        </w:tc>
        <w:tc>
          <w:tcPr>
            <w:tcW w:w="0" w:type="dxa"/>
            <w:vAlign w:val="bottom"/>
          </w:tcPr>
          <w:p>
            <w:pPr>
              <w:spacing w:after="0"/>
              <w:rPr>
                <w:sz w:val="1"/>
                <w:szCs w:val="1"/>
                <w:color w:val="auto"/>
              </w:rPr>
            </w:pPr>
          </w:p>
        </w:tc>
      </w:tr>
      <w:tr>
        <w:trPr>
          <w:trHeight w:val="284"/>
        </w:trPr>
        <w:tc>
          <w:tcPr>
            <w:tcW w:w="6060" w:type="dxa"/>
            <w:vAlign w:val="bottom"/>
            <w:gridSpan w:val="2"/>
          </w:tcPr>
          <w:p>
            <w:pPr>
              <w:spacing w:after="0"/>
              <w:rPr>
                <w:sz w:val="20"/>
                <w:szCs w:val="20"/>
                <w:color w:val="auto"/>
              </w:rPr>
            </w:pPr>
            <w:r>
              <w:rPr>
                <w:rFonts w:ascii="Arial" w:cs="Arial" w:eastAsia="Arial" w:hAnsi="Arial"/>
                <w:sz w:val="20"/>
                <w:szCs w:val="20"/>
                <w:color w:val="auto"/>
                <w:w w:val="94"/>
              </w:rPr>
              <w:t>Less comprehensive income (loss) attributable to noncontrolling interest</w:t>
            </w:r>
          </w:p>
        </w:tc>
        <w:tc>
          <w:tcPr>
            <w:tcW w:w="1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5,254</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(4,330)</w:t>
            </w:r>
          </w:p>
        </w:tc>
        <w:tc>
          <w:tcPr>
            <w:tcW w:w="0" w:type="dxa"/>
            <w:vAlign w:val="bottom"/>
          </w:tcPr>
          <w:p>
            <w:pPr>
              <w:spacing w:after="0"/>
              <w:rPr>
                <w:sz w:val="1"/>
                <w:szCs w:val="1"/>
                <w:color w:val="auto"/>
              </w:rPr>
            </w:pPr>
          </w:p>
        </w:tc>
      </w:tr>
      <w:tr>
        <w:trPr>
          <w:trHeight w:val="23"/>
        </w:trPr>
        <w:tc>
          <w:tcPr>
            <w:tcW w:w="6060" w:type="dxa"/>
            <w:vAlign w:val="bottom"/>
            <w:gridSpan w:val="2"/>
            <w:vMerge w:val="restart"/>
          </w:tcPr>
          <w:p>
            <w:pPr>
              <w:ind w:left="1000"/>
              <w:spacing w:after="0"/>
              <w:rPr>
                <w:sz w:val="20"/>
                <w:szCs w:val="20"/>
                <w:color w:val="auto"/>
              </w:rPr>
            </w:pPr>
            <w:r>
              <w:rPr>
                <w:rFonts w:ascii="Arial" w:cs="Arial" w:eastAsia="Arial" w:hAnsi="Arial"/>
                <w:sz w:val="20"/>
                <w:szCs w:val="20"/>
                <w:color w:val="auto"/>
              </w:rPr>
              <w:t>Net comprehensive income (loss)</w:t>
            </w: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60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gridSpan w:val="2"/>
          </w:tcPr>
          <w:p>
            <w:pPr>
              <w:ind w:left="1000"/>
              <w:spacing w:after="0"/>
              <w:rPr>
                <w:sz w:val="20"/>
                <w:szCs w:val="20"/>
                <w:color w:val="auto"/>
              </w:rPr>
            </w:pPr>
            <w:r>
              <w:rPr>
                <w:rFonts w:ascii="Arial" w:cs="Arial" w:eastAsia="Arial" w:hAnsi="Arial"/>
                <w:sz w:val="20"/>
                <w:szCs w:val="20"/>
                <w:color w:val="auto"/>
              </w:rPr>
              <w:t>attributable to Elpida Memory,</w:t>
            </w:r>
          </w:p>
        </w:tc>
        <w:tc>
          <w:tcPr>
            <w:tcW w:w="160" w:type="dxa"/>
            <w:vAlign w:val="bottom"/>
            <w:vMerge w:val="restart"/>
          </w:tcPr>
          <w:p>
            <w:pPr>
              <w:jc w:val="right"/>
              <w:spacing w:after="0"/>
              <w:rPr>
                <w:sz w:val="20"/>
                <w:szCs w:val="20"/>
                <w:color w:val="auto"/>
              </w:rPr>
            </w:pPr>
            <w:r>
              <w:rPr>
                <w:rFonts w:ascii="Arial" w:cs="Arial" w:eastAsia="Arial" w:hAnsi="Arial"/>
                <w:sz w:val="20"/>
                <w:szCs w:val="20"/>
                <w:color w:val="auto"/>
                <w:w w:val="89"/>
              </w:rPr>
              <w:t>¥</w:t>
            </w:r>
          </w:p>
        </w:tc>
        <w:tc>
          <w:tcPr>
            <w:tcW w:w="1460" w:type="dxa"/>
            <w:vAlign w:val="bottom"/>
            <w:vMerge w:val="restart"/>
          </w:tcPr>
          <w:p>
            <w:pPr>
              <w:jc w:val="right"/>
              <w:spacing w:after="0"/>
              <w:rPr>
                <w:sz w:val="20"/>
                <w:szCs w:val="20"/>
                <w:color w:val="auto"/>
              </w:rPr>
            </w:pPr>
            <w:r>
              <w:rPr>
                <w:rFonts w:ascii="Arial" w:cs="Arial" w:eastAsia="Arial" w:hAnsi="Arial"/>
                <w:sz w:val="20"/>
                <w:szCs w:val="20"/>
                <w:color w:val="auto"/>
              </w:rPr>
              <w:t>146,236</w:t>
            </w:r>
          </w:p>
        </w:tc>
        <w:tc>
          <w:tcPr>
            <w:tcW w:w="120" w:type="dxa"/>
            <w:vAlign w:val="bottom"/>
          </w:tcPr>
          <w:p>
            <w:pPr>
              <w:spacing w:after="0"/>
              <w:rPr>
                <w:sz w:val="19"/>
                <w:szCs w:val="19"/>
                <w:color w:val="auto"/>
              </w:rPr>
            </w:pPr>
          </w:p>
        </w:tc>
        <w:tc>
          <w:tcPr>
            <w:tcW w:w="260" w:type="dxa"/>
            <w:vAlign w:val="bottom"/>
            <w:vMerge w:val="restart"/>
          </w:tcPr>
          <w:p>
            <w:pPr>
              <w:jc w:val="right"/>
              <w:ind w:right="41"/>
              <w:spacing w:after="0"/>
              <w:rPr>
                <w:sz w:val="20"/>
                <w:szCs w:val="20"/>
                <w:color w:val="auto"/>
              </w:rPr>
            </w:pPr>
            <w:r>
              <w:rPr>
                <w:rFonts w:ascii="Arial" w:cs="Arial" w:eastAsia="Arial" w:hAnsi="Arial"/>
                <w:sz w:val="20"/>
                <w:szCs w:val="20"/>
                <w:color w:val="auto"/>
                <w:w w:val="89"/>
              </w:rPr>
              <w:t>¥</w:t>
            </w:r>
          </w:p>
        </w:tc>
        <w:tc>
          <w:tcPr>
            <w:tcW w:w="1360" w:type="dxa"/>
            <w:vAlign w:val="bottom"/>
            <w:vMerge w:val="restart"/>
          </w:tcPr>
          <w:p>
            <w:pPr>
              <w:jc w:val="right"/>
              <w:spacing w:after="0"/>
              <w:rPr>
                <w:sz w:val="20"/>
                <w:szCs w:val="20"/>
                <w:color w:val="auto"/>
              </w:rPr>
            </w:pPr>
            <w:r>
              <w:rPr>
                <w:rFonts w:ascii="Arial" w:cs="Arial" w:eastAsia="Arial" w:hAnsi="Arial"/>
                <w:sz w:val="20"/>
                <w:szCs w:val="20"/>
                <w:color w:val="auto"/>
              </w:rPr>
              <w:t>(363,892)</w:t>
            </w:r>
          </w:p>
        </w:tc>
        <w:tc>
          <w:tcPr>
            <w:tcW w:w="0" w:type="dxa"/>
            <w:vAlign w:val="bottom"/>
          </w:tcPr>
          <w:p>
            <w:pPr>
              <w:spacing w:after="0"/>
              <w:rPr>
                <w:sz w:val="1"/>
                <w:szCs w:val="1"/>
                <w:color w:val="auto"/>
              </w:rPr>
            </w:pPr>
          </w:p>
        </w:tc>
      </w:tr>
      <w:tr>
        <w:trPr>
          <w:trHeight w:val="260"/>
        </w:trPr>
        <w:tc>
          <w:tcPr>
            <w:tcW w:w="6060" w:type="dxa"/>
            <w:vAlign w:val="bottom"/>
            <w:gridSpan w:val="2"/>
          </w:tcPr>
          <w:p>
            <w:pPr>
              <w:ind w:left="1000"/>
              <w:spacing w:after="0"/>
              <w:rPr>
                <w:sz w:val="20"/>
                <w:szCs w:val="20"/>
                <w:color w:val="auto"/>
              </w:rPr>
            </w:pPr>
            <w:r>
              <w:rPr>
                <w:rFonts w:ascii="Arial" w:cs="Arial" w:eastAsia="Arial" w:hAnsi="Arial"/>
                <w:sz w:val="20"/>
                <w:szCs w:val="20"/>
                <w:color w:val="auto"/>
              </w:rPr>
              <w:t>Inc. and subsidiaries</w:t>
            </w:r>
          </w:p>
        </w:tc>
        <w:tc>
          <w:tcPr>
            <w:tcW w:w="160" w:type="dxa"/>
            <w:vAlign w:val="bottom"/>
            <w:tcBorders>
              <w:bottom w:val="single" w:sz="8" w:color="auto"/>
            </w:tcBorders>
            <w:vMerge w:val="continue"/>
          </w:tcPr>
          <w:p>
            <w:pPr>
              <w:spacing w:after="0"/>
              <w:rPr>
                <w:sz w:val="22"/>
                <w:szCs w:val="22"/>
                <w:color w:val="auto"/>
              </w:rPr>
            </w:pPr>
          </w:p>
        </w:tc>
        <w:tc>
          <w:tcPr>
            <w:tcW w:w="1460" w:type="dxa"/>
            <w:vAlign w:val="bottom"/>
            <w:tcBorders>
              <w:bottom w:val="single" w:sz="8" w:color="auto"/>
            </w:tcBorders>
            <w:vMerge w:val="continue"/>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vMerge w:val="continue"/>
          </w:tcPr>
          <w:p>
            <w:pPr>
              <w:spacing w:after="0"/>
              <w:rPr>
                <w:sz w:val="22"/>
                <w:szCs w:val="22"/>
                <w:color w:val="auto"/>
              </w:rPr>
            </w:pPr>
          </w:p>
        </w:tc>
        <w:tc>
          <w:tcPr>
            <w:tcW w:w="136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See accompanying notes to consolidated financial statements.</w:t>
      </w: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760"/>
          </w:cols>
          <w:pgMar w:left="900" w:top="576"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20"/>
          <w:szCs w:val="20"/>
          <w:b w:val="1"/>
          <w:bCs w:val="1"/>
          <w:color w:val="auto"/>
        </w:rPr>
        <w:t>ELPIDA MEMORY, INC. AND SUBSIDIARIES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(DEBTORS-IN-POSSESSION)</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STOCKHOLDERS’ EQUITY,</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REDEEMABLE NONCONTROLLING INTEREST</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AND REDEEMABLE PREFERRED STOCK</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Eleven months ended February 28, 2013 and Year ended March 31, 2012</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(Yen in millions, except share data)</w:t>
      </w:r>
    </w:p>
    <w:p>
      <w:pPr>
        <w:spacing w:after="0" w:line="382"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13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ind w:left="40"/>
              <w:spacing w:after="0"/>
              <w:rPr>
                <w:sz w:val="20"/>
                <w:szCs w:val="20"/>
                <w:color w:val="auto"/>
              </w:rPr>
            </w:pPr>
            <w:r>
              <w:rPr>
                <w:rFonts w:ascii="Arial" w:cs="Arial" w:eastAsia="Arial" w:hAnsi="Arial"/>
                <w:sz w:val="11"/>
                <w:szCs w:val="11"/>
                <w:b w:val="1"/>
                <w:bCs w:val="1"/>
                <w:color w:val="auto"/>
              </w:rPr>
              <w:t>Stockholders’</w:t>
            </w: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0"/>
              </w:rPr>
              <w:t>(deficit)</w:t>
            </w: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4"/>
            <w:vMerge w:val="restart"/>
          </w:tcPr>
          <w:p>
            <w:pPr>
              <w:jc w:val="center"/>
              <w:ind w:right="80"/>
              <w:spacing w:after="0"/>
              <w:rPr>
                <w:sz w:val="20"/>
                <w:szCs w:val="20"/>
                <w:color w:val="auto"/>
              </w:rPr>
            </w:pPr>
            <w:r>
              <w:rPr>
                <w:rFonts w:ascii="Arial" w:cs="Arial" w:eastAsia="Arial" w:hAnsi="Arial"/>
                <w:sz w:val="11"/>
                <w:szCs w:val="11"/>
                <w:b w:val="1"/>
                <w:bCs w:val="1"/>
                <w:color w:val="auto"/>
                <w:w w:val="88"/>
              </w:rPr>
              <w:t>Redeemable Type I</w:t>
            </w:r>
          </w:p>
        </w:tc>
        <w:tc>
          <w:tcPr>
            <w:tcW w:w="1180" w:type="dxa"/>
            <w:vAlign w:val="bottom"/>
            <w:gridSpan w:val="4"/>
            <w:vMerge w:val="restart"/>
          </w:tcPr>
          <w:p>
            <w:pPr>
              <w:jc w:val="right"/>
              <w:ind w:right="66"/>
              <w:spacing w:after="0"/>
              <w:rPr>
                <w:sz w:val="20"/>
                <w:szCs w:val="20"/>
                <w:color w:val="auto"/>
              </w:rPr>
            </w:pPr>
            <w:r>
              <w:rPr>
                <w:rFonts w:ascii="Arial" w:cs="Arial" w:eastAsia="Arial" w:hAnsi="Arial"/>
                <w:sz w:val="11"/>
                <w:szCs w:val="11"/>
                <w:b w:val="1"/>
                <w:bCs w:val="1"/>
                <w:color w:val="auto"/>
              </w:rPr>
              <w:t>Redeemable Type II</w:t>
            </w:r>
          </w:p>
        </w:tc>
        <w:tc>
          <w:tcPr>
            <w:tcW w:w="0" w:type="dxa"/>
            <w:vAlign w:val="bottom"/>
          </w:tcPr>
          <w:p>
            <w:pPr>
              <w:spacing w:after="0"/>
              <w:rPr>
                <w:sz w:val="1"/>
                <w:szCs w:val="1"/>
                <w:color w:val="auto"/>
              </w:rPr>
            </w:pPr>
          </w:p>
        </w:tc>
      </w:tr>
      <w:tr>
        <w:trPr>
          <w:trHeight w:val="108"/>
        </w:trPr>
        <w:tc>
          <w:tcPr>
            <w:tcW w:w="13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2"/>
          </w:tcPr>
          <w:p>
            <w:pPr>
              <w:jc w:val="center"/>
              <w:ind w:right="240"/>
              <w:spacing w:after="0" w:line="109" w:lineRule="exact"/>
              <w:rPr>
                <w:sz w:val="20"/>
                <w:szCs w:val="20"/>
                <w:color w:val="auto"/>
              </w:rPr>
            </w:pPr>
            <w:r>
              <w:rPr>
                <w:rFonts w:ascii="Arial" w:cs="Arial" w:eastAsia="Arial" w:hAnsi="Arial"/>
                <w:sz w:val="11"/>
                <w:szCs w:val="11"/>
                <w:b w:val="1"/>
                <w:bCs w:val="1"/>
                <w:color w:val="auto"/>
                <w:w w:val="86"/>
              </w:rPr>
              <w:t>equity</w:t>
            </w: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11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1420" w:type="dxa"/>
            <w:vAlign w:val="bottom"/>
            <w:gridSpan w:val="4"/>
          </w:tcPr>
          <w:p>
            <w:pPr>
              <w:ind w:left="320"/>
              <w:spacing w:after="0"/>
              <w:rPr>
                <w:sz w:val="20"/>
                <w:szCs w:val="20"/>
                <w:color w:val="auto"/>
              </w:rPr>
            </w:pPr>
            <w:r>
              <w:rPr>
                <w:rFonts w:ascii="Arial" w:cs="Arial" w:eastAsia="Arial" w:hAnsi="Arial"/>
                <w:sz w:val="11"/>
                <w:szCs w:val="11"/>
                <w:b w:val="1"/>
                <w:bCs w:val="1"/>
                <w:color w:val="auto"/>
              </w:rPr>
              <w:t>Common stock</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3"/>
              </w:rPr>
              <w:t>attributable</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4"/>
          </w:tcPr>
          <w:p>
            <w:pPr>
              <w:jc w:val="center"/>
              <w:ind w:right="80"/>
              <w:spacing w:after="0"/>
              <w:rPr>
                <w:sz w:val="20"/>
                <w:szCs w:val="20"/>
                <w:color w:val="auto"/>
              </w:rPr>
            </w:pPr>
            <w:r>
              <w:rPr>
                <w:rFonts w:ascii="Arial" w:cs="Arial" w:eastAsia="Arial" w:hAnsi="Arial"/>
                <w:sz w:val="11"/>
                <w:szCs w:val="11"/>
                <w:b w:val="1"/>
                <w:bCs w:val="1"/>
                <w:color w:val="auto"/>
                <w:w w:val="89"/>
              </w:rPr>
              <w:t>preferred stock</w:t>
            </w:r>
          </w:p>
        </w:tc>
        <w:tc>
          <w:tcPr>
            <w:tcW w:w="1180" w:type="dxa"/>
            <w:vAlign w:val="bottom"/>
            <w:gridSpan w:val="4"/>
          </w:tcPr>
          <w:p>
            <w:pPr>
              <w:jc w:val="right"/>
              <w:ind w:right="166"/>
              <w:spacing w:after="0"/>
              <w:rPr>
                <w:sz w:val="20"/>
                <w:szCs w:val="20"/>
                <w:color w:val="auto"/>
              </w:rPr>
            </w:pPr>
            <w:r>
              <w:rPr>
                <w:rFonts w:ascii="Arial" w:cs="Arial" w:eastAsia="Arial" w:hAnsi="Arial"/>
                <w:sz w:val="11"/>
                <w:szCs w:val="11"/>
                <w:b w:val="1"/>
                <w:bCs w:val="1"/>
                <w:color w:val="auto"/>
              </w:rPr>
              <w:t>preferred stock</w:t>
            </w:r>
          </w:p>
        </w:tc>
        <w:tc>
          <w:tcPr>
            <w:tcW w:w="0" w:type="dxa"/>
            <w:vAlign w:val="bottom"/>
          </w:tcPr>
          <w:p>
            <w:pPr>
              <w:spacing w:after="0"/>
              <w:rPr>
                <w:sz w:val="1"/>
                <w:szCs w:val="1"/>
                <w:color w:val="auto"/>
              </w:rPr>
            </w:pPr>
          </w:p>
        </w:tc>
      </w:tr>
      <w:tr>
        <w:trPr>
          <w:trHeight w:val="94"/>
        </w:trPr>
        <w:tc>
          <w:tcPr>
            <w:tcW w:w="138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gridSpan w:val="3"/>
          </w:tcPr>
          <w:p>
            <w:pPr>
              <w:jc w:val="center"/>
              <w:ind w:right="120"/>
              <w:spacing w:after="0" w:line="94" w:lineRule="exact"/>
              <w:rPr>
                <w:sz w:val="20"/>
                <w:szCs w:val="20"/>
                <w:color w:val="auto"/>
              </w:rPr>
            </w:pPr>
            <w:r>
              <w:rPr>
                <w:rFonts w:ascii="Arial" w:cs="Arial" w:eastAsia="Arial" w:hAnsi="Arial"/>
                <w:sz w:val="10"/>
                <w:szCs w:val="10"/>
                <w:b w:val="1"/>
                <w:bCs w:val="1"/>
                <w:color w:val="auto"/>
                <w:w w:val="95"/>
              </w:rPr>
              <w:t>Accumulated</w:t>
            </w: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gridSpan w:val="2"/>
          </w:tcPr>
          <w:p>
            <w:pPr>
              <w:jc w:val="center"/>
              <w:ind w:right="220"/>
              <w:spacing w:after="0" w:line="94" w:lineRule="exact"/>
              <w:rPr>
                <w:sz w:val="20"/>
                <w:szCs w:val="20"/>
                <w:color w:val="auto"/>
              </w:rPr>
            </w:pPr>
            <w:r>
              <w:rPr>
                <w:rFonts w:ascii="Arial" w:cs="Arial" w:eastAsia="Arial" w:hAnsi="Arial"/>
                <w:sz w:val="10"/>
                <w:szCs w:val="10"/>
                <w:b w:val="1"/>
                <w:bCs w:val="1"/>
                <w:color w:val="auto"/>
                <w:w w:val="99"/>
              </w:rPr>
              <w:t>to Elpida</w:t>
            </w: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3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2"/>
              </w:rPr>
              <w:t>Additional</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87"/>
              </w:rPr>
              <w:t>other</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92"/>
              </w:rPr>
              <w:t>Memory, Inc.</w:t>
            </w: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1"/>
              </w:rPr>
              <w:t>Total</w:t>
            </w:r>
          </w:p>
        </w:tc>
        <w:tc>
          <w:tcPr>
            <w:tcW w:w="80" w:type="dxa"/>
            <w:vAlign w:val="bottom"/>
          </w:tcPr>
          <w:p>
            <w:pPr>
              <w:spacing w:after="0"/>
              <w:rPr>
                <w:sz w:val="10"/>
                <w:szCs w:val="10"/>
                <w:color w:val="auto"/>
              </w:rPr>
            </w:pPr>
          </w:p>
        </w:tc>
        <w:tc>
          <w:tcPr>
            <w:tcW w:w="74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6"/>
              </w:rPr>
              <w:t>Redeemable</w:t>
            </w: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4"/>
              </w:rPr>
              <w:t>paid-in</w:t>
            </w:r>
          </w:p>
        </w:tc>
        <w:tc>
          <w:tcPr>
            <w:tcW w:w="780" w:type="dxa"/>
            <w:vAlign w:val="bottom"/>
            <w:gridSpan w:val="3"/>
          </w:tcPr>
          <w:p>
            <w:pPr>
              <w:ind w:left="40"/>
              <w:spacing w:after="0" w:line="122" w:lineRule="exact"/>
              <w:rPr>
                <w:sz w:val="20"/>
                <w:szCs w:val="20"/>
                <w:color w:val="auto"/>
              </w:rPr>
            </w:pPr>
            <w:r>
              <w:rPr>
                <w:rFonts w:ascii="Arial" w:cs="Arial" w:eastAsia="Arial" w:hAnsi="Arial"/>
                <w:sz w:val="11"/>
                <w:szCs w:val="11"/>
                <w:b w:val="1"/>
                <w:bCs w:val="1"/>
                <w:color w:val="auto"/>
              </w:rPr>
              <w:t>Accumulated</w:t>
            </w:r>
          </w:p>
        </w:tc>
        <w:tc>
          <w:tcPr>
            <w:tcW w:w="84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w w:val="99"/>
              </w:rPr>
              <w:t>comprehensive</w:t>
            </w:r>
          </w:p>
        </w:tc>
        <w:tc>
          <w:tcPr>
            <w:tcW w:w="54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Treasury</w:t>
            </w:r>
          </w:p>
        </w:tc>
        <w:tc>
          <w:tcPr>
            <w:tcW w:w="120" w:type="dxa"/>
            <w:vAlign w:val="bottom"/>
          </w:tcPr>
          <w:p>
            <w:pPr>
              <w:spacing w:after="0"/>
              <w:rPr>
                <w:sz w:val="10"/>
                <w:szCs w:val="10"/>
                <w:color w:val="auto"/>
              </w:rPr>
            </w:pPr>
          </w:p>
        </w:tc>
        <w:tc>
          <w:tcPr>
            <w:tcW w:w="68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1"/>
              </w:rPr>
              <w:t>and</w:t>
            </w:r>
          </w:p>
        </w:tc>
        <w:tc>
          <w:tcPr>
            <w:tcW w:w="88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86"/>
              </w:rPr>
              <w:t>Noncontrolling</w:t>
            </w:r>
          </w:p>
        </w:tc>
        <w:tc>
          <w:tcPr>
            <w:tcW w:w="78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stockholders’</w:t>
            </w:r>
          </w:p>
        </w:tc>
        <w:tc>
          <w:tcPr>
            <w:tcW w:w="82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noncontrolling</w:t>
            </w: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380" w:type="dxa"/>
            <w:vAlign w:val="bottom"/>
          </w:tcPr>
          <w:p>
            <w:pPr>
              <w:spacing w:after="0"/>
              <w:rPr>
                <w:sz w:val="12"/>
                <w:szCs w:val="12"/>
                <w:color w:val="auto"/>
              </w:rPr>
            </w:pPr>
          </w:p>
        </w:tc>
        <w:tc>
          <w:tcPr>
            <w:tcW w:w="740" w:type="dxa"/>
            <w:vAlign w:val="bottom"/>
            <w:gridSpan w:val="2"/>
          </w:tcPr>
          <w:p>
            <w:pPr>
              <w:ind w:left="160"/>
              <w:spacing w:after="0"/>
              <w:rPr>
                <w:sz w:val="20"/>
                <w:szCs w:val="20"/>
                <w:color w:val="auto"/>
              </w:rPr>
            </w:pPr>
            <w:r>
              <w:rPr>
                <w:rFonts w:ascii="Arial" w:cs="Arial" w:eastAsia="Arial" w:hAnsi="Arial"/>
                <w:sz w:val="11"/>
                <w:szCs w:val="11"/>
                <w:b w:val="1"/>
                <w:bCs w:val="1"/>
                <w:color w:val="auto"/>
              </w:rPr>
              <w:t>Shares</w:t>
            </w:r>
          </w:p>
        </w:tc>
        <w:tc>
          <w:tcPr>
            <w:tcW w:w="680" w:type="dxa"/>
            <w:vAlign w:val="bottom"/>
            <w:gridSpan w:val="2"/>
          </w:tcPr>
          <w:p>
            <w:pPr>
              <w:ind w:left="100"/>
              <w:spacing w:after="0"/>
              <w:rPr>
                <w:sz w:val="20"/>
                <w:szCs w:val="20"/>
                <w:color w:val="auto"/>
              </w:rPr>
            </w:pPr>
            <w:r>
              <w:rPr>
                <w:rFonts w:ascii="Arial" w:cs="Arial" w:eastAsia="Arial" w:hAnsi="Arial"/>
                <w:sz w:val="11"/>
                <w:szCs w:val="11"/>
                <w:b w:val="1"/>
                <w:bCs w:val="1"/>
                <w:color w:val="auto"/>
              </w:rPr>
              <w:t>Amount</w:t>
            </w:r>
          </w:p>
        </w:tc>
        <w:tc>
          <w:tcPr>
            <w:tcW w:w="6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1"/>
              </w:rPr>
              <w:t>capital</w:t>
            </w:r>
          </w:p>
        </w:tc>
        <w:tc>
          <w:tcPr>
            <w:tcW w:w="120" w:type="dxa"/>
            <w:vAlign w:val="bottom"/>
          </w:tcPr>
          <w:p>
            <w:pPr>
              <w:spacing w:after="0"/>
              <w:rPr>
                <w:sz w:val="12"/>
                <w:szCs w:val="12"/>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Deficit</w:t>
            </w:r>
          </w:p>
        </w:tc>
        <w:tc>
          <w:tcPr>
            <w:tcW w:w="160" w:type="dxa"/>
            <w:vAlign w:val="bottom"/>
          </w:tcPr>
          <w:p>
            <w:pPr>
              <w:spacing w:after="0"/>
              <w:rPr>
                <w:sz w:val="12"/>
                <w:szCs w:val="12"/>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72"/>
              </w:rPr>
              <w:t>loss</w:t>
            </w:r>
          </w:p>
        </w:tc>
        <w:tc>
          <w:tcPr>
            <w:tcW w:w="80" w:type="dxa"/>
            <w:vAlign w:val="bottom"/>
          </w:tcPr>
          <w:p>
            <w:pPr>
              <w:spacing w:after="0"/>
              <w:rPr>
                <w:sz w:val="12"/>
                <w:szCs w:val="12"/>
                <w:color w:val="auto"/>
              </w:rPr>
            </w:pPr>
          </w:p>
        </w:tc>
        <w:tc>
          <w:tcPr>
            <w:tcW w:w="460" w:type="dxa"/>
            <w:vAlign w:val="bottom"/>
            <w:gridSpan w:val="2"/>
          </w:tcPr>
          <w:p>
            <w:pPr>
              <w:ind w:left="20"/>
              <w:spacing w:after="0"/>
              <w:rPr>
                <w:sz w:val="20"/>
                <w:szCs w:val="20"/>
                <w:color w:val="auto"/>
              </w:rPr>
            </w:pPr>
            <w:r>
              <w:rPr>
                <w:rFonts w:ascii="Arial" w:cs="Arial" w:eastAsia="Arial" w:hAnsi="Arial"/>
                <w:sz w:val="11"/>
                <w:szCs w:val="11"/>
                <w:b w:val="1"/>
                <w:bCs w:val="1"/>
                <w:color w:val="auto"/>
              </w:rPr>
              <w:t>stock</w:t>
            </w:r>
          </w:p>
        </w:tc>
        <w:tc>
          <w:tcPr>
            <w:tcW w:w="80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85"/>
              </w:rPr>
              <w:t>Subsidiaries</w:t>
            </w:r>
          </w:p>
        </w:tc>
        <w:tc>
          <w:tcPr>
            <w:tcW w:w="140" w:type="dxa"/>
            <w:vAlign w:val="bottom"/>
          </w:tcPr>
          <w:p>
            <w:pPr>
              <w:spacing w:after="0"/>
              <w:rPr>
                <w:sz w:val="12"/>
                <w:szCs w:val="12"/>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0"/>
              </w:rPr>
              <w:t>interest</w:t>
            </w:r>
          </w:p>
        </w:tc>
        <w:tc>
          <w:tcPr>
            <w:tcW w:w="120" w:type="dxa"/>
            <w:vAlign w:val="bottom"/>
          </w:tcPr>
          <w:p>
            <w:pPr>
              <w:spacing w:after="0"/>
              <w:rPr>
                <w:sz w:val="12"/>
                <w:szCs w:val="12"/>
                <w:color w:val="auto"/>
              </w:rPr>
            </w:pPr>
          </w:p>
        </w:tc>
        <w:tc>
          <w:tcPr>
            <w:tcW w:w="6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2"/>
              </w:rPr>
              <w:t>equity</w:t>
            </w:r>
          </w:p>
        </w:tc>
        <w:tc>
          <w:tcPr>
            <w:tcW w:w="80" w:type="dxa"/>
            <w:vAlign w:val="bottom"/>
          </w:tcPr>
          <w:p>
            <w:pPr>
              <w:spacing w:after="0"/>
              <w:rPr>
                <w:sz w:val="12"/>
                <w:szCs w:val="12"/>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5"/>
              </w:rPr>
              <w:t>interest</w:t>
            </w:r>
          </w:p>
        </w:tc>
        <w:tc>
          <w:tcPr>
            <w:tcW w:w="660" w:type="dxa"/>
            <w:vAlign w:val="bottom"/>
            <w:gridSpan w:val="2"/>
          </w:tcPr>
          <w:p>
            <w:pPr>
              <w:ind w:left="120"/>
              <w:spacing w:after="0"/>
              <w:rPr>
                <w:sz w:val="20"/>
                <w:szCs w:val="20"/>
                <w:color w:val="auto"/>
              </w:rPr>
            </w:pPr>
            <w:r>
              <w:rPr>
                <w:rFonts w:ascii="Arial" w:cs="Arial" w:eastAsia="Arial" w:hAnsi="Arial"/>
                <w:sz w:val="11"/>
                <w:szCs w:val="11"/>
                <w:b w:val="1"/>
                <w:bCs w:val="1"/>
                <w:color w:val="auto"/>
              </w:rPr>
              <w:t>Shares</w:t>
            </w:r>
          </w:p>
        </w:tc>
        <w:tc>
          <w:tcPr>
            <w:tcW w:w="620" w:type="dxa"/>
            <w:vAlign w:val="bottom"/>
            <w:gridSpan w:val="2"/>
          </w:tcPr>
          <w:p>
            <w:pPr>
              <w:ind w:left="60"/>
              <w:spacing w:after="0"/>
              <w:rPr>
                <w:sz w:val="20"/>
                <w:szCs w:val="20"/>
                <w:color w:val="auto"/>
              </w:rPr>
            </w:pPr>
            <w:r>
              <w:rPr>
                <w:rFonts w:ascii="Arial" w:cs="Arial" w:eastAsia="Arial" w:hAnsi="Arial"/>
                <w:sz w:val="11"/>
                <w:szCs w:val="11"/>
                <w:b w:val="1"/>
                <w:bCs w:val="1"/>
                <w:color w:val="auto"/>
              </w:rPr>
              <w:t>Amount</w:t>
            </w:r>
          </w:p>
        </w:tc>
        <w:tc>
          <w:tcPr>
            <w:tcW w:w="640" w:type="dxa"/>
            <w:vAlign w:val="bottom"/>
            <w:gridSpan w:val="2"/>
          </w:tcPr>
          <w:p>
            <w:pPr>
              <w:ind w:left="12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2"/>
                <w:szCs w:val="12"/>
                <w:color w:val="auto"/>
              </w:rPr>
            </w:pPr>
          </w:p>
        </w:tc>
        <w:tc>
          <w:tcPr>
            <w:tcW w:w="460" w:type="dxa"/>
            <w:vAlign w:val="bottom"/>
          </w:tcPr>
          <w:p>
            <w:pPr>
              <w:jc w:val="right"/>
              <w:ind w:right="26"/>
              <w:spacing w:after="0"/>
              <w:rPr>
                <w:sz w:val="20"/>
                <w:szCs w:val="20"/>
                <w:color w:val="auto"/>
              </w:rPr>
            </w:pPr>
            <w:r>
              <w:rPr>
                <w:rFonts w:ascii="Arial" w:cs="Arial" w:eastAsia="Arial" w:hAnsi="Arial"/>
                <w:sz w:val="11"/>
                <w:szCs w:val="11"/>
                <w:b w:val="1"/>
                <w:bCs w:val="1"/>
                <w:color w:val="auto"/>
                <w:w w:val="86"/>
              </w:rPr>
              <w:t>Amount</w:t>
            </w:r>
          </w:p>
        </w:tc>
        <w:tc>
          <w:tcPr>
            <w:tcW w:w="0" w:type="dxa"/>
            <w:vAlign w:val="bottom"/>
          </w:tcPr>
          <w:p>
            <w:pPr>
              <w:spacing w:after="0"/>
              <w:rPr>
                <w:sz w:val="1"/>
                <w:szCs w:val="1"/>
                <w:color w:val="auto"/>
              </w:rPr>
            </w:pPr>
          </w:p>
        </w:tc>
      </w:tr>
      <w:tr>
        <w:trPr>
          <w:trHeight w:val="22"/>
        </w:trPr>
        <w:tc>
          <w:tcPr>
            <w:tcW w:w="13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1380" w:type="dxa"/>
            <w:vAlign w:val="bottom"/>
          </w:tcPr>
          <w:p>
            <w:pPr>
              <w:spacing w:after="0"/>
              <w:rPr>
                <w:sz w:val="20"/>
                <w:szCs w:val="20"/>
                <w:color w:val="auto"/>
              </w:rPr>
            </w:pPr>
            <w:r>
              <w:rPr>
                <w:rFonts w:ascii="Arial" w:cs="Arial" w:eastAsia="Arial" w:hAnsi="Arial"/>
                <w:sz w:val="11"/>
                <w:szCs w:val="11"/>
                <w:color w:val="auto"/>
                <w:w w:val="99"/>
              </w:rPr>
              <w:t>Balances at March 31, 2011</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w w:val="88"/>
              </w:rPr>
              <w:t>214,517,370</w:t>
            </w:r>
          </w:p>
        </w:tc>
        <w:tc>
          <w:tcPr>
            <w:tcW w:w="120" w:type="dxa"/>
            <w:vAlign w:val="bottom"/>
          </w:tcPr>
          <w:p>
            <w:pPr>
              <w:spacing w:after="0"/>
              <w:rPr>
                <w:sz w:val="19"/>
                <w:szCs w:val="19"/>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w w:val="89"/>
              </w:rPr>
              <w:t>¥ 202,258</w:t>
            </w:r>
          </w:p>
        </w:tc>
        <w:tc>
          <w:tcPr>
            <w:tcW w:w="120" w:type="dxa"/>
            <w:vAlign w:val="bottom"/>
          </w:tcPr>
          <w:p>
            <w:pPr>
              <w:spacing w:after="0"/>
              <w:rPr>
                <w:sz w:val="19"/>
                <w:szCs w:val="19"/>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w w:val="85"/>
              </w:rPr>
              <w:t>¥ 213,918</w:t>
            </w:r>
          </w:p>
        </w:tc>
        <w:tc>
          <w:tcPr>
            <w:tcW w:w="100" w:type="dxa"/>
            <w:vAlign w:val="bottom"/>
          </w:tcPr>
          <w:p>
            <w:pPr>
              <w:spacing w:after="0"/>
              <w:rPr>
                <w:sz w:val="19"/>
                <w:szCs w:val="19"/>
                <w:color w:val="auto"/>
              </w:rPr>
            </w:pPr>
          </w:p>
        </w:tc>
        <w:tc>
          <w:tcPr>
            <w:tcW w:w="120" w:type="dxa"/>
            <w:vAlign w:val="bottom"/>
          </w:tcPr>
          <w:p>
            <w:pPr>
              <w:ind w:left="40"/>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7"/>
              </w:rPr>
              <w:t>(152,822)</w:t>
            </w:r>
          </w:p>
        </w:tc>
        <w:tc>
          <w:tcPr>
            <w:tcW w:w="12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(19,318)</w:t>
            </w:r>
          </w:p>
        </w:tc>
        <w:tc>
          <w:tcPr>
            <w:tcW w:w="120" w:type="dxa"/>
            <w:vAlign w:val="bottom"/>
          </w:tcPr>
          <w:p>
            <w:pPr>
              <w:spacing w:after="0"/>
              <w:rPr>
                <w:sz w:val="19"/>
                <w:szCs w:val="19"/>
                <w:color w:val="auto"/>
              </w:rPr>
            </w:pP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ind w:right="26"/>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19"/>
                <w:szCs w:val="19"/>
                <w:color w:val="auto"/>
              </w:rPr>
            </w:pPr>
          </w:p>
        </w:tc>
        <w:tc>
          <w:tcPr>
            <w:tcW w:w="120" w:type="dxa"/>
            <w:vAlign w:val="bottom"/>
          </w:tcPr>
          <w:p>
            <w:pPr>
              <w:ind w:left="40"/>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244,031</w:t>
            </w:r>
          </w:p>
        </w:tc>
        <w:tc>
          <w:tcPr>
            <w:tcW w:w="120" w:type="dxa"/>
            <w:vAlign w:val="bottom"/>
          </w:tcPr>
          <w:p>
            <w:pPr>
              <w:spacing w:after="0"/>
              <w:rPr>
                <w:sz w:val="19"/>
                <w:szCs w:val="19"/>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59,698</w:t>
            </w:r>
          </w:p>
        </w:tc>
        <w:tc>
          <w:tcPr>
            <w:tcW w:w="10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46"/>
              <w:spacing w:after="0"/>
              <w:rPr>
                <w:sz w:val="20"/>
                <w:szCs w:val="20"/>
                <w:color w:val="auto"/>
              </w:rPr>
            </w:pPr>
            <w:r>
              <w:rPr>
                <w:rFonts w:ascii="Arial" w:cs="Arial" w:eastAsia="Arial" w:hAnsi="Arial"/>
                <w:sz w:val="11"/>
                <w:szCs w:val="11"/>
                <w:color w:val="auto"/>
              </w:rPr>
              <w:t>303,729</w:t>
            </w:r>
          </w:p>
        </w:tc>
        <w:tc>
          <w:tcPr>
            <w:tcW w:w="120" w:type="dxa"/>
            <w:vAlign w:val="bottom"/>
          </w:tcPr>
          <w:p>
            <w:pPr>
              <w:spacing w:after="0"/>
              <w:rPr>
                <w:sz w:val="19"/>
                <w:szCs w:val="19"/>
                <w:color w:val="auto"/>
              </w:rPr>
            </w:pP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20,800</w:t>
            </w:r>
          </w:p>
        </w:tc>
        <w:tc>
          <w:tcPr>
            <w:tcW w:w="100" w:type="dxa"/>
            <w:vAlign w:val="bottom"/>
          </w:tcPr>
          <w:p>
            <w:pPr>
              <w:spacing w:after="0"/>
              <w:rPr>
                <w:sz w:val="19"/>
                <w:szCs w:val="19"/>
                <w:color w:val="auto"/>
              </w:rPr>
            </w:pPr>
          </w:p>
        </w:tc>
        <w:tc>
          <w:tcPr>
            <w:tcW w:w="540" w:type="dxa"/>
            <w:vAlign w:val="bottom"/>
          </w:tcPr>
          <w:p>
            <w:pPr>
              <w:jc w:val="right"/>
              <w:ind w:right="26"/>
              <w:spacing w:after="0"/>
              <w:rPr>
                <w:sz w:val="20"/>
                <w:szCs w:val="20"/>
                <w:color w:val="auto"/>
              </w:rPr>
            </w:pPr>
            <w:r>
              <w:rPr>
                <w:rFonts w:ascii="Arial" w:cs="Arial" w:eastAsia="Arial" w:hAnsi="Arial"/>
                <w:sz w:val="11"/>
                <w:szCs w:val="11"/>
                <w:color w:val="auto"/>
                <w:w w:val="89"/>
              </w:rPr>
              <w:t>1,000,000</w:t>
            </w:r>
          </w:p>
        </w:tc>
        <w:tc>
          <w:tcPr>
            <w:tcW w:w="120" w:type="dxa"/>
            <w:vAlign w:val="bottom"/>
          </w:tcPr>
          <w:p>
            <w:pPr>
              <w:spacing w:after="0"/>
              <w:rPr>
                <w:sz w:val="19"/>
                <w:szCs w:val="19"/>
                <w:color w:val="auto"/>
              </w:rPr>
            </w:pPr>
          </w:p>
        </w:tc>
        <w:tc>
          <w:tcPr>
            <w:tcW w:w="500" w:type="dxa"/>
            <w:vAlign w:val="bottom"/>
          </w:tcPr>
          <w:p>
            <w:pPr>
              <w:jc w:val="right"/>
              <w:ind w:right="46"/>
              <w:spacing w:after="0"/>
              <w:rPr>
                <w:sz w:val="20"/>
                <w:szCs w:val="20"/>
                <w:color w:val="auto"/>
              </w:rPr>
            </w:pPr>
            <w:r>
              <w:rPr>
                <w:rFonts w:ascii="Arial" w:cs="Arial" w:eastAsia="Arial" w:hAnsi="Arial"/>
                <w:sz w:val="11"/>
                <w:szCs w:val="11"/>
                <w:color w:val="auto"/>
                <w:w w:val="88"/>
              </w:rPr>
              <w:t>¥ 10,554</w:t>
            </w:r>
          </w:p>
        </w:tc>
        <w:tc>
          <w:tcPr>
            <w:tcW w:w="120" w:type="dxa"/>
            <w:vAlign w:val="bottom"/>
          </w:tcPr>
          <w:p>
            <w:pPr>
              <w:spacing w:after="0"/>
              <w:rPr>
                <w:sz w:val="19"/>
                <w:szCs w:val="19"/>
                <w:color w:val="auto"/>
              </w:rPr>
            </w:pPr>
          </w:p>
        </w:tc>
        <w:tc>
          <w:tcPr>
            <w:tcW w:w="540" w:type="dxa"/>
            <w:vAlign w:val="bottom"/>
          </w:tcPr>
          <w:p>
            <w:pPr>
              <w:jc w:val="right"/>
              <w:ind w:right="26"/>
              <w:spacing w:after="0"/>
              <w:rPr>
                <w:sz w:val="20"/>
                <w:szCs w:val="20"/>
                <w:color w:val="auto"/>
              </w:rPr>
            </w:pPr>
            <w:r>
              <w:rPr>
                <w:rFonts w:ascii="Arial" w:cs="Arial" w:eastAsia="Arial" w:hAnsi="Arial"/>
                <w:sz w:val="11"/>
                <w:szCs w:val="11"/>
                <w:color w:val="auto"/>
                <w:w w:val="89"/>
              </w:rPr>
              <w:t>1,838,967</w:t>
            </w:r>
          </w:p>
        </w:tc>
        <w:tc>
          <w:tcPr>
            <w:tcW w:w="1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19,409</w:t>
            </w:r>
          </w:p>
        </w:tc>
        <w:tc>
          <w:tcPr>
            <w:tcW w:w="0" w:type="dxa"/>
            <w:vAlign w:val="bottom"/>
          </w:tcPr>
          <w:p>
            <w:pPr>
              <w:spacing w:after="0"/>
              <w:rPr>
                <w:sz w:val="1"/>
                <w:szCs w:val="1"/>
                <w:color w:val="auto"/>
              </w:rPr>
            </w:pPr>
          </w:p>
        </w:tc>
      </w:tr>
      <w:tr>
        <w:trPr>
          <w:trHeight w:val="270"/>
        </w:trPr>
        <w:tc>
          <w:tcPr>
            <w:tcW w:w="1380" w:type="dxa"/>
            <w:vAlign w:val="bottom"/>
          </w:tcPr>
          <w:p>
            <w:pPr>
              <w:ind w:left="140"/>
              <w:spacing w:after="0"/>
              <w:rPr>
                <w:sz w:val="20"/>
                <w:szCs w:val="20"/>
                <w:color w:val="auto"/>
              </w:rPr>
            </w:pPr>
            <w:r>
              <w:rPr>
                <w:rFonts w:ascii="Arial" w:cs="Arial" w:eastAsia="Arial" w:hAnsi="Arial"/>
                <w:sz w:val="11"/>
                <w:szCs w:val="11"/>
                <w:color w:val="auto"/>
              </w:rPr>
              <w:t>Net loss</w:t>
            </w:r>
          </w:p>
        </w:tc>
        <w:tc>
          <w:tcPr>
            <w:tcW w:w="7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7"/>
              </w:rPr>
              <w:t>(360,414)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(360,414)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26"/>
              <w:spacing w:after="0"/>
              <w:rPr>
                <w:sz w:val="20"/>
                <w:szCs w:val="20"/>
                <w:color w:val="auto"/>
              </w:rPr>
            </w:pPr>
            <w:r>
              <w:rPr>
                <w:rFonts w:ascii="Arial" w:cs="Arial" w:eastAsia="Arial" w:hAnsi="Arial"/>
                <w:sz w:val="11"/>
                <w:szCs w:val="11"/>
                <w:color w:val="auto"/>
              </w:rPr>
              <w:t>(3,344)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7"/>
              </w:rPr>
              <w:t>(363,758)</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23"/>
                <w:szCs w:val="2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1"/>
        </w:trPr>
        <w:tc>
          <w:tcPr>
            <w:tcW w:w="1380" w:type="dxa"/>
            <w:vAlign w:val="bottom"/>
          </w:tcPr>
          <w:p>
            <w:pPr>
              <w:ind w:left="140"/>
              <w:spacing w:after="0"/>
              <w:rPr>
                <w:sz w:val="20"/>
                <w:szCs w:val="20"/>
                <w:color w:val="auto"/>
              </w:rPr>
            </w:pPr>
            <w:r>
              <w:rPr>
                <w:rFonts w:ascii="Arial" w:cs="Arial" w:eastAsia="Arial" w:hAnsi="Arial"/>
                <w:sz w:val="11"/>
                <w:szCs w:val="11"/>
                <w:color w:val="auto"/>
              </w:rPr>
              <w:t>Other comprehensive</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380" w:type="dxa"/>
            <w:vAlign w:val="bottom"/>
          </w:tcPr>
          <w:p>
            <w:pPr>
              <w:ind w:left="140"/>
              <w:spacing w:after="0"/>
              <w:rPr>
                <w:sz w:val="20"/>
                <w:szCs w:val="20"/>
                <w:color w:val="auto"/>
              </w:rPr>
            </w:pPr>
            <w:r>
              <w:rPr>
                <w:rFonts w:ascii="Arial" w:cs="Arial" w:eastAsia="Arial" w:hAnsi="Arial"/>
                <w:sz w:val="11"/>
                <w:szCs w:val="11"/>
                <w:color w:val="auto"/>
              </w:rPr>
              <w:t>loss</w:t>
            </w:r>
          </w:p>
        </w:tc>
        <w:tc>
          <w:tcPr>
            <w:tcW w:w="7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(3,478)</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(3,478)</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ind w:right="26"/>
              <w:spacing w:after="0"/>
              <w:rPr>
                <w:sz w:val="20"/>
                <w:szCs w:val="20"/>
                <w:color w:val="auto"/>
              </w:rPr>
            </w:pPr>
            <w:r>
              <w:rPr>
                <w:rFonts w:ascii="Arial" w:cs="Arial" w:eastAsia="Arial" w:hAnsi="Arial"/>
                <w:sz w:val="11"/>
                <w:szCs w:val="11"/>
                <w:color w:val="auto"/>
              </w:rPr>
              <w:t>(986)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(4,464)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380" w:type="dxa"/>
            <w:vAlign w:val="bottom"/>
          </w:tcPr>
          <w:p>
            <w:pPr>
              <w:ind w:left="140"/>
              <w:spacing w:after="0"/>
              <w:rPr>
                <w:sz w:val="20"/>
                <w:szCs w:val="20"/>
                <w:color w:val="auto"/>
              </w:rPr>
            </w:pPr>
            <w:r>
              <w:rPr>
                <w:rFonts w:ascii="Arial" w:cs="Arial" w:eastAsia="Arial" w:hAnsi="Arial"/>
                <w:sz w:val="11"/>
                <w:szCs w:val="11"/>
                <w:color w:val="auto"/>
              </w:rPr>
              <w:t>Shares issued in</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380" w:type="dxa"/>
            <w:vAlign w:val="bottom"/>
          </w:tcPr>
          <w:p>
            <w:pPr>
              <w:ind w:left="140"/>
              <w:spacing w:after="0"/>
              <w:rPr>
                <w:sz w:val="20"/>
                <w:szCs w:val="20"/>
                <w:color w:val="auto"/>
              </w:rPr>
            </w:pPr>
            <w:r>
              <w:rPr>
                <w:rFonts w:ascii="Arial" w:cs="Arial" w:eastAsia="Arial" w:hAnsi="Arial"/>
                <w:sz w:val="11"/>
                <w:szCs w:val="11"/>
                <w:color w:val="auto"/>
              </w:rPr>
              <w:t>connection with:</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1380" w:type="dxa"/>
            <w:vAlign w:val="bottom"/>
          </w:tcPr>
          <w:p>
            <w:pPr>
              <w:ind w:left="240"/>
              <w:spacing w:after="0"/>
              <w:rPr>
                <w:sz w:val="20"/>
                <w:szCs w:val="20"/>
                <w:color w:val="auto"/>
              </w:rPr>
            </w:pPr>
            <w:r>
              <w:rPr>
                <w:rFonts w:ascii="Arial" w:cs="Arial" w:eastAsia="Arial" w:hAnsi="Arial"/>
                <w:sz w:val="11"/>
                <w:szCs w:val="11"/>
                <w:color w:val="auto"/>
              </w:rPr>
              <w:t>Increase of capital</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w w:val="98"/>
              </w:rPr>
              <w:t>57,270,000</w:t>
            </w:r>
          </w:p>
        </w:tc>
        <w:tc>
          <w:tcPr>
            <w:tcW w:w="120" w:type="dxa"/>
            <w:vAlign w:val="bottom"/>
          </w:tcPr>
          <w:p>
            <w:pPr>
              <w:spacing w:after="0"/>
              <w:rPr>
                <w:sz w:val="23"/>
                <w:szCs w:val="23"/>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20,480</w:t>
            </w:r>
          </w:p>
        </w:tc>
        <w:tc>
          <w:tcPr>
            <w:tcW w:w="120" w:type="dxa"/>
            <w:vAlign w:val="bottom"/>
          </w:tcPr>
          <w:p>
            <w:pPr>
              <w:spacing w:after="0"/>
              <w:rPr>
                <w:sz w:val="23"/>
                <w:szCs w:val="23"/>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20,480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40,960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540" w:type="dxa"/>
            <w:vAlign w:val="bottom"/>
          </w:tcPr>
          <w:p>
            <w:pPr>
              <w:jc w:val="right"/>
              <w:ind w:right="46"/>
              <w:spacing w:after="0"/>
              <w:rPr>
                <w:sz w:val="20"/>
                <w:szCs w:val="20"/>
                <w:color w:val="auto"/>
              </w:rPr>
            </w:pPr>
            <w:r>
              <w:rPr>
                <w:rFonts w:ascii="Arial" w:cs="Arial" w:eastAsia="Arial" w:hAnsi="Arial"/>
                <w:sz w:val="11"/>
                <w:szCs w:val="11"/>
                <w:color w:val="auto"/>
              </w:rPr>
              <w:t>40,960</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1"/>
        </w:trPr>
        <w:tc>
          <w:tcPr>
            <w:tcW w:w="1380" w:type="dxa"/>
            <w:vAlign w:val="bottom"/>
          </w:tcPr>
          <w:p>
            <w:pPr>
              <w:ind w:left="140"/>
              <w:spacing w:after="0"/>
              <w:rPr>
                <w:sz w:val="20"/>
                <w:szCs w:val="20"/>
                <w:color w:val="auto"/>
              </w:rPr>
            </w:pPr>
            <w:r>
              <w:rPr>
                <w:rFonts w:ascii="Arial" w:cs="Arial" w:eastAsia="Arial" w:hAnsi="Arial"/>
                <w:sz w:val="11"/>
                <w:szCs w:val="11"/>
                <w:color w:val="auto"/>
              </w:rPr>
              <w:t>Sale of subsidiary’s</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380" w:type="dxa"/>
            <w:vAlign w:val="bottom"/>
          </w:tcPr>
          <w:p>
            <w:pPr>
              <w:ind w:left="140"/>
              <w:spacing w:after="0"/>
              <w:rPr>
                <w:sz w:val="20"/>
                <w:szCs w:val="20"/>
                <w:color w:val="auto"/>
              </w:rPr>
            </w:pPr>
            <w:r>
              <w:rPr>
                <w:rFonts w:ascii="Arial" w:cs="Arial" w:eastAsia="Arial" w:hAnsi="Arial"/>
                <w:sz w:val="11"/>
                <w:szCs w:val="11"/>
                <w:color w:val="auto"/>
              </w:rPr>
              <w:t>preferred stock</w:t>
            </w:r>
          </w:p>
        </w:tc>
        <w:tc>
          <w:tcPr>
            <w:tcW w:w="7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3,750</w:t>
            </w:r>
          </w:p>
        </w:tc>
        <w:tc>
          <w:tcPr>
            <w:tcW w:w="100" w:type="dxa"/>
            <w:vAlign w:val="bottom"/>
          </w:tcPr>
          <w:p>
            <w:pPr>
              <w:spacing w:after="0"/>
              <w:rPr>
                <w:sz w:val="11"/>
                <w:szCs w:val="1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1"/>
        </w:trPr>
        <w:tc>
          <w:tcPr>
            <w:tcW w:w="1380" w:type="dxa"/>
            <w:vAlign w:val="bottom"/>
          </w:tcPr>
          <w:p>
            <w:pPr>
              <w:ind w:left="140"/>
              <w:spacing w:after="0"/>
              <w:rPr>
                <w:sz w:val="20"/>
                <w:szCs w:val="20"/>
                <w:color w:val="auto"/>
              </w:rPr>
            </w:pPr>
            <w:r>
              <w:rPr>
                <w:rFonts w:ascii="Arial" w:cs="Arial" w:eastAsia="Arial" w:hAnsi="Arial"/>
                <w:sz w:val="11"/>
                <w:szCs w:val="11"/>
                <w:color w:val="auto"/>
              </w:rPr>
              <w:t>Redemption of</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380" w:type="dxa"/>
            <w:vAlign w:val="bottom"/>
          </w:tcPr>
          <w:p>
            <w:pPr>
              <w:ind w:left="140"/>
              <w:spacing w:after="0" w:line="122" w:lineRule="exact"/>
              <w:rPr>
                <w:sz w:val="20"/>
                <w:szCs w:val="20"/>
                <w:color w:val="auto"/>
              </w:rPr>
            </w:pPr>
            <w:r>
              <w:rPr>
                <w:rFonts w:ascii="Arial" w:cs="Arial" w:eastAsia="Arial" w:hAnsi="Arial"/>
                <w:sz w:val="11"/>
                <w:szCs w:val="11"/>
                <w:color w:val="auto"/>
              </w:rPr>
              <w:t>subsidiary’s preferred</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380" w:type="dxa"/>
            <w:vAlign w:val="bottom"/>
          </w:tcPr>
          <w:p>
            <w:pPr>
              <w:ind w:left="140"/>
              <w:spacing w:after="0"/>
              <w:rPr>
                <w:sz w:val="20"/>
                <w:szCs w:val="20"/>
                <w:color w:val="auto"/>
              </w:rPr>
            </w:pPr>
            <w:r>
              <w:rPr>
                <w:rFonts w:ascii="Arial" w:cs="Arial" w:eastAsia="Arial" w:hAnsi="Arial"/>
                <w:sz w:val="11"/>
                <w:szCs w:val="11"/>
                <w:color w:val="auto"/>
              </w:rPr>
              <w:t>stock</w:t>
            </w:r>
          </w:p>
        </w:tc>
        <w:tc>
          <w:tcPr>
            <w:tcW w:w="7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40" w:type="dxa"/>
            <w:vAlign w:val="bottom"/>
          </w:tcPr>
          <w:p>
            <w:pPr>
              <w:jc w:val="right"/>
              <w:ind w:right="26"/>
              <w:spacing w:after="0"/>
              <w:rPr>
                <w:sz w:val="20"/>
                <w:szCs w:val="20"/>
                <w:color w:val="auto"/>
              </w:rPr>
            </w:pPr>
            <w:r>
              <w:rPr>
                <w:rFonts w:ascii="Arial" w:cs="Arial" w:eastAsia="Arial" w:hAnsi="Arial"/>
                <w:sz w:val="11"/>
                <w:szCs w:val="11"/>
                <w:color w:val="auto"/>
              </w:rPr>
              <w:t>(5,000)</w:t>
            </w:r>
          </w:p>
        </w:tc>
        <w:tc>
          <w:tcPr>
            <w:tcW w:w="100" w:type="dxa"/>
            <w:vAlign w:val="bottom"/>
          </w:tcPr>
          <w:p>
            <w:pPr>
              <w:spacing w:after="0"/>
              <w:rPr>
                <w:sz w:val="11"/>
                <w:szCs w:val="1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1"/>
        </w:trPr>
        <w:tc>
          <w:tcPr>
            <w:tcW w:w="1380" w:type="dxa"/>
            <w:vAlign w:val="bottom"/>
          </w:tcPr>
          <w:p>
            <w:pPr>
              <w:ind w:left="140"/>
              <w:spacing w:after="0"/>
              <w:rPr>
                <w:sz w:val="20"/>
                <w:szCs w:val="20"/>
                <w:color w:val="auto"/>
              </w:rPr>
            </w:pPr>
            <w:r>
              <w:rPr>
                <w:rFonts w:ascii="Arial" w:cs="Arial" w:eastAsia="Arial" w:hAnsi="Arial"/>
                <w:sz w:val="11"/>
                <w:szCs w:val="11"/>
                <w:color w:val="auto"/>
              </w:rPr>
              <w:t>Liquidation of a</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380" w:type="dxa"/>
            <w:vAlign w:val="bottom"/>
          </w:tcPr>
          <w:p>
            <w:pPr>
              <w:ind w:left="140"/>
              <w:spacing w:after="0" w:line="122" w:lineRule="exact"/>
              <w:rPr>
                <w:sz w:val="20"/>
                <w:szCs w:val="20"/>
                <w:color w:val="auto"/>
              </w:rPr>
            </w:pPr>
            <w:r>
              <w:rPr>
                <w:rFonts w:ascii="Arial" w:cs="Arial" w:eastAsia="Arial" w:hAnsi="Arial"/>
                <w:sz w:val="11"/>
                <w:szCs w:val="11"/>
                <w:color w:val="auto"/>
              </w:rPr>
              <w:t>majority-owned</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380" w:type="dxa"/>
            <w:vAlign w:val="bottom"/>
          </w:tcPr>
          <w:p>
            <w:pPr>
              <w:ind w:left="140"/>
              <w:spacing w:after="0"/>
              <w:rPr>
                <w:sz w:val="20"/>
                <w:szCs w:val="20"/>
                <w:color w:val="auto"/>
              </w:rPr>
            </w:pPr>
            <w:r>
              <w:rPr>
                <w:rFonts w:ascii="Arial" w:cs="Arial" w:eastAsia="Arial" w:hAnsi="Arial"/>
                <w:sz w:val="11"/>
                <w:szCs w:val="11"/>
                <w:color w:val="auto"/>
              </w:rPr>
              <w:t>subsidiary</w:t>
            </w:r>
          </w:p>
        </w:tc>
        <w:tc>
          <w:tcPr>
            <w:tcW w:w="7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1"/>
        </w:trPr>
        <w:tc>
          <w:tcPr>
            <w:tcW w:w="1380" w:type="dxa"/>
            <w:vAlign w:val="bottom"/>
          </w:tcPr>
          <w:p>
            <w:pPr>
              <w:ind w:left="140"/>
              <w:spacing w:after="0"/>
              <w:rPr>
                <w:sz w:val="20"/>
                <w:szCs w:val="20"/>
                <w:color w:val="auto"/>
              </w:rPr>
            </w:pPr>
            <w:r>
              <w:rPr>
                <w:rFonts w:ascii="Arial" w:cs="Arial" w:eastAsia="Arial" w:hAnsi="Arial"/>
                <w:sz w:val="11"/>
                <w:szCs w:val="11"/>
                <w:color w:val="auto"/>
              </w:rPr>
              <w:t>Purchase of 42 common</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380" w:type="dxa"/>
            <w:vAlign w:val="bottom"/>
          </w:tcPr>
          <w:p>
            <w:pPr>
              <w:ind w:left="140"/>
              <w:spacing w:after="0"/>
              <w:rPr>
                <w:sz w:val="20"/>
                <w:szCs w:val="20"/>
                <w:color w:val="auto"/>
              </w:rPr>
            </w:pPr>
            <w:r>
              <w:rPr>
                <w:rFonts w:ascii="Arial" w:cs="Arial" w:eastAsia="Arial" w:hAnsi="Arial"/>
                <w:sz w:val="11"/>
                <w:szCs w:val="11"/>
                <w:color w:val="auto"/>
              </w:rPr>
              <w:t>shares</w:t>
            </w:r>
          </w:p>
        </w:tc>
        <w:tc>
          <w:tcPr>
            <w:tcW w:w="7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360" w:type="dxa"/>
            <w:vAlign w:val="bottom"/>
          </w:tcPr>
          <w:p>
            <w:pPr>
              <w:jc w:val="right"/>
              <w:ind w:right="46"/>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40" w:type="dxa"/>
            <w:vAlign w:val="bottom"/>
          </w:tcPr>
          <w:p>
            <w:pPr>
              <w:jc w:val="right"/>
              <w:ind w:right="46"/>
              <w:spacing w:after="0"/>
              <w:rPr>
                <w:sz w:val="20"/>
                <w:szCs w:val="20"/>
                <w:color w:val="auto"/>
              </w:rPr>
            </w:pPr>
            <w:r>
              <w:rPr>
                <w:rFonts w:ascii="Arial" w:cs="Arial" w:eastAsia="Arial" w:hAnsi="Arial"/>
                <w:sz w:val="11"/>
                <w:szCs w:val="11"/>
                <w:color w:val="auto"/>
              </w:rPr>
              <w:t>(0)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70"/>
        </w:trPr>
        <w:tc>
          <w:tcPr>
            <w:tcW w:w="1380" w:type="dxa"/>
            <w:vAlign w:val="bottom"/>
          </w:tcPr>
          <w:p>
            <w:pPr>
              <w:ind w:left="140"/>
              <w:spacing w:after="0"/>
              <w:rPr>
                <w:sz w:val="20"/>
                <w:szCs w:val="20"/>
                <w:color w:val="auto"/>
              </w:rPr>
            </w:pPr>
            <w:r>
              <w:rPr>
                <w:rFonts w:ascii="Arial" w:cs="Arial" w:eastAsia="Arial" w:hAnsi="Arial"/>
                <w:sz w:val="11"/>
                <w:szCs w:val="11"/>
                <w:color w:val="auto"/>
              </w:rPr>
              <w:t>Other, net</w:t>
            </w:r>
          </w:p>
        </w:tc>
        <w:tc>
          <w:tcPr>
            <w:tcW w:w="7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(219)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(239)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26"/>
              <w:spacing w:after="0"/>
              <w:rPr>
                <w:sz w:val="20"/>
                <w:szCs w:val="20"/>
                <w:color w:val="auto"/>
              </w:rPr>
            </w:pPr>
            <w:r>
              <w:rPr>
                <w:rFonts w:ascii="Arial" w:cs="Arial" w:eastAsia="Arial" w:hAnsi="Arial"/>
                <w:sz w:val="11"/>
                <w:szCs w:val="11"/>
                <w:color w:val="auto"/>
              </w:rPr>
              <w:t>(52)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(291)</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13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1380" w:type="dxa"/>
            <w:vAlign w:val="bottom"/>
          </w:tcPr>
          <w:p>
            <w:pPr>
              <w:spacing w:after="0"/>
              <w:rPr>
                <w:sz w:val="20"/>
                <w:szCs w:val="20"/>
                <w:color w:val="auto"/>
              </w:rPr>
            </w:pPr>
            <w:r>
              <w:rPr>
                <w:rFonts w:ascii="Arial" w:cs="Arial" w:eastAsia="Arial" w:hAnsi="Arial"/>
                <w:sz w:val="11"/>
                <w:szCs w:val="11"/>
                <w:color w:val="auto"/>
                <w:w w:val="99"/>
              </w:rPr>
              <w:t>Balances at March 31, 2012</w:t>
            </w:r>
          </w:p>
        </w:tc>
        <w:tc>
          <w:tcPr>
            <w:tcW w:w="6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w w:val="88"/>
              </w:rPr>
              <w:t>271,787,370</w:t>
            </w:r>
          </w:p>
        </w:tc>
        <w:tc>
          <w:tcPr>
            <w:tcW w:w="120" w:type="dxa"/>
            <w:vAlign w:val="bottom"/>
          </w:tcPr>
          <w:p>
            <w:pPr>
              <w:spacing w:after="0"/>
              <w:rPr>
                <w:sz w:val="20"/>
                <w:szCs w:val="20"/>
                <w:color w:val="auto"/>
              </w:rPr>
            </w:pPr>
          </w:p>
        </w:tc>
        <w:tc>
          <w:tcPr>
            <w:tcW w:w="56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w w:val="89"/>
              </w:rPr>
              <w:t>¥ 222,738</w:t>
            </w:r>
          </w:p>
        </w:tc>
        <w:tc>
          <w:tcPr>
            <w:tcW w:w="120" w:type="dxa"/>
            <w:vAlign w:val="bottom"/>
          </w:tcPr>
          <w:p>
            <w:pPr>
              <w:spacing w:after="0"/>
              <w:rPr>
                <w:sz w:val="20"/>
                <w:szCs w:val="20"/>
                <w:color w:val="auto"/>
              </w:rPr>
            </w:pPr>
          </w:p>
        </w:tc>
        <w:tc>
          <w:tcPr>
            <w:tcW w:w="56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w w:val="85"/>
              </w:rPr>
              <w:t>¥ 234,179</w:t>
            </w:r>
          </w:p>
        </w:tc>
        <w:tc>
          <w:tcPr>
            <w:tcW w:w="100" w:type="dxa"/>
            <w:vAlign w:val="bottom"/>
          </w:tcPr>
          <w:p>
            <w:pPr>
              <w:spacing w:after="0"/>
              <w:rPr>
                <w:sz w:val="20"/>
                <w:szCs w:val="20"/>
                <w:color w:val="auto"/>
              </w:rPr>
            </w:pPr>
          </w:p>
        </w:tc>
        <w:tc>
          <w:tcPr>
            <w:tcW w:w="120" w:type="dxa"/>
            <w:vAlign w:val="bottom"/>
            <w:tcBorders>
              <w:bottom w:val="single" w:sz="8" w:color="auto"/>
            </w:tcBorders>
          </w:tcPr>
          <w:p>
            <w:pPr>
              <w:ind w:left="40"/>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w w:val="97"/>
              </w:rPr>
              <w:t>(513,256)</w:t>
            </w:r>
          </w:p>
        </w:tc>
        <w:tc>
          <w:tcPr>
            <w:tcW w:w="120" w:type="dxa"/>
            <w:vAlign w:val="bottom"/>
          </w:tcPr>
          <w:p>
            <w:pPr>
              <w:spacing w:after="0"/>
              <w:rPr>
                <w:sz w:val="20"/>
                <w:szCs w:val="20"/>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(22,796)</w:t>
            </w:r>
          </w:p>
        </w:tc>
        <w:tc>
          <w:tcPr>
            <w:tcW w:w="120" w:type="dxa"/>
            <w:vAlign w:val="bottom"/>
          </w:tcPr>
          <w:p>
            <w:pPr>
              <w:spacing w:after="0"/>
              <w:rPr>
                <w:sz w:val="20"/>
                <w:szCs w:val="20"/>
                <w:color w:val="auto"/>
              </w:rPr>
            </w:pPr>
          </w:p>
        </w:tc>
        <w:tc>
          <w:tcPr>
            <w:tcW w:w="8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36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20"/>
                <w:szCs w:val="20"/>
                <w:color w:val="auto"/>
              </w:rPr>
            </w:pPr>
          </w:p>
        </w:tc>
        <w:tc>
          <w:tcPr>
            <w:tcW w:w="120" w:type="dxa"/>
            <w:vAlign w:val="bottom"/>
            <w:tcBorders>
              <w:bottom w:val="single" w:sz="8" w:color="auto"/>
            </w:tcBorders>
          </w:tcPr>
          <w:p>
            <w:pPr>
              <w:ind w:left="40"/>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(79,140)</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w w:val="97"/>
              </w:rPr>
              <w:t>¥</w:t>
            </w:r>
          </w:p>
        </w:tc>
        <w:tc>
          <w:tcPr>
            <w:tcW w:w="6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55,316</w:t>
            </w:r>
          </w:p>
        </w:tc>
        <w:tc>
          <w:tcPr>
            <w:tcW w:w="100" w:type="dxa"/>
            <w:vAlign w:val="bottom"/>
          </w:tcPr>
          <w:p>
            <w:pPr>
              <w:spacing w:after="0"/>
              <w:rPr>
                <w:sz w:val="20"/>
                <w:szCs w:val="20"/>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(23,824)</w:t>
            </w:r>
          </w:p>
        </w:tc>
        <w:tc>
          <w:tcPr>
            <w:tcW w:w="120" w:type="dxa"/>
            <w:vAlign w:val="bottom"/>
          </w:tcPr>
          <w:p>
            <w:pPr>
              <w:spacing w:after="0"/>
              <w:rPr>
                <w:sz w:val="20"/>
                <w:szCs w:val="20"/>
                <w:color w:val="auto"/>
              </w:rPr>
            </w:pPr>
          </w:p>
        </w:tc>
        <w:tc>
          <w:tcPr>
            <w:tcW w:w="8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19,550</w:t>
            </w:r>
          </w:p>
        </w:tc>
        <w:tc>
          <w:tcPr>
            <w:tcW w:w="100" w:type="dxa"/>
            <w:vAlign w:val="bottom"/>
          </w:tcPr>
          <w:p>
            <w:pPr>
              <w:spacing w:after="0"/>
              <w:rPr>
                <w:sz w:val="20"/>
                <w:szCs w:val="20"/>
                <w:color w:val="auto"/>
              </w:rPr>
            </w:pPr>
          </w:p>
        </w:tc>
        <w:tc>
          <w:tcPr>
            <w:tcW w:w="54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w w:val="89"/>
              </w:rPr>
              <w:t>1,000,000</w:t>
            </w:r>
          </w:p>
        </w:tc>
        <w:tc>
          <w:tcPr>
            <w:tcW w:w="120" w:type="dxa"/>
            <w:vAlign w:val="bottom"/>
          </w:tcPr>
          <w:p>
            <w:pPr>
              <w:spacing w:after="0"/>
              <w:rPr>
                <w:sz w:val="20"/>
                <w:szCs w:val="20"/>
                <w:color w:val="auto"/>
              </w:rPr>
            </w:pPr>
          </w:p>
        </w:tc>
        <w:tc>
          <w:tcPr>
            <w:tcW w:w="50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w w:val="88"/>
              </w:rPr>
              <w:t>¥ 10,554</w:t>
            </w:r>
          </w:p>
        </w:tc>
        <w:tc>
          <w:tcPr>
            <w:tcW w:w="120" w:type="dxa"/>
            <w:vAlign w:val="bottom"/>
          </w:tcPr>
          <w:p>
            <w:pPr>
              <w:spacing w:after="0"/>
              <w:rPr>
                <w:sz w:val="20"/>
                <w:szCs w:val="20"/>
                <w:color w:val="auto"/>
              </w:rPr>
            </w:pPr>
          </w:p>
        </w:tc>
        <w:tc>
          <w:tcPr>
            <w:tcW w:w="54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w w:val="89"/>
              </w:rPr>
              <w:t>1,838,967</w:t>
            </w:r>
          </w:p>
        </w:tc>
        <w:tc>
          <w:tcPr>
            <w:tcW w:w="100" w:type="dxa"/>
            <w:vAlign w:val="bottom"/>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19,409</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380" w:type="dxa"/>
            <w:vAlign w:val="bottom"/>
          </w:tcPr>
          <w:p>
            <w:pPr>
              <w:ind w:left="140"/>
              <w:spacing w:after="0"/>
              <w:rPr>
                <w:sz w:val="20"/>
                <w:szCs w:val="20"/>
                <w:color w:val="auto"/>
              </w:rPr>
            </w:pPr>
            <w:r>
              <w:rPr>
                <w:rFonts w:ascii="Arial" w:cs="Arial" w:eastAsia="Arial" w:hAnsi="Arial"/>
                <w:sz w:val="11"/>
                <w:szCs w:val="11"/>
                <w:color w:val="auto"/>
              </w:rPr>
              <w:t>Net income</w:t>
            </w:r>
          </w:p>
        </w:tc>
        <w:tc>
          <w:tcPr>
            <w:tcW w:w="7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7"/>
                <w:szCs w:val="17"/>
                <w:color w:val="auto"/>
              </w:rPr>
            </w:pPr>
          </w:p>
        </w:tc>
        <w:tc>
          <w:tcPr>
            <w:tcW w:w="540" w:type="dxa"/>
            <w:vAlign w:val="bottom"/>
          </w:tcPr>
          <w:p>
            <w:pPr>
              <w:jc w:val="right"/>
              <w:ind w:right="46"/>
              <w:spacing w:after="0"/>
              <w:rPr>
                <w:sz w:val="20"/>
                <w:szCs w:val="20"/>
                <w:color w:val="auto"/>
              </w:rPr>
            </w:pPr>
            <w:r>
              <w:rPr>
                <w:rFonts w:ascii="Arial" w:cs="Arial" w:eastAsia="Arial" w:hAnsi="Arial"/>
                <w:sz w:val="11"/>
                <w:szCs w:val="11"/>
                <w:color w:val="auto"/>
              </w:rPr>
              <w:t>132,975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7"/>
                <w:szCs w:val="17"/>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7"/>
                <w:szCs w:val="17"/>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132,975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26"/>
              <w:spacing w:after="0"/>
              <w:rPr>
                <w:sz w:val="20"/>
                <w:szCs w:val="20"/>
                <w:color w:val="auto"/>
              </w:rPr>
            </w:pPr>
            <w:r>
              <w:rPr>
                <w:rFonts w:ascii="Arial" w:cs="Arial" w:eastAsia="Arial" w:hAnsi="Arial"/>
                <w:sz w:val="11"/>
                <w:szCs w:val="11"/>
                <w:color w:val="auto"/>
              </w:rPr>
              <w:t>(1,153)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ind w:right="46"/>
              <w:spacing w:after="0"/>
              <w:rPr>
                <w:sz w:val="20"/>
                <w:szCs w:val="20"/>
                <w:color w:val="auto"/>
              </w:rPr>
            </w:pPr>
            <w:r>
              <w:rPr>
                <w:rFonts w:ascii="Arial" w:cs="Arial" w:eastAsia="Arial" w:hAnsi="Arial"/>
                <w:sz w:val="11"/>
                <w:szCs w:val="11"/>
                <w:color w:val="auto"/>
              </w:rPr>
              <w:t>131,822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7"/>
                <w:szCs w:val="17"/>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1"/>
        </w:trPr>
        <w:tc>
          <w:tcPr>
            <w:tcW w:w="1380" w:type="dxa"/>
            <w:vAlign w:val="bottom"/>
          </w:tcPr>
          <w:p>
            <w:pPr>
              <w:ind w:left="140"/>
              <w:spacing w:after="0"/>
              <w:rPr>
                <w:sz w:val="20"/>
                <w:szCs w:val="20"/>
                <w:color w:val="auto"/>
              </w:rPr>
            </w:pPr>
            <w:r>
              <w:rPr>
                <w:rFonts w:ascii="Arial" w:cs="Arial" w:eastAsia="Arial" w:hAnsi="Arial"/>
                <w:sz w:val="11"/>
                <w:szCs w:val="11"/>
                <w:color w:val="auto"/>
              </w:rPr>
              <w:t>Other comprehensive</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380" w:type="dxa"/>
            <w:vAlign w:val="bottom"/>
          </w:tcPr>
          <w:p>
            <w:pPr>
              <w:ind w:left="140"/>
              <w:spacing w:after="0"/>
              <w:rPr>
                <w:sz w:val="20"/>
                <w:szCs w:val="20"/>
                <w:color w:val="auto"/>
              </w:rPr>
            </w:pPr>
            <w:r>
              <w:rPr>
                <w:rFonts w:ascii="Arial" w:cs="Arial" w:eastAsia="Arial" w:hAnsi="Arial"/>
                <w:sz w:val="11"/>
                <w:szCs w:val="11"/>
                <w:color w:val="auto"/>
              </w:rPr>
              <w:t>income</w:t>
            </w:r>
          </w:p>
        </w:tc>
        <w:tc>
          <w:tcPr>
            <w:tcW w:w="7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13,261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13,261</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6,407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ind w:right="46"/>
              <w:spacing w:after="0"/>
              <w:rPr>
                <w:sz w:val="20"/>
                <w:szCs w:val="20"/>
                <w:color w:val="auto"/>
              </w:rPr>
            </w:pPr>
            <w:r>
              <w:rPr>
                <w:rFonts w:ascii="Arial" w:cs="Arial" w:eastAsia="Arial" w:hAnsi="Arial"/>
                <w:sz w:val="11"/>
                <w:szCs w:val="11"/>
                <w:color w:val="auto"/>
              </w:rPr>
              <w:t>19,668</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1"/>
        </w:trPr>
        <w:tc>
          <w:tcPr>
            <w:tcW w:w="1380" w:type="dxa"/>
            <w:vAlign w:val="bottom"/>
          </w:tcPr>
          <w:p>
            <w:pPr>
              <w:ind w:left="140"/>
              <w:spacing w:after="0"/>
              <w:rPr>
                <w:sz w:val="20"/>
                <w:szCs w:val="20"/>
                <w:color w:val="auto"/>
              </w:rPr>
            </w:pPr>
            <w:r>
              <w:rPr>
                <w:rFonts w:ascii="Arial" w:cs="Arial" w:eastAsia="Arial" w:hAnsi="Arial"/>
                <w:sz w:val="11"/>
                <w:szCs w:val="11"/>
                <w:color w:val="auto"/>
              </w:rPr>
              <w:t>Liquidation of a</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380" w:type="dxa"/>
            <w:vAlign w:val="bottom"/>
          </w:tcPr>
          <w:p>
            <w:pPr>
              <w:ind w:left="140"/>
              <w:spacing w:after="0" w:line="122" w:lineRule="exact"/>
              <w:rPr>
                <w:sz w:val="20"/>
                <w:szCs w:val="20"/>
                <w:color w:val="auto"/>
              </w:rPr>
            </w:pPr>
            <w:r>
              <w:rPr>
                <w:rFonts w:ascii="Arial" w:cs="Arial" w:eastAsia="Arial" w:hAnsi="Arial"/>
                <w:sz w:val="11"/>
                <w:szCs w:val="11"/>
                <w:color w:val="auto"/>
              </w:rPr>
              <w:t>majority-owned</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380" w:type="dxa"/>
            <w:vAlign w:val="bottom"/>
          </w:tcPr>
          <w:p>
            <w:pPr>
              <w:ind w:left="140"/>
              <w:spacing w:after="0"/>
              <w:rPr>
                <w:sz w:val="20"/>
                <w:szCs w:val="20"/>
                <w:color w:val="auto"/>
              </w:rPr>
            </w:pPr>
            <w:r>
              <w:rPr>
                <w:rFonts w:ascii="Arial" w:cs="Arial" w:eastAsia="Arial" w:hAnsi="Arial"/>
                <w:sz w:val="11"/>
                <w:szCs w:val="11"/>
                <w:color w:val="auto"/>
              </w:rPr>
              <w:t>subsidiary</w:t>
            </w:r>
          </w:p>
        </w:tc>
        <w:tc>
          <w:tcPr>
            <w:tcW w:w="7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40" w:type="dxa"/>
            <w:vAlign w:val="bottom"/>
          </w:tcPr>
          <w:p>
            <w:pPr>
              <w:jc w:val="right"/>
              <w:ind w:right="26"/>
              <w:spacing w:after="0"/>
              <w:rPr>
                <w:sz w:val="20"/>
                <w:szCs w:val="20"/>
                <w:color w:val="auto"/>
              </w:rPr>
            </w:pPr>
            <w:r>
              <w:rPr>
                <w:rFonts w:ascii="Arial" w:cs="Arial" w:eastAsia="Arial" w:hAnsi="Arial"/>
                <w:sz w:val="11"/>
                <w:szCs w:val="11"/>
                <w:color w:val="auto"/>
              </w:rPr>
              <w:t>(15,000)</w:t>
            </w:r>
          </w:p>
        </w:tc>
        <w:tc>
          <w:tcPr>
            <w:tcW w:w="100" w:type="dxa"/>
            <w:vAlign w:val="bottom"/>
          </w:tcPr>
          <w:p>
            <w:pPr>
              <w:spacing w:after="0"/>
              <w:rPr>
                <w:sz w:val="11"/>
                <w:szCs w:val="1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70"/>
        </w:trPr>
        <w:tc>
          <w:tcPr>
            <w:tcW w:w="1380" w:type="dxa"/>
            <w:vAlign w:val="bottom"/>
          </w:tcPr>
          <w:p>
            <w:pPr>
              <w:ind w:left="140"/>
              <w:spacing w:after="0"/>
              <w:rPr>
                <w:sz w:val="20"/>
                <w:szCs w:val="20"/>
                <w:color w:val="auto"/>
              </w:rPr>
            </w:pPr>
            <w:r>
              <w:rPr>
                <w:rFonts w:ascii="Arial" w:cs="Arial" w:eastAsia="Arial" w:hAnsi="Arial"/>
                <w:sz w:val="11"/>
                <w:szCs w:val="11"/>
                <w:color w:val="auto"/>
              </w:rPr>
              <w:t>Other, net</w:t>
            </w:r>
          </w:p>
        </w:tc>
        <w:tc>
          <w:tcPr>
            <w:tcW w:w="7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1380" w:type="dxa"/>
            <w:vAlign w:val="bottom"/>
            <w:vMerge w:val="restart"/>
          </w:tcPr>
          <w:p>
            <w:pPr>
              <w:spacing w:after="0"/>
              <w:rPr>
                <w:sz w:val="20"/>
                <w:szCs w:val="20"/>
                <w:color w:val="auto"/>
              </w:rPr>
            </w:pPr>
            <w:r>
              <w:rPr>
                <w:rFonts w:ascii="Arial" w:cs="Arial" w:eastAsia="Arial" w:hAnsi="Arial"/>
                <w:sz w:val="11"/>
                <w:szCs w:val="11"/>
                <w:color w:val="auto"/>
              </w:rPr>
              <w:t>Balances at February 28,</w:t>
            </w: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9"/>
        </w:trPr>
        <w:tc>
          <w:tcPr>
            <w:tcW w:w="1380" w:type="dxa"/>
            <w:vAlign w:val="bottom"/>
            <w:vMerge w:val="continue"/>
          </w:tcPr>
          <w:p>
            <w:pPr>
              <w:spacing w:after="0"/>
              <w:rPr>
                <w:sz w:val="10"/>
                <w:szCs w:val="10"/>
                <w:color w:val="auto"/>
              </w:rPr>
            </w:pPr>
          </w:p>
        </w:tc>
        <w:tc>
          <w:tcPr>
            <w:tcW w:w="620" w:type="dxa"/>
            <w:vAlign w:val="bottom"/>
            <w:vMerge w:val="restart"/>
          </w:tcPr>
          <w:p>
            <w:pPr>
              <w:jc w:val="right"/>
              <w:ind w:right="6"/>
              <w:spacing w:after="0"/>
              <w:rPr>
                <w:sz w:val="20"/>
                <w:szCs w:val="20"/>
                <w:color w:val="auto"/>
              </w:rPr>
            </w:pPr>
            <w:r>
              <w:rPr>
                <w:rFonts w:ascii="Arial" w:cs="Arial" w:eastAsia="Arial" w:hAnsi="Arial"/>
                <w:sz w:val="11"/>
                <w:szCs w:val="11"/>
                <w:color w:val="auto"/>
                <w:w w:val="88"/>
              </w:rPr>
              <w:t>271,787,370</w:t>
            </w:r>
          </w:p>
        </w:tc>
        <w:tc>
          <w:tcPr>
            <w:tcW w:w="120" w:type="dxa"/>
            <w:vAlign w:val="bottom"/>
          </w:tcPr>
          <w:p>
            <w:pPr>
              <w:spacing w:after="0"/>
              <w:rPr>
                <w:sz w:val="10"/>
                <w:szCs w:val="10"/>
                <w:color w:val="auto"/>
              </w:rPr>
            </w:pPr>
          </w:p>
        </w:tc>
        <w:tc>
          <w:tcPr>
            <w:tcW w:w="560" w:type="dxa"/>
            <w:vAlign w:val="bottom"/>
            <w:vMerge w:val="restart"/>
          </w:tcPr>
          <w:p>
            <w:pPr>
              <w:jc w:val="right"/>
              <w:ind w:right="46"/>
              <w:spacing w:after="0"/>
              <w:rPr>
                <w:sz w:val="20"/>
                <w:szCs w:val="20"/>
                <w:color w:val="auto"/>
              </w:rPr>
            </w:pPr>
            <w:r>
              <w:rPr>
                <w:rFonts w:ascii="Arial" w:cs="Arial" w:eastAsia="Arial" w:hAnsi="Arial"/>
                <w:sz w:val="11"/>
                <w:szCs w:val="11"/>
                <w:color w:val="auto"/>
                <w:w w:val="89"/>
              </w:rPr>
              <w:t>¥ 222,738</w:t>
            </w:r>
          </w:p>
        </w:tc>
        <w:tc>
          <w:tcPr>
            <w:tcW w:w="120" w:type="dxa"/>
            <w:vAlign w:val="bottom"/>
          </w:tcPr>
          <w:p>
            <w:pPr>
              <w:spacing w:after="0"/>
              <w:rPr>
                <w:sz w:val="10"/>
                <w:szCs w:val="10"/>
                <w:color w:val="auto"/>
              </w:rPr>
            </w:pPr>
          </w:p>
        </w:tc>
        <w:tc>
          <w:tcPr>
            <w:tcW w:w="560" w:type="dxa"/>
            <w:vAlign w:val="bottom"/>
            <w:vMerge w:val="restart"/>
          </w:tcPr>
          <w:p>
            <w:pPr>
              <w:jc w:val="right"/>
              <w:ind w:right="66"/>
              <w:spacing w:after="0"/>
              <w:rPr>
                <w:sz w:val="20"/>
                <w:szCs w:val="20"/>
                <w:color w:val="auto"/>
              </w:rPr>
            </w:pPr>
            <w:r>
              <w:rPr>
                <w:rFonts w:ascii="Arial" w:cs="Arial" w:eastAsia="Arial" w:hAnsi="Arial"/>
                <w:sz w:val="11"/>
                <w:szCs w:val="11"/>
                <w:color w:val="auto"/>
                <w:w w:val="85"/>
              </w:rPr>
              <w:t>¥ 234,179</w:t>
            </w:r>
          </w:p>
        </w:tc>
        <w:tc>
          <w:tcPr>
            <w:tcW w:w="100" w:type="dxa"/>
            <w:vAlign w:val="bottom"/>
          </w:tcPr>
          <w:p>
            <w:pPr>
              <w:spacing w:after="0"/>
              <w:rPr>
                <w:sz w:val="10"/>
                <w:szCs w:val="10"/>
                <w:color w:val="auto"/>
              </w:rPr>
            </w:pPr>
          </w:p>
        </w:tc>
        <w:tc>
          <w:tcPr>
            <w:tcW w:w="120" w:type="dxa"/>
            <w:vAlign w:val="bottom"/>
            <w:vMerge w:val="restart"/>
          </w:tcPr>
          <w:p>
            <w:pPr>
              <w:ind w:left="40"/>
              <w:spacing w:after="0"/>
              <w:rPr>
                <w:sz w:val="20"/>
                <w:szCs w:val="20"/>
                <w:color w:val="auto"/>
              </w:rPr>
            </w:pPr>
            <w:r>
              <w:rPr>
                <w:rFonts w:ascii="Arial" w:cs="Arial" w:eastAsia="Arial" w:hAnsi="Arial"/>
                <w:sz w:val="11"/>
                <w:szCs w:val="11"/>
                <w:color w:val="auto"/>
                <w:w w:val="97"/>
              </w:rPr>
              <w:t>¥</w:t>
            </w: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color w:val="auto"/>
                <w:w w:val="97"/>
              </w:rPr>
              <w:t>(380,281)</w:t>
            </w:r>
          </w:p>
        </w:tc>
        <w:tc>
          <w:tcPr>
            <w:tcW w:w="120" w:type="dxa"/>
            <w:vAlign w:val="bottom"/>
          </w:tcPr>
          <w:p>
            <w:pPr>
              <w:spacing w:after="0"/>
              <w:rPr>
                <w:sz w:val="10"/>
                <w:szCs w:val="10"/>
                <w:color w:val="auto"/>
              </w:rPr>
            </w:pPr>
          </w:p>
        </w:tc>
        <w:tc>
          <w:tcPr>
            <w:tcW w:w="160" w:type="dxa"/>
            <w:vAlign w:val="bottom"/>
            <w:vMerge w:val="restart"/>
          </w:tcPr>
          <w:p>
            <w:pPr>
              <w:ind w:left="20"/>
              <w:spacing w:after="0"/>
              <w:rPr>
                <w:sz w:val="20"/>
                <w:szCs w:val="20"/>
                <w:color w:val="auto"/>
              </w:rPr>
            </w:pPr>
            <w:r>
              <w:rPr>
                <w:rFonts w:ascii="Arial" w:cs="Arial" w:eastAsia="Arial" w:hAnsi="Arial"/>
                <w:sz w:val="11"/>
                <w:szCs w:val="11"/>
                <w:color w:val="auto"/>
              </w:rPr>
              <w:t>¥</w:t>
            </w:r>
          </w:p>
        </w:tc>
        <w:tc>
          <w:tcPr>
            <w:tcW w:w="560" w:type="dxa"/>
            <w:vAlign w:val="bottom"/>
            <w:vMerge w:val="restart"/>
          </w:tcPr>
          <w:p>
            <w:pPr>
              <w:jc w:val="right"/>
              <w:ind w:right="26"/>
              <w:spacing w:after="0"/>
              <w:rPr>
                <w:sz w:val="20"/>
                <w:szCs w:val="20"/>
                <w:color w:val="auto"/>
              </w:rPr>
            </w:pPr>
            <w:r>
              <w:rPr>
                <w:rFonts w:ascii="Arial" w:cs="Arial" w:eastAsia="Arial" w:hAnsi="Arial"/>
                <w:sz w:val="11"/>
                <w:szCs w:val="11"/>
                <w:color w:val="auto"/>
              </w:rPr>
              <w:t>(9,535)</w:t>
            </w:r>
          </w:p>
        </w:tc>
        <w:tc>
          <w:tcPr>
            <w:tcW w:w="120" w:type="dxa"/>
            <w:vAlign w:val="bottom"/>
          </w:tcPr>
          <w:p>
            <w:pPr>
              <w:spacing w:after="0"/>
              <w:rPr>
                <w:sz w:val="10"/>
                <w:szCs w:val="10"/>
                <w:color w:val="auto"/>
              </w:rPr>
            </w:pPr>
          </w:p>
        </w:tc>
        <w:tc>
          <w:tcPr>
            <w:tcW w:w="80" w:type="dxa"/>
            <w:vAlign w:val="bottom"/>
            <w:vMerge w:val="restart"/>
          </w:tcPr>
          <w:p>
            <w:pPr>
              <w:ind w:left="20"/>
              <w:spacing w:after="0"/>
              <w:rPr>
                <w:sz w:val="20"/>
                <w:szCs w:val="20"/>
                <w:color w:val="auto"/>
              </w:rPr>
            </w:pPr>
            <w:r>
              <w:rPr>
                <w:rFonts w:ascii="Arial" w:cs="Arial" w:eastAsia="Arial" w:hAnsi="Arial"/>
                <w:sz w:val="10"/>
                <w:szCs w:val="10"/>
                <w:color w:val="auto"/>
                <w:w w:val="71"/>
              </w:rPr>
              <w:t>¥</w:t>
            </w:r>
          </w:p>
        </w:tc>
        <w:tc>
          <w:tcPr>
            <w:tcW w:w="360" w:type="dxa"/>
            <w:vAlign w:val="bottom"/>
            <w:vMerge w:val="restart"/>
          </w:tcPr>
          <w:p>
            <w:pPr>
              <w:jc w:val="right"/>
              <w:ind w:right="26"/>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10"/>
                <w:szCs w:val="10"/>
                <w:color w:val="auto"/>
              </w:rPr>
            </w:pPr>
          </w:p>
        </w:tc>
        <w:tc>
          <w:tcPr>
            <w:tcW w:w="120" w:type="dxa"/>
            <w:vAlign w:val="bottom"/>
            <w:vMerge w:val="restart"/>
          </w:tcPr>
          <w:p>
            <w:pPr>
              <w:ind w:left="40"/>
              <w:spacing w:after="0"/>
              <w:rPr>
                <w:sz w:val="20"/>
                <w:szCs w:val="20"/>
                <w:color w:val="auto"/>
              </w:rPr>
            </w:pPr>
            <w:r>
              <w:rPr>
                <w:rFonts w:ascii="Arial" w:cs="Arial" w:eastAsia="Arial" w:hAnsi="Arial"/>
                <w:sz w:val="11"/>
                <w:szCs w:val="11"/>
                <w:color w:val="auto"/>
                <w:w w:val="97"/>
              </w:rPr>
              <w:t>¥</w:t>
            </w:r>
          </w:p>
        </w:tc>
        <w:tc>
          <w:tcPr>
            <w:tcW w:w="560" w:type="dxa"/>
            <w:vAlign w:val="bottom"/>
            <w:vMerge w:val="restart"/>
          </w:tcPr>
          <w:p>
            <w:pPr>
              <w:jc w:val="right"/>
              <w:ind w:right="46"/>
              <w:spacing w:after="0"/>
              <w:rPr>
                <w:sz w:val="20"/>
                <w:szCs w:val="20"/>
                <w:color w:val="auto"/>
              </w:rPr>
            </w:pPr>
            <w:r>
              <w:rPr>
                <w:rFonts w:ascii="Arial" w:cs="Arial" w:eastAsia="Arial" w:hAnsi="Arial"/>
                <w:sz w:val="11"/>
                <w:szCs w:val="11"/>
                <w:color w:val="auto"/>
              </w:rPr>
              <w:t>67,096</w:t>
            </w:r>
          </w:p>
        </w:tc>
        <w:tc>
          <w:tcPr>
            <w:tcW w:w="120" w:type="dxa"/>
            <w:vAlign w:val="bottom"/>
          </w:tcPr>
          <w:p>
            <w:pPr>
              <w:spacing w:after="0"/>
              <w:rPr>
                <w:sz w:val="10"/>
                <w:szCs w:val="10"/>
                <w:color w:val="auto"/>
              </w:rPr>
            </w:pPr>
          </w:p>
        </w:tc>
        <w:tc>
          <w:tcPr>
            <w:tcW w:w="140" w:type="dxa"/>
            <w:vAlign w:val="bottom"/>
            <w:vMerge w:val="restart"/>
          </w:tcPr>
          <w:p>
            <w:pPr>
              <w:jc w:val="right"/>
              <w:ind w:right="6"/>
              <w:spacing w:after="0"/>
              <w:rPr>
                <w:sz w:val="20"/>
                <w:szCs w:val="20"/>
                <w:color w:val="auto"/>
              </w:rPr>
            </w:pPr>
            <w:r>
              <w:rPr>
                <w:rFonts w:ascii="Arial" w:cs="Arial" w:eastAsia="Arial" w:hAnsi="Arial"/>
                <w:sz w:val="11"/>
                <w:szCs w:val="11"/>
                <w:color w:val="auto"/>
                <w:w w:val="97"/>
              </w:rPr>
              <w:t>¥</w:t>
            </w:r>
          </w:p>
        </w:tc>
        <w:tc>
          <w:tcPr>
            <w:tcW w:w="640" w:type="dxa"/>
            <w:vAlign w:val="bottom"/>
            <w:vMerge w:val="restart"/>
          </w:tcPr>
          <w:p>
            <w:pPr>
              <w:jc w:val="right"/>
              <w:ind w:right="66"/>
              <w:spacing w:after="0"/>
              <w:rPr>
                <w:sz w:val="20"/>
                <w:szCs w:val="20"/>
                <w:color w:val="auto"/>
              </w:rPr>
            </w:pPr>
            <w:r>
              <w:rPr>
                <w:rFonts w:ascii="Arial" w:cs="Arial" w:eastAsia="Arial" w:hAnsi="Arial"/>
                <w:sz w:val="11"/>
                <w:szCs w:val="11"/>
                <w:color w:val="auto"/>
              </w:rPr>
              <w:t>60,570</w:t>
            </w:r>
          </w:p>
        </w:tc>
        <w:tc>
          <w:tcPr>
            <w:tcW w:w="100" w:type="dxa"/>
            <w:vAlign w:val="bottom"/>
          </w:tcPr>
          <w:p>
            <w:pPr>
              <w:spacing w:after="0"/>
              <w:rPr>
                <w:sz w:val="10"/>
                <w:szCs w:val="10"/>
                <w:color w:val="auto"/>
              </w:rPr>
            </w:pPr>
          </w:p>
        </w:tc>
        <w:tc>
          <w:tcPr>
            <w:tcW w:w="120" w:type="dxa"/>
            <w:vAlign w:val="bottom"/>
            <w:vMerge w:val="restart"/>
          </w:tcPr>
          <w:p>
            <w:pPr>
              <w:ind w:left="20"/>
              <w:spacing w:after="0"/>
              <w:rPr>
                <w:sz w:val="20"/>
                <w:szCs w:val="20"/>
                <w:color w:val="auto"/>
              </w:rPr>
            </w:pPr>
            <w:r>
              <w:rPr>
                <w:rFonts w:ascii="Arial" w:cs="Arial" w:eastAsia="Arial" w:hAnsi="Arial"/>
                <w:sz w:val="11"/>
                <w:szCs w:val="11"/>
                <w:color w:val="auto"/>
              </w:rPr>
              <w:t>¥</w:t>
            </w:r>
          </w:p>
        </w:tc>
        <w:tc>
          <w:tcPr>
            <w:tcW w:w="540" w:type="dxa"/>
            <w:vAlign w:val="bottom"/>
            <w:vMerge w:val="restart"/>
          </w:tcPr>
          <w:p>
            <w:pPr>
              <w:jc w:val="right"/>
              <w:ind w:right="46"/>
              <w:spacing w:after="0"/>
              <w:rPr>
                <w:sz w:val="20"/>
                <w:szCs w:val="20"/>
                <w:color w:val="auto"/>
              </w:rPr>
            </w:pPr>
            <w:r>
              <w:rPr>
                <w:rFonts w:ascii="Arial" w:cs="Arial" w:eastAsia="Arial" w:hAnsi="Arial"/>
                <w:sz w:val="11"/>
                <w:szCs w:val="11"/>
                <w:color w:val="auto"/>
              </w:rPr>
              <w:t>127,666</w:t>
            </w:r>
          </w:p>
        </w:tc>
        <w:tc>
          <w:tcPr>
            <w:tcW w:w="120" w:type="dxa"/>
            <w:vAlign w:val="bottom"/>
          </w:tcPr>
          <w:p>
            <w:pPr>
              <w:spacing w:after="0"/>
              <w:rPr>
                <w:sz w:val="10"/>
                <w:szCs w:val="10"/>
                <w:color w:val="auto"/>
              </w:rPr>
            </w:pPr>
          </w:p>
        </w:tc>
        <w:tc>
          <w:tcPr>
            <w:tcW w:w="80" w:type="dxa"/>
            <w:vAlign w:val="bottom"/>
            <w:vMerge w:val="restart"/>
          </w:tcPr>
          <w:p>
            <w:pPr>
              <w:ind w:left="20"/>
              <w:spacing w:after="0"/>
              <w:rPr>
                <w:sz w:val="20"/>
                <w:szCs w:val="20"/>
                <w:color w:val="auto"/>
              </w:rPr>
            </w:pPr>
            <w:r>
              <w:rPr>
                <w:rFonts w:ascii="Arial" w:cs="Arial" w:eastAsia="Arial" w:hAnsi="Arial"/>
                <w:sz w:val="10"/>
                <w:szCs w:val="10"/>
                <w:color w:val="auto"/>
                <w:w w:val="71"/>
              </w:rPr>
              <w:t>¥</w:t>
            </w:r>
          </w:p>
        </w:tc>
        <w:tc>
          <w:tcPr>
            <w:tcW w:w="640" w:type="dxa"/>
            <w:vAlign w:val="bottom"/>
            <w:vMerge w:val="restart"/>
          </w:tcPr>
          <w:p>
            <w:pPr>
              <w:jc w:val="right"/>
              <w:ind w:right="66"/>
              <w:spacing w:after="0"/>
              <w:rPr>
                <w:sz w:val="20"/>
                <w:szCs w:val="20"/>
                <w:color w:val="auto"/>
              </w:rPr>
            </w:pPr>
            <w:r>
              <w:rPr>
                <w:rFonts w:ascii="Arial" w:cs="Arial" w:eastAsia="Arial" w:hAnsi="Arial"/>
                <w:sz w:val="11"/>
                <w:szCs w:val="11"/>
                <w:color w:val="auto"/>
              </w:rPr>
              <w:t>4,550</w:t>
            </w:r>
          </w:p>
        </w:tc>
        <w:tc>
          <w:tcPr>
            <w:tcW w:w="100" w:type="dxa"/>
            <w:vAlign w:val="bottom"/>
          </w:tcPr>
          <w:p>
            <w:pPr>
              <w:spacing w:after="0"/>
              <w:rPr>
                <w:sz w:val="10"/>
                <w:szCs w:val="10"/>
                <w:color w:val="auto"/>
              </w:rPr>
            </w:pPr>
          </w:p>
        </w:tc>
        <w:tc>
          <w:tcPr>
            <w:tcW w:w="540" w:type="dxa"/>
            <w:vAlign w:val="bottom"/>
            <w:vMerge w:val="restart"/>
          </w:tcPr>
          <w:p>
            <w:pPr>
              <w:jc w:val="right"/>
              <w:ind w:right="26"/>
              <w:spacing w:after="0"/>
              <w:rPr>
                <w:sz w:val="20"/>
                <w:szCs w:val="20"/>
                <w:color w:val="auto"/>
              </w:rPr>
            </w:pPr>
            <w:r>
              <w:rPr>
                <w:rFonts w:ascii="Arial" w:cs="Arial" w:eastAsia="Arial" w:hAnsi="Arial"/>
                <w:sz w:val="11"/>
                <w:szCs w:val="11"/>
                <w:color w:val="auto"/>
                <w:w w:val="89"/>
              </w:rPr>
              <w:t>1,000,000</w:t>
            </w:r>
          </w:p>
        </w:tc>
        <w:tc>
          <w:tcPr>
            <w:tcW w:w="120" w:type="dxa"/>
            <w:vAlign w:val="bottom"/>
          </w:tcPr>
          <w:p>
            <w:pPr>
              <w:spacing w:after="0"/>
              <w:rPr>
                <w:sz w:val="10"/>
                <w:szCs w:val="10"/>
                <w:color w:val="auto"/>
              </w:rPr>
            </w:pPr>
          </w:p>
        </w:tc>
        <w:tc>
          <w:tcPr>
            <w:tcW w:w="500" w:type="dxa"/>
            <w:vAlign w:val="bottom"/>
            <w:vMerge w:val="restart"/>
          </w:tcPr>
          <w:p>
            <w:pPr>
              <w:jc w:val="right"/>
              <w:ind w:right="46"/>
              <w:spacing w:after="0"/>
              <w:rPr>
                <w:sz w:val="20"/>
                <w:szCs w:val="20"/>
                <w:color w:val="auto"/>
              </w:rPr>
            </w:pPr>
            <w:r>
              <w:rPr>
                <w:rFonts w:ascii="Arial" w:cs="Arial" w:eastAsia="Arial" w:hAnsi="Arial"/>
                <w:sz w:val="11"/>
                <w:szCs w:val="11"/>
                <w:color w:val="auto"/>
                <w:w w:val="88"/>
              </w:rPr>
              <w:t>¥ 10,554</w:t>
            </w:r>
          </w:p>
        </w:tc>
        <w:tc>
          <w:tcPr>
            <w:tcW w:w="120" w:type="dxa"/>
            <w:vAlign w:val="bottom"/>
          </w:tcPr>
          <w:p>
            <w:pPr>
              <w:spacing w:after="0"/>
              <w:rPr>
                <w:sz w:val="10"/>
                <w:szCs w:val="10"/>
                <w:color w:val="auto"/>
              </w:rPr>
            </w:pPr>
          </w:p>
        </w:tc>
        <w:tc>
          <w:tcPr>
            <w:tcW w:w="540" w:type="dxa"/>
            <w:vAlign w:val="bottom"/>
            <w:vMerge w:val="restart"/>
          </w:tcPr>
          <w:p>
            <w:pPr>
              <w:jc w:val="right"/>
              <w:ind w:right="26"/>
              <w:spacing w:after="0"/>
              <w:rPr>
                <w:sz w:val="20"/>
                <w:szCs w:val="20"/>
                <w:color w:val="auto"/>
              </w:rPr>
            </w:pPr>
            <w:r>
              <w:rPr>
                <w:rFonts w:ascii="Arial" w:cs="Arial" w:eastAsia="Arial" w:hAnsi="Arial"/>
                <w:sz w:val="11"/>
                <w:szCs w:val="11"/>
                <w:color w:val="auto"/>
                <w:w w:val="89"/>
              </w:rPr>
              <w:t>1,838,967</w:t>
            </w:r>
          </w:p>
        </w:tc>
        <w:tc>
          <w:tcPr>
            <w:tcW w:w="10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vMerge w:val="restart"/>
          </w:tcPr>
          <w:p>
            <w:pPr>
              <w:jc w:val="right"/>
              <w:ind w:right="46"/>
              <w:spacing w:after="0"/>
              <w:rPr>
                <w:sz w:val="20"/>
                <w:szCs w:val="20"/>
                <w:color w:val="auto"/>
              </w:rPr>
            </w:pPr>
            <w:r>
              <w:rPr>
                <w:rFonts w:ascii="Arial" w:cs="Arial" w:eastAsia="Arial" w:hAnsi="Arial"/>
                <w:sz w:val="11"/>
                <w:szCs w:val="11"/>
                <w:color w:val="auto"/>
              </w:rPr>
              <w:t>19,409</w:t>
            </w:r>
          </w:p>
        </w:tc>
        <w:tc>
          <w:tcPr>
            <w:tcW w:w="0" w:type="dxa"/>
            <w:vAlign w:val="bottom"/>
          </w:tcPr>
          <w:p>
            <w:pPr>
              <w:spacing w:after="0"/>
              <w:rPr>
                <w:sz w:val="1"/>
                <w:szCs w:val="1"/>
                <w:color w:val="auto"/>
              </w:rPr>
            </w:pPr>
          </w:p>
        </w:tc>
      </w:tr>
      <w:tr>
        <w:trPr>
          <w:trHeight w:val="146"/>
        </w:trPr>
        <w:tc>
          <w:tcPr>
            <w:tcW w:w="1380" w:type="dxa"/>
            <w:vAlign w:val="bottom"/>
          </w:tcPr>
          <w:p>
            <w:pPr>
              <w:spacing w:after="0"/>
              <w:rPr>
                <w:sz w:val="20"/>
                <w:szCs w:val="20"/>
                <w:color w:val="auto"/>
              </w:rPr>
            </w:pPr>
            <w:r>
              <w:rPr>
                <w:rFonts w:ascii="Arial" w:cs="Arial" w:eastAsia="Arial" w:hAnsi="Arial"/>
                <w:sz w:val="11"/>
                <w:szCs w:val="11"/>
                <w:color w:val="auto"/>
              </w:rPr>
              <w:t>2013</w:t>
            </w:r>
          </w:p>
        </w:tc>
        <w:tc>
          <w:tcPr>
            <w:tcW w:w="62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vMerge w:val="continue"/>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vMerge w:val="continue"/>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vMerge w:val="continue"/>
          </w:tcPr>
          <w:p>
            <w:pPr>
              <w:spacing w:after="0"/>
              <w:rPr>
                <w:sz w:val="12"/>
                <w:szCs w:val="12"/>
                <w:color w:val="auto"/>
              </w:rPr>
            </w:pPr>
          </w:p>
        </w:tc>
        <w:tc>
          <w:tcPr>
            <w:tcW w:w="36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vMerge w:val="continue"/>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vMerge w:val="continue"/>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vMerge w:val="continue"/>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vMerge w:val="continue"/>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vMerge w:val="continue"/>
          </w:tcPr>
          <w:p>
            <w:pPr>
              <w:spacing w:after="0"/>
              <w:rPr>
                <w:sz w:val="12"/>
                <w:szCs w:val="12"/>
                <w:color w:val="auto"/>
              </w:rPr>
            </w:pPr>
          </w:p>
        </w:tc>
        <w:tc>
          <w:tcPr>
            <w:tcW w:w="4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See accompanying notes to consolidated financial statements.</w:t>
      </w: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76" w:right="239" w:bottom="1440" w:gutter="0" w:footer="0" w:header="0"/>
        </w:sectPr>
      </w:pPr>
    </w:p>
    <w:bookmarkStart w:id="13" w:name="page14"/>
    <w:bookmarkEnd w:id="13"/>
    <w:p>
      <w:pPr>
        <w:jc w:val="center"/>
        <w:ind w:right="-679"/>
        <w:spacing w:after="0"/>
        <w:rPr>
          <w:sz w:val="20"/>
          <w:szCs w:val="20"/>
          <w:color w:val="auto"/>
        </w:rPr>
      </w:pPr>
      <w:r>
        <w:rPr>
          <w:rFonts w:ascii="Arial" w:cs="Arial" w:eastAsia="Arial" w:hAnsi="Arial"/>
          <w:sz w:val="20"/>
          <w:szCs w:val="20"/>
          <w:b w:val="1"/>
          <w:bCs w:val="1"/>
          <w:color w:val="auto"/>
        </w:rPr>
        <w:t>ELPIDA MEMORY, INC. AND SUBSIDIARIES</w:t>
      </w:r>
    </w:p>
    <w:p>
      <w:pPr>
        <w:spacing w:after="0" w:line="54" w:lineRule="exact"/>
        <w:rPr>
          <w:sz w:val="20"/>
          <w:szCs w:val="20"/>
          <w:color w:val="auto"/>
        </w:rPr>
      </w:pPr>
    </w:p>
    <w:p>
      <w:pPr>
        <w:jc w:val="center"/>
        <w:ind w:right="-679"/>
        <w:spacing w:after="0"/>
        <w:rPr>
          <w:sz w:val="20"/>
          <w:szCs w:val="20"/>
          <w:color w:val="auto"/>
        </w:rPr>
      </w:pPr>
      <w:r>
        <w:rPr>
          <w:rFonts w:ascii="Arial" w:cs="Arial" w:eastAsia="Arial" w:hAnsi="Arial"/>
          <w:sz w:val="20"/>
          <w:szCs w:val="20"/>
          <w:b w:val="1"/>
          <w:bCs w:val="1"/>
          <w:color w:val="auto"/>
        </w:rPr>
        <w:t>(DEBTORS-IN-POSSESSION)</w:t>
      </w:r>
    </w:p>
    <w:p>
      <w:pPr>
        <w:spacing w:after="0" w:line="54" w:lineRule="exact"/>
        <w:rPr>
          <w:sz w:val="20"/>
          <w:szCs w:val="20"/>
          <w:color w:val="auto"/>
        </w:rPr>
      </w:pPr>
    </w:p>
    <w:p>
      <w:pPr>
        <w:jc w:val="center"/>
        <w:ind w:right="-679"/>
        <w:spacing w:after="0"/>
        <w:rPr>
          <w:sz w:val="20"/>
          <w:szCs w:val="20"/>
          <w:color w:val="auto"/>
        </w:rPr>
      </w:pPr>
      <w:r>
        <w:rPr>
          <w:rFonts w:ascii="Arial" w:cs="Arial" w:eastAsia="Arial" w:hAnsi="Arial"/>
          <w:sz w:val="20"/>
          <w:szCs w:val="20"/>
          <w:b w:val="1"/>
          <w:bCs w:val="1"/>
          <w:color w:val="auto"/>
        </w:rPr>
        <w:t>CONSOLIDATED STATEMENTS OF CASH FLOWS</w:t>
      </w:r>
    </w:p>
    <w:p>
      <w:pPr>
        <w:spacing w:after="0" w:line="54" w:lineRule="exact"/>
        <w:rPr>
          <w:sz w:val="20"/>
          <w:szCs w:val="20"/>
          <w:color w:val="auto"/>
        </w:rPr>
      </w:pPr>
    </w:p>
    <w:p>
      <w:pPr>
        <w:jc w:val="center"/>
        <w:ind w:right="-679"/>
        <w:spacing w:after="0"/>
        <w:rPr>
          <w:sz w:val="20"/>
          <w:szCs w:val="20"/>
          <w:color w:val="auto"/>
        </w:rPr>
      </w:pPr>
      <w:r>
        <w:rPr>
          <w:rFonts w:ascii="Arial" w:cs="Arial" w:eastAsia="Arial" w:hAnsi="Arial"/>
          <w:sz w:val="20"/>
          <w:szCs w:val="20"/>
          <w:b w:val="1"/>
          <w:bCs w:val="1"/>
          <w:color w:val="auto"/>
        </w:rPr>
        <w:t>Eleven months February 28, 2013 and Year ended March 31, 2012</w:t>
      </w:r>
    </w:p>
    <w:p>
      <w:pPr>
        <w:spacing w:after="0" w:line="54" w:lineRule="exact"/>
        <w:rPr>
          <w:sz w:val="20"/>
          <w:szCs w:val="20"/>
          <w:color w:val="auto"/>
        </w:rPr>
      </w:pPr>
    </w:p>
    <w:p>
      <w:pPr>
        <w:jc w:val="center"/>
        <w:ind w:right="-679"/>
        <w:spacing w:after="0"/>
        <w:rPr>
          <w:sz w:val="20"/>
          <w:szCs w:val="20"/>
          <w:color w:val="auto"/>
        </w:rPr>
      </w:pPr>
      <w:r>
        <w:rPr>
          <w:rFonts w:ascii="Arial" w:cs="Arial" w:eastAsia="Arial" w:hAnsi="Arial"/>
          <w:sz w:val="20"/>
          <w:szCs w:val="20"/>
          <w:b w:val="1"/>
          <w:bCs w:val="1"/>
          <w:color w:val="auto"/>
        </w:rPr>
        <w:t>(Yen in millions)</w:t>
      </w:r>
    </w:p>
    <w:p>
      <w:pPr>
        <w:spacing w:after="0" w:line="161" w:lineRule="exact"/>
        <w:rPr>
          <w:sz w:val="20"/>
          <w:szCs w:val="20"/>
          <w:color w:val="auto"/>
        </w:rPr>
      </w:pPr>
    </w:p>
    <w:tbl>
      <w:tblPr>
        <w:tblLayout w:type="fixed"/>
        <w:tblInd w:w="740" w:type="dxa"/>
        <w:tblCellMar>
          <w:top w:w="0" w:type="dxa"/>
          <w:left w:w="0" w:type="dxa"/>
          <w:bottom w:w="0" w:type="dxa"/>
          <w:right w:w="0" w:type="dxa"/>
        </w:tblCellMar>
      </w:tblPr>
      <w:tr>
        <w:trPr>
          <w:trHeight w:val="230"/>
        </w:trPr>
        <w:tc>
          <w:tcPr>
            <w:tcW w:w="6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20"/>
                <w:szCs w:val="20"/>
                <w:b w:val="1"/>
                <w:bCs w:val="1"/>
                <w:color w:val="auto"/>
                <w:w w:val="88"/>
              </w:rPr>
              <w:t>Eleven months</w:t>
            </w:r>
          </w:p>
        </w:tc>
        <w:tc>
          <w:tcPr>
            <w:tcW w:w="260" w:type="dxa"/>
            <w:vAlign w:val="bottom"/>
          </w:tcPr>
          <w:p>
            <w:pPr>
              <w:spacing w:after="0"/>
              <w:rPr>
                <w:sz w:val="19"/>
                <w:szCs w:val="19"/>
                <w:color w:val="auto"/>
              </w:rPr>
            </w:pPr>
          </w:p>
        </w:tc>
        <w:tc>
          <w:tcPr>
            <w:tcW w:w="1460" w:type="dxa"/>
            <w:vAlign w:val="bottom"/>
          </w:tcPr>
          <w:p>
            <w:pPr>
              <w:jc w:val="center"/>
              <w:ind w:right="177"/>
              <w:spacing w:after="0"/>
              <w:rPr>
                <w:sz w:val="20"/>
                <w:szCs w:val="20"/>
                <w:color w:val="auto"/>
              </w:rPr>
            </w:pPr>
            <w:r>
              <w:rPr>
                <w:rFonts w:ascii="Arial" w:cs="Arial" w:eastAsia="Arial" w:hAnsi="Arial"/>
                <w:sz w:val="20"/>
                <w:szCs w:val="20"/>
                <w:b w:val="1"/>
                <w:bCs w:val="1"/>
                <w:color w:val="auto"/>
                <w:w w:val="92"/>
              </w:rPr>
              <w:t>Year</w:t>
            </w:r>
          </w:p>
        </w:tc>
        <w:tc>
          <w:tcPr>
            <w:tcW w:w="0" w:type="dxa"/>
            <w:vAlign w:val="bottom"/>
          </w:tcPr>
          <w:p>
            <w:pPr>
              <w:spacing w:after="0"/>
              <w:rPr>
                <w:sz w:val="1"/>
                <w:szCs w:val="1"/>
                <w:color w:val="auto"/>
              </w:rPr>
            </w:pPr>
          </w:p>
        </w:tc>
      </w:tr>
      <w:tr>
        <w:trPr>
          <w:trHeight w:val="230"/>
        </w:trPr>
        <w:tc>
          <w:tcPr>
            <w:tcW w:w="6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20"/>
                <w:szCs w:val="20"/>
                <w:b w:val="1"/>
                <w:bCs w:val="1"/>
                <w:color w:val="auto"/>
                <w:w w:val="84"/>
              </w:rPr>
              <w:t>ended</w:t>
            </w:r>
          </w:p>
        </w:tc>
        <w:tc>
          <w:tcPr>
            <w:tcW w:w="260" w:type="dxa"/>
            <w:vAlign w:val="bottom"/>
          </w:tcPr>
          <w:p>
            <w:pPr>
              <w:spacing w:after="0"/>
              <w:rPr>
                <w:sz w:val="19"/>
                <w:szCs w:val="19"/>
                <w:color w:val="auto"/>
              </w:rPr>
            </w:pPr>
          </w:p>
        </w:tc>
        <w:tc>
          <w:tcPr>
            <w:tcW w:w="1460" w:type="dxa"/>
            <w:vAlign w:val="bottom"/>
          </w:tcPr>
          <w:p>
            <w:pPr>
              <w:jc w:val="center"/>
              <w:ind w:right="197"/>
              <w:spacing w:after="0"/>
              <w:rPr>
                <w:sz w:val="20"/>
                <w:szCs w:val="20"/>
                <w:color w:val="auto"/>
              </w:rPr>
            </w:pPr>
            <w:r>
              <w:rPr>
                <w:rFonts w:ascii="Arial" w:cs="Arial" w:eastAsia="Arial" w:hAnsi="Arial"/>
                <w:sz w:val="20"/>
                <w:szCs w:val="20"/>
                <w:b w:val="1"/>
                <w:bCs w:val="1"/>
                <w:color w:val="auto"/>
                <w:w w:val="84"/>
              </w:rPr>
              <w:t>ended</w:t>
            </w:r>
          </w:p>
        </w:tc>
        <w:tc>
          <w:tcPr>
            <w:tcW w:w="0" w:type="dxa"/>
            <w:vAlign w:val="bottom"/>
          </w:tcPr>
          <w:p>
            <w:pPr>
              <w:spacing w:after="0"/>
              <w:rPr>
                <w:sz w:val="1"/>
                <w:szCs w:val="1"/>
                <w:color w:val="auto"/>
              </w:rPr>
            </w:pPr>
          </w:p>
        </w:tc>
      </w:tr>
      <w:tr>
        <w:trPr>
          <w:trHeight w:val="230"/>
        </w:trPr>
        <w:tc>
          <w:tcPr>
            <w:tcW w:w="6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20"/>
                <w:szCs w:val="20"/>
                <w:b w:val="1"/>
                <w:bCs w:val="1"/>
                <w:color w:val="auto"/>
                <w:w w:val="92"/>
              </w:rPr>
              <w:t>February 28,</w:t>
            </w:r>
          </w:p>
        </w:tc>
        <w:tc>
          <w:tcPr>
            <w:tcW w:w="260" w:type="dxa"/>
            <w:vAlign w:val="bottom"/>
          </w:tcPr>
          <w:p>
            <w:pPr>
              <w:spacing w:after="0"/>
              <w:rPr>
                <w:sz w:val="19"/>
                <w:szCs w:val="19"/>
                <w:color w:val="auto"/>
              </w:rPr>
            </w:pPr>
          </w:p>
        </w:tc>
        <w:tc>
          <w:tcPr>
            <w:tcW w:w="1460" w:type="dxa"/>
            <w:vAlign w:val="bottom"/>
          </w:tcPr>
          <w:p>
            <w:pPr>
              <w:jc w:val="center"/>
              <w:ind w:right="197"/>
              <w:spacing w:after="0"/>
              <w:rPr>
                <w:sz w:val="20"/>
                <w:szCs w:val="20"/>
                <w:color w:val="auto"/>
              </w:rPr>
            </w:pPr>
            <w:r>
              <w:rPr>
                <w:rFonts w:ascii="Arial" w:cs="Arial" w:eastAsia="Arial" w:hAnsi="Arial"/>
                <w:sz w:val="20"/>
                <w:szCs w:val="20"/>
                <w:b w:val="1"/>
                <w:bCs w:val="1"/>
                <w:color w:val="auto"/>
                <w:w w:val="93"/>
              </w:rPr>
              <w:t>March 31,</w:t>
            </w:r>
          </w:p>
        </w:tc>
        <w:tc>
          <w:tcPr>
            <w:tcW w:w="0" w:type="dxa"/>
            <w:vAlign w:val="bottom"/>
          </w:tcPr>
          <w:p>
            <w:pPr>
              <w:spacing w:after="0"/>
              <w:rPr>
                <w:sz w:val="1"/>
                <w:szCs w:val="1"/>
                <w:color w:val="auto"/>
              </w:rPr>
            </w:pPr>
          </w:p>
        </w:tc>
      </w:tr>
      <w:tr>
        <w:trPr>
          <w:trHeight w:val="256"/>
        </w:trPr>
        <w:tc>
          <w:tcPr>
            <w:tcW w:w="60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40" w:type="dxa"/>
            <w:vAlign w:val="bottom"/>
          </w:tcPr>
          <w:p>
            <w:pPr>
              <w:jc w:val="center"/>
              <w:ind w:right="77"/>
              <w:spacing w:after="0"/>
              <w:rPr>
                <w:sz w:val="20"/>
                <w:szCs w:val="20"/>
                <w:color w:val="auto"/>
              </w:rPr>
            </w:pPr>
            <w:r>
              <w:rPr>
                <w:rFonts w:ascii="Arial" w:cs="Arial" w:eastAsia="Arial" w:hAnsi="Arial"/>
                <w:sz w:val="20"/>
                <w:szCs w:val="20"/>
                <w:b w:val="1"/>
                <w:bCs w:val="1"/>
                <w:color w:val="auto"/>
                <w:w w:val="85"/>
              </w:rPr>
              <w:t>2013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60" w:type="dxa"/>
            <w:vAlign w:val="bottom"/>
          </w:tcPr>
          <w:p>
            <w:pPr>
              <w:jc w:val="center"/>
              <w:ind w:right="177"/>
              <w:spacing w:after="0"/>
              <w:rPr>
                <w:sz w:val="20"/>
                <w:szCs w:val="20"/>
                <w:color w:val="auto"/>
              </w:rPr>
            </w:pPr>
            <w:r>
              <w:rPr>
                <w:rFonts w:ascii="Arial" w:cs="Arial" w:eastAsia="Arial" w:hAnsi="Arial"/>
                <w:sz w:val="20"/>
                <w:szCs w:val="20"/>
                <w:b w:val="1"/>
                <w:bCs w:val="1"/>
                <w:color w:val="auto"/>
                <w:w w:val="89"/>
              </w:rPr>
              <w:t>2012</w:t>
            </w:r>
          </w:p>
        </w:tc>
        <w:tc>
          <w:tcPr>
            <w:tcW w:w="0" w:type="dxa"/>
            <w:vAlign w:val="bottom"/>
          </w:tcPr>
          <w:p>
            <w:pPr>
              <w:spacing w:after="0"/>
              <w:rPr>
                <w:sz w:val="1"/>
                <w:szCs w:val="1"/>
                <w:color w:val="auto"/>
              </w:rPr>
            </w:pPr>
          </w:p>
        </w:tc>
      </w:tr>
      <w:tr>
        <w:trPr>
          <w:trHeight w:val="23"/>
        </w:trPr>
        <w:tc>
          <w:tcPr>
            <w:tcW w:w="6060" w:type="dxa"/>
            <w:vAlign w:val="bottom"/>
            <w:vMerge w:val="restart"/>
          </w:tcPr>
          <w:p>
            <w:pPr>
              <w:spacing w:after="0"/>
              <w:rPr>
                <w:sz w:val="20"/>
                <w:szCs w:val="20"/>
                <w:color w:val="auto"/>
              </w:rPr>
            </w:pPr>
            <w:r>
              <w:rPr>
                <w:rFonts w:ascii="Arial" w:cs="Arial" w:eastAsia="Arial" w:hAnsi="Arial"/>
                <w:sz w:val="16"/>
                <w:szCs w:val="16"/>
                <w:color w:val="auto"/>
              </w:rPr>
              <w:t>Cash flows provided by operating activities:</w:t>
            </w:r>
          </w:p>
        </w:tc>
        <w:tc>
          <w:tcPr>
            <w:tcW w:w="4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06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060" w:type="dxa"/>
            <w:vAlign w:val="bottom"/>
          </w:tcPr>
          <w:p>
            <w:pPr>
              <w:ind w:left="240"/>
              <w:spacing w:after="0"/>
              <w:rPr>
                <w:sz w:val="20"/>
                <w:szCs w:val="20"/>
                <w:color w:val="auto"/>
              </w:rPr>
            </w:pPr>
            <w:r>
              <w:rPr>
                <w:rFonts w:ascii="Arial" w:cs="Arial" w:eastAsia="Arial" w:hAnsi="Arial"/>
                <w:sz w:val="16"/>
                <w:szCs w:val="16"/>
                <w:color w:val="auto"/>
              </w:rPr>
              <w:t>Net income (loss)</w:t>
            </w:r>
          </w:p>
        </w:tc>
        <w:tc>
          <w:tcPr>
            <w:tcW w:w="5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17"/>
              <w:spacing w:after="0"/>
              <w:rPr>
                <w:sz w:val="20"/>
                <w:szCs w:val="20"/>
                <w:color w:val="auto"/>
              </w:rPr>
            </w:pPr>
            <w:r>
              <w:rPr>
                <w:rFonts w:ascii="Arial" w:cs="Arial" w:eastAsia="Arial" w:hAnsi="Arial"/>
                <w:sz w:val="16"/>
                <w:szCs w:val="16"/>
                <w:color w:val="auto"/>
              </w:rPr>
              <w:t>131,822</w:t>
            </w:r>
          </w:p>
        </w:tc>
        <w:tc>
          <w:tcPr>
            <w:tcW w:w="100" w:type="dxa"/>
            <w:vAlign w:val="bottom"/>
          </w:tcPr>
          <w:p>
            <w:pPr>
              <w:spacing w:after="0"/>
              <w:rPr>
                <w:sz w:val="23"/>
                <w:szCs w:val="23"/>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(363,758)</w:t>
            </w:r>
          </w:p>
        </w:tc>
        <w:tc>
          <w:tcPr>
            <w:tcW w:w="0" w:type="dxa"/>
            <w:vAlign w:val="bottom"/>
          </w:tcPr>
          <w:p>
            <w:pPr>
              <w:spacing w:after="0"/>
              <w:rPr>
                <w:sz w:val="1"/>
                <w:szCs w:val="1"/>
                <w:color w:val="auto"/>
              </w:rPr>
            </w:pPr>
          </w:p>
        </w:tc>
      </w:tr>
      <w:tr>
        <w:trPr>
          <w:trHeight w:val="270"/>
        </w:trPr>
        <w:tc>
          <w:tcPr>
            <w:tcW w:w="6060" w:type="dxa"/>
            <w:vAlign w:val="bottom"/>
          </w:tcPr>
          <w:p>
            <w:pPr>
              <w:ind w:left="240"/>
              <w:spacing w:after="0"/>
              <w:rPr>
                <w:sz w:val="20"/>
                <w:szCs w:val="20"/>
                <w:color w:val="auto"/>
              </w:rPr>
            </w:pPr>
            <w:r>
              <w:rPr>
                <w:rFonts w:ascii="Arial" w:cs="Arial" w:eastAsia="Arial" w:hAnsi="Arial"/>
                <w:sz w:val="16"/>
                <w:szCs w:val="16"/>
                <w:color w:val="auto"/>
                <w:w w:val="99"/>
              </w:rPr>
              <w:t>Adjustments to reconcile net income (loss) to cash provided by operating activities:</w:t>
            </w: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60" w:type="dxa"/>
            <w:vAlign w:val="bottom"/>
          </w:tcPr>
          <w:p>
            <w:pPr>
              <w:ind w:left="240"/>
              <w:spacing w:after="0"/>
              <w:rPr>
                <w:sz w:val="20"/>
                <w:szCs w:val="20"/>
                <w:color w:val="auto"/>
              </w:rPr>
            </w:pPr>
            <w:r>
              <w:rPr>
                <w:rFonts w:ascii="Arial" w:cs="Arial" w:eastAsia="Arial" w:hAnsi="Arial"/>
                <w:sz w:val="16"/>
                <w:szCs w:val="16"/>
                <w:color w:val="auto"/>
              </w:rPr>
              <w:t>Depreciation and amortization</w:t>
            </w: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jc w:val="right"/>
              <w:ind w:right="17"/>
              <w:spacing w:after="0"/>
              <w:rPr>
                <w:sz w:val="20"/>
                <w:szCs w:val="20"/>
                <w:color w:val="auto"/>
              </w:rPr>
            </w:pPr>
            <w:r>
              <w:rPr>
                <w:rFonts w:ascii="Arial" w:cs="Arial" w:eastAsia="Arial" w:hAnsi="Arial"/>
                <w:sz w:val="16"/>
                <w:szCs w:val="16"/>
                <w:color w:val="auto"/>
              </w:rPr>
              <w:t>74,651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ind w:right="17"/>
              <w:spacing w:after="0"/>
              <w:rPr>
                <w:sz w:val="20"/>
                <w:szCs w:val="20"/>
                <w:color w:val="auto"/>
              </w:rPr>
            </w:pPr>
            <w:r>
              <w:rPr>
                <w:rFonts w:ascii="Arial" w:cs="Arial" w:eastAsia="Arial" w:hAnsi="Arial"/>
                <w:sz w:val="16"/>
                <w:szCs w:val="16"/>
                <w:color w:val="auto"/>
              </w:rPr>
              <w:t>120,978</w:t>
            </w:r>
          </w:p>
        </w:tc>
        <w:tc>
          <w:tcPr>
            <w:tcW w:w="0" w:type="dxa"/>
            <w:vAlign w:val="bottom"/>
          </w:tcPr>
          <w:p>
            <w:pPr>
              <w:spacing w:after="0"/>
              <w:rPr>
                <w:sz w:val="1"/>
                <w:szCs w:val="1"/>
                <w:color w:val="auto"/>
              </w:rPr>
            </w:pPr>
          </w:p>
        </w:tc>
      </w:tr>
      <w:tr>
        <w:trPr>
          <w:trHeight w:val="270"/>
        </w:trPr>
        <w:tc>
          <w:tcPr>
            <w:tcW w:w="6060" w:type="dxa"/>
            <w:vAlign w:val="bottom"/>
          </w:tcPr>
          <w:p>
            <w:pPr>
              <w:ind w:left="240"/>
              <w:spacing w:after="0"/>
              <w:rPr>
                <w:sz w:val="20"/>
                <w:szCs w:val="20"/>
                <w:color w:val="auto"/>
              </w:rPr>
            </w:pPr>
            <w:r>
              <w:rPr>
                <w:rFonts w:ascii="Arial" w:cs="Arial" w:eastAsia="Arial" w:hAnsi="Arial"/>
                <w:sz w:val="16"/>
                <w:szCs w:val="16"/>
                <w:color w:val="auto"/>
              </w:rPr>
              <w:t>Impairment charge</w:t>
            </w: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460" w:type="dxa"/>
            <w:vAlign w:val="bottom"/>
          </w:tcPr>
          <w:p>
            <w:pPr>
              <w:jc w:val="right"/>
              <w:ind w:right="17"/>
              <w:spacing w:after="0"/>
              <w:rPr>
                <w:sz w:val="20"/>
                <w:szCs w:val="20"/>
                <w:color w:val="auto"/>
              </w:rPr>
            </w:pPr>
            <w:r>
              <w:rPr>
                <w:rFonts w:ascii="Arial" w:cs="Arial" w:eastAsia="Arial" w:hAnsi="Arial"/>
                <w:sz w:val="16"/>
                <w:szCs w:val="16"/>
                <w:color w:val="auto"/>
              </w:rPr>
              <w:t>229,560</w:t>
            </w:r>
          </w:p>
        </w:tc>
        <w:tc>
          <w:tcPr>
            <w:tcW w:w="0" w:type="dxa"/>
            <w:vAlign w:val="bottom"/>
          </w:tcPr>
          <w:p>
            <w:pPr>
              <w:spacing w:after="0"/>
              <w:rPr>
                <w:sz w:val="1"/>
                <w:szCs w:val="1"/>
                <w:color w:val="auto"/>
              </w:rPr>
            </w:pPr>
          </w:p>
        </w:tc>
      </w:tr>
      <w:tr>
        <w:trPr>
          <w:trHeight w:val="270"/>
        </w:trPr>
        <w:tc>
          <w:tcPr>
            <w:tcW w:w="6060" w:type="dxa"/>
            <w:vAlign w:val="bottom"/>
          </w:tcPr>
          <w:p>
            <w:pPr>
              <w:ind w:left="240"/>
              <w:spacing w:after="0"/>
              <w:rPr>
                <w:sz w:val="20"/>
                <w:szCs w:val="20"/>
                <w:color w:val="auto"/>
              </w:rPr>
            </w:pPr>
            <w:r>
              <w:rPr>
                <w:rFonts w:ascii="Arial" w:cs="Arial" w:eastAsia="Arial" w:hAnsi="Arial"/>
                <w:sz w:val="16"/>
                <w:szCs w:val="16"/>
                <w:color w:val="auto"/>
              </w:rPr>
              <w:t>Gain on forgiveness of debts</w:t>
            </w: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(162,858)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ind w:right="17"/>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6060" w:type="dxa"/>
            <w:vAlign w:val="bottom"/>
          </w:tcPr>
          <w:p>
            <w:pPr>
              <w:ind w:left="240"/>
              <w:spacing w:after="0"/>
              <w:rPr>
                <w:sz w:val="20"/>
                <w:szCs w:val="20"/>
                <w:color w:val="auto"/>
              </w:rPr>
            </w:pPr>
            <w:r>
              <w:rPr>
                <w:rFonts w:ascii="Arial" w:cs="Arial" w:eastAsia="Arial" w:hAnsi="Arial"/>
                <w:sz w:val="16"/>
                <w:szCs w:val="16"/>
                <w:color w:val="auto"/>
              </w:rPr>
              <w:t>Deferred income tax</w:t>
            </w: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(260)</w:t>
            </w:r>
          </w:p>
        </w:tc>
        <w:tc>
          <w:tcPr>
            <w:tcW w:w="0" w:type="dxa"/>
            <w:vAlign w:val="bottom"/>
          </w:tcPr>
          <w:p>
            <w:pPr>
              <w:spacing w:after="0"/>
              <w:rPr>
                <w:sz w:val="1"/>
                <w:szCs w:val="1"/>
                <w:color w:val="auto"/>
              </w:rPr>
            </w:pPr>
          </w:p>
        </w:tc>
      </w:tr>
      <w:tr>
        <w:trPr>
          <w:trHeight w:val="270"/>
        </w:trPr>
        <w:tc>
          <w:tcPr>
            <w:tcW w:w="6060" w:type="dxa"/>
            <w:vAlign w:val="bottom"/>
          </w:tcPr>
          <w:p>
            <w:pPr>
              <w:ind w:left="240"/>
              <w:spacing w:after="0"/>
              <w:rPr>
                <w:sz w:val="20"/>
                <w:szCs w:val="20"/>
                <w:color w:val="auto"/>
              </w:rPr>
            </w:pPr>
            <w:r>
              <w:rPr>
                <w:rFonts w:ascii="Arial" w:cs="Arial" w:eastAsia="Arial" w:hAnsi="Arial"/>
                <w:sz w:val="16"/>
                <w:szCs w:val="16"/>
                <w:color w:val="auto"/>
              </w:rPr>
              <w:t>Allowance for doubtful accounts</w:t>
            </w: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(1,317)</w:t>
            </w:r>
          </w:p>
        </w:tc>
        <w:tc>
          <w:tcPr>
            <w:tcW w:w="0" w:type="dxa"/>
            <w:vAlign w:val="bottom"/>
          </w:tcPr>
          <w:p>
            <w:pPr>
              <w:spacing w:after="0"/>
              <w:rPr>
                <w:sz w:val="1"/>
                <w:szCs w:val="1"/>
                <w:color w:val="auto"/>
              </w:rPr>
            </w:pPr>
          </w:p>
        </w:tc>
      </w:tr>
      <w:tr>
        <w:trPr>
          <w:trHeight w:val="270"/>
        </w:trPr>
        <w:tc>
          <w:tcPr>
            <w:tcW w:w="6060" w:type="dxa"/>
            <w:vAlign w:val="bottom"/>
          </w:tcPr>
          <w:p>
            <w:pPr>
              <w:ind w:left="240"/>
              <w:spacing w:after="0"/>
              <w:rPr>
                <w:sz w:val="20"/>
                <w:szCs w:val="20"/>
                <w:color w:val="auto"/>
              </w:rPr>
            </w:pPr>
            <w:r>
              <w:rPr>
                <w:rFonts w:ascii="Arial" w:cs="Arial" w:eastAsia="Arial" w:hAnsi="Arial"/>
                <w:sz w:val="16"/>
                <w:szCs w:val="16"/>
                <w:color w:val="auto"/>
              </w:rPr>
              <w:t>Retirement benefits</w:t>
            </w: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(201)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ind w:right="17"/>
              <w:spacing w:after="0"/>
              <w:rPr>
                <w:sz w:val="20"/>
                <w:szCs w:val="20"/>
                <w:color w:val="auto"/>
              </w:rPr>
            </w:pPr>
            <w:r>
              <w:rPr>
                <w:rFonts w:ascii="Arial" w:cs="Arial" w:eastAsia="Arial" w:hAnsi="Arial"/>
                <w:sz w:val="16"/>
                <w:szCs w:val="16"/>
                <w:color w:val="auto"/>
              </w:rPr>
              <w:t>1,321</w:t>
            </w:r>
          </w:p>
        </w:tc>
        <w:tc>
          <w:tcPr>
            <w:tcW w:w="0" w:type="dxa"/>
            <w:vAlign w:val="bottom"/>
          </w:tcPr>
          <w:p>
            <w:pPr>
              <w:spacing w:after="0"/>
              <w:rPr>
                <w:sz w:val="1"/>
                <w:szCs w:val="1"/>
                <w:color w:val="auto"/>
              </w:rPr>
            </w:pPr>
          </w:p>
        </w:tc>
      </w:tr>
      <w:tr>
        <w:trPr>
          <w:trHeight w:val="270"/>
        </w:trPr>
        <w:tc>
          <w:tcPr>
            <w:tcW w:w="6060" w:type="dxa"/>
            <w:vAlign w:val="bottom"/>
          </w:tcPr>
          <w:p>
            <w:pPr>
              <w:ind w:left="240"/>
              <w:spacing w:after="0"/>
              <w:rPr>
                <w:sz w:val="20"/>
                <w:szCs w:val="20"/>
                <w:color w:val="auto"/>
              </w:rPr>
            </w:pPr>
            <w:r>
              <w:rPr>
                <w:rFonts w:ascii="Arial" w:cs="Arial" w:eastAsia="Arial" w:hAnsi="Arial"/>
                <w:sz w:val="16"/>
                <w:szCs w:val="16"/>
                <w:color w:val="auto"/>
              </w:rPr>
              <w:t>Equity in (income) loss of equity method investees</w:t>
            </w: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(270)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ind w:right="17"/>
              <w:spacing w:after="0"/>
              <w:rPr>
                <w:sz w:val="20"/>
                <w:szCs w:val="20"/>
                <w:color w:val="auto"/>
              </w:rPr>
            </w:pPr>
            <w:r>
              <w:rPr>
                <w:rFonts w:ascii="Arial" w:cs="Arial" w:eastAsia="Arial" w:hAnsi="Arial"/>
                <w:sz w:val="16"/>
                <w:szCs w:val="16"/>
                <w:color w:val="auto"/>
              </w:rPr>
              <w:t>2,392</w:t>
            </w:r>
          </w:p>
        </w:tc>
        <w:tc>
          <w:tcPr>
            <w:tcW w:w="0" w:type="dxa"/>
            <w:vAlign w:val="bottom"/>
          </w:tcPr>
          <w:p>
            <w:pPr>
              <w:spacing w:after="0"/>
              <w:rPr>
                <w:sz w:val="1"/>
                <w:szCs w:val="1"/>
                <w:color w:val="auto"/>
              </w:rPr>
            </w:pPr>
          </w:p>
        </w:tc>
      </w:tr>
      <w:tr>
        <w:trPr>
          <w:trHeight w:val="270"/>
        </w:trPr>
        <w:tc>
          <w:tcPr>
            <w:tcW w:w="6060" w:type="dxa"/>
            <w:vAlign w:val="bottom"/>
          </w:tcPr>
          <w:p>
            <w:pPr>
              <w:ind w:left="240"/>
              <w:spacing w:after="0"/>
              <w:rPr>
                <w:sz w:val="20"/>
                <w:szCs w:val="20"/>
                <w:color w:val="auto"/>
              </w:rPr>
            </w:pPr>
            <w:r>
              <w:rPr>
                <w:rFonts w:ascii="Arial" w:cs="Arial" w:eastAsia="Arial" w:hAnsi="Arial"/>
                <w:sz w:val="16"/>
                <w:szCs w:val="16"/>
                <w:color w:val="auto"/>
              </w:rPr>
              <w:t>Impairment loss on investment securities</w:t>
            </w: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jc w:val="right"/>
              <w:ind w:right="17"/>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ind w:right="17"/>
              <w:spacing w:after="0"/>
              <w:rPr>
                <w:sz w:val="20"/>
                <w:szCs w:val="20"/>
                <w:color w:val="auto"/>
              </w:rPr>
            </w:pPr>
            <w:r>
              <w:rPr>
                <w:rFonts w:ascii="Arial" w:cs="Arial" w:eastAsia="Arial" w:hAnsi="Arial"/>
                <w:sz w:val="16"/>
                <w:szCs w:val="16"/>
                <w:color w:val="auto"/>
              </w:rPr>
              <w:t>6,226</w:t>
            </w:r>
          </w:p>
        </w:tc>
        <w:tc>
          <w:tcPr>
            <w:tcW w:w="0" w:type="dxa"/>
            <w:vAlign w:val="bottom"/>
          </w:tcPr>
          <w:p>
            <w:pPr>
              <w:spacing w:after="0"/>
              <w:rPr>
                <w:sz w:val="1"/>
                <w:szCs w:val="1"/>
                <w:color w:val="auto"/>
              </w:rPr>
            </w:pPr>
          </w:p>
        </w:tc>
      </w:tr>
      <w:tr>
        <w:trPr>
          <w:trHeight w:val="270"/>
        </w:trPr>
        <w:tc>
          <w:tcPr>
            <w:tcW w:w="6060" w:type="dxa"/>
            <w:vAlign w:val="bottom"/>
          </w:tcPr>
          <w:p>
            <w:pPr>
              <w:ind w:left="240"/>
              <w:spacing w:after="0"/>
              <w:rPr>
                <w:sz w:val="20"/>
                <w:szCs w:val="20"/>
                <w:color w:val="auto"/>
              </w:rPr>
            </w:pPr>
            <w:r>
              <w:rPr>
                <w:rFonts w:ascii="Arial" w:cs="Arial" w:eastAsia="Arial" w:hAnsi="Arial"/>
                <w:sz w:val="16"/>
                <w:szCs w:val="16"/>
                <w:color w:val="auto"/>
              </w:rPr>
              <w:t>(Gain) loss on sale of equipment</w:t>
            </w: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(158)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ind w:right="17"/>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70"/>
        </w:trPr>
        <w:tc>
          <w:tcPr>
            <w:tcW w:w="6060" w:type="dxa"/>
            <w:vAlign w:val="bottom"/>
          </w:tcPr>
          <w:p>
            <w:pPr>
              <w:ind w:left="240"/>
              <w:spacing w:after="0"/>
              <w:rPr>
                <w:sz w:val="20"/>
                <w:szCs w:val="20"/>
                <w:color w:val="auto"/>
              </w:rPr>
            </w:pPr>
            <w:r>
              <w:rPr>
                <w:rFonts w:ascii="Arial" w:cs="Arial" w:eastAsia="Arial" w:hAnsi="Arial"/>
                <w:sz w:val="16"/>
                <w:szCs w:val="16"/>
                <w:color w:val="auto"/>
              </w:rPr>
              <w:t>Loss on disposal of fixed assets</w:t>
            </w: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jc w:val="right"/>
              <w:ind w:right="17"/>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ind w:right="17"/>
              <w:spacing w:after="0"/>
              <w:rPr>
                <w:sz w:val="20"/>
                <w:szCs w:val="20"/>
                <w:color w:val="auto"/>
              </w:rPr>
            </w:pPr>
            <w:r>
              <w:rPr>
                <w:rFonts w:ascii="Arial" w:cs="Arial" w:eastAsia="Arial" w:hAnsi="Arial"/>
                <w:sz w:val="16"/>
                <w:szCs w:val="16"/>
                <w:color w:val="auto"/>
              </w:rPr>
              <w:t>329</w:t>
            </w:r>
          </w:p>
        </w:tc>
        <w:tc>
          <w:tcPr>
            <w:tcW w:w="0" w:type="dxa"/>
            <w:vAlign w:val="bottom"/>
          </w:tcPr>
          <w:p>
            <w:pPr>
              <w:spacing w:after="0"/>
              <w:rPr>
                <w:sz w:val="1"/>
                <w:szCs w:val="1"/>
                <w:color w:val="auto"/>
              </w:rPr>
            </w:pPr>
          </w:p>
        </w:tc>
      </w:tr>
      <w:tr>
        <w:trPr>
          <w:trHeight w:val="270"/>
        </w:trPr>
        <w:tc>
          <w:tcPr>
            <w:tcW w:w="6060" w:type="dxa"/>
            <w:vAlign w:val="bottom"/>
          </w:tcPr>
          <w:p>
            <w:pPr>
              <w:ind w:left="240"/>
              <w:spacing w:after="0"/>
              <w:rPr>
                <w:sz w:val="20"/>
                <w:szCs w:val="20"/>
                <w:color w:val="auto"/>
              </w:rPr>
            </w:pPr>
            <w:r>
              <w:rPr>
                <w:rFonts w:ascii="Arial" w:cs="Arial" w:eastAsia="Arial" w:hAnsi="Arial"/>
                <w:sz w:val="16"/>
                <w:szCs w:val="16"/>
                <w:color w:val="auto"/>
              </w:rPr>
              <w:t>Loss (gain) on sales of subsidiary’s shares</w:t>
            </w: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jc w:val="right"/>
              <w:ind w:right="17"/>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70"/>
        </w:trPr>
        <w:tc>
          <w:tcPr>
            <w:tcW w:w="6060" w:type="dxa"/>
            <w:vAlign w:val="bottom"/>
          </w:tcPr>
          <w:p>
            <w:pPr>
              <w:ind w:left="240"/>
              <w:spacing w:after="0"/>
              <w:rPr>
                <w:sz w:val="20"/>
                <w:szCs w:val="20"/>
                <w:color w:val="auto"/>
              </w:rPr>
            </w:pPr>
            <w:r>
              <w:rPr>
                <w:rFonts w:ascii="Arial" w:cs="Arial" w:eastAsia="Arial" w:hAnsi="Arial"/>
                <w:sz w:val="16"/>
                <w:szCs w:val="16"/>
                <w:color w:val="auto"/>
              </w:rPr>
              <w:t>Changes in operating assets and liabilities, net of acquisition:</w:t>
            </w: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60" w:type="dxa"/>
            <w:vAlign w:val="bottom"/>
          </w:tcPr>
          <w:p>
            <w:pPr>
              <w:ind w:left="440"/>
              <w:spacing w:after="0"/>
              <w:rPr>
                <w:sz w:val="20"/>
                <w:szCs w:val="20"/>
                <w:color w:val="auto"/>
              </w:rPr>
            </w:pPr>
            <w:r>
              <w:rPr>
                <w:rFonts w:ascii="Arial" w:cs="Arial" w:eastAsia="Arial" w:hAnsi="Arial"/>
                <w:sz w:val="16"/>
                <w:szCs w:val="16"/>
                <w:color w:val="auto"/>
              </w:rPr>
              <w:t>(Increase) decrease in accounts receivable, trade</w:t>
            </w: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(9,568)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ind w:right="17"/>
              <w:spacing w:after="0"/>
              <w:rPr>
                <w:sz w:val="20"/>
                <w:szCs w:val="20"/>
                <w:color w:val="auto"/>
              </w:rPr>
            </w:pPr>
            <w:r>
              <w:rPr>
                <w:rFonts w:ascii="Arial" w:cs="Arial" w:eastAsia="Arial" w:hAnsi="Arial"/>
                <w:sz w:val="16"/>
                <w:szCs w:val="16"/>
                <w:color w:val="auto"/>
              </w:rPr>
              <w:t>38,895</w:t>
            </w:r>
          </w:p>
        </w:tc>
        <w:tc>
          <w:tcPr>
            <w:tcW w:w="0" w:type="dxa"/>
            <w:vAlign w:val="bottom"/>
          </w:tcPr>
          <w:p>
            <w:pPr>
              <w:spacing w:after="0"/>
              <w:rPr>
                <w:sz w:val="1"/>
                <w:szCs w:val="1"/>
                <w:color w:val="auto"/>
              </w:rPr>
            </w:pPr>
          </w:p>
        </w:tc>
      </w:tr>
      <w:tr>
        <w:trPr>
          <w:trHeight w:val="270"/>
        </w:trPr>
        <w:tc>
          <w:tcPr>
            <w:tcW w:w="6060" w:type="dxa"/>
            <w:vAlign w:val="bottom"/>
          </w:tcPr>
          <w:p>
            <w:pPr>
              <w:ind w:left="440"/>
              <w:spacing w:after="0"/>
              <w:rPr>
                <w:sz w:val="20"/>
                <w:szCs w:val="20"/>
                <w:color w:val="auto"/>
              </w:rPr>
            </w:pPr>
            <w:r>
              <w:rPr>
                <w:rFonts w:ascii="Arial" w:cs="Arial" w:eastAsia="Arial" w:hAnsi="Arial"/>
                <w:sz w:val="16"/>
                <w:szCs w:val="16"/>
                <w:color w:val="auto"/>
              </w:rPr>
              <w:t>(Increase) decrease in accounts receivable, other</w:t>
            </w: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(4,917)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ind w:right="17"/>
              <w:spacing w:after="0"/>
              <w:rPr>
                <w:sz w:val="20"/>
                <w:szCs w:val="20"/>
                <w:color w:val="auto"/>
              </w:rPr>
            </w:pPr>
            <w:r>
              <w:rPr>
                <w:rFonts w:ascii="Arial" w:cs="Arial" w:eastAsia="Arial" w:hAnsi="Arial"/>
                <w:sz w:val="16"/>
                <w:szCs w:val="16"/>
                <w:color w:val="auto"/>
              </w:rPr>
              <w:t>7,055</w:t>
            </w:r>
          </w:p>
        </w:tc>
        <w:tc>
          <w:tcPr>
            <w:tcW w:w="0" w:type="dxa"/>
            <w:vAlign w:val="bottom"/>
          </w:tcPr>
          <w:p>
            <w:pPr>
              <w:spacing w:after="0"/>
              <w:rPr>
                <w:sz w:val="1"/>
                <w:szCs w:val="1"/>
                <w:color w:val="auto"/>
              </w:rPr>
            </w:pPr>
          </w:p>
        </w:tc>
      </w:tr>
      <w:tr>
        <w:trPr>
          <w:trHeight w:val="270"/>
        </w:trPr>
        <w:tc>
          <w:tcPr>
            <w:tcW w:w="6060" w:type="dxa"/>
            <w:vAlign w:val="bottom"/>
          </w:tcPr>
          <w:p>
            <w:pPr>
              <w:ind w:left="440"/>
              <w:spacing w:after="0"/>
              <w:rPr>
                <w:sz w:val="20"/>
                <w:szCs w:val="20"/>
                <w:color w:val="auto"/>
              </w:rPr>
            </w:pPr>
            <w:r>
              <w:rPr>
                <w:rFonts w:ascii="Arial" w:cs="Arial" w:eastAsia="Arial" w:hAnsi="Arial"/>
                <w:sz w:val="16"/>
                <w:szCs w:val="16"/>
                <w:color w:val="auto"/>
              </w:rPr>
              <w:t>Decrease (increase) in inventories</w:t>
            </w: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jc w:val="right"/>
              <w:ind w:right="17"/>
              <w:spacing w:after="0"/>
              <w:rPr>
                <w:sz w:val="20"/>
                <w:szCs w:val="20"/>
                <w:color w:val="auto"/>
              </w:rPr>
            </w:pPr>
            <w:r>
              <w:rPr>
                <w:rFonts w:ascii="Arial" w:cs="Arial" w:eastAsia="Arial" w:hAnsi="Arial"/>
                <w:sz w:val="16"/>
                <w:szCs w:val="16"/>
                <w:color w:val="auto"/>
              </w:rPr>
              <w:t>16,423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(7,331)</w:t>
            </w:r>
          </w:p>
        </w:tc>
        <w:tc>
          <w:tcPr>
            <w:tcW w:w="0" w:type="dxa"/>
            <w:vAlign w:val="bottom"/>
          </w:tcPr>
          <w:p>
            <w:pPr>
              <w:spacing w:after="0"/>
              <w:rPr>
                <w:sz w:val="1"/>
                <w:szCs w:val="1"/>
                <w:color w:val="auto"/>
              </w:rPr>
            </w:pPr>
          </w:p>
        </w:tc>
      </w:tr>
      <w:tr>
        <w:trPr>
          <w:trHeight w:val="270"/>
        </w:trPr>
        <w:tc>
          <w:tcPr>
            <w:tcW w:w="6060" w:type="dxa"/>
            <w:vAlign w:val="bottom"/>
          </w:tcPr>
          <w:p>
            <w:pPr>
              <w:ind w:left="440"/>
              <w:spacing w:after="0"/>
              <w:rPr>
                <w:sz w:val="20"/>
                <w:szCs w:val="20"/>
                <w:color w:val="auto"/>
              </w:rPr>
            </w:pPr>
            <w:r>
              <w:rPr>
                <w:rFonts w:ascii="Arial" w:cs="Arial" w:eastAsia="Arial" w:hAnsi="Arial"/>
                <w:sz w:val="16"/>
                <w:szCs w:val="16"/>
                <w:color w:val="auto"/>
              </w:rPr>
              <w:t>(Decrease) increase in accounts payable, trade</w:t>
            </w: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(1,618)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ind w:right="17"/>
              <w:spacing w:after="0"/>
              <w:rPr>
                <w:sz w:val="20"/>
                <w:szCs w:val="20"/>
                <w:color w:val="auto"/>
              </w:rPr>
            </w:pPr>
            <w:r>
              <w:rPr>
                <w:rFonts w:ascii="Arial" w:cs="Arial" w:eastAsia="Arial" w:hAnsi="Arial"/>
                <w:sz w:val="16"/>
                <w:szCs w:val="16"/>
                <w:color w:val="auto"/>
              </w:rPr>
              <w:t>2,653</w:t>
            </w:r>
          </w:p>
        </w:tc>
        <w:tc>
          <w:tcPr>
            <w:tcW w:w="0" w:type="dxa"/>
            <w:vAlign w:val="bottom"/>
          </w:tcPr>
          <w:p>
            <w:pPr>
              <w:spacing w:after="0"/>
              <w:rPr>
                <w:sz w:val="1"/>
                <w:szCs w:val="1"/>
                <w:color w:val="auto"/>
              </w:rPr>
            </w:pPr>
          </w:p>
        </w:tc>
      </w:tr>
      <w:tr>
        <w:trPr>
          <w:trHeight w:val="270"/>
        </w:trPr>
        <w:tc>
          <w:tcPr>
            <w:tcW w:w="6060" w:type="dxa"/>
            <w:vAlign w:val="bottom"/>
          </w:tcPr>
          <w:p>
            <w:pPr>
              <w:ind w:left="440"/>
              <w:spacing w:after="0"/>
              <w:rPr>
                <w:sz w:val="20"/>
                <w:szCs w:val="20"/>
                <w:color w:val="auto"/>
              </w:rPr>
            </w:pPr>
            <w:r>
              <w:rPr>
                <w:rFonts w:ascii="Arial" w:cs="Arial" w:eastAsia="Arial" w:hAnsi="Arial"/>
                <w:sz w:val="16"/>
                <w:szCs w:val="16"/>
                <w:color w:val="auto"/>
              </w:rPr>
              <w:t>Increase in accounts payable, other</w:t>
            </w: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jc w:val="right"/>
              <w:ind w:right="17"/>
              <w:spacing w:after="0"/>
              <w:rPr>
                <w:sz w:val="20"/>
                <w:szCs w:val="20"/>
                <w:color w:val="auto"/>
              </w:rPr>
            </w:pPr>
            <w:r>
              <w:rPr>
                <w:rFonts w:ascii="Arial" w:cs="Arial" w:eastAsia="Arial" w:hAnsi="Arial"/>
                <w:sz w:val="16"/>
                <w:szCs w:val="16"/>
                <w:color w:val="auto"/>
              </w:rPr>
              <w:t>2,930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ind w:right="17"/>
              <w:spacing w:after="0"/>
              <w:rPr>
                <w:sz w:val="20"/>
                <w:szCs w:val="20"/>
                <w:color w:val="auto"/>
              </w:rPr>
            </w:pPr>
            <w:r>
              <w:rPr>
                <w:rFonts w:ascii="Arial" w:cs="Arial" w:eastAsia="Arial" w:hAnsi="Arial"/>
                <w:sz w:val="16"/>
                <w:szCs w:val="16"/>
                <w:color w:val="auto"/>
              </w:rPr>
              <w:t>12,476</w:t>
            </w:r>
          </w:p>
        </w:tc>
        <w:tc>
          <w:tcPr>
            <w:tcW w:w="0" w:type="dxa"/>
            <w:vAlign w:val="bottom"/>
          </w:tcPr>
          <w:p>
            <w:pPr>
              <w:spacing w:after="0"/>
              <w:rPr>
                <w:sz w:val="1"/>
                <w:szCs w:val="1"/>
                <w:color w:val="auto"/>
              </w:rPr>
            </w:pPr>
          </w:p>
        </w:tc>
      </w:tr>
      <w:tr>
        <w:trPr>
          <w:trHeight w:val="270"/>
        </w:trPr>
        <w:tc>
          <w:tcPr>
            <w:tcW w:w="6060" w:type="dxa"/>
            <w:vAlign w:val="bottom"/>
          </w:tcPr>
          <w:p>
            <w:pPr>
              <w:ind w:left="440"/>
              <w:spacing w:after="0"/>
              <w:rPr>
                <w:sz w:val="20"/>
                <w:szCs w:val="20"/>
                <w:color w:val="auto"/>
              </w:rPr>
            </w:pPr>
            <w:r>
              <w:rPr>
                <w:rFonts w:ascii="Arial" w:cs="Arial" w:eastAsia="Arial" w:hAnsi="Arial"/>
                <w:sz w:val="16"/>
                <w:szCs w:val="16"/>
                <w:color w:val="auto"/>
              </w:rPr>
              <w:t>Other, net</w:t>
            </w: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(7,954)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(19,040)</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060" w:type="dxa"/>
            <w:vAlign w:val="bottom"/>
          </w:tcPr>
          <w:p>
            <w:pPr>
              <w:ind w:left="660"/>
              <w:spacing w:after="0"/>
              <w:rPr>
                <w:sz w:val="20"/>
                <w:szCs w:val="20"/>
                <w:color w:val="auto"/>
              </w:rPr>
            </w:pPr>
            <w:r>
              <w:rPr>
                <w:rFonts w:ascii="Arial" w:cs="Arial" w:eastAsia="Arial" w:hAnsi="Arial"/>
                <w:sz w:val="16"/>
                <w:szCs w:val="16"/>
                <w:color w:val="auto"/>
              </w:rPr>
              <w:t>Cash provided by operating activities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ind w:right="17"/>
              <w:spacing w:after="0"/>
              <w:rPr>
                <w:sz w:val="20"/>
                <w:szCs w:val="20"/>
                <w:color w:val="auto"/>
              </w:rPr>
            </w:pPr>
            <w:r>
              <w:rPr>
                <w:rFonts w:ascii="Arial" w:cs="Arial" w:eastAsia="Arial" w:hAnsi="Arial"/>
                <w:sz w:val="16"/>
                <w:szCs w:val="16"/>
                <w:color w:val="auto"/>
              </w:rPr>
              <w:t>38,146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ind w:right="17"/>
              <w:spacing w:after="0"/>
              <w:rPr>
                <w:sz w:val="20"/>
                <w:szCs w:val="20"/>
                <w:color w:val="auto"/>
              </w:rPr>
            </w:pPr>
            <w:r>
              <w:rPr>
                <w:rFonts w:ascii="Arial" w:cs="Arial" w:eastAsia="Arial" w:hAnsi="Arial"/>
                <w:sz w:val="16"/>
                <w:szCs w:val="16"/>
                <w:color w:val="auto"/>
              </w:rPr>
              <w:t>30,148</w:t>
            </w:r>
          </w:p>
        </w:tc>
        <w:tc>
          <w:tcPr>
            <w:tcW w:w="0" w:type="dxa"/>
            <w:vAlign w:val="bottom"/>
          </w:tcPr>
          <w:p>
            <w:pPr>
              <w:spacing w:after="0"/>
              <w:rPr>
                <w:sz w:val="1"/>
                <w:szCs w:val="1"/>
                <w:color w:val="auto"/>
              </w:rPr>
            </w:pPr>
          </w:p>
        </w:tc>
      </w:tr>
      <w:tr>
        <w:trPr>
          <w:trHeight w:val="33"/>
        </w:trPr>
        <w:tc>
          <w:tcPr>
            <w:tcW w:w="6060" w:type="dxa"/>
            <w:vAlign w:val="bottom"/>
            <w:vMerge w:val="restart"/>
          </w:tcPr>
          <w:p>
            <w:pPr>
              <w:spacing w:after="0"/>
              <w:rPr>
                <w:sz w:val="20"/>
                <w:szCs w:val="20"/>
                <w:color w:val="auto"/>
              </w:rPr>
            </w:pPr>
            <w:r>
              <w:rPr>
                <w:rFonts w:ascii="Arial" w:cs="Arial" w:eastAsia="Arial" w:hAnsi="Arial"/>
                <w:sz w:val="16"/>
                <w:szCs w:val="16"/>
                <w:color w:val="auto"/>
              </w:rPr>
              <w:t>Cash flows from investing activities:</w:t>
            </w:r>
          </w:p>
        </w:tc>
        <w:tc>
          <w:tcPr>
            <w:tcW w:w="4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06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060" w:type="dxa"/>
            <w:vAlign w:val="bottom"/>
          </w:tcPr>
          <w:p>
            <w:pPr>
              <w:ind w:left="240"/>
              <w:spacing w:after="0"/>
              <w:rPr>
                <w:sz w:val="20"/>
                <w:szCs w:val="20"/>
                <w:color w:val="auto"/>
              </w:rPr>
            </w:pPr>
            <w:r>
              <w:rPr>
                <w:rFonts w:ascii="Arial" w:cs="Arial" w:eastAsia="Arial" w:hAnsi="Arial"/>
                <w:sz w:val="16"/>
                <w:szCs w:val="16"/>
                <w:color w:val="auto"/>
              </w:rPr>
              <w:t>Net increase in time deposits</w:t>
            </w: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70"/>
        </w:trPr>
        <w:tc>
          <w:tcPr>
            <w:tcW w:w="6060" w:type="dxa"/>
            <w:vAlign w:val="bottom"/>
          </w:tcPr>
          <w:p>
            <w:pPr>
              <w:ind w:left="240"/>
              <w:spacing w:after="0"/>
              <w:rPr>
                <w:sz w:val="20"/>
                <w:szCs w:val="20"/>
                <w:color w:val="auto"/>
              </w:rPr>
            </w:pPr>
            <w:r>
              <w:rPr>
                <w:rFonts w:ascii="Arial" w:cs="Arial" w:eastAsia="Arial" w:hAnsi="Arial"/>
                <w:sz w:val="16"/>
                <w:szCs w:val="16"/>
                <w:color w:val="auto"/>
              </w:rPr>
              <w:t>Purchase of fixed assets</w:t>
            </w: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(16,719)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(65,126)</w:t>
            </w:r>
          </w:p>
        </w:tc>
        <w:tc>
          <w:tcPr>
            <w:tcW w:w="0" w:type="dxa"/>
            <w:vAlign w:val="bottom"/>
          </w:tcPr>
          <w:p>
            <w:pPr>
              <w:spacing w:after="0"/>
              <w:rPr>
                <w:sz w:val="1"/>
                <w:szCs w:val="1"/>
                <w:color w:val="auto"/>
              </w:rPr>
            </w:pPr>
          </w:p>
        </w:tc>
      </w:tr>
      <w:tr>
        <w:trPr>
          <w:trHeight w:val="270"/>
        </w:trPr>
        <w:tc>
          <w:tcPr>
            <w:tcW w:w="6060" w:type="dxa"/>
            <w:vAlign w:val="bottom"/>
          </w:tcPr>
          <w:p>
            <w:pPr>
              <w:ind w:left="240"/>
              <w:spacing w:after="0"/>
              <w:rPr>
                <w:sz w:val="20"/>
                <w:szCs w:val="20"/>
                <w:color w:val="auto"/>
              </w:rPr>
            </w:pPr>
            <w:r>
              <w:rPr>
                <w:rFonts w:ascii="Arial" w:cs="Arial" w:eastAsia="Arial" w:hAnsi="Arial"/>
                <w:sz w:val="16"/>
                <w:szCs w:val="16"/>
                <w:color w:val="auto"/>
              </w:rPr>
              <w:t>Proceeds from sales of property</w:t>
            </w: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jc w:val="right"/>
              <w:ind w:right="17"/>
              <w:spacing w:after="0"/>
              <w:rPr>
                <w:sz w:val="20"/>
                <w:szCs w:val="20"/>
                <w:color w:val="auto"/>
              </w:rPr>
            </w:pPr>
            <w:r>
              <w:rPr>
                <w:rFonts w:ascii="Arial" w:cs="Arial" w:eastAsia="Arial" w:hAnsi="Arial"/>
                <w:sz w:val="16"/>
                <w:szCs w:val="16"/>
                <w:color w:val="auto"/>
              </w:rPr>
              <w:t>245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ind w:right="17"/>
              <w:spacing w:after="0"/>
              <w:rPr>
                <w:sz w:val="20"/>
                <w:szCs w:val="20"/>
                <w:color w:val="auto"/>
              </w:rPr>
            </w:pPr>
            <w:r>
              <w:rPr>
                <w:rFonts w:ascii="Arial" w:cs="Arial" w:eastAsia="Arial" w:hAnsi="Arial"/>
                <w:sz w:val="16"/>
                <w:szCs w:val="16"/>
                <w:color w:val="auto"/>
              </w:rPr>
              <w:t>429</w:t>
            </w:r>
          </w:p>
        </w:tc>
        <w:tc>
          <w:tcPr>
            <w:tcW w:w="0" w:type="dxa"/>
            <w:vAlign w:val="bottom"/>
          </w:tcPr>
          <w:p>
            <w:pPr>
              <w:spacing w:after="0"/>
              <w:rPr>
                <w:sz w:val="1"/>
                <w:szCs w:val="1"/>
                <w:color w:val="auto"/>
              </w:rPr>
            </w:pPr>
          </w:p>
        </w:tc>
      </w:tr>
      <w:tr>
        <w:trPr>
          <w:trHeight w:val="270"/>
        </w:trPr>
        <w:tc>
          <w:tcPr>
            <w:tcW w:w="6060" w:type="dxa"/>
            <w:vAlign w:val="bottom"/>
          </w:tcPr>
          <w:p>
            <w:pPr>
              <w:ind w:left="240"/>
              <w:spacing w:after="0"/>
              <w:rPr>
                <w:sz w:val="20"/>
                <w:szCs w:val="20"/>
                <w:color w:val="auto"/>
              </w:rPr>
            </w:pPr>
            <w:r>
              <w:rPr>
                <w:rFonts w:ascii="Arial" w:cs="Arial" w:eastAsia="Arial" w:hAnsi="Arial"/>
                <w:sz w:val="16"/>
                <w:szCs w:val="16"/>
                <w:color w:val="auto"/>
              </w:rPr>
              <w:t>Liquidation of a majority-owned subsidiary</w:t>
            </w: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(14,969)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ind w:right="17"/>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6060" w:type="dxa"/>
            <w:vAlign w:val="bottom"/>
          </w:tcPr>
          <w:p>
            <w:pPr>
              <w:ind w:left="240"/>
              <w:spacing w:after="0"/>
              <w:rPr>
                <w:sz w:val="20"/>
                <w:szCs w:val="20"/>
                <w:color w:val="auto"/>
              </w:rPr>
            </w:pPr>
            <w:r>
              <w:rPr>
                <w:rFonts w:ascii="Arial" w:cs="Arial" w:eastAsia="Arial" w:hAnsi="Arial"/>
                <w:sz w:val="16"/>
                <w:szCs w:val="16"/>
                <w:color w:val="auto"/>
              </w:rPr>
              <w:t>Purchase of investment securities</w:t>
            </w: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(1,240)</w:t>
            </w:r>
          </w:p>
        </w:tc>
        <w:tc>
          <w:tcPr>
            <w:tcW w:w="0" w:type="dxa"/>
            <w:vAlign w:val="bottom"/>
          </w:tcPr>
          <w:p>
            <w:pPr>
              <w:spacing w:after="0"/>
              <w:rPr>
                <w:sz w:val="1"/>
                <w:szCs w:val="1"/>
                <w:color w:val="auto"/>
              </w:rPr>
            </w:pPr>
          </w:p>
        </w:tc>
      </w:tr>
      <w:tr>
        <w:trPr>
          <w:trHeight w:val="270"/>
        </w:trPr>
        <w:tc>
          <w:tcPr>
            <w:tcW w:w="6060" w:type="dxa"/>
            <w:vAlign w:val="bottom"/>
          </w:tcPr>
          <w:p>
            <w:pPr>
              <w:ind w:left="240"/>
              <w:spacing w:after="0"/>
              <w:rPr>
                <w:sz w:val="20"/>
                <w:szCs w:val="20"/>
                <w:color w:val="auto"/>
              </w:rPr>
            </w:pPr>
            <w:r>
              <w:rPr>
                <w:rFonts w:ascii="Arial" w:cs="Arial" w:eastAsia="Arial" w:hAnsi="Arial"/>
                <w:sz w:val="16"/>
                <w:szCs w:val="16"/>
                <w:color w:val="auto"/>
              </w:rPr>
              <w:t>Proceeds from sale of subsidiaries, net of cash disposed</w:t>
            </w: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460" w:type="dxa"/>
            <w:vAlign w:val="bottom"/>
          </w:tcPr>
          <w:p>
            <w:pPr>
              <w:jc w:val="right"/>
              <w:ind w:right="17"/>
              <w:spacing w:after="0"/>
              <w:rPr>
                <w:sz w:val="20"/>
                <w:szCs w:val="20"/>
                <w:color w:val="auto"/>
              </w:rPr>
            </w:pPr>
            <w:r>
              <w:rPr>
                <w:rFonts w:ascii="Arial" w:cs="Arial" w:eastAsia="Arial" w:hAnsi="Arial"/>
                <w:sz w:val="16"/>
                <w:szCs w:val="16"/>
                <w:color w:val="auto"/>
              </w:rPr>
              <w:t>3,567</w:t>
            </w:r>
          </w:p>
        </w:tc>
        <w:tc>
          <w:tcPr>
            <w:tcW w:w="0" w:type="dxa"/>
            <w:vAlign w:val="bottom"/>
          </w:tcPr>
          <w:p>
            <w:pPr>
              <w:spacing w:after="0"/>
              <w:rPr>
                <w:sz w:val="1"/>
                <w:szCs w:val="1"/>
                <w:color w:val="auto"/>
              </w:rPr>
            </w:pPr>
          </w:p>
        </w:tc>
      </w:tr>
      <w:tr>
        <w:trPr>
          <w:trHeight w:val="270"/>
        </w:trPr>
        <w:tc>
          <w:tcPr>
            <w:tcW w:w="6060" w:type="dxa"/>
            <w:vAlign w:val="bottom"/>
          </w:tcPr>
          <w:p>
            <w:pPr>
              <w:ind w:left="240"/>
              <w:spacing w:after="0"/>
              <w:rPr>
                <w:sz w:val="20"/>
                <w:szCs w:val="20"/>
                <w:color w:val="auto"/>
              </w:rPr>
            </w:pPr>
            <w:r>
              <w:rPr>
                <w:rFonts w:ascii="Arial" w:cs="Arial" w:eastAsia="Arial" w:hAnsi="Arial"/>
                <w:sz w:val="16"/>
                <w:szCs w:val="16"/>
                <w:color w:val="auto"/>
              </w:rPr>
              <w:t>Proceeds from sale of investment securities</w:t>
            </w: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jc w:val="right"/>
              <w:ind w:right="17"/>
              <w:spacing w:after="0"/>
              <w:rPr>
                <w:sz w:val="20"/>
                <w:szCs w:val="20"/>
                <w:color w:val="auto"/>
              </w:rPr>
            </w:pPr>
            <w:r>
              <w:rPr>
                <w:rFonts w:ascii="Arial" w:cs="Arial" w:eastAsia="Arial" w:hAnsi="Arial"/>
                <w:sz w:val="16"/>
                <w:szCs w:val="16"/>
                <w:color w:val="auto"/>
              </w:rPr>
              <w:t>1,561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ind w:right="17"/>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6060" w:type="dxa"/>
            <w:vAlign w:val="bottom"/>
          </w:tcPr>
          <w:p>
            <w:pPr>
              <w:ind w:left="240"/>
              <w:spacing w:after="0"/>
              <w:rPr>
                <w:sz w:val="20"/>
                <w:szCs w:val="20"/>
                <w:color w:val="auto"/>
              </w:rPr>
            </w:pPr>
            <w:r>
              <w:rPr>
                <w:rFonts w:ascii="Arial" w:cs="Arial" w:eastAsia="Arial" w:hAnsi="Arial"/>
                <w:sz w:val="16"/>
                <w:szCs w:val="16"/>
                <w:color w:val="auto"/>
              </w:rPr>
              <w:t>Purchase of intangible assets</w:t>
            </w: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(2,234)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(6,437)</w:t>
            </w:r>
          </w:p>
        </w:tc>
        <w:tc>
          <w:tcPr>
            <w:tcW w:w="0" w:type="dxa"/>
            <w:vAlign w:val="bottom"/>
          </w:tcPr>
          <w:p>
            <w:pPr>
              <w:spacing w:after="0"/>
              <w:rPr>
                <w:sz w:val="1"/>
                <w:szCs w:val="1"/>
                <w:color w:val="auto"/>
              </w:rPr>
            </w:pPr>
          </w:p>
        </w:tc>
      </w:tr>
      <w:tr>
        <w:trPr>
          <w:trHeight w:val="270"/>
        </w:trPr>
        <w:tc>
          <w:tcPr>
            <w:tcW w:w="6060" w:type="dxa"/>
            <w:vAlign w:val="bottom"/>
          </w:tcPr>
          <w:p>
            <w:pPr>
              <w:ind w:left="240"/>
              <w:spacing w:after="0"/>
              <w:rPr>
                <w:sz w:val="20"/>
                <w:szCs w:val="20"/>
                <w:color w:val="auto"/>
              </w:rPr>
            </w:pPr>
            <w:r>
              <w:rPr>
                <w:rFonts w:ascii="Arial" w:cs="Arial" w:eastAsia="Arial" w:hAnsi="Arial"/>
                <w:sz w:val="16"/>
                <w:szCs w:val="16"/>
                <w:color w:val="auto"/>
              </w:rPr>
              <w:t>Other, net</w:t>
            </w: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(274)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ind w:right="17"/>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060" w:type="dxa"/>
            <w:vAlign w:val="bottom"/>
          </w:tcPr>
          <w:p>
            <w:pPr>
              <w:ind w:left="660"/>
              <w:spacing w:after="0"/>
              <w:rPr>
                <w:sz w:val="20"/>
                <w:szCs w:val="20"/>
                <w:color w:val="auto"/>
              </w:rPr>
            </w:pPr>
            <w:r>
              <w:rPr>
                <w:rFonts w:ascii="Arial" w:cs="Arial" w:eastAsia="Arial" w:hAnsi="Arial"/>
                <w:sz w:val="16"/>
                <w:szCs w:val="16"/>
                <w:color w:val="auto"/>
              </w:rPr>
              <w:t>Net cash used in investing activities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(32,390)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(68,783)</w:t>
            </w:r>
          </w:p>
        </w:tc>
        <w:tc>
          <w:tcPr>
            <w:tcW w:w="0" w:type="dxa"/>
            <w:vAlign w:val="bottom"/>
          </w:tcPr>
          <w:p>
            <w:pPr>
              <w:spacing w:after="0"/>
              <w:rPr>
                <w:sz w:val="1"/>
                <w:szCs w:val="1"/>
                <w:color w:val="auto"/>
              </w:rPr>
            </w:pPr>
          </w:p>
        </w:tc>
      </w:tr>
      <w:tr>
        <w:trPr>
          <w:trHeight w:val="33"/>
        </w:trPr>
        <w:tc>
          <w:tcPr>
            <w:tcW w:w="6060" w:type="dxa"/>
            <w:vAlign w:val="bottom"/>
            <w:vMerge w:val="restart"/>
          </w:tcPr>
          <w:p>
            <w:pPr>
              <w:spacing w:after="0"/>
              <w:rPr>
                <w:sz w:val="20"/>
                <w:szCs w:val="20"/>
                <w:color w:val="auto"/>
              </w:rPr>
            </w:pPr>
            <w:r>
              <w:rPr>
                <w:rFonts w:ascii="Arial" w:cs="Arial" w:eastAsia="Arial" w:hAnsi="Arial"/>
                <w:sz w:val="16"/>
                <w:szCs w:val="16"/>
                <w:color w:val="auto"/>
              </w:rPr>
              <w:t>Cash flows from financing activities:</w:t>
            </w:r>
          </w:p>
        </w:tc>
        <w:tc>
          <w:tcPr>
            <w:tcW w:w="4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06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060" w:type="dxa"/>
            <w:vAlign w:val="bottom"/>
          </w:tcPr>
          <w:p>
            <w:pPr>
              <w:ind w:left="240"/>
              <w:spacing w:after="0"/>
              <w:rPr>
                <w:sz w:val="20"/>
                <w:szCs w:val="20"/>
                <w:color w:val="auto"/>
              </w:rPr>
            </w:pPr>
            <w:r>
              <w:rPr>
                <w:rFonts w:ascii="Arial" w:cs="Arial" w:eastAsia="Arial" w:hAnsi="Arial"/>
                <w:sz w:val="16"/>
                <w:szCs w:val="16"/>
                <w:color w:val="auto"/>
              </w:rPr>
              <w:t>Proceeds from short-term debt</w:t>
            </w: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jc w:val="right"/>
              <w:ind w:right="17"/>
              <w:spacing w:after="0"/>
              <w:rPr>
                <w:sz w:val="20"/>
                <w:szCs w:val="20"/>
                <w:color w:val="auto"/>
              </w:rPr>
            </w:pPr>
            <w:r>
              <w:rPr>
                <w:rFonts w:ascii="Arial" w:cs="Arial" w:eastAsia="Arial" w:hAnsi="Arial"/>
                <w:sz w:val="16"/>
                <w:szCs w:val="16"/>
                <w:color w:val="auto"/>
              </w:rPr>
              <w:t>8,000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ind w:right="17"/>
              <w:spacing w:after="0"/>
              <w:rPr>
                <w:sz w:val="20"/>
                <w:szCs w:val="20"/>
                <w:color w:val="auto"/>
              </w:rPr>
            </w:pPr>
            <w:r>
              <w:rPr>
                <w:rFonts w:ascii="Arial" w:cs="Arial" w:eastAsia="Arial" w:hAnsi="Arial"/>
                <w:sz w:val="16"/>
                <w:szCs w:val="16"/>
                <w:color w:val="auto"/>
              </w:rPr>
              <w:t>6,032</w:t>
            </w:r>
          </w:p>
        </w:tc>
        <w:tc>
          <w:tcPr>
            <w:tcW w:w="0" w:type="dxa"/>
            <w:vAlign w:val="bottom"/>
          </w:tcPr>
          <w:p>
            <w:pPr>
              <w:spacing w:after="0"/>
              <w:rPr>
                <w:sz w:val="1"/>
                <w:szCs w:val="1"/>
                <w:color w:val="auto"/>
              </w:rPr>
            </w:pPr>
          </w:p>
        </w:tc>
      </w:tr>
      <w:tr>
        <w:trPr>
          <w:trHeight w:val="270"/>
        </w:trPr>
        <w:tc>
          <w:tcPr>
            <w:tcW w:w="6060" w:type="dxa"/>
            <w:vAlign w:val="bottom"/>
          </w:tcPr>
          <w:p>
            <w:pPr>
              <w:ind w:left="240"/>
              <w:spacing w:after="0"/>
              <w:rPr>
                <w:sz w:val="20"/>
                <w:szCs w:val="20"/>
                <w:color w:val="auto"/>
              </w:rPr>
            </w:pPr>
            <w:r>
              <w:rPr>
                <w:rFonts w:ascii="Arial" w:cs="Arial" w:eastAsia="Arial" w:hAnsi="Arial"/>
                <w:sz w:val="16"/>
                <w:szCs w:val="16"/>
                <w:color w:val="auto"/>
              </w:rPr>
              <w:t>Proceeds from long-term borrowings</w:t>
            </w: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460" w:type="dxa"/>
            <w:vAlign w:val="bottom"/>
          </w:tcPr>
          <w:p>
            <w:pPr>
              <w:jc w:val="right"/>
              <w:ind w:right="17"/>
              <w:spacing w:after="0"/>
              <w:rPr>
                <w:sz w:val="20"/>
                <w:szCs w:val="20"/>
                <w:color w:val="auto"/>
              </w:rPr>
            </w:pPr>
            <w:r>
              <w:rPr>
                <w:rFonts w:ascii="Arial" w:cs="Arial" w:eastAsia="Arial" w:hAnsi="Arial"/>
                <w:sz w:val="16"/>
                <w:szCs w:val="16"/>
                <w:color w:val="auto"/>
              </w:rPr>
              <w:t>11,452</w:t>
            </w:r>
          </w:p>
        </w:tc>
        <w:tc>
          <w:tcPr>
            <w:tcW w:w="0" w:type="dxa"/>
            <w:vAlign w:val="bottom"/>
          </w:tcPr>
          <w:p>
            <w:pPr>
              <w:spacing w:after="0"/>
              <w:rPr>
                <w:sz w:val="1"/>
                <w:szCs w:val="1"/>
                <w:color w:val="auto"/>
              </w:rPr>
            </w:pPr>
          </w:p>
        </w:tc>
      </w:tr>
      <w:tr>
        <w:trPr>
          <w:trHeight w:val="270"/>
        </w:trPr>
        <w:tc>
          <w:tcPr>
            <w:tcW w:w="6060" w:type="dxa"/>
            <w:vAlign w:val="bottom"/>
          </w:tcPr>
          <w:p>
            <w:pPr>
              <w:ind w:left="240"/>
              <w:spacing w:after="0"/>
              <w:rPr>
                <w:sz w:val="20"/>
                <w:szCs w:val="20"/>
                <w:color w:val="auto"/>
              </w:rPr>
            </w:pPr>
            <w:r>
              <w:rPr>
                <w:rFonts w:ascii="Arial" w:cs="Arial" w:eastAsia="Arial" w:hAnsi="Arial"/>
                <w:sz w:val="16"/>
                <w:szCs w:val="16"/>
                <w:color w:val="auto"/>
              </w:rPr>
              <w:t>Repayments of short-term debt</w:t>
            </w: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(6,032)</w:t>
            </w:r>
          </w:p>
        </w:tc>
        <w:tc>
          <w:tcPr>
            <w:tcW w:w="0" w:type="dxa"/>
            <w:vAlign w:val="bottom"/>
          </w:tcPr>
          <w:p>
            <w:pPr>
              <w:spacing w:after="0"/>
              <w:rPr>
                <w:sz w:val="1"/>
                <w:szCs w:val="1"/>
                <w:color w:val="auto"/>
              </w:rPr>
            </w:pPr>
          </w:p>
        </w:tc>
      </w:tr>
      <w:tr>
        <w:trPr>
          <w:trHeight w:val="270"/>
        </w:trPr>
        <w:tc>
          <w:tcPr>
            <w:tcW w:w="6060" w:type="dxa"/>
            <w:vAlign w:val="bottom"/>
          </w:tcPr>
          <w:p>
            <w:pPr>
              <w:ind w:left="240"/>
              <w:spacing w:after="0"/>
              <w:rPr>
                <w:sz w:val="20"/>
                <w:szCs w:val="20"/>
                <w:color w:val="auto"/>
              </w:rPr>
            </w:pPr>
            <w:r>
              <w:rPr>
                <w:rFonts w:ascii="Arial" w:cs="Arial" w:eastAsia="Arial" w:hAnsi="Arial"/>
                <w:sz w:val="16"/>
                <w:szCs w:val="16"/>
                <w:color w:val="auto"/>
              </w:rPr>
              <w:t>Repayments of long-term borrowings</w:t>
            </w: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(24,464)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(65,287)</w:t>
            </w:r>
          </w:p>
        </w:tc>
        <w:tc>
          <w:tcPr>
            <w:tcW w:w="0" w:type="dxa"/>
            <w:vAlign w:val="bottom"/>
          </w:tcPr>
          <w:p>
            <w:pPr>
              <w:spacing w:after="0"/>
              <w:rPr>
                <w:sz w:val="1"/>
                <w:szCs w:val="1"/>
                <w:color w:val="auto"/>
              </w:rPr>
            </w:pPr>
          </w:p>
        </w:tc>
      </w:tr>
      <w:tr>
        <w:trPr>
          <w:trHeight w:val="270"/>
        </w:trPr>
        <w:tc>
          <w:tcPr>
            <w:tcW w:w="6060" w:type="dxa"/>
            <w:vAlign w:val="bottom"/>
          </w:tcPr>
          <w:p>
            <w:pPr>
              <w:ind w:left="240"/>
              <w:spacing w:after="0"/>
              <w:rPr>
                <w:sz w:val="20"/>
                <w:szCs w:val="20"/>
                <w:color w:val="auto"/>
              </w:rPr>
            </w:pPr>
            <w:r>
              <w:rPr>
                <w:rFonts w:ascii="Arial" w:cs="Arial" w:eastAsia="Arial" w:hAnsi="Arial"/>
                <w:sz w:val="16"/>
                <w:szCs w:val="16"/>
                <w:color w:val="auto"/>
              </w:rPr>
              <w:t>Proceeds from issuance of bonds</w:t>
            </w: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460" w:type="dxa"/>
            <w:vAlign w:val="bottom"/>
          </w:tcPr>
          <w:p>
            <w:pPr>
              <w:jc w:val="right"/>
              <w:ind w:right="17"/>
              <w:spacing w:after="0"/>
              <w:rPr>
                <w:sz w:val="20"/>
                <w:szCs w:val="20"/>
                <w:color w:val="auto"/>
              </w:rPr>
            </w:pPr>
            <w:r>
              <w:rPr>
                <w:rFonts w:ascii="Arial" w:cs="Arial" w:eastAsia="Arial" w:hAnsi="Arial"/>
                <w:sz w:val="16"/>
                <w:szCs w:val="16"/>
                <w:color w:val="auto"/>
              </w:rPr>
              <w:t>27,462</w:t>
            </w:r>
          </w:p>
        </w:tc>
        <w:tc>
          <w:tcPr>
            <w:tcW w:w="0" w:type="dxa"/>
            <w:vAlign w:val="bottom"/>
          </w:tcPr>
          <w:p>
            <w:pPr>
              <w:spacing w:after="0"/>
              <w:rPr>
                <w:sz w:val="1"/>
                <w:szCs w:val="1"/>
                <w:color w:val="auto"/>
              </w:rPr>
            </w:pPr>
          </w:p>
        </w:tc>
      </w:tr>
      <w:tr>
        <w:trPr>
          <w:trHeight w:val="270"/>
        </w:trPr>
        <w:tc>
          <w:tcPr>
            <w:tcW w:w="6060" w:type="dxa"/>
            <w:vAlign w:val="bottom"/>
          </w:tcPr>
          <w:p>
            <w:pPr>
              <w:ind w:left="240"/>
              <w:spacing w:after="0"/>
              <w:rPr>
                <w:sz w:val="20"/>
                <w:szCs w:val="20"/>
                <w:color w:val="auto"/>
              </w:rPr>
            </w:pPr>
            <w:r>
              <w:rPr>
                <w:rFonts w:ascii="Arial" w:cs="Arial" w:eastAsia="Arial" w:hAnsi="Arial"/>
                <w:sz w:val="16"/>
                <w:szCs w:val="16"/>
                <w:color w:val="auto"/>
              </w:rPr>
              <w:t>Repayments of bonds</w:t>
            </w: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(30,000)</w:t>
            </w:r>
          </w:p>
        </w:tc>
        <w:tc>
          <w:tcPr>
            <w:tcW w:w="0" w:type="dxa"/>
            <w:vAlign w:val="bottom"/>
          </w:tcPr>
          <w:p>
            <w:pPr>
              <w:spacing w:after="0"/>
              <w:rPr>
                <w:sz w:val="1"/>
                <w:szCs w:val="1"/>
                <w:color w:val="auto"/>
              </w:rPr>
            </w:pPr>
          </w:p>
        </w:tc>
      </w:tr>
      <w:tr>
        <w:trPr>
          <w:trHeight w:val="270"/>
        </w:trPr>
        <w:tc>
          <w:tcPr>
            <w:tcW w:w="6060" w:type="dxa"/>
            <w:vAlign w:val="bottom"/>
          </w:tcPr>
          <w:p>
            <w:pPr>
              <w:ind w:left="240"/>
              <w:spacing w:after="0"/>
              <w:rPr>
                <w:sz w:val="20"/>
                <w:szCs w:val="20"/>
                <w:color w:val="auto"/>
              </w:rPr>
            </w:pPr>
            <w:r>
              <w:rPr>
                <w:rFonts w:ascii="Arial" w:cs="Arial" w:eastAsia="Arial" w:hAnsi="Arial"/>
                <w:sz w:val="16"/>
                <w:szCs w:val="16"/>
                <w:color w:val="auto"/>
              </w:rPr>
              <w:t>Proceeds from issuance of stock</w:t>
            </w: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460" w:type="dxa"/>
            <w:vAlign w:val="bottom"/>
          </w:tcPr>
          <w:p>
            <w:pPr>
              <w:jc w:val="right"/>
              <w:ind w:right="17"/>
              <w:spacing w:after="0"/>
              <w:rPr>
                <w:sz w:val="20"/>
                <w:szCs w:val="20"/>
                <w:color w:val="auto"/>
              </w:rPr>
            </w:pPr>
            <w:r>
              <w:rPr>
                <w:rFonts w:ascii="Arial" w:cs="Arial" w:eastAsia="Arial" w:hAnsi="Arial"/>
                <w:sz w:val="16"/>
                <w:szCs w:val="16"/>
                <w:color w:val="auto"/>
              </w:rPr>
              <w:t>40,746</w:t>
            </w:r>
          </w:p>
        </w:tc>
        <w:tc>
          <w:tcPr>
            <w:tcW w:w="0" w:type="dxa"/>
            <w:vAlign w:val="bottom"/>
          </w:tcPr>
          <w:p>
            <w:pPr>
              <w:spacing w:after="0"/>
              <w:rPr>
                <w:sz w:val="1"/>
                <w:szCs w:val="1"/>
                <w:color w:val="auto"/>
              </w:rPr>
            </w:pPr>
          </w:p>
        </w:tc>
      </w:tr>
      <w:tr>
        <w:trPr>
          <w:trHeight w:val="270"/>
        </w:trPr>
        <w:tc>
          <w:tcPr>
            <w:tcW w:w="6060" w:type="dxa"/>
            <w:vAlign w:val="bottom"/>
          </w:tcPr>
          <w:p>
            <w:pPr>
              <w:ind w:left="240"/>
              <w:spacing w:after="0"/>
              <w:rPr>
                <w:sz w:val="20"/>
                <w:szCs w:val="20"/>
                <w:color w:val="auto"/>
              </w:rPr>
            </w:pPr>
            <w:r>
              <w:rPr>
                <w:rFonts w:ascii="Arial" w:cs="Arial" w:eastAsia="Arial" w:hAnsi="Arial"/>
                <w:sz w:val="16"/>
                <w:szCs w:val="16"/>
                <w:color w:val="auto"/>
              </w:rPr>
              <w:t>Proceeds from sale and lease-back transactions</w:t>
            </w: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jc w:val="right"/>
              <w:ind w:right="17"/>
              <w:spacing w:after="0"/>
              <w:rPr>
                <w:sz w:val="20"/>
                <w:szCs w:val="20"/>
                <w:color w:val="auto"/>
              </w:rPr>
            </w:pPr>
            <w:r>
              <w:rPr>
                <w:rFonts w:ascii="Arial" w:cs="Arial" w:eastAsia="Arial" w:hAnsi="Arial"/>
                <w:sz w:val="16"/>
                <w:szCs w:val="16"/>
                <w:color w:val="auto"/>
              </w:rPr>
              <w:t>10,558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ind w:right="17"/>
              <w:spacing w:after="0"/>
              <w:rPr>
                <w:sz w:val="20"/>
                <w:szCs w:val="20"/>
                <w:color w:val="auto"/>
              </w:rPr>
            </w:pPr>
            <w:r>
              <w:rPr>
                <w:rFonts w:ascii="Arial" w:cs="Arial" w:eastAsia="Arial" w:hAnsi="Arial"/>
                <w:sz w:val="16"/>
                <w:szCs w:val="16"/>
                <w:color w:val="auto"/>
              </w:rPr>
              <w:t>17,604</w:t>
            </w:r>
          </w:p>
        </w:tc>
        <w:tc>
          <w:tcPr>
            <w:tcW w:w="0" w:type="dxa"/>
            <w:vAlign w:val="bottom"/>
          </w:tcPr>
          <w:p>
            <w:pPr>
              <w:spacing w:after="0"/>
              <w:rPr>
                <w:sz w:val="1"/>
                <w:szCs w:val="1"/>
                <w:color w:val="auto"/>
              </w:rPr>
            </w:pPr>
          </w:p>
        </w:tc>
      </w:tr>
      <w:tr>
        <w:trPr>
          <w:trHeight w:val="270"/>
        </w:trPr>
        <w:tc>
          <w:tcPr>
            <w:tcW w:w="6060" w:type="dxa"/>
            <w:vAlign w:val="bottom"/>
          </w:tcPr>
          <w:p>
            <w:pPr>
              <w:ind w:left="240"/>
              <w:spacing w:after="0"/>
              <w:rPr>
                <w:sz w:val="20"/>
                <w:szCs w:val="20"/>
                <w:color w:val="auto"/>
              </w:rPr>
            </w:pPr>
            <w:r>
              <w:rPr>
                <w:rFonts w:ascii="Arial" w:cs="Arial" w:eastAsia="Arial" w:hAnsi="Arial"/>
                <w:sz w:val="16"/>
                <w:szCs w:val="16"/>
                <w:color w:val="auto"/>
              </w:rPr>
              <w:t>Principal payments on capital lease obligations</w:t>
            </w: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(10,294)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(23,780)</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060" w:type="dxa"/>
            <w:vAlign w:val="bottom"/>
          </w:tcPr>
          <w:p>
            <w:pPr>
              <w:ind w:left="660"/>
              <w:spacing w:after="0"/>
              <w:rPr>
                <w:sz w:val="20"/>
                <w:szCs w:val="20"/>
                <w:color w:val="auto"/>
              </w:rPr>
            </w:pPr>
            <w:r>
              <w:rPr>
                <w:rFonts w:ascii="Arial" w:cs="Arial" w:eastAsia="Arial" w:hAnsi="Arial"/>
                <w:sz w:val="16"/>
                <w:szCs w:val="16"/>
                <w:color w:val="auto"/>
              </w:rPr>
              <w:t>Net cash used in financing activities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(16,200)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(21,803)</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060" w:type="dxa"/>
            <w:vAlign w:val="bottom"/>
          </w:tcPr>
          <w:p>
            <w:pPr>
              <w:ind w:left="660"/>
              <w:spacing w:after="0"/>
              <w:rPr>
                <w:sz w:val="20"/>
                <w:szCs w:val="20"/>
                <w:color w:val="auto"/>
              </w:rPr>
            </w:pPr>
            <w:r>
              <w:rPr>
                <w:rFonts w:ascii="Arial" w:cs="Arial" w:eastAsia="Arial" w:hAnsi="Arial"/>
                <w:sz w:val="16"/>
                <w:szCs w:val="16"/>
                <w:color w:val="auto"/>
              </w:rPr>
              <w:t>Effect of exchange rate changes on cash and cash equivalents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ind w:right="17"/>
              <w:spacing w:after="0"/>
              <w:rPr>
                <w:sz w:val="20"/>
                <w:szCs w:val="20"/>
                <w:color w:val="auto"/>
              </w:rPr>
            </w:pPr>
            <w:r>
              <w:rPr>
                <w:rFonts w:ascii="Arial" w:cs="Arial" w:eastAsia="Arial" w:hAnsi="Arial"/>
                <w:sz w:val="16"/>
                <w:szCs w:val="16"/>
                <w:color w:val="auto"/>
              </w:rPr>
              <w:t>4,436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(973)</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060" w:type="dxa"/>
            <w:vAlign w:val="bottom"/>
          </w:tcPr>
          <w:p>
            <w:pPr>
              <w:ind w:left="660"/>
              <w:spacing w:after="0"/>
              <w:rPr>
                <w:sz w:val="20"/>
                <w:szCs w:val="20"/>
                <w:color w:val="auto"/>
              </w:rPr>
            </w:pPr>
            <w:r>
              <w:rPr>
                <w:rFonts w:ascii="Arial" w:cs="Arial" w:eastAsia="Arial" w:hAnsi="Arial"/>
                <w:sz w:val="16"/>
                <w:szCs w:val="16"/>
                <w:color w:val="auto"/>
              </w:rPr>
              <w:t>Net decrease in cash and cash equivalents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(6,006)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(61,411)</w:t>
            </w:r>
          </w:p>
        </w:tc>
        <w:tc>
          <w:tcPr>
            <w:tcW w:w="0" w:type="dxa"/>
            <w:vAlign w:val="bottom"/>
          </w:tcPr>
          <w:p>
            <w:pPr>
              <w:spacing w:after="0"/>
              <w:rPr>
                <w:sz w:val="1"/>
                <w:szCs w:val="1"/>
                <w:color w:val="auto"/>
              </w:rPr>
            </w:pPr>
          </w:p>
        </w:tc>
      </w:tr>
      <w:tr>
        <w:trPr>
          <w:trHeight w:val="270"/>
        </w:trPr>
        <w:tc>
          <w:tcPr>
            <w:tcW w:w="6060" w:type="dxa"/>
            <w:vAlign w:val="bottom"/>
          </w:tcPr>
          <w:p>
            <w:pPr>
              <w:spacing w:after="0"/>
              <w:rPr>
                <w:sz w:val="20"/>
                <w:szCs w:val="20"/>
                <w:color w:val="auto"/>
              </w:rPr>
            </w:pPr>
            <w:r>
              <w:rPr>
                <w:rFonts w:ascii="Arial" w:cs="Arial" w:eastAsia="Arial" w:hAnsi="Arial"/>
                <w:sz w:val="16"/>
                <w:szCs w:val="16"/>
                <w:color w:val="auto"/>
              </w:rPr>
              <w:t>Cash and cash equivalents at beginning of period</w:t>
            </w: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jc w:val="right"/>
              <w:ind w:right="17"/>
              <w:spacing w:after="0"/>
              <w:rPr>
                <w:sz w:val="20"/>
                <w:szCs w:val="20"/>
                <w:color w:val="auto"/>
              </w:rPr>
            </w:pPr>
            <w:r>
              <w:rPr>
                <w:rFonts w:ascii="Arial" w:cs="Arial" w:eastAsia="Arial" w:hAnsi="Arial"/>
                <w:sz w:val="16"/>
                <w:szCs w:val="16"/>
                <w:color w:val="auto"/>
              </w:rPr>
              <w:t>51,428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ind w:right="17"/>
              <w:spacing w:after="0"/>
              <w:rPr>
                <w:sz w:val="20"/>
                <w:szCs w:val="20"/>
                <w:color w:val="auto"/>
              </w:rPr>
            </w:pPr>
            <w:r>
              <w:rPr>
                <w:rFonts w:ascii="Arial" w:cs="Arial" w:eastAsia="Arial" w:hAnsi="Arial"/>
                <w:sz w:val="16"/>
                <w:szCs w:val="16"/>
                <w:color w:val="auto"/>
              </w:rPr>
              <w:t>112,839</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060" w:type="dxa"/>
            <w:vAlign w:val="bottom"/>
          </w:tcPr>
          <w:p>
            <w:pPr>
              <w:spacing w:after="0"/>
              <w:rPr>
                <w:sz w:val="20"/>
                <w:szCs w:val="20"/>
                <w:color w:val="auto"/>
              </w:rPr>
            </w:pPr>
            <w:r>
              <w:rPr>
                <w:rFonts w:ascii="Arial" w:cs="Arial" w:eastAsia="Arial" w:hAnsi="Arial"/>
                <w:sz w:val="16"/>
                <w:szCs w:val="16"/>
                <w:color w:val="auto"/>
              </w:rPr>
              <w:t>Cash and cash equivalents at end of period</w:t>
            </w:r>
          </w:p>
        </w:tc>
        <w:tc>
          <w:tcPr>
            <w:tcW w:w="5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17"/>
              <w:spacing w:after="0"/>
              <w:rPr>
                <w:sz w:val="20"/>
                <w:szCs w:val="20"/>
                <w:color w:val="auto"/>
              </w:rPr>
            </w:pPr>
            <w:r>
              <w:rPr>
                <w:rFonts w:ascii="Arial" w:cs="Arial" w:eastAsia="Arial" w:hAnsi="Arial"/>
                <w:sz w:val="16"/>
                <w:szCs w:val="16"/>
                <w:color w:val="auto"/>
              </w:rPr>
              <w:t>45,422</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7"/>
              <w:spacing w:after="0"/>
              <w:rPr>
                <w:sz w:val="20"/>
                <w:szCs w:val="20"/>
                <w:color w:val="auto"/>
              </w:rPr>
            </w:pPr>
            <w:r>
              <w:rPr>
                <w:rFonts w:ascii="Arial" w:cs="Arial" w:eastAsia="Arial" w:hAnsi="Arial"/>
                <w:sz w:val="16"/>
                <w:szCs w:val="16"/>
                <w:color w:val="auto"/>
              </w:rPr>
              <w:t>51,428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12700</wp:posOffset>
            </wp:positionV>
            <wp:extent cx="22212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21230" cy="8890"/>
                    </a:xfrm>
                    <a:prstGeom prst="rect">
                      <a:avLst/>
                    </a:prstGeom>
                    <a:noFill/>
                  </pic:spPr>
                </pic:pic>
              </a:graphicData>
            </a:graphic>
          </wp:anchor>
        </w:drawing>
      </w:r>
    </w:p>
    <w:p>
      <w:pPr>
        <w:sectPr>
          <w:pgSz w:w="11900" w:h="16838" w:orient="portrait"/>
          <w:cols w:equalWidth="0" w:num="1">
            <w:col w:w="10740"/>
          </w:cols>
          <w:pgMar w:left="240" w:top="792" w:right="919" w:bottom="0" w:gutter="0" w:footer="0" w:header="0"/>
        </w:sectPr>
      </w:pP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-114300</wp:posOffset>
            </wp:positionV>
            <wp:extent cx="22212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21230" cy="8890"/>
                    </a:xfrm>
                    <a:prstGeom prst="rect">
                      <a:avLst/>
                    </a:prstGeom>
                    <a:noFill/>
                  </pic:spPr>
                </pic:pic>
              </a:graphicData>
            </a:graphic>
          </wp:anchor>
        </w:drawing>
      </w:r>
    </w:p>
    <w:p>
      <w:pPr>
        <w:sectPr>
          <w:pgSz w:w="11900" w:h="16838" w:orient="portrait"/>
          <w:cols w:equalWidth="0" w:num="1">
            <w:col w:w="10740"/>
          </w:cols>
          <w:pgMar w:left="240" w:top="792" w:right="919" w:bottom="0" w:gutter="0" w:footer="0" w:header="0"/>
          <w:type w:val="continuous"/>
        </w:sectPr>
      </w:pPr>
    </w:p>
    <w:bookmarkStart w:id="14" w:name="page15"/>
    <w:bookmarkEnd w:id="14"/>
    <w:p>
      <w:pPr>
        <w:ind w:left="10140"/>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0220"/>
          </w:cols>
          <w:pgMar w:left="1440" w:top="368" w:right="239" w:bottom="1440" w:gutter="0" w:footer="0" w:header="0"/>
        </w:sectPr>
      </w:pPr>
    </w:p>
    <w:bookmarkStart w:id="15" w:name="page16"/>
    <w:bookmarkEnd w:id="15"/>
    <w:p>
      <w:pPr>
        <w:jc w:val="center"/>
        <w:ind w:right="20"/>
        <w:spacing w:after="0"/>
        <w:rPr>
          <w:sz w:val="20"/>
          <w:szCs w:val="20"/>
          <w:color w:val="auto"/>
        </w:rPr>
      </w:pPr>
      <w:r>
        <w:rPr>
          <w:rFonts w:ascii="Arial" w:cs="Arial" w:eastAsia="Arial" w:hAnsi="Arial"/>
          <w:sz w:val="18"/>
          <w:szCs w:val="18"/>
          <w:color w:val="auto"/>
        </w:rPr>
        <w:t>E</w:t>
      </w:r>
      <w:r>
        <w:rPr>
          <w:rFonts w:ascii="Arial" w:cs="Arial" w:eastAsia="Arial" w:hAnsi="Arial"/>
          <w:sz w:val="18"/>
          <w:szCs w:val="18"/>
          <w:b w:val="1"/>
          <w:bCs w:val="1"/>
          <w:color w:val="auto"/>
        </w:rPr>
        <w:t>LPIDA MEMORY,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(DEBTORS-IN-POSSESSION)</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February 28, 2013 and March 31 2012</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(Yen in millions, except share data)</w:t>
      </w:r>
    </w:p>
    <w:p>
      <w:pPr>
        <w:spacing w:after="0" w:line="200" w:lineRule="exact"/>
        <w:rPr>
          <w:sz w:val="20"/>
          <w:szCs w:val="20"/>
          <w:color w:val="auto"/>
        </w:rPr>
      </w:pPr>
    </w:p>
    <w:p>
      <w:pPr>
        <w:spacing w:after="0" w:line="245" w:lineRule="exact"/>
        <w:rPr>
          <w:sz w:val="20"/>
          <w:szCs w:val="20"/>
          <w:color w:val="auto"/>
        </w:rPr>
      </w:pPr>
    </w:p>
    <w:p>
      <w:pPr>
        <w:ind w:left="340" w:hanging="338"/>
        <w:spacing w:after="0"/>
        <w:tabs>
          <w:tab w:leader="none" w:pos="340"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Description of Business, Basis of Presentation and Other Relevant Information</w:t>
      </w:r>
    </w:p>
    <w:p>
      <w:pPr>
        <w:spacing w:after="0" w:line="221" w:lineRule="exact"/>
        <w:rPr>
          <w:rFonts w:ascii="Arial" w:cs="Arial" w:eastAsia="Arial" w:hAnsi="Arial"/>
          <w:sz w:val="20"/>
          <w:szCs w:val="20"/>
          <w:b w:val="1"/>
          <w:bCs w:val="1"/>
          <w:color w:val="auto"/>
        </w:rPr>
      </w:pPr>
    </w:p>
    <w:p>
      <w:pPr>
        <w:ind w:left="700" w:hanging="374"/>
        <w:spacing w:after="0"/>
        <w:tabs>
          <w:tab w:leader="none" w:pos="700" w:val="left"/>
        </w:tabs>
        <w:numPr>
          <w:ilvl w:val="1"/>
          <w:numId w:val="2"/>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Description of Business and Basis of Presentation</w:t>
      </w:r>
    </w:p>
    <w:p>
      <w:pPr>
        <w:spacing w:after="0" w:line="67" w:lineRule="exact"/>
        <w:rPr>
          <w:rFonts w:ascii="Arial" w:cs="Arial" w:eastAsia="Arial" w:hAnsi="Arial"/>
          <w:sz w:val="20"/>
          <w:szCs w:val="20"/>
          <w:b w:val="1"/>
          <w:bCs w:val="1"/>
          <w:i w:val="1"/>
          <w:iCs w:val="1"/>
          <w:color w:val="auto"/>
        </w:rPr>
      </w:pPr>
    </w:p>
    <w:p>
      <w:pPr>
        <w:jc w:val="both"/>
        <w:ind w:left="700"/>
        <w:spacing w:after="0" w:line="250" w:lineRule="auto"/>
        <w:rPr>
          <w:rFonts w:ascii="Arial" w:cs="Arial" w:eastAsia="Arial" w:hAnsi="Arial"/>
          <w:sz w:val="20"/>
          <w:szCs w:val="20"/>
          <w:b w:val="1"/>
          <w:bCs w:val="1"/>
          <w:i w:val="1"/>
          <w:iCs w:val="1"/>
          <w:color w:val="auto"/>
        </w:rPr>
      </w:pPr>
      <w:r>
        <w:rPr>
          <w:rFonts w:ascii="Arial" w:cs="Arial" w:eastAsia="Arial" w:hAnsi="Arial"/>
          <w:sz w:val="20"/>
          <w:szCs w:val="20"/>
          <w:color w:val="auto"/>
        </w:rPr>
        <w:t>Elpida Memory, Inc. (“Elpida”) was established in December 1999 as a joint venture owned 50% each by NEC Corporation and Hitachi, Ltd. under the Commercial Code of Japan. Its initial public offering was completed on November 15, 2004, in the First Section of the Tokyo Stock Exchange (the “TSE”).</w:t>
      </w:r>
    </w:p>
    <w:p>
      <w:pPr>
        <w:spacing w:after="0" w:line="105" w:lineRule="exact"/>
        <w:rPr>
          <w:rFonts w:ascii="Arial" w:cs="Arial" w:eastAsia="Arial" w:hAnsi="Arial"/>
          <w:sz w:val="20"/>
          <w:szCs w:val="20"/>
          <w:b w:val="1"/>
          <w:bCs w:val="1"/>
          <w:i w:val="1"/>
          <w:iCs w:val="1"/>
          <w:color w:val="auto"/>
        </w:rPr>
      </w:pPr>
    </w:p>
    <w:p>
      <w:pPr>
        <w:jc w:val="both"/>
        <w:ind w:left="700"/>
        <w:spacing w:after="0" w:line="272" w:lineRule="auto"/>
        <w:rPr>
          <w:rFonts w:ascii="Arial" w:cs="Arial" w:eastAsia="Arial" w:hAnsi="Arial"/>
          <w:sz w:val="20"/>
          <w:szCs w:val="20"/>
          <w:b w:val="1"/>
          <w:bCs w:val="1"/>
          <w:i w:val="1"/>
          <w:iCs w:val="1"/>
          <w:color w:val="auto"/>
        </w:rPr>
      </w:pPr>
      <w:r>
        <w:rPr>
          <w:rFonts w:ascii="Arial" w:cs="Arial" w:eastAsia="Arial" w:hAnsi="Arial"/>
          <w:sz w:val="18"/>
          <w:szCs w:val="18"/>
          <w:color w:val="auto"/>
        </w:rPr>
        <w:t>Elpida and its subsidiaries (hereinafter referred to collectively as the “Company”) develop, design, manufacture and sell dynamic random access memory semiconductors (“DRAMs”). The Company’s product portfolio consists of two categories, premier DRAMs (for digital consumer electronics and mobile devices) and computing DRAMs (for servers and personal computers). The Company provides a wide variety of products to leading international electronics companies in Asia, North America and Europe. The Company has manufacturing facilities in Hiroshima (wafer processing) and Akita (packaging and testing). Further, it has sales and marketing support offices in Japan, North America, Europe, Taiwan, Hong Kong and Singapore. In addition to its own manufacturing facilities, Elpida utilizes the foundry services of Rexchip Electronic Corporation (“Rexchip”) and Powerchip Technology Corporation (“PTC”) for the production of DRAMs for the computing market. Rexchip is Elpida’s consolidated subsidiary and PTC owns a 24.06% interest in Rexchip as a noncontrolling interest holder at February 28, 2013.</w:t>
      </w:r>
    </w:p>
    <w:p>
      <w:pPr>
        <w:spacing w:after="0" w:line="90" w:lineRule="exact"/>
        <w:rPr>
          <w:rFonts w:ascii="Arial" w:cs="Arial" w:eastAsia="Arial" w:hAnsi="Arial"/>
          <w:sz w:val="20"/>
          <w:szCs w:val="20"/>
          <w:b w:val="1"/>
          <w:bCs w:val="1"/>
          <w:i w:val="1"/>
          <w:iCs w:val="1"/>
          <w:color w:val="auto"/>
        </w:rPr>
      </w:pPr>
    </w:p>
    <w:p>
      <w:pPr>
        <w:jc w:val="both"/>
        <w:ind w:left="700"/>
        <w:spacing w:after="0" w:line="256" w:lineRule="auto"/>
        <w:rPr>
          <w:rFonts w:ascii="Arial" w:cs="Arial" w:eastAsia="Arial" w:hAnsi="Arial"/>
          <w:sz w:val="20"/>
          <w:szCs w:val="20"/>
          <w:b w:val="1"/>
          <w:bCs w:val="1"/>
          <w:i w:val="1"/>
          <w:iCs w:val="1"/>
          <w:color w:val="auto"/>
        </w:rPr>
      </w:pPr>
      <w:r>
        <w:rPr>
          <w:rFonts w:ascii="Arial" w:cs="Arial" w:eastAsia="Arial" w:hAnsi="Arial"/>
          <w:sz w:val="19"/>
          <w:szCs w:val="19"/>
          <w:color w:val="auto"/>
        </w:rPr>
        <w:t>Elpida and its Japanese subsidiaries maintain their records and prepare their consolidated financial statements in conformity with Japan generally accepted accounting principles, which are different in certain respects as to application and disclosure requirements of generally accepted accounting principles in the United States of America. The accounts of non-Japanese subsidiaries are based on their accounting records maintained in conformity with generally accepted accounting principles prevailing in the respective countries of domicile. Certain adjustments and reclassifications have been incorporated in the accompanying consolidated financial statements to conform to U.S generally accepted accounting principles. These adjustments include, but are not limited to, those related to the scope of consolidation and the accounting for business combinations, income taxes, goodwill and intangible assets, inventories, leases, stock-based compensation, revenue recognition, post-retirement benefits, depreciation and amortization, derivative instruments, accruals for certain expenses, and liabilities subject to compromise. These adjustments and reclassifications were not recorded in the statutory books of account.</w:t>
      </w:r>
    </w:p>
    <w:p>
      <w:pPr>
        <w:spacing w:after="0" w:line="181" w:lineRule="exact"/>
        <w:rPr>
          <w:rFonts w:ascii="Arial" w:cs="Arial" w:eastAsia="Arial" w:hAnsi="Arial"/>
          <w:sz w:val="20"/>
          <w:szCs w:val="20"/>
          <w:b w:val="1"/>
          <w:bCs w:val="1"/>
          <w:i w:val="1"/>
          <w:iCs w:val="1"/>
          <w:color w:val="auto"/>
        </w:rPr>
      </w:pPr>
    </w:p>
    <w:p>
      <w:pPr>
        <w:ind w:left="700" w:hanging="374"/>
        <w:spacing w:after="0"/>
        <w:tabs>
          <w:tab w:leader="none" w:pos="700" w:val="left"/>
        </w:tabs>
        <w:numPr>
          <w:ilvl w:val="1"/>
          <w:numId w:val="2"/>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Reorganization Proceedings</w:t>
      </w:r>
    </w:p>
    <w:p>
      <w:pPr>
        <w:spacing w:after="0" w:line="67" w:lineRule="exact"/>
        <w:rPr>
          <w:rFonts w:ascii="Arial" w:cs="Arial" w:eastAsia="Arial" w:hAnsi="Arial"/>
          <w:sz w:val="20"/>
          <w:szCs w:val="20"/>
          <w:b w:val="1"/>
          <w:bCs w:val="1"/>
          <w:i w:val="1"/>
          <w:iCs w:val="1"/>
          <w:color w:val="auto"/>
        </w:rPr>
      </w:pPr>
    </w:p>
    <w:p>
      <w:pPr>
        <w:jc w:val="both"/>
        <w:ind w:left="700"/>
        <w:spacing w:after="0" w:line="269" w:lineRule="auto"/>
        <w:rPr>
          <w:rFonts w:ascii="Arial" w:cs="Arial" w:eastAsia="Arial" w:hAnsi="Arial"/>
          <w:sz w:val="20"/>
          <w:szCs w:val="20"/>
          <w:b w:val="1"/>
          <w:bCs w:val="1"/>
          <w:i w:val="1"/>
          <w:iCs w:val="1"/>
          <w:color w:val="auto"/>
        </w:rPr>
      </w:pPr>
      <w:r>
        <w:rPr>
          <w:rFonts w:ascii="Arial" w:cs="Arial" w:eastAsia="Arial" w:hAnsi="Arial"/>
          <w:sz w:val="19"/>
          <w:szCs w:val="19"/>
          <w:color w:val="auto"/>
        </w:rPr>
        <w:t>On February 27, 2012 (the “Petition Date”), Elpida and Akita Elpida Memory, Inc., a wholly owned subsidiary of Elpida, (collectively, the “Debtors”) filed voluntary petitions in the Tokyo District Court (the “Court”) to commence corporate reorganization proceedings under the Corporate Reorganization Act (</w:t>
      </w:r>
      <w:r>
        <w:rPr>
          <w:rFonts w:ascii="Arial" w:cs="Arial" w:eastAsia="Arial" w:hAnsi="Arial"/>
          <w:sz w:val="19"/>
          <w:szCs w:val="19"/>
          <w:i w:val="1"/>
          <w:iCs w:val="1"/>
          <w:color w:val="auto"/>
        </w:rPr>
        <w:t>Kaisha Kosei Ho</w:t>
      </w:r>
      <w:r>
        <w:rPr>
          <w:rFonts w:ascii="Arial" w:cs="Arial" w:eastAsia="Arial" w:hAnsi="Arial"/>
          <w:sz w:val="19"/>
          <w:szCs w:val="19"/>
          <w:color w:val="auto"/>
        </w:rPr>
        <w:t>) of Japan (the “Reorganization Act”).</w:t>
      </w:r>
    </w:p>
    <w:p>
      <w:pPr>
        <w:spacing w:after="0" w:line="89" w:lineRule="exact"/>
        <w:rPr>
          <w:rFonts w:ascii="Arial" w:cs="Arial" w:eastAsia="Arial" w:hAnsi="Arial"/>
          <w:sz w:val="20"/>
          <w:szCs w:val="20"/>
          <w:b w:val="1"/>
          <w:bCs w:val="1"/>
          <w:i w:val="1"/>
          <w:iCs w:val="1"/>
          <w:color w:val="auto"/>
        </w:rPr>
      </w:pPr>
    </w:p>
    <w:p>
      <w:pPr>
        <w:jc w:val="both"/>
        <w:ind w:left="700"/>
        <w:spacing w:after="0" w:line="282" w:lineRule="auto"/>
        <w:rPr>
          <w:rFonts w:ascii="Arial" w:cs="Arial" w:eastAsia="Arial" w:hAnsi="Arial"/>
          <w:sz w:val="20"/>
          <w:szCs w:val="20"/>
          <w:b w:val="1"/>
          <w:bCs w:val="1"/>
          <w:i w:val="1"/>
          <w:iCs w:val="1"/>
          <w:color w:val="auto"/>
        </w:rPr>
      </w:pPr>
      <w:r>
        <w:rPr>
          <w:rFonts w:ascii="Arial" w:cs="Arial" w:eastAsia="Arial" w:hAnsi="Arial"/>
          <w:sz w:val="18"/>
          <w:szCs w:val="18"/>
          <w:color w:val="auto"/>
        </w:rPr>
        <w:t>On March 23, 2012, the Court made the order to commence such proceedings and appointed the incumbent President &amp; CEO and an attorney-at-law as trustees. The Debtors are continuing to operate their business as a “debtors-in-possession” under the jurisdiction of the Court and in accordance with the applicable provisions of the Reorganization Act and the orders of the Court. The Court also appointed and ordered an examiner to examine whether a reorganization plan and the related procedures are performed fairly.</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60" w:top="337" w:right="239" w:bottom="1440" w:gutter="0" w:footer="0" w:header="0"/>
        </w:sectPr>
      </w:pPr>
    </w:p>
    <w:bookmarkStart w:id="16" w:name="page17"/>
    <w:bookmarkEnd w:id="16"/>
    <w:p>
      <w:pPr>
        <w:jc w:val="center"/>
        <w:ind w:right="700"/>
        <w:spacing w:after="0"/>
        <w:rPr>
          <w:sz w:val="20"/>
          <w:szCs w:val="20"/>
          <w:color w:val="auto"/>
        </w:rPr>
      </w:pPr>
      <w:r>
        <w:rPr>
          <w:rFonts w:ascii="Arial" w:cs="Arial" w:eastAsia="Arial" w:hAnsi="Arial"/>
          <w:sz w:val="18"/>
          <w:szCs w:val="18"/>
          <w:b w:val="1"/>
          <w:bCs w:val="1"/>
          <w:color w:val="auto"/>
        </w:rPr>
        <w:t>ELPIDA MEMORY, INC. AND SUBSIDIARIES</w:t>
      </w:r>
    </w:p>
    <w:p>
      <w:pPr>
        <w:spacing w:after="0" w:line="27" w:lineRule="exact"/>
        <w:rPr>
          <w:sz w:val="20"/>
          <w:szCs w:val="20"/>
          <w:color w:val="auto"/>
        </w:rPr>
      </w:pPr>
    </w:p>
    <w:p>
      <w:pPr>
        <w:jc w:val="center"/>
        <w:ind w:right="700"/>
        <w:spacing w:after="0"/>
        <w:rPr>
          <w:sz w:val="20"/>
          <w:szCs w:val="20"/>
          <w:color w:val="auto"/>
        </w:rPr>
      </w:pPr>
      <w:r>
        <w:rPr>
          <w:rFonts w:ascii="Arial" w:cs="Arial" w:eastAsia="Arial" w:hAnsi="Arial"/>
          <w:sz w:val="18"/>
          <w:szCs w:val="18"/>
          <w:b w:val="1"/>
          <w:bCs w:val="1"/>
          <w:color w:val="auto"/>
        </w:rPr>
        <w:t>(DEBTORS-IN-POSSESSION)</w:t>
      </w:r>
    </w:p>
    <w:p>
      <w:pPr>
        <w:spacing w:after="0" w:line="9" w:lineRule="exact"/>
        <w:rPr>
          <w:sz w:val="20"/>
          <w:szCs w:val="20"/>
          <w:color w:val="auto"/>
        </w:rPr>
      </w:pPr>
    </w:p>
    <w:p>
      <w:pPr>
        <w:jc w:val="center"/>
        <w:ind w:right="7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color w:val="auto"/>
        </w:rPr>
        <w:t>On March 28, 2012, shares of Elpida were delisted from the TSE.</w:t>
      </w:r>
    </w:p>
    <w:p>
      <w:pPr>
        <w:spacing w:after="0" w:line="13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On July 2, 2012, Micron Technology, Inc. (“Micron”, a company established in the United States of America) and Elpida signed a definitive sponsor agreement whereby Micron would acquire and support Elpida.</w:t>
      </w:r>
    </w:p>
    <w:p>
      <w:pPr>
        <w:spacing w:after="0" w:line="96"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On August 21, 2012, Elpida submitted the proposed reorganization plan (the "Plan") to the Court. The Plan prepared by the trustees was based on the assumption that Elpida would receive financial support from Micron in accordance with the sponsorship agreement entered on July 2, 2012 and Elpida would pay the reorganization claims, and maintain and reorganize its business with such support.</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color w:val="auto"/>
        </w:rPr>
        <w:t>On October 31, 2012, the Court made an order to refer the Plan submitted by Elpida to a resolution.</w:t>
      </w:r>
    </w:p>
    <w:p>
      <w:pPr>
        <w:spacing w:after="0" w:line="135"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The recognition of the order to approve the Plan under Chapter 15 of the Federal Bankruptcy Code of the United States Bankruptcy Court was the remaining condition to be fulfilled precedent to closing the reorganization under the sponsor agreement with Micron.</w:t>
      </w:r>
    </w:p>
    <w:p>
      <w:pPr>
        <w:spacing w:after="0" w:line="4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On February 28, 2013, the Plan was agreed by the statutorily required majority of creditors and approved by the Court. Under the Plan, Elpida settled all of its outstanding stock options without compensation (excluding treasury shares held by Elpida) and, on the same day, all such stock options were canceled.</w:t>
      </w:r>
    </w:p>
    <w:p>
      <w:pPr>
        <w:spacing w:after="0" w:line="105"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On May 27, 2013, Elpida acquired all of its issued and outstanding shares (common shares, Type 1 Preferred Shares and Type 2 Preferred Shares) without compensation (excluding treasury shares held by Elpida) and, on the same day, all such shares which Elpida held were extinguished. As a result, Elpida transferred the balance of its common stock to additional paid-in capital.</w:t>
      </w:r>
    </w:p>
    <w:p>
      <w:pPr>
        <w:spacing w:after="0" w:line="7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Additionally, on May 27, 2013, Elpida issued common shares with the amount of the subscription price per share of 1 Japanese yen and the number of shares of 1 share which was allotted to the trustee. As a result, Elpida increased its common stock by 1 Japanese yen.</w:t>
      </w:r>
    </w:p>
    <w:p>
      <w:pPr>
        <w:spacing w:after="0" w:line="10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Elpida’s subsidiaries that are not included in the Plan continue to operate without the supervision of the Court and are not part of the bankruptcy proceedings.</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color w:val="auto"/>
        </w:rPr>
        <w:t>On June 26, 2013, Elpida obtained the recognition of the order by the United States Bankruptcy Court.</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 xml:space="preserve">On July 31, 2013, Micron made a cash payment of ¥60,000 to Elpida, in exchange for 100% ownership of Elpida’s equity. As of this date, all material unsatisfied conditions were resolved and the Company was required to apply the fresh start accounting provisions of Financial Accounting Standards Board (“FASB”) Accounting Standard Codification (“ASC”) 852, </w:t>
      </w:r>
      <w:r>
        <w:rPr>
          <w:rFonts w:ascii="Arial" w:cs="Arial" w:eastAsia="Arial" w:hAnsi="Arial"/>
          <w:sz w:val="19"/>
          <w:szCs w:val="19"/>
          <w:i w:val="1"/>
          <w:iCs w:val="1"/>
          <w:color w:val="auto"/>
        </w:rPr>
        <w:t>Reorganizations</w:t>
      </w:r>
      <w:r>
        <w:rPr>
          <w:rFonts w:ascii="Arial" w:cs="Arial" w:eastAsia="Arial" w:hAnsi="Arial"/>
          <w:sz w:val="19"/>
          <w:szCs w:val="19"/>
          <w:color w:val="auto"/>
        </w:rPr>
        <w:t xml:space="preserve">. Fresh start accounting requires an allocation of the reorganization value to the reorganized entity’s assets and liabilities pursuant to ASC 805, </w:t>
      </w:r>
      <w:r>
        <w:rPr>
          <w:rFonts w:ascii="Arial" w:cs="Arial" w:eastAsia="Arial" w:hAnsi="Arial"/>
          <w:sz w:val="19"/>
          <w:szCs w:val="19"/>
          <w:i w:val="1"/>
          <w:iCs w:val="1"/>
          <w:color w:val="auto"/>
        </w:rPr>
        <w:t>Business Combinations</w:t>
      </w:r>
      <w:r>
        <w:rPr>
          <w:rFonts w:ascii="Arial" w:cs="Arial" w:eastAsia="Arial" w:hAnsi="Arial"/>
          <w:sz w:val="19"/>
          <w:szCs w:val="19"/>
          <w:color w:val="auto"/>
        </w:rPr>
        <w:t>. The Company anticipates completing the fair value measurements and the allocation of the reorganization</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value in fiscal year ending August 31, 2014. During August 2013, the Company began the process of measuring and allocating the reorganization value to the assets and liabilities of the Debtors in accordance with ASC 820, </w:t>
      </w:r>
      <w:r>
        <w:rPr>
          <w:rFonts w:ascii="Arial" w:cs="Arial" w:eastAsia="Arial" w:hAnsi="Arial"/>
          <w:sz w:val="19"/>
          <w:szCs w:val="19"/>
          <w:i w:val="1"/>
          <w:iCs w:val="1"/>
          <w:color w:val="auto"/>
        </w:rPr>
        <w:t>Fair Value Measurement</w:t>
      </w:r>
      <w:r>
        <w:rPr>
          <w:rFonts w:ascii="Arial" w:cs="Arial" w:eastAsia="Arial" w:hAnsi="Arial"/>
          <w:sz w:val="19"/>
          <w:szCs w:val="19"/>
          <w:color w:val="auto"/>
        </w:rPr>
        <w:t>. Consequently, the financial statements of the reorganized Company will change materially in amounts and classifications due to the implementation of the fresh start accounting. Since the issuance date of these financial statements, the Company is evaluating the impact of the change on the consolidated financial statements.</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700"/>
          </w:cols>
          <w:pgMar w:left="960" w:top="553" w:right="239" w:bottom="1440" w:gutter="0" w:footer="0" w:header="0"/>
        </w:sectPr>
      </w:pPr>
    </w:p>
    <w:bookmarkStart w:id="17" w:name="page18"/>
    <w:bookmarkEnd w:id="17"/>
    <w:p>
      <w:pPr>
        <w:jc w:val="center"/>
        <w:ind w:right="20"/>
        <w:spacing w:after="0"/>
        <w:rPr>
          <w:sz w:val="20"/>
          <w:szCs w:val="20"/>
          <w:color w:val="auto"/>
        </w:rPr>
      </w:pPr>
      <w:r>
        <w:rPr>
          <w:rFonts w:ascii="Arial" w:cs="Arial" w:eastAsia="Arial" w:hAnsi="Arial"/>
          <w:sz w:val="18"/>
          <w:szCs w:val="18"/>
          <w:b w:val="1"/>
          <w:bCs w:val="1"/>
          <w:color w:val="auto"/>
        </w:rPr>
        <w:t>ELPIDA MEMORY,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(DEBTORS-IN-POSSESSION)</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1" w:lineRule="exact"/>
        <w:rPr>
          <w:sz w:val="20"/>
          <w:szCs w:val="20"/>
          <w:color w:val="auto"/>
        </w:rPr>
      </w:pPr>
    </w:p>
    <w:p>
      <w:pPr>
        <w:ind w:left="700" w:hanging="374"/>
        <w:spacing w:after="0"/>
        <w:tabs>
          <w:tab w:leader="none" w:pos="700" w:val="left"/>
        </w:tabs>
        <w:numPr>
          <w:ilvl w:val="1"/>
          <w:numId w:val="3"/>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Tokyo Stock Exchange Delisting Determination</w:t>
      </w:r>
    </w:p>
    <w:p>
      <w:pPr>
        <w:spacing w:after="0" w:line="67" w:lineRule="exact"/>
        <w:rPr>
          <w:rFonts w:ascii="Arial" w:cs="Arial" w:eastAsia="Arial" w:hAnsi="Arial"/>
          <w:sz w:val="20"/>
          <w:szCs w:val="20"/>
          <w:b w:val="1"/>
          <w:bCs w:val="1"/>
          <w:i w:val="1"/>
          <w:iCs w:val="1"/>
          <w:color w:val="auto"/>
        </w:rPr>
      </w:pPr>
    </w:p>
    <w:p>
      <w:pPr>
        <w:jc w:val="both"/>
        <w:ind w:left="700"/>
        <w:spacing w:after="0" w:line="269" w:lineRule="auto"/>
        <w:rPr>
          <w:rFonts w:ascii="Arial" w:cs="Arial" w:eastAsia="Arial" w:hAnsi="Arial"/>
          <w:sz w:val="20"/>
          <w:szCs w:val="20"/>
          <w:b w:val="1"/>
          <w:bCs w:val="1"/>
          <w:i w:val="1"/>
          <w:iCs w:val="1"/>
          <w:color w:val="auto"/>
        </w:rPr>
      </w:pPr>
      <w:r>
        <w:rPr>
          <w:rFonts w:ascii="Arial" w:cs="Arial" w:eastAsia="Arial" w:hAnsi="Arial"/>
          <w:sz w:val="19"/>
          <w:szCs w:val="19"/>
          <w:color w:val="auto"/>
        </w:rPr>
        <w:t>On February 28, 2012, Elpida’s 2nd and 3rd 130% Call Option Attached Unsecured Convertible Bonds with Stock Acquisition Rights were delisted from the TSE in accordance with Rule 921 of the Securities Listing Regulations due to the filing of the petition for the commencement of reorganization proceedings, which led to Elpida’s forfeiture of the benefit of time.</w:t>
      </w:r>
    </w:p>
    <w:p>
      <w:pPr>
        <w:spacing w:after="0" w:line="89" w:lineRule="exact"/>
        <w:rPr>
          <w:rFonts w:ascii="Arial" w:cs="Arial" w:eastAsia="Arial" w:hAnsi="Arial"/>
          <w:sz w:val="20"/>
          <w:szCs w:val="20"/>
          <w:b w:val="1"/>
          <w:bCs w:val="1"/>
          <w:i w:val="1"/>
          <w:iCs w:val="1"/>
          <w:color w:val="auto"/>
        </w:rPr>
      </w:pPr>
    </w:p>
    <w:p>
      <w:pPr>
        <w:ind w:left="700" w:right="20"/>
        <w:spacing w:after="0" w:line="260" w:lineRule="auto"/>
        <w:rPr>
          <w:rFonts w:ascii="Arial" w:cs="Arial" w:eastAsia="Arial" w:hAnsi="Arial"/>
          <w:sz w:val="20"/>
          <w:szCs w:val="20"/>
          <w:b w:val="1"/>
          <w:bCs w:val="1"/>
          <w:i w:val="1"/>
          <w:iCs w:val="1"/>
          <w:color w:val="auto"/>
        </w:rPr>
      </w:pPr>
      <w:r>
        <w:rPr>
          <w:rFonts w:ascii="Arial" w:cs="Arial" w:eastAsia="Arial" w:hAnsi="Arial"/>
          <w:sz w:val="20"/>
          <w:szCs w:val="20"/>
          <w:color w:val="auto"/>
        </w:rPr>
        <w:t>On March 28, 2012, Elpida’s common stock was delisted from the First Section of the TSE in accordance with Rule 601 of the Securities Listing Regulations due to the filing of the petition and commencement of reorganization proceedings.</w:t>
      </w:r>
    </w:p>
    <w:p>
      <w:pPr>
        <w:spacing w:after="0" w:line="176" w:lineRule="exact"/>
        <w:rPr>
          <w:rFonts w:ascii="Arial" w:cs="Arial" w:eastAsia="Arial" w:hAnsi="Arial"/>
          <w:sz w:val="20"/>
          <w:szCs w:val="20"/>
          <w:b w:val="1"/>
          <w:bCs w:val="1"/>
          <w:i w:val="1"/>
          <w:iCs w:val="1"/>
          <w:color w:val="auto"/>
        </w:rPr>
      </w:pPr>
    </w:p>
    <w:p>
      <w:pPr>
        <w:ind w:left="700" w:hanging="374"/>
        <w:spacing w:after="0"/>
        <w:tabs>
          <w:tab w:leader="none" w:pos="700" w:val="left"/>
        </w:tabs>
        <w:numPr>
          <w:ilvl w:val="1"/>
          <w:numId w:val="3"/>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Going Concern</w:t>
      </w:r>
    </w:p>
    <w:p>
      <w:pPr>
        <w:spacing w:after="0" w:line="67" w:lineRule="exact"/>
        <w:rPr>
          <w:rFonts w:ascii="Arial" w:cs="Arial" w:eastAsia="Arial" w:hAnsi="Arial"/>
          <w:sz w:val="20"/>
          <w:szCs w:val="20"/>
          <w:b w:val="1"/>
          <w:bCs w:val="1"/>
          <w:i w:val="1"/>
          <w:iCs w:val="1"/>
          <w:color w:val="auto"/>
        </w:rPr>
      </w:pPr>
    </w:p>
    <w:p>
      <w:pPr>
        <w:jc w:val="both"/>
        <w:ind w:left="700"/>
        <w:spacing w:after="0" w:line="246" w:lineRule="auto"/>
        <w:rPr>
          <w:rFonts w:ascii="Arial" w:cs="Arial" w:eastAsia="Arial" w:hAnsi="Arial"/>
          <w:sz w:val="20"/>
          <w:szCs w:val="20"/>
          <w:b w:val="1"/>
          <w:bCs w:val="1"/>
          <w:i w:val="1"/>
          <w:iCs w:val="1"/>
          <w:color w:val="auto"/>
        </w:rPr>
      </w:pPr>
      <w:r>
        <w:rPr>
          <w:rFonts w:ascii="Arial" w:cs="Arial" w:eastAsia="Arial" w:hAnsi="Arial"/>
          <w:sz w:val="20"/>
          <w:szCs w:val="20"/>
          <w:color w:val="auto"/>
        </w:rPr>
        <w:t>The accompanying consolidated financial statements have been prepared assuming that the Company will continue as a going concern, which contemplates the realization of assets and the satisfaction of liabilities in the normal course of business. As described above, the Company’s reorganization plan was approved by the Court and the Company has been operating its business with Micron’s support according to the Plan.</w:t>
      </w:r>
    </w:p>
    <w:p>
      <w:pPr>
        <w:spacing w:after="0" w:line="293" w:lineRule="exact"/>
        <w:rPr>
          <w:rFonts w:ascii="Arial" w:cs="Arial" w:eastAsia="Arial" w:hAnsi="Arial"/>
          <w:sz w:val="20"/>
          <w:szCs w:val="20"/>
          <w:b w:val="1"/>
          <w:bCs w:val="1"/>
          <w:i w:val="1"/>
          <w:iCs w:val="1"/>
          <w:color w:val="auto"/>
        </w:rPr>
      </w:pPr>
    </w:p>
    <w:p>
      <w:pPr>
        <w:ind w:left="340" w:hanging="338"/>
        <w:spacing w:after="0"/>
        <w:tabs>
          <w:tab w:leader="none" w:pos="34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Reorganization Disclosures</w:t>
      </w:r>
    </w:p>
    <w:p>
      <w:pPr>
        <w:spacing w:after="0" w:line="127" w:lineRule="exact"/>
        <w:rPr>
          <w:rFonts w:ascii="Arial" w:cs="Arial" w:eastAsia="Arial" w:hAnsi="Arial"/>
          <w:sz w:val="20"/>
          <w:szCs w:val="20"/>
          <w:b w:val="1"/>
          <w:bCs w:val="1"/>
          <w:color w:val="auto"/>
        </w:rPr>
      </w:pPr>
    </w:p>
    <w:p>
      <w:pPr>
        <w:ind w:left="700" w:hanging="374"/>
        <w:spacing w:after="0"/>
        <w:tabs>
          <w:tab w:leader="none" w:pos="700" w:val="left"/>
        </w:tabs>
        <w:numPr>
          <w:ilvl w:val="1"/>
          <w:numId w:val="4"/>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Financial Reporting in Reorganization</w:t>
      </w:r>
    </w:p>
    <w:p>
      <w:pPr>
        <w:spacing w:after="0" w:line="67" w:lineRule="exact"/>
        <w:rPr>
          <w:rFonts w:ascii="Arial" w:cs="Arial" w:eastAsia="Arial" w:hAnsi="Arial"/>
          <w:sz w:val="20"/>
          <w:szCs w:val="20"/>
          <w:b w:val="1"/>
          <w:bCs w:val="1"/>
          <w:i w:val="1"/>
          <w:iCs w:val="1"/>
          <w:color w:val="auto"/>
        </w:rPr>
      </w:pPr>
    </w:p>
    <w:p>
      <w:pPr>
        <w:jc w:val="both"/>
        <w:ind w:left="700"/>
        <w:spacing w:after="0" w:line="271" w:lineRule="auto"/>
        <w:rPr>
          <w:rFonts w:ascii="Arial" w:cs="Arial" w:eastAsia="Arial" w:hAnsi="Arial"/>
          <w:sz w:val="20"/>
          <w:szCs w:val="20"/>
          <w:b w:val="1"/>
          <w:bCs w:val="1"/>
          <w:i w:val="1"/>
          <w:iCs w:val="1"/>
          <w:color w:val="auto"/>
        </w:rPr>
      </w:pPr>
      <w:r>
        <w:rPr>
          <w:rFonts w:ascii="Arial" w:cs="Arial" w:eastAsia="Arial" w:hAnsi="Arial"/>
          <w:sz w:val="18"/>
          <w:szCs w:val="18"/>
          <w:color w:val="auto"/>
        </w:rPr>
        <w:t>The Company has applied ASC 852, effective as of the Petition Date, which is applicable to companies in reorganization proceedings under US bankruptcy law, because reorganization proceedings under the Reorganization Act are similar to those under the US bankruptcy law. While ASC 852 generally does not change the manner in which financial statements are prepared, ASC 852 requires that the financial statements for periods subsequent to the petition filing distinguish transactions and events that are directly associated with the reorganization from the ongoing operations of the business. Revenues, expenses (including professional fees), realized gains and losses, and provisions for losses resulting from the reorganization and restructuring of the business must be reported separately as reorganization items, except for those required to be reported as discontinued operations and extraordinary items, in the consolidated statements of operations. The balance sheet must distinguish pre-petition liabilities subject to compromise from pre-petition liabilities that are not subject to compromise and post-petition liabilities. Liabilities that may be affected by a plan of reorganization must be reported at the amounts expected to be allowed, even if they may be settled for lesser amounts as a result of the reorganization. In addition, cash receipts and payments resulting from the reorganization must be disclosed.</w:t>
      </w:r>
    </w:p>
    <w:p>
      <w:pPr>
        <w:spacing w:after="0" w:line="170" w:lineRule="exact"/>
        <w:rPr>
          <w:rFonts w:ascii="Arial" w:cs="Arial" w:eastAsia="Arial" w:hAnsi="Arial"/>
          <w:sz w:val="20"/>
          <w:szCs w:val="20"/>
          <w:b w:val="1"/>
          <w:bCs w:val="1"/>
          <w:i w:val="1"/>
          <w:iCs w:val="1"/>
          <w:color w:val="auto"/>
        </w:rPr>
      </w:pPr>
    </w:p>
    <w:p>
      <w:pPr>
        <w:ind w:left="700" w:hanging="374"/>
        <w:spacing w:after="0"/>
        <w:tabs>
          <w:tab w:leader="none" w:pos="700" w:val="left"/>
        </w:tabs>
        <w:numPr>
          <w:ilvl w:val="1"/>
          <w:numId w:val="4"/>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Condensed Combined Financial Information</w:t>
      </w:r>
    </w:p>
    <w:p>
      <w:pPr>
        <w:spacing w:after="0" w:line="67" w:lineRule="exact"/>
        <w:rPr>
          <w:rFonts w:ascii="Arial" w:cs="Arial" w:eastAsia="Arial" w:hAnsi="Arial"/>
          <w:sz w:val="20"/>
          <w:szCs w:val="20"/>
          <w:b w:val="1"/>
          <w:bCs w:val="1"/>
          <w:i w:val="1"/>
          <w:iCs w:val="1"/>
          <w:color w:val="auto"/>
        </w:rPr>
      </w:pPr>
    </w:p>
    <w:p>
      <w:pPr>
        <w:jc w:val="both"/>
        <w:ind w:left="700"/>
        <w:spacing w:after="0" w:line="246" w:lineRule="auto"/>
        <w:rPr>
          <w:rFonts w:ascii="Arial" w:cs="Arial" w:eastAsia="Arial" w:hAnsi="Arial"/>
          <w:sz w:val="20"/>
          <w:szCs w:val="20"/>
          <w:b w:val="1"/>
          <w:bCs w:val="1"/>
          <w:i w:val="1"/>
          <w:iCs w:val="1"/>
          <w:color w:val="auto"/>
        </w:rPr>
      </w:pPr>
      <w:r>
        <w:rPr>
          <w:rFonts w:ascii="Arial" w:cs="Arial" w:eastAsia="Arial" w:hAnsi="Arial"/>
          <w:sz w:val="20"/>
          <w:szCs w:val="20"/>
          <w:color w:val="auto"/>
        </w:rPr>
        <w:t>The consolidated financial statements of the Company include entities which are not in the reorganization proceedings, the following presents condensed combined financial information of the entities in the reorganization proceedings. The condensed combined financial information has been prepared, in all material aspects, on the same basis as the consolidated financial statements of the Company.</w:t>
      </w:r>
    </w:p>
    <w:p>
      <w:pPr>
        <w:spacing w:after="0" w:line="200" w:lineRule="exact"/>
        <w:rPr>
          <w:sz w:val="20"/>
          <w:szCs w:val="20"/>
          <w:color w:val="auto"/>
        </w:rPr>
      </w:pPr>
    </w:p>
    <w:p>
      <w:pPr>
        <w:spacing w:after="0" w:line="37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60" w:top="553" w:right="239" w:bottom="1440" w:gutter="0" w:footer="0" w:header="0"/>
        </w:sectPr>
      </w:pPr>
    </w:p>
    <w:bookmarkStart w:id="18" w:name="page19"/>
    <w:bookmarkEnd w:id="18"/>
    <w:p>
      <w:pPr>
        <w:jc w:val="center"/>
        <w:ind w:right="680"/>
        <w:spacing w:after="0"/>
        <w:rPr>
          <w:sz w:val="20"/>
          <w:szCs w:val="20"/>
          <w:color w:val="auto"/>
        </w:rPr>
      </w:pPr>
      <w:r>
        <w:rPr>
          <w:rFonts w:ascii="Arial" w:cs="Arial" w:eastAsia="Arial" w:hAnsi="Arial"/>
          <w:sz w:val="18"/>
          <w:szCs w:val="18"/>
          <w:b w:val="1"/>
          <w:bCs w:val="1"/>
          <w:color w:val="auto"/>
        </w:rPr>
        <w:t>ELPIDA MEMORY, INC. AND SUBSIDIARIES</w:t>
      </w:r>
    </w:p>
    <w:p>
      <w:pPr>
        <w:spacing w:after="0" w:line="27" w:lineRule="exact"/>
        <w:rPr>
          <w:sz w:val="20"/>
          <w:szCs w:val="20"/>
          <w:color w:val="auto"/>
        </w:rPr>
      </w:pPr>
    </w:p>
    <w:p>
      <w:pPr>
        <w:jc w:val="center"/>
        <w:ind w:right="680"/>
        <w:spacing w:after="0"/>
        <w:rPr>
          <w:sz w:val="20"/>
          <w:szCs w:val="20"/>
          <w:color w:val="auto"/>
        </w:rPr>
      </w:pPr>
      <w:r>
        <w:rPr>
          <w:rFonts w:ascii="Arial" w:cs="Arial" w:eastAsia="Arial" w:hAnsi="Arial"/>
          <w:sz w:val="18"/>
          <w:szCs w:val="18"/>
          <w:b w:val="1"/>
          <w:bCs w:val="1"/>
          <w:color w:val="auto"/>
        </w:rPr>
        <w:t>(DEBTORS-IN-POSSESSION)</w:t>
      </w:r>
    </w:p>
    <w:p>
      <w:pPr>
        <w:spacing w:after="0" w:line="9" w:lineRule="exact"/>
        <w:rPr>
          <w:sz w:val="20"/>
          <w:szCs w:val="20"/>
          <w:color w:val="auto"/>
        </w:rPr>
      </w:pPr>
    </w:p>
    <w:p>
      <w:pPr>
        <w:jc w:val="center"/>
        <w:ind w:right="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1" w:lineRule="exact"/>
        <w:rPr>
          <w:sz w:val="20"/>
          <w:szCs w:val="20"/>
          <w:color w:val="auto"/>
        </w:rPr>
      </w:pPr>
    </w:p>
    <w:p>
      <w:pPr>
        <w:jc w:val="both"/>
        <w:ind w:left="40"/>
        <w:spacing w:after="0" w:line="257" w:lineRule="auto"/>
        <w:rPr>
          <w:sz w:val="20"/>
          <w:szCs w:val="20"/>
          <w:color w:val="auto"/>
        </w:rPr>
      </w:pPr>
      <w:r>
        <w:rPr>
          <w:rFonts w:ascii="Arial" w:cs="Arial" w:eastAsia="Arial" w:hAnsi="Arial"/>
          <w:sz w:val="19"/>
          <w:szCs w:val="19"/>
          <w:color w:val="auto"/>
        </w:rPr>
        <w:t>The financial information contained herein represents the condensed combined financial information for the Debtors only. Elpida’s non-Debtor subsidiaries are treated as non-consolidated subsidiaries in this presentation of combined financial information and as such their net loss is included as “equity losses from non-Debtor subsidiaries, net of tax” in the condensed combined statement of operations and their net assets are included as “investments in non-Debtor subsidiaries” in the condensed combined balance sheet. Intercompany transactions between the Debtors have been eliminated in this presentation of combined financial information contained herein. Intercompany transactions between the Debtors and non-Debtor subsidiaries have not been eliminated in this presentation of combined financial information and are reflected as Accounts receivable from non-Debtor subsidiaries and Accounts payable to non-Debtor subsidiaries.</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Condensed Combined Debtors-in-Possession Balance Sheet</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220" w:type="dxa"/>
            <w:vAlign w:val="bottom"/>
          </w:tcPr>
          <w:p>
            <w:pPr>
              <w:spacing w:after="0"/>
              <w:rPr>
                <w:sz w:val="22"/>
                <w:szCs w:val="22"/>
                <w:color w:val="auto"/>
              </w:rPr>
            </w:pPr>
          </w:p>
        </w:tc>
        <w:tc>
          <w:tcPr>
            <w:tcW w:w="1820" w:type="dxa"/>
            <w:vAlign w:val="bottom"/>
            <w:gridSpan w:val="3"/>
          </w:tcPr>
          <w:p>
            <w:pPr>
              <w:ind w:left="80"/>
              <w:spacing w:after="0"/>
              <w:rPr>
                <w:sz w:val="20"/>
                <w:szCs w:val="20"/>
                <w:color w:val="auto"/>
              </w:rPr>
            </w:pPr>
            <w:r>
              <w:rPr>
                <w:rFonts w:ascii="Arial" w:cs="Arial" w:eastAsia="Arial" w:hAnsi="Arial"/>
                <w:sz w:val="20"/>
                <w:szCs w:val="20"/>
                <w:b w:val="1"/>
                <w:bCs w:val="1"/>
                <w:color w:val="auto"/>
              </w:rPr>
              <w:t>February 28, 2013</w:t>
            </w:r>
          </w:p>
        </w:tc>
        <w:tc>
          <w:tcPr>
            <w:tcW w:w="180" w:type="dxa"/>
            <w:vAlign w:val="bottom"/>
          </w:tcPr>
          <w:p>
            <w:pPr>
              <w:spacing w:after="0"/>
              <w:rPr>
                <w:sz w:val="22"/>
                <w:szCs w:val="22"/>
                <w:color w:val="auto"/>
              </w:rPr>
            </w:pPr>
          </w:p>
        </w:tc>
        <w:tc>
          <w:tcPr>
            <w:tcW w:w="1620" w:type="dxa"/>
            <w:vAlign w:val="bottom"/>
          </w:tcPr>
          <w:p>
            <w:pPr>
              <w:jc w:val="right"/>
              <w:ind w:right="141"/>
              <w:spacing w:after="0"/>
              <w:rPr>
                <w:sz w:val="20"/>
                <w:szCs w:val="20"/>
                <w:color w:val="auto"/>
              </w:rPr>
            </w:pPr>
            <w:r>
              <w:rPr>
                <w:rFonts w:ascii="Arial" w:cs="Arial" w:eastAsia="Arial" w:hAnsi="Arial"/>
                <w:sz w:val="20"/>
                <w:szCs w:val="20"/>
                <w:b w:val="1"/>
                <w:bCs w:val="1"/>
                <w:color w:val="auto"/>
                <w:w w:val="95"/>
              </w:rPr>
              <w:t>March 31, 2012</w:t>
            </w:r>
          </w:p>
        </w:tc>
        <w:tc>
          <w:tcPr>
            <w:tcW w:w="0" w:type="dxa"/>
            <w:vAlign w:val="bottom"/>
          </w:tcPr>
          <w:p>
            <w:pPr>
              <w:spacing w:after="0"/>
              <w:rPr>
                <w:sz w:val="1"/>
                <w:szCs w:val="1"/>
                <w:color w:val="auto"/>
              </w:rPr>
            </w:pPr>
          </w:p>
        </w:tc>
      </w:tr>
      <w:tr>
        <w:trPr>
          <w:trHeight w:val="23"/>
        </w:trPr>
        <w:tc>
          <w:tcPr>
            <w:tcW w:w="6220" w:type="dxa"/>
            <w:vAlign w:val="bottom"/>
            <w:vMerge w:val="restart"/>
          </w:tcPr>
          <w:p>
            <w:pPr>
              <w:ind w:left="2780"/>
              <w:spacing w:after="0"/>
              <w:rPr>
                <w:sz w:val="20"/>
                <w:szCs w:val="20"/>
                <w:color w:val="auto"/>
              </w:rPr>
            </w:pPr>
            <w:r>
              <w:rPr>
                <w:rFonts w:ascii="Arial" w:cs="Arial" w:eastAsia="Arial" w:hAnsi="Arial"/>
                <w:sz w:val="20"/>
                <w:szCs w:val="20"/>
                <w:b w:val="1"/>
                <w:bCs w:val="1"/>
                <w:color w:val="auto"/>
              </w:rPr>
              <w:t>Assets</w:t>
            </w:r>
          </w:p>
        </w:tc>
        <w:tc>
          <w:tcPr>
            <w:tcW w:w="5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6220" w:type="dxa"/>
            <w:vAlign w:val="bottom"/>
            <w:vMerge w:val="continue"/>
          </w:tcPr>
          <w:p>
            <w:pPr>
              <w:spacing w:after="0"/>
              <w:rPr>
                <w:sz w:val="20"/>
                <w:szCs w:val="20"/>
                <w:color w:val="auto"/>
              </w:rPr>
            </w:pPr>
          </w:p>
        </w:tc>
        <w:tc>
          <w:tcPr>
            <w:tcW w:w="5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6220" w:type="dxa"/>
            <w:vAlign w:val="bottom"/>
          </w:tcPr>
          <w:p>
            <w:pPr>
              <w:spacing w:after="0"/>
              <w:rPr>
                <w:sz w:val="20"/>
                <w:szCs w:val="20"/>
                <w:color w:val="auto"/>
              </w:rPr>
            </w:pPr>
            <w:r>
              <w:rPr>
                <w:rFonts w:ascii="Arial" w:cs="Arial" w:eastAsia="Arial" w:hAnsi="Arial"/>
                <w:sz w:val="20"/>
                <w:szCs w:val="20"/>
                <w:color w:val="auto"/>
              </w:rPr>
              <w:t>Current assets:</w:t>
            </w: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220" w:type="dxa"/>
            <w:vAlign w:val="bottom"/>
          </w:tcPr>
          <w:p>
            <w:pPr>
              <w:ind w:left="240"/>
              <w:spacing w:after="0"/>
              <w:rPr>
                <w:sz w:val="20"/>
                <w:szCs w:val="20"/>
                <w:color w:val="auto"/>
              </w:rPr>
            </w:pPr>
            <w:r>
              <w:rPr>
                <w:rFonts w:ascii="Arial" w:cs="Arial" w:eastAsia="Arial" w:hAnsi="Arial"/>
                <w:sz w:val="20"/>
                <w:szCs w:val="20"/>
                <w:color w:val="auto"/>
              </w:rPr>
              <w:t>Cash and cash equivalents</w:t>
            </w:r>
          </w:p>
        </w:tc>
        <w:tc>
          <w:tcPr>
            <w:tcW w:w="560" w:type="dxa"/>
            <w:vAlign w:val="bottom"/>
          </w:tcPr>
          <w:p>
            <w:pPr>
              <w:jc w:val="right"/>
              <w:ind w:right="321"/>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1"/>
              <w:spacing w:after="0"/>
              <w:rPr>
                <w:sz w:val="20"/>
                <w:szCs w:val="20"/>
                <w:color w:val="auto"/>
              </w:rPr>
            </w:pPr>
            <w:r>
              <w:rPr>
                <w:rFonts w:ascii="Arial" w:cs="Arial" w:eastAsia="Arial" w:hAnsi="Arial"/>
                <w:sz w:val="20"/>
                <w:szCs w:val="20"/>
                <w:color w:val="auto"/>
              </w:rPr>
              <w:t>20,393</w:t>
            </w:r>
          </w:p>
        </w:tc>
        <w:tc>
          <w:tcPr>
            <w:tcW w:w="10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Arial" w:cs="Arial" w:eastAsia="Arial" w:hAnsi="Arial"/>
                <w:sz w:val="20"/>
                <w:szCs w:val="20"/>
                <w:color w:val="auto"/>
              </w:rPr>
              <w:t>¥</w:t>
            </w:r>
          </w:p>
        </w:tc>
        <w:tc>
          <w:tcPr>
            <w:tcW w:w="1620" w:type="dxa"/>
            <w:vAlign w:val="bottom"/>
          </w:tcPr>
          <w:p>
            <w:pPr>
              <w:jc w:val="right"/>
              <w:ind w:right="1"/>
              <w:spacing w:after="0"/>
              <w:rPr>
                <w:sz w:val="20"/>
                <w:szCs w:val="20"/>
                <w:color w:val="auto"/>
              </w:rPr>
            </w:pPr>
            <w:r>
              <w:rPr>
                <w:rFonts w:ascii="Arial" w:cs="Arial" w:eastAsia="Arial" w:hAnsi="Arial"/>
                <w:sz w:val="20"/>
                <w:szCs w:val="20"/>
                <w:color w:val="auto"/>
              </w:rPr>
              <w:t>14,864</w:t>
            </w:r>
          </w:p>
        </w:tc>
        <w:tc>
          <w:tcPr>
            <w:tcW w:w="0" w:type="dxa"/>
            <w:vAlign w:val="bottom"/>
          </w:tcPr>
          <w:p>
            <w:pPr>
              <w:spacing w:after="0"/>
              <w:rPr>
                <w:sz w:val="1"/>
                <w:szCs w:val="1"/>
                <w:color w:val="auto"/>
              </w:rPr>
            </w:pPr>
          </w:p>
        </w:tc>
      </w:tr>
      <w:tr>
        <w:trPr>
          <w:trHeight w:val="284"/>
        </w:trPr>
        <w:tc>
          <w:tcPr>
            <w:tcW w:w="6220" w:type="dxa"/>
            <w:vAlign w:val="bottom"/>
          </w:tcPr>
          <w:p>
            <w:pPr>
              <w:ind w:left="240"/>
              <w:spacing w:after="0"/>
              <w:rPr>
                <w:sz w:val="20"/>
                <w:szCs w:val="20"/>
                <w:color w:val="auto"/>
              </w:rPr>
            </w:pPr>
            <w:r>
              <w:rPr>
                <w:rFonts w:ascii="Arial" w:cs="Arial" w:eastAsia="Arial" w:hAnsi="Arial"/>
                <w:sz w:val="20"/>
                <w:szCs w:val="20"/>
                <w:color w:val="auto"/>
              </w:rPr>
              <w:t>Accounts receivable, net</w:t>
            </w:r>
          </w:p>
        </w:tc>
        <w:tc>
          <w:tcPr>
            <w:tcW w:w="560" w:type="dxa"/>
            <w:vAlign w:val="bottom"/>
          </w:tcPr>
          <w:p>
            <w:pPr>
              <w:spacing w:after="0"/>
              <w:rPr>
                <w:sz w:val="24"/>
                <w:szCs w:val="24"/>
                <w:color w:val="auto"/>
              </w:rPr>
            </w:pPr>
          </w:p>
        </w:tc>
        <w:tc>
          <w:tcPr>
            <w:tcW w:w="1160" w:type="dxa"/>
            <w:vAlign w:val="bottom"/>
          </w:tcPr>
          <w:p>
            <w:pPr>
              <w:jc w:val="right"/>
              <w:ind w:right="1"/>
              <w:spacing w:after="0"/>
              <w:rPr>
                <w:sz w:val="20"/>
                <w:szCs w:val="20"/>
                <w:color w:val="auto"/>
              </w:rPr>
            </w:pPr>
            <w:r>
              <w:rPr>
                <w:rFonts w:ascii="Arial" w:cs="Arial" w:eastAsia="Arial" w:hAnsi="Arial"/>
                <w:sz w:val="20"/>
                <w:szCs w:val="20"/>
                <w:color w:val="auto"/>
              </w:rPr>
              <w:t>9,521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jc w:val="right"/>
              <w:ind w:right="1"/>
              <w:spacing w:after="0"/>
              <w:rPr>
                <w:sz w:val="20"/>
                <w:szCs w:val="20"/>
                <w:color w:val="auto"/>
              </w:rPr>
            </w:pPr>
            <w:r>
              <w:rPr>
                <w:rFonts w:ascii="Arial" w:cs="Arial" w:eastAsia="Arial" w:hAnsi="Arial"/>
                <w:sz w:val="20"/>
                <w:szCs w:val="20"/>
                <w:color w:val="auto"/>
              </w:rPr>
              <w:t>10,280</w:t>
            </w:r>
          </w:p>
        </w:tc>
        <w:tc>
          <w:tcPr>
            <w:tcW w:w="0" w:type="dxa"/>
            <w:vAlign w:val="bottom"/>
          </w:tcPr>
          <w:p>
            <w:pPr>
              <w:spacing w:after="0"/>
              <w:rPr>
                <w:sz w:val="1"/>
                <w:szCs w:val="1"/>
                <w:color w:val="auto"/>
              </w:rPr>
            </w:pPr>
          </w:p>
        </w:tc>
      </w:tr>
      <w:tr>
        <w:trPr>
          <w:trHeight w:val="284"/>
        </w:trPr>
        <w:tc>
          <w:tcPr>
            <w:tcW w:w="6220" w:type="dxa"/>
            <w:vAlign w:val="bottom"/>
          </w:tcPr>
          <w:p>
            <w:pPr>
              <w:ind w:left="240"/>
              <w:spacing w:after="0"/>
              <w:rPr>
                <w:sz w:val="20"/>
                <w:szCs w:val="20"/>
                <w:color w:val="auto"/>
              </w:rPr>
            </w:pPr>
            <w:r>
              <w:rPr>
                <w:rFonts w:ascii="Arial" w:cs="Arial" w:eastAsia="Arial" w:hAnsi="Arial"/>
                <w:sz w:val="20"/>
                <w:szCs w:val="20"/>
                <w:color w:val="auto"/>
              </w:rPr>
              <w:t>Accounts receivable from non-Debtor subsidiaries</w:t>
            </w:r>
          </w:p>
        </w:tc>
        <w:tc>
          <w:tcPr>
            <w:tcW w:w="560" w:type="dxa"/>
            <w:vAlign w:val="bottom"/>
          </w:tcPr>
          <w:p>
            <w:pPr>
              <w:spacing w:after="0"/>
              <w:rPr>
                <w:sz w:val="24"/>
                <w:szCs w:val="24"/>
                <w:color w:val="auto"/>
              </w:rPr>
            </w:pPr>
          </w:p>
        </w:tc>
        <w:tc>
          <w:tcPr>
            <w:tcW w:w="1160" w:type="dxa"/>
            <w:vAlign w:val="bottom"/>
          </w:tcPr>
          <w:p>
            <w:pPr>
              <w:jc w:val="right"/>
              <w:ind w:right="1"/>
              <w:spacing w:after="0"/>
              <w:rPr>
                <w:sz w:val="20"/>
                <w:szCs w:val="20"/>
                <w:color w:val="auto"/>
              </w:rPr>
            </w:pPr>
            <w:r>
              <w:rPr>
                <w:rFonts w:ascii="Arial" w:cs="Arial" w:eastAsia="Arial" w:hAnsi="Arial"/>
                <w:sz w:val="20"/>
                <w:szCs w:val="20"/>
                <w:color w:val="auto"/>
              </w:rPr>
              <w:t>54,342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jc w:val="right"/>
              <w:ind w:right="1"/>
              <w:spacing w:after="0"/>
              <w:rPr>
                <w:sz w:val="20"/>
                <w:szCs w:val="20"/>
                <w:color w:val="auto"/>
              </w:rPr>
            </w:pPr>
            <w:r>
              <w:rPr>
                <w:rFonts w:ascii="Arial" w:cs="Arial" w:eastAsia="Arial" w:hAnsi="Arial"/>
                <w:sz w:val="20"/>
                <w:szCs w:val="20"/>
                <w:color w:val="auto"/>
              </w:rPr>
              <w:t>36,626</w:t>
            </w:r>
          </w:p>
        </w:tc>
        <w:tc>
          <w:tcPr>
            <w:tcW w:w="0" w:type="dxa"/>
            <w:vAlign w:val="bottom"/>
          </w:tcPr>
          <w:p>
            <w:pPr>
              <w:spacing w:after="0"/>
              <w:rPr>
                <w:sz w:val="1"/>
                <w:szCs w:val="1"/>
                <w:color w:val="auto"/>
              </w:rPr>
            </w:pPr>
          </w:p>
        </w:tc>
      </w:tr>
      <w:tr>
        <w:trPr>
          <w:trHeight w:val="284"/>
        </w:trPr>
        <w:tc>
          <w:tcPr>
            <w:tcW w:w="6220" w:type="dxa"/>
            <w:vAlign w:val="bottom"/>
          </w:tcPr>
          <w:p>
            <w:pPr>
              <w:ind w:left="240"/>
              <w:spacing w:after="0"/>
              <w:rPr>
                <w:sz w:val="20"/>
                <w:szCs w:val="20"/>
                <w:color w:val="auto"/>
              </w:rPr>
            </w:pPr>
            <w:r>
              <w:rPr>
                <w:rFonts w:ascii="Arial" w:cs="Arial" w:eastAsia="Arial" w:hAnsi="Arial"/>
                <w:sz w:val="20"/>
                <w:szCs w:val="20"/>
                <w:color w:val="auto"/>
              </w:rPr>
              <w:t>Inventories</w:t>
            </w:r>
          </w:p>
        </w:tc>
        <w:tc>
          <w:tcPr>
            <w:tcW w:w="560" w:type="dxa"/>
            <w:vAlign w:val="bottom"/>
          </w:tcPr>
          <w:p>
            <w:pPr>
              <w:spacing w:after="0"/>
              <w:rPr>
                <w:sz w:val="24"/>
                <w:szCs w:val="24"/>
                <w:color w:val="auto"/>
              </w:rPr>
            </w:pPr>
          </w:p>
        </w:tc>
        <w:tc>
          <w:tcPr>
            <w:tcW w:w="1160" w:type="dxa"/>
            <w:vAlign w:val="bottom"/>
          </w:tcPr>
          <w:p>
            <w:pPr>
              <w:jc w:val="right"/>
              <w:ind w:right="1"/>
              <w:spacing w:after="0"/>
              <w:rPr>
                <w:sz w:val="20"/>
                <w:szCs w:val="20"/>
                <w:color w:val="auto"/>
              </w:rPr>
            </w:pPr>
            <w:r>
              <w:rPr>
                <w:rFonts w:ascii="Arial" w:cs="Arial" w:eastAsia="Arial" w:hAnsi="Arial"/>
                <w:sz w:val="20"/>
                <w:szCs w:val="20"/>
                <w:color w:val="auto"/>
              </w:rPr>
              <w:t>51,908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jc w:val="right"/>
              <w:ind w:right="1"/>
              <w:spacing w:after="0"/>
              <w:rPr>
                <w:sz w:val="20"/>
                <w:szCs w:val="20"/>
                <w:color w:val="auto"/>
              </w:rPr>
            </w:pPr>
            <w:r>
              <w:rPr>
                <w:rFonts w:ascii="Arial" w:cs="Arial" w:eastAsia="Arial" w:hAnsi="Arial"/>
                <w:sz w:val="20"/>
                <w:szCs w:val="20"/>
                <w:color w:val="auto"/>
              </w:rPr>
              <w:t>68,750</w:t>
            </w:r>
          </w:p>
        </w:tc>
        <w:tc>
          <w:tcPr>
            <w:tcW w:w="0" w:type="dxa"/>
            <w:vAlign w:val="bottom"/>
          </w:tcPr>
          <w:p>
            <w:pPr>
              <w:spacing w:after="0"/>
              <w:rPr>
                <w:sz w:val="1"/>
                <w:szCs w:val="1"/>
                <w:color w:val="auto"/>
              </w:rPr>
            </w:pPr>
          </w:p>
        </w:tc>
      </w:tr>
      <w:tr>
        <w:trPr>
          <w:trHeight w:val="284"/>
        </w:trPr>
        <w:tc>
          <w:tcPr>
            <w:tcW w:w="6220" w:type="dxa"/>
            <w:vAlign w:val="bottom"/>
          </w:tcPr>
          <w:p>
            <w:pPr>
              <w:ind w:left="240"/>
              <w:spacing w:after="0"/>
              <w:rPr>
                <w:sz w:val="20"/>
                <w:szCs w:val="20"/>
                <w:color w:val="auto"/>
              </w:rPr>
            </w:pPr>
            <w:r>
              <w:rPr>
                <w:rFonts w:ascii="Arial" w:cs="Arial" w:eastAsia="Arial" w:hAnsi="Arial"/>
                <w:sz w:val="20"/>
                <w:szCs w:val="20"/>
                <w:color w:val="auto"/>
              </w:rPr>
              <w:t>Other current assets</w:t>
            </w:r>
          </w:p>
        </w:tc>
        <w:tc>
          <w:tcPr>
            <w:tcW w:w="560" w:type="dxa"/>
            <w:vAlign w:val="bottom"/>
          </w:tcPr>
          <w:p>
            <w:pPr>
              <w:spacing w:after="0"/>
              <w:rPr>
                <w:sz w:val="24"/>
                <w:szCs w:val="24"/>
                <w:color w:val="auto"/>
              </w:rPr>
            </w:pPr>
          </w:p>
        </w:tc>
        <w:tc>
          <w:tcPr>
            <w:tcW w:w="1160" w:type="dxa"/>
            <w:vAlign w:val="bottom"/>
          </w:tcPr>
          <w:p>
            <w:pPr>
              <w:jc w:val="right"/>
              <w:ind w:right="1"/>
              <w:spacing w:after="0"/>
              <w:rPr>
                <w:sz w:val="20"/>
                <w:szCs w:val="20"/>
                <w:color w:val="auto"/>
              </w:rPr>
            </w:pPr>
            <w:r>
              <w:rPr>
                <w:rFonts w:ascii="Arial" w:cs="Arial" w:eastAsia="Arial" w:hAnsi="Arial"/>
                <w:sz w:val="20"/>
                <w:szCs w:val="20"/>
                <w:color w:val="auto"/>
              </w:rPr>
              <w:t>14,656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jc w:val="right"/>
              <w:ind w:right="1"/>
              <w:spacing w:after="0"/>
              <w:rPr>
                <w:sz w:val="20"/>
                <w:szCs w:val="20"/>
                <w:color w:val="auto"/>
              </w:rPr>
            </w:pPr>
            <w:r>
              <w:rPr>
                <w:rFonts w:ascii="Arial" w:cs="Arial" w:eastAsia="Arial" w:hAnsi="Arial"/>
                <w:sz w:val="20"/>
                <w:szCs w:val="20"/>
                <w:color w:val="auto"/>
              </w:rPr>
              <w:t>10,213</w:t>
            </w:r>
          </w:p>
        </w:tc>
        <w:tc>
          <w:tcPr>
            <w:tcW w:w="0" w:type="dxa"/>
            <w:vAlign w:val="bottom"/>
          </w:tcPr>
          <w:p>
            <w:pPr>
              <w:spacing w:after="0"/>
              <w:rPr>
                <w:sz w:val="1"/>
                <w:szCs w:val="1"/>
                <w:color w:val="auto"/>
              </w:rPr>
            </w:pPr>
          </w:p>
        </w:tc>
      </w:tr>
      <w:tr>
        <w:trPr>
          <w:trHeight w:val="23"/>
        </w:trPr>
        <w:tc>
          <w:tcPr>
            <w:tcW w:w="62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6220" w:type="dxa"/>
            <w:vAlign w:val="bottom"/>
          </w:tcPr>
          <w:p>
            <w:pPr>
              <w:ind w:left="580"/>
              <w:spacing w:after="0"/>
              <w:rPr>
                <w:sz w:val="20"/>
                <w:szCs w:val="20"/>
                <w:color w:val="auto"/>
              </w:rPr>
            </w:pPr>
            <w:r>
              <w:rPr>
                <w:rFonts w:ascii="Arial" w:cs="Arial" w:eastAsia="Arial" w:hAnsi="Arial"/>
                <w:sz w:val="20"/>
                <w:szCs w:val="20"/>
                <w:color w:val="auto"/>
              </w:rPr>
              <w:t>Total current assets</w:t>
            </w:r>
          </w:p>
        </w:tc>
        <w:tc>
          <w:tcPr>
            <w:tcW w:w="560" w:type="dxa"/>
            <w:vAlign w:val="bottom"/>
          </w:tcPr>
          <w:p>
            <w:pPr>
              <w:spacing w:after="0"/>
              <w:rPr>
                <w:sz w:val="22"/>
                <w:szCs w:val="22"/>
                <w:color w:val="auto"/>
              </w:rPr>
            </w:pPr>
          </w:p>
        </w:tc>
        <w:tc>
          <w:tcPr>
            <w:tcW w:w="1160" w:type="dxa"/>
            <w:vAlign w:val="bottom"/>
          </w:tcPr>
          <w:p>
            <w:pPr>
              <w:jc w:val="right"/>
              <w:ind w:right="1"/>
              <w:spacing w:after="0"/>
              <w:rPr>
                <w:sz w:val="20"/>
                <w:szCs w:val="20"/>
                <w:color w:val="auto"/>
              </w:rPr>
            </w:pPr>
            <w:r>
              <w:rPr>
                <w:rFonts w:ascii="Arial" w:cs="Arial" w:eastAsia="Arial" w:hAnsi="Arial"/>
                <w:sz w:val="20"/>
                <w:szCs w:val="20"/>
                <w:color w:val="auto"/>
              </w:rPr>
              <w:t>150,820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20" w:type="dxa"/>
            <w:vAlign w:val="bottom"/>
          </w:tcPr>
          <w:p>
            <w:pPr>
              <w:jc w:val="right"/>
              <w:ind w:right="1"/>
              <w:spacing w:after="0"/>
              <w:rPr>
                <w:sz w:val="20"/>
                <w:szCs w:val="20"/>
                <w:color w:val="auto"/>
              </w:rPr>
            </w:pPr>
            <w:r>
              <w:rPr>
                <w:rFonts w:ascii="Arial" w:cs="Arial" w:eastAsia="Arial" w:hAnsi="Arial"/>
                <w:sz w:val="20"/>
                <w:szCs w:val="20"/>
                <w:color w:val="auto"/>
              </w:rPr>
              <w:t>140,733</w:t>
            </w:r>
          </w:p>
        </w:tc>
        <w:tc>
          <w:tcPr>
            <w:tcW w:w="0" w:type="dxa"/>
            <w:vAlign w:val="bottom"/>
          </w:tcPr>
          <w:p>
            <w:pPr>
              <w:spacing w:after="0"/>
              <w:rPr>
                <w:sz w:val="1"/>
                <w:szCs w:val="1"/>
                <w:color w:val="auto"/>
              </w:rPr>
            </w:pPr>
          </w:p>
        </w:tc>
      </w:tr>
      <w:tr>
        <w:trPr>
          <w:trHeight w:val="263"/>
        </w:trPr>
        <w:tc>
          <w:tcPr>
            <w:tcW w:w="6220" w:type="dxa"/>
            <w:vAlign w:val="bottom"/>
          </w:tcPr>
          <w:p>
            <w:pPr>
              <w:spacing w:after="0"/>
              <w:rPr>
                <w:sz w:val="20"/>
                <w:szCs w:val="20"/>
                <w:color w:val="auto"/>
              </w:rPr>
            </w:pPr>
            <w:r>
              <w:rPr>
                <w:rFonts w:ascii="Arial" w:cs="Arial" w:eastAsia="Arial" w:hAnsi="Arial"/>
                <w:sz w:val="20"/>
                <w:szCs w:val="20"/>
                <w:color w:val="auto"/>
              </w:rPr>
              <w:t>Property, plant, and equipment, net of accumulated depreciation and</w:t>
            </w:r>
          </w:p>
        </w:tc>
        <w:tc>
          <w:tcPr>
            <w:tcW w:w="5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220" w:type="dxa"/>
            <w:vAlign w:val="bottom"/>
          </w:tcPr>
          <w:p>
            <w:pPr>
              <w:ind w:left="160"/>
              <w:spacing w:after="0"/>
              <w:rPr>
                <w:sz w:val="20"/>
                <w:szCs w:val="20"/>
                <w:color w:val="auto"/>
              </w:rPr>
            </w:pPr>
            <w:r>
              <w:rPr>
                <w:rFonts w:ascii="Arial" w:cs="Arial" w:eastAsia="Arial" w:hAnsi="Arial"/>
                <w:sz w:val="20"/>
                <w:szCs w:val="20"/>
                <w:color w:val="auto"/>
              </w:rPr>
              <w:t>amortization</w:t>
            </w:r>
          </w:p>
        </w:tc>
        <w:tc>
          <w:tcPr>
            <w:tcW w:w="560" w:type="dxa"/>
            <w:vAlign w:val="bottom"/>
          </w:tcPr>
          <w:p>
            <w:pPr>
              <w:spacing w:after="0"/>
              <w:rPr>
                <w:sz w:val="21"/>
                <w:szCs w:val="21"/>
                <w:color w:val="auto"/>
              </w:rPr>
            </w:pPr>
          </w:p>
        </w:tc>
        <w:tc>
          <w:tcPr>
            <w:tcW w:w="1160" w:type="dxa"/>
            <w:vAlign w:val="bottom"/>
          </w:tcPr>
          <w:p>
            <w:pPr>
              <w:jc w:val="right"/>
              <w:ind w:right="1"/>
              <w:spacing w:after="0"/>
              <w:rPr>
                <w:sz w:val="20"/>
                <w:szCs w:val="20"/>
                <w:color w:val="auto"/>
              </w:rPr>
            </w:pPr>
            <w:r>
              <w:rPr>
                <w:rFonts w:ascii="Arial" w:cs="Arial" w:eastAsia="Arial" w:hAnsi="Arial"/>
                <w:sz w:val="20"/>
                <w:szCs w:val="20"/>
                <w:color w:val="auto"/>
              </w:rPr>
              <w:t>120,563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
              <w:spacing w:after="0"/>
              <w:rPr>
                <w:sz w:val="20"/>
                <w:szCs w:val="20"/>
                <w:color w:val="auto"/>
              </w:rPr>
            </w:pPr>
            <w:r>
              <w:rPr>
                <w:rFonts w:ascii="Arial" w:cs="Arial" w:eastAsia="Arial" w:hAnsi="Arial"/>
                <w:sz w:val="20"/>
                <w:szCs w:val="20"/>
                <w:color w:val="auto"/>
              </w:rPr>
              <w:t>134,458</w:t>
            </w:r>
          </w:p>
        </w:tc>
        <w:tc>
          <w:tcPr>
            <w:tcW w:w="0" w:type="dxa"/>
            <w:vAlign w:val="bottom"/>
          </w:tcPr>
          <w:p>
            <w:pPr>
              <w:spacing w:after="0"/>
              <w:rPr>
                <w:sz w:val="1"/>
                <w:szCs w:val="1"/>
                <w:color w:val="auto"/>
              </w:rPr>
            </w:pPr>
          </w:p>
        </w:tc>
      </w:tr>
      <w:tr>
        <w:trPr>
          <w:trHeight w:val="284"/>
        </w:trPr>
        <w:tc>
          <w:tcPr>
            <w:tcW w:w="6220" w:type="dxa"/>
            <w:vAlign w:val="bottom"/>
          </w:tcPr>
          <w:p>
            <w:pPr>
              <w:spacing w:after="0"/>
              <w:rPr>
                <w:sz w:val="20"/>
                <w:szCs w:val="20"/>
                <w:color w:val="auto"/>
              </w:rPr>
            </w:pPr>
            <w:r>
              <w:rPr>
                <w:rFonts w:ascii="Arial" w:cs="Arial" w:eastAsia="Arial" w:hAnsi="Arial"/>
                <w:sz w:val="20"/>
                <w:szCs w:val="20"/>
                <w:color w:val="auto"/>
              </w:rPr>
              <w:t>Investment in non-Debtor subsidiaries</w:t>
            </w:r>
          </w:p>
        </w:tc>
        <w:tc>
          <w:tcPr>
            <w:tcW w:w="560" w:type="dxa"/>
            <w:vAlign w:val="bottom"/>
          </w:tcPr>
          <w:p>
            <w:pPr>
              <w:spacing w:after="0"/>
              <w:rPr>
                <w:sz w:val="24"/>
                <w:szCs w:val="24"/>
                <w:color w:val="auto"/>
              </w:rPr>
            </w:pPr>
          </w:p>
        </w:tc>
        <w:tc>
          <w:tcPr>
            <w:tcW w:w="1160" w:type="dxa"/>
            <w:vAlign w:val="bottom"/>
          </w:tcPr>
          <w:p>
            <w:pPr>
              <w:jc w:val="right"/>
              <w:ind w:right="1"/>
              <w:spacing w:after="0"/>
              <w:rPr>
                <w:sz w:val="20"/>
                <w:szCs w:val="20"/>
                <w:color w:val="auto"/>
              </w:rPr>
            </w:pPr>
            <w:r>
              <w:rPr>
                <w:rFonts w:ascii="Arial" w:cs="Arial" w:eastAsia="Arial" w:hAnsi="Arial"/>
                <w:sz w:val="20"/>
                <w:szCs w:val="20"/>
                <w:color w:val="auto"/>
              </w:rPr>
              <w:t>142,681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jc w:val="right"/>
              <w:ind w:right="1"/>
              <w:spacing w:after="0"/>
              <w:rPr>
                <w:sz w:val="20"/>
                <w:szCs w:val="20"/>
                <w:color w:val="auto"/>
              </w:rPr>
            </w:pPr>
            <w:r>
              <w:rPr>
                <w:rFonts w:ascii="Arial" w:cs="Arial" w:eastAsia="Arial" w:hAnsi="Arial"/>
                <w:sz w:val="20"/>
                <w:szCs w:val="20"/>
                <w:color w:val="auto"/>
              </w:rPr>
              <w:t>130,173</w:t>
            </w:r>
          </w:p>
        </w:tc>
        <w:tc>
          <w:tcPr>
            <w:tcW w:w="0" w:type="dxa"/>
            <w:vAlign w:val="bottom"/>
          </w:tcPr>
          <w:p>
            <w:pPr>
              <w:spacing w:after="0"/>
              <w:rPr>
                <w:sz w:val="1"/>
                <w:szCs w:val="1"/>
                <w:color w:val="auto"/>
              </w:rPr>
            </w:pPr>
          </w:p>
        </w:tc>
      </w:tr>
      <w:tr>
        <w:trPr>
          <w:trHeight w:val="284"/>
        </w:trPr>
        <w:tc>
          <w:tcPr>
            <w:tcW w:w="6220" w:type="dxa"/>
            <w:vAlign w:val="bottom"/>
          </w:tcPr>
          <w:p>
            <w:pPr>
              <w:spacing w:after="0"/>
              <w:rPr>
                <w:sz w:val="20"/>
                <w:szCs w:val="20"/>
                <w:color w:val="auto"/>
              </w:rPr>
            </w:pPr>
            <w:r>
              <w:rPr>
                <w:rFonts w:ascii="Arial" w:cs="Arial" w:eastAsia="Arial" w:hAnsi="Arial"/>
                <w:sz w:val="20"/>
                <w:szCs w:val="20"/>
                <w:color w:val="auto"/>
              </w:rPr>
              <w:t>Other assets</w:t>
            </w:r>
          </w:p>
        </w:tc>
        <w:tc>
          <w:tcPr>
            <w:tcW w:w="560" w:type="dxa"/>
            <w:vAlign w:val="bottom"/>
          </w:tcPr>
          <w:p>
            <w:pPr>
              <w:spacing w:after="0"/>
              <w:rPr>
                <w:sz w:val="24"/>
                <w:szCs w:val="24"/>
                <w:color w:val="auto"/>
              </w:rPr>
            </w:pPr>
          </w:p>
        </w:tc>
        <w:tc>
          <w:tcPr>
            <w:tcW w:w="1160" w:type="dxa"/>
            <w:vAlign w:val="bottom"/>
          </w:tcPr>
          <w:p>
            <w:pPr>
              <w:jc w:val="right"/>
              <w:ind w:right="1"/>
              <w:spacing w:after="0"/>
              <w:rPr>
                <w:sz w:val="20"/>
                <w:szCs w:val="20"/>
                <w:color w:val="auto"/>
              </w:rPr>
            </w:pPr>
            <w:r>
              <w:rPr>
                <w:rFonts w:ascii="Arial" w:cs="Arial" w:eastAsia="Arial" w:hAnsi="Arial"/>
                <w:sz w:val="20"/>
                <w:szCs w:val="20"/>
                <w:color w:val="auto"/>
              </w:rPr>
              <w:t>3,809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jc w:val="right"/>
              <w:ind w:right="1"/>
              <w:spacing w:after="0"/>
              <w:rPr>
                <w:sz w:val="20"/>
                <w:szCs w:val="20"/>
                <w:color w:val="auto"/>
              </w:rPr>
            </w:pPr>
            <w:r>
              <w:rPr>
                <w:rFonts w:ascii="Arial" w:cs="Arial" w:eastAsia="Arial" w:hAnsi="Arial"/>
                <w:sz w:val="20"/>
                <w:szCs w:val="20"/>
                <w:color w:val="auto"/>
              </w:rPr>
              <w:t>4,340</w:t>
            </w:r>
          </w:p>
        </w:tc>
        <w:tc>
          <w:tcPr>
            <w:tcW w:w="0" w:type="dxa"/>
            <w:vAlign w:val="bottom"/>
          </w:tcPr>
          <w:p>
            <w:pPr>
              <w:spacing w:after="0"/>
              <w:rPr>
                <w:sz w:val="1"/>
                <w:szCs w:val="1"/>
                <w:color w:val="auto"/>
              </w:rPr>
            </w:pPr>
          </w:p>
        </w:tc>
      </w:tr>
      <w:tr>
        <w:trPr>
          <w:trHeight w:val="23"/>
        </w:trPr>
        <w:tc>
          <w:tcPr>
            <w:tcW w:w="62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1"/>
        </w:trPr>
        <w:tc>
          <w:tcPr>
            <w:tcW w:w="6220" w:type="dxa"/>
            <w:vAlign w:val="bottom"/>
          </w:tcPr>
          <w:p>
            <w:pPr>
              <w:ind w:left="580"/>
              <w:spacing w:after="0"/>
              <w:rPr>
                <w:sz w:val="20"/>
                <w:szCs w:val="20"/>
                <w:color w:val="auto"/>
              </w:rPr>
            </w:pPr>
            <w:r>
              <w:rPr>
                <w:rFonts w:ascii="Arial" w:cs="Arial" w:eastAsia="Arial" w:hAnsi="Arial"/>
                <w:sz w:val="18"/>
                <w:szCs w:val="18"/>
                <w:color w:val="auto"/>
              </w:rPr>
              <w:t>Total assets</w:t>
            </w:r>
          </w:p>
        </w:tc>
        <w:tc>
          <w:tcPr>
            <w:tcW w:w="560" w:type="dxa"/>
            <w:vAlign w:val="bottom"/>
            <w:tcBorders>
              <w:bottom w:val="single" w:sz="8" w:color="auto"/>
            </w:tcBorders>
          </w:tcPr>
          <w:p>
            <w:pPr>
              <w:jc w:val="right"/>
              <w:ind w:right="321"/>
              <w:spacing w:after="0"/>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417,873</w:t>
            </w:r>
          </w:p>
        </w:tc>
        <w:tc>
          <w:tcPr>
            <w:tcW w:w="100" w:type="dxa"/>
            <w:vAlign w:val="bottom"/>
          </w:tcPr>
          <w:p>
            <w:pPr>
              <w:spacing w:after="0"/>
              <w:rPr>
                <w:sz w:val="23"/>
                <w:szCs w:val="23"/>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w:t>
            </w:r>
          </w:p>
        </w:tc>
        <w:tc>
          <w:tcPr>
            <w:tcW w:w="16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409,704</w:t>
            </w:r>
          </w:p>
        </w:tc>
        <w:tc>
          <w:tcPr>
            <w:tcW w:w="0" w:type="dxa"/>
            <w:vAlign w:val="bottom"/>
          </w:tcPr>
          <w:p>
            <w:pPr>
              <w:spacing w:after="0"/>
              <w:rPr>
                <w:sz w:val="1"/>
                <w:szCs w:val="1"/>
                <w:color w:val="auto"/>
              </w:rPr>
            </w:pPr>
          </w:p>
        </w:tc>
      </w:tr>
      <w:tr>
        <w:trPr>
          <w:trHeight w:val="20"/>
        </w:trPr>
        <w:tc>
          <w:tcPr>
            <w:tcW w:w="6220" w:type="dxa"/>
            <w:vAlign w:val="bottom"/>
            <w:vMerge w:val="restart"/>
          </w:tcPr>
          <w:p>
            <w:pPr>
              <w:ind w:left="1160"/>
              <w:spacing w:after="0"/>
              <w:rPr>
                <w:sz w:val="20"/>
                <w:szCs w:val="20"/>
                <w:color w:val="auto"/>
              </w:rPr>
            </w:pPr>
            <w:r>
              <w:rPr>
                <w:rFonts w:ascii="Arial" w:cs="Arial" w:eastAsia="Arial" w:hAnsi="Arial"/>
                <w:sz w:val="20"/>
                <w:szCs w:val="20"/>
                <w:b w:val="1"/>
                <w:bCs w:val="1"/>
                <w:color w:val="auto"/>
              </w:rPr>
              <w:t>Liabilities and Stockholders’ Equity (Deficit)</w:t>
            </w:r>
          </w:p>
        </w:tc>
        <w:tc>
          <w:tcPr>
            <w:tcW w:w="5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6220" w:type="dxa"/>
            <w:vAlign w:val="bottom"/>
            <w:vMerge w:val="continue"/>
          </w:tcPr>
          <w:p>
            <w:pPr>
              <w:spacing w:after="0"/>
              <w:rPr>
                <w:sz w:val="20"/>
                <w:szCs w:val="20"/>
                <w:color w:val="auto"/>
              </w:rPr>
            </w:pPr>
          </w:p>
        </w:tc>
        <w:tc>
          <w:tcPr>
            <w:tcW w:w="5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6220" w:type="dxa"/>
            <w:vAlign w:val="bottom"/>
          </w:tcPr>
          <w:p>
            <w:pPr>
              <w:spacing w:after="0"/>
              <w:rPr>
                <w:sz w:val="20"/>
                <w:szCs w:val="20"/>
                <w:color w:val="auto"/>
              </w:rPr>
            </w:pPr>
            <w:r>
              <w:rPr>
                <w:rFonts w:ascii="Arial" w:cs="Arial" w:eastAsia="Arial" w:hAnsi="Arial"/>
                <w:sz w:val="20"/>
                <w:szCs w:val="20"/>
                <w:color w:val="auto"/>
              </w:rPr>
              <w:t>Current liabilities:</w:t>
            </w: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220" w:type="dxa"/>
            <w:vAlign w:val="bottom"/>
          </w:tcPr>
          <w:p>
            <w:pPr>
              <w:ind w:left="240"/>
              <w:spacing w:after="0"/>
              <w:rPr>
                <w:sz w:val="20"/>
                <w:szCs w:val="20"/>
                <w:color w:val="auto"/>
              </w:rPr>
            </w:pPr>
            <w:r>
              <w:rPr>
                <w:rFonts w:ascii="Arial" w:cs="Arial" w:eastAsia="Arial" w:hAnsi="Arial"/>
                <w:sz w:val="20"/>
                <w:szCs w:val="20"/>
                <w:color w:val="auto"/>
              </w:rPr>
              <w:t>Short-term borrowings</w:t>
            </w:r>
          </w:p>
        </w:tc>
        <w:tc>
          <w:tcPr>
            <w:tcW w:w="560" w:type="dxa"/>
            <w:vAlign w:val="bottom"/>
          </w:tcPr>
          <w:p>
            <w:pPr>
              <w:jc w:val="right"/>
              <w:ind w:right="321"/>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1"/>
              <w:spacing w:after="0"/>
              <w:rPr>
                <w:sz w:val="20"/>
                <w:szCs w:val="20"/>
                <w:color w:val="auto"/>
              </w:rPr>
            </w:pPr>
            <w:r>
              <w:rPr>
                <w:rFonts w:ascii="Arial" w:cs="Arial" w:eastAsia="Arial" w:hAnsi="Arial"/>
                <w:sz w:val="20"/>
                <w:szCs w:val="20"/>
                <w:color w:val="auto"/>
              </w:rPr>
              <w:t>11,700</w:t>
            </w:r>
          </w:p>
        </w:tc>
        <w:tc>
          <w:tcPr>
            <w:tcW w:w="10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6220" w:type="dxa"/>
            <w:vAlign w:val="bottom"/>
          </w:tcPr>
          <w:p>
            <w:pPr>
              <w:ind w:left="240"/>
              <w:spacing w:after="0"/>
              <w:rPr>
                <w:sz w:val="20"/>
                <w:szCs w:val="20"/>
                <w:color w:val="auto"/>
              </w:rPr>
            </w:pPr>
            <w:r>
              <w:rPr>
                <w:rFonts w:ascii="Arial" w:cs="Arial" w:eastAsia="Arial" w:hAnsi="Arial"/>
                <w:sz w:val="20"/>
                <w:szCs w:val="20"/>
                <w:color w:val="auto"/>
              </w:rPr>
              <w:t>Current portion of obligations under capital leases</w:t>
            </w:r>
          </w:p>
        </w:tc>
        <w:tc>
          <w:tcPr>
            <w:tcW w:w="560" w:type="dxa"/>
            <w:vAlign w:val="bottom"/>
          </w:tcPr>
          <w:p>
            <w:pPr>
              <w:spacing w:after="0"/>
              <w:rPr>
                <w:sz w:val="24"/>
                <w:szCs w:val="24"/>
                <w:color w:val="auto"/>
              </w:rPr>
            </w:pPr>
          </w:p>
        </w:tc>
        <w:tc>
          <w:tcPr>
            <w:tcW w:w="1160" w:type="dxa"/>
            <w:vAlign w:val="bottom"/>
          </w:tcPr>
          <w:p>
            <w:pPr>
              <w:jc w:val="right"/>
              <w:ind w:right="1"/>
              <w:spacing w:after="0"/>
              <w:rPr>
                <w:sz w:val="20"/>
                <w:szCs w:val="20"/>
                <w:color w:val="auto"/>
              </w:rPr>
            </w:pPr>
            <w:r>
              <w:rPr>
                <w:rFonts w:ascii="Arial" w:cs="Arial" w:eastAsia="Arial" w:hAnsi="Arial"/>
                <w:sz w:val="20"/>
                <w:szCs w:val="20"/>
                <w:color w:val="auto"/>
              </w:rPr>
              <w:t>20,451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jc w:val="right"/>
              <w:ind w:right="1"/>
              <w:spacing w:after="0"/>
              <w:rPr>
                <w:sz w:val="20"/>
                <w:szCs w:val="20"/>
                <w:color w:val="auto"/>
              </w:rPr>
            </w:pPr>
            <w:r>
              <w:rPr>
                <w:rFonts w:ascii="Arial" w:cs="Arial" w:eastAsia="Arial" w:hAnsi="Arial"/>
                <w:sz w:val="20"/>
                <w:szCs w:val="20"/>
                <w:color w:val="auto"/>
              </w:rPr>
              <w:t>3,734</w:t>
            </w:r>
          </w:p>
        </w:tc>
        <w:tc>
          <w:tcPr>
            <w:tcW w:w="0" w:type="dxa"/>
            <w:vAlign w:val="bottom"/>
          </w:tcPr>
          <w:p>
            <w:pPr>
              <w:spacing w:after="0"/>
              <w:rPr>
                <w:sz w:val="1"/>
                <w:szCs w:val="1"/>
                <w:color w:val="auto"/>
              </w:rPr>
            </w:pPr>
          </w:p>
        </w:tc>
      </w:tr>
      <w:tr>
        <w:trPr>
          <w:trHeight w:val="284"/>
        </w:trPr>
        <w:tc>
          <w:tcPr>
            <w:tcW w:w="6220" w:type="dxa"/>
            <w:vAlign w:val="bottom"/>
          </w:tcPr>
          <w:p>
            <w:pPr>
              <w:ind w:left="240"/>
              <w:spacing w:after="0"/>
              <w:rPr>
                <w:sz w:val="20"/>
                <w:szCs w:val="20"/>
                <w:color w:val="auto"/>
              </w:rPr>
            </w:pPr>
            <w:r>
              <w:rPr>
                <w:rFonts w:ascii="Arial" w:cs="Arial" w:eastAsia="Arial" w:hAnsi="Arial"/>
                <w:sz w:val="20"/>
                <w:szCs w:val="20"/>
                <w:color w:val="auto"/>
              </w:rPr>
              <w:t>Accounts payable</w:t>
            </w:r>
          </w:p>
        </w:tc>
        <w:tc>
          <w:tcPr>
            <w:tcW w:w="560" w:type="dxa"/>
            <w:vAlign w:val="bottom"/>
          </w:tcPr>
          <w:p>
            <w:pPr>
              <w:spacing w:after="0"/>
              <w:rPr>
                <w:sz w:val="24"/>
                <w:szCs w:val="24"/>
                <w:color w:val="auto"/>
              </w:rPr>
            </w:pPr>
          </w:p>
        </w:tc>
        <w:tc>
          <w:tcPr>
            <w:tcW w:w="1160" w:type="dxa"/>
            <w:vAlign w:val="bottom"/>
          </w:tcPr>
          <w:p>
            <w:pPr>
              <w:jc w:val="right"/>
              <w:ind w:right="1"/>
              <w:spacing w:after="0"/>
              <w:rPr>
                <w:sz w:val="20"/>
                <w:szCs w:val="20"/>
                <w:color w:val="auto"/>
              </w:rPr>
            </w:pPr>
            <w:r>
              <w:rPr>
                <w:rFonts w:ascii="Arial" w:cs="Arial" w:eastAsia="Arial" w:hAnsi="Arial"/>
                <w:sz w:val="20"/>
                <w:szCs w:val="20"/>
                <w:color w:val="auto"/>
              </w:rPr>
              <w:t>19,540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jc w:val="right"/>
              <w:ind w:right="1"/>
              <w:spacing w:after="0"/>
              <w:rPr>
                <w:sz w:val="20"/>
                <w:szCs w:val="20"/>
                <w:color w:val="auto"/>
              </w:rPr>
            </w:pPr>
            <w:r>
              <w:rPr>
                <w:rFonts w:ascii="Arial" w:cs="Arial" w:eastAsia="Arial" w:hAnsi="Arial"/>
                <w:sz w:val="20"/>
                <w:szCs w:val="20"/>
                <w:color w:val="auto"/>
              </w:rPr>
              <w:t>12,114</w:t>
            </w:r>
          </w:p>
        </w:tc>
        <w:tc>
          <w:tcPr>
            <w:tcW w:w="0" w:type="dxa"/>
            <w:vAlign w:val="bottom"/>
          </w:tcPr>
          <w:p>
            <w:pPr>
              <w:spacing w:after="0"/>
              <w:rPr>
                <w:sz w:val="1"/>
                <w:szCs w:val="1"/>
                <w:color w:val="auto"/>
              </w:rPr>
            </w:pPr>
          </w:p>
        </w:tc>
      </w:tr>
      <w:tr>
        <w:trPr>
          <w:trHeight w:val="284"/>
        </w:trPr>
        <w:tc>
          <w:tcPr>
            <w:tcW w:w="6220" w:type="dxa"/>
            <w:vAlign w:val="bottom"/>
          </w:tcPr>
          <w:p>
            <w:pPr>
              <w:ind w:left="240"/>
              <w:spacing w:after="0"/>
              <w:rPr>
                <w:sz w:val="20"/>
                <w:szCs w:val="20"/>
                <w:color w:val="auto"/>
              </w:rPr>
            </w:pPr>
            <w:r>
              <w:rPr>
                <w:rFonts w:ascii="Arial" w:cs="Arial" w:eastAsia="Arial" w:hAnsi="Arial"/>
                <w:sz w:val="20"/>
                <w:szCs w:val="20"/>
                <w:color w:val="auto"/>
              </w:rPr>
              <w:t>Accounts payable to non-Debtor subsidiaries</w:t>
            </w:r>
          </w:p>
        </w:tc>
        <w:tc>
          <w:tcPr>
            <w:tcW w:w="560" w:type="dxa"/>
            <w:vAlign w:val="bottom"/>
          </w:tcPr>
          <w:p>
            <w:pPr>
              <w:spacing w:after="0"/>
              <w:rPr>
                <w:sz w:val="24"/>
                <w:szCs w:val="24"/>
                <w:color w:val="auto"/>
              </w:rPr>
            </w:pPr>
          </w:p>
        </w:tc>
        <w:tc>
          <w:tcPr>
            <w:tcW w:w="1160" w:type="dxa"/>
            <w:vAlign w:val="bottom"/>
          </w:tcPr>
          <w:p>
            <w:pPr>
              <w:jc w:val="right"/>
              <w:ind w:right="1"/>
              <w:spacing w:after="0"/>
              <w:rPr>
                <w:sz w:val="20"/>
                <w:szCs w:val="20"/>
                <w:color w:val="auto"/>
              </w:rPr>
            </w:pPr>
            <w:r>
              <w:rPr>
                <w:rFonts w:ascii="Arial" w:cs="Arial" w:eastAsia="Arial" w:hAnsi="Arial"/>
                <w:sz w:val="20"/>
                <w:szCs w:val="20"/>
                <w:color w:val="auto"/>
              </w:rPr>
              <w:t>37,982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jc w:val="right"/>
              <w:ind w:right="1"/>
              <w:spacing w:after="0"/>
              <w:rPr>
                <w:sz w:val="20"/>
                <w:szCs w:val="20"/>
                <w:color w:val="auto"/>
              </w:rPr>
            </w:pPr>
            <w:r>
              <w:rPr>
                <w:rFonts w:ascii="Arial" w:cs="Arial" w:eastAsia="Arial" w:hAnsi="Arial"/>
                <w:sz w:val="20"/>
                <w:szCs w:val="20"/>
                <w:color w:val="auto"/>
              </w:rPr>
              <w:t>37,471</w:t>
            </w:r>
          </w:p>
        </w:tc>
        <w:tc>
          <w:tcPr>
            <w:tcW w:w="0" w:type="dxa"/>
            <w:vAlign w:val="bottom"/>
          </w:tcPr>
          <w:p>
            <w:pPr>
              <w:spacing w:after="0"/>
              <w:rPr>
                <w:sz w:val="1"/>
                <w:szCs w:val="1"/>
                <w:color w:val="auto"/>
              </w:rPr>
            </w:pPr>
          </w:p>
        </w:tc>
      </w:tr>
      <w:tr>
        <w:trPr>
          <w:trHeight w:val="284"/>
        </w:trPr>
        <w:tc>
          <w:tcPr>
            <w:tcW w:w="6220" w:type="dxa"/>
            <w:vAlign w:val="bottom"/>
          </w:tcPr>
          <w:p>
            <w:pPr>
              <w:ind w:left="240"/>
              <w:spacing w:after="0"/>
              <w:rPr>
                <w:sz w:val="20"/>
                <w:szCs w:val="20"/>
                <w:color w:val="auto"/>
              </w:rPr>
            </w:pPr>
            <w:r>
              <w:rPr>
                <w:rFonts w:ascii="Arial" w:cs="Arial" w:eastAsia="Arial" w:hAnsi="Arial"/>
                <w:sz w:val="20"/>
                <w:szCs w:val="20"/>
                <w:color w:val="auto"/>
              </w:rPr>
              <w:t>Other liabilities</w:t>
            </w:r>
          </w:p>
        </w:tc>
        <w:tc>
          <w:tcPr>
            <w:tcW w:w="560" w:type="dxa"/>
            <w:vAlign w:val="bottom"/>
          </w:tcPr>
          <w:p>
            <w:pPr>
              <w:spacing w:after="0"/>
              <w:rPr>
                <w:sz w:val="24"/>
                <w:szCs w:val="24"/>
                <w:color w:val="auto"/>
              </w:rPr>
            </w:pPr>
          </w:p>
        </w:tc>
        <w:tc>
          <w:tcPr>
            <w:tcW w:w="1160" w:type="dxa"/>
            <w:vAlign w:val="bottom"/>
          </w:tcPr>
          <w:p>
            <w:pPr>
              <w:jc w:val="right"/>
              <w:ind w:right="1"/>
              <w:spacing w:after="0"/>
              <w:rPr>
                <w:sz w:val="20"/>
                <w:szCs w:val="20"/>
                <w:color w:val="auto"/>
              </w:rPr>
            </w:pPr>
            <w:r>
              <w:rPr>
                <w:rFonts w:ascii="Arial" w:cs="Arial" w:eastAsia="Arial" w:hAnsi="Arial"/>
                <w:sz w:val="20"/>
                <w:szCs w:val="20"/>
                <w:color w:val="auto"/>
              </w:rPr>
              <w:t>20,388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jc w:val="right"/>
              <w:ind w:right="1"/>
              <w:spacing w:after="0"/>
              <w:rPr>
                <w:sz w:val="20"/>
                <w:szCs w:val="20"/>
                <w:color w:val="auto"/>
              </w:rPr>
            </w:pPr>
            <w:r>
              <w:rPr>
                <w:rFonts w:ascii="Arial" w:cs="Arial" w:eastAsia="Arial" w:hAnsi="Arial"/>
                <w:sz w:val="20"/>
                <w:szCs w:val="20"/>
                <w:color w:val="auto"/>
              </w:rPr>
              <w:t>9,699</w:t>
            </w:r>
          </w:p>
        </w:tc>
        <w:tc>
          <w:tcPr>
            <w:tcW w:w="0" w:type="dxa"/>
            <w:vAlign w:val="bottom"/>
          </w:tcPr>
          <w:p>
            <w:pPr>
              <w:spacing w:after="0"/>
              <w:rPr>
                <w:sz w:val="1"/>
                <w:szCs w:val="1"/>
                <w:color w:val="auto"/>
              </w:rPr>
            </w:pPr>
          </w:p>
        </w:tc>
      </w:tr>
      <w:tr>
        <w:trPr>
          <w:trHeight w:val="23"/>
        </w:trPr>
        <w:tc>
          <w:tcPr>
            <w:tcW w:w="62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6220" w:type="dxa"/>
            <w:vAlign w:val="bottom"/>
          </w:tcPr>
          <w:p>
            <w:pPr>
              <w:ind w:left="580"/>
              <w:spacing w:after="0"/>
              <w:rPr>
                <w:sz w:val="20"/>
                <w:szCs w:val="20"/>
                <w:color w:val="auto"/>
              </w:rPr>
            </w:pPr>
            <w:r>
              <w:rPr>
                <w:rFonts w:ascii="Arial" w:cs="Arial" w:eastAsia="Arial" w:hAnsi="Arial"/>
                <w:sz w:val="20"/>
                <w:szCs w:val="20"/>
                <w:color w:val="auto"/>
              </w:rPr>
              <w:t>Total current liabilities</w:t>
            </w:r>
          </w:p>
        </w:tc>
        <w:tc>
          <w:tcPr>
            <w:tcW w:w="560" w:type="dxa"/>
            <w:vAlign w:val="bottom"/>
          </w:tcPr>
          <w:p>
            <w:pPr>
              <w:spacing w:after="0"/>
              <w:rPr>
                <w:sz w:val="22"/>
                <w:szCs w:val="22"/>
                <w:color w:val="auto"/>
              </w:rPr>
            </w:pPr>
          </w:p>
        </w:tc>
        <w:tc>
          <w:tcPr>
            <w:tcW w:w="1160" w:type="dxa"/>
            <w:vAlign w:val="bottom"/>
          </w:tcPr>
          <w:p>
            <w:pPr>
              <w:jc w:val="right"/>
              <w:ind w:right="1"/>
              <w:spacing w:after="0"/>
              <w:rPr>
                <w:sz w:val="20"/>
                <w:szCs w:val="20"/>
                <w:color w:val="auto"/>
              </w:rPr>
            </w:pPr>
            <w:r>
              <w:rPr>
                <w:rFonts w:ascii="Arial" w:cs="Arial" w:eastAsia="Arial" w:hAnsi="Arial"/>
                <w:sz w:val="20"/>
                <w:szCs w:val="20"/>
                <w:color w:val="auto"/>
              </w:rPr>
              <w:t>110,061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20" w:type="dxa"/>
            <w:vAlign w:val="bottom"/>
          </w:tcPr>
          <w:p>
            <w:pPr>
              <w:jc w:val="right"/>
              <w:ind w:right="1"/>
              <w:spacing w:after="0"/>
              <w:rPr>
                <w:sz w:val="20"/>
                <w:szCs w:val="20"/>
                <w:color w:val="auto"/>
              </w:rPr>
            </w:pPr>
            <w:r>
              <w:rPr>
                <w:rFonts w:ascii="Arial" w:cs="Arial" w:eastAsia="Arial" w:hAnsi="Arial"/>
                <w:sz w:val="20"/>
                <w:szCs w:val="20"/>
                <w:color w:val="auto"/>
              </w:rPr>
              <w:t>63,018</w:t>
            </w:r>
          </w:p>
        </w:tc>
        <w:tc>
          <w:tcPr>
            <w:tcW w:w="0" w:type="dxa"/>
            <w:vAlign w:val="bottom"/>
          </w:tcPr>
          <w:p>
            <w:pPr>
              <w:spacing w:after="0"/>
              <w:rPr>
                <w:sz w:val="1"/>
                <w:szCs w:val="1"/>
                <w:color w:val="auto"/>
              </w:rPr>
            </w:pPr>
          </w:p>
        </w:tc>
      </w:tr>
      <w:tr>
        <w:trPr>
          <w:trHeight w:val="284"/>
        </w:trPr>
        <w:tc>
          <w:tcPr>
            <w:tcW w:w="6220" w:type="dxa"/>
            <w:vAlign w:val="bottom"/>
          </w:tcPr>
          <w:p>
            <w:pPr>
              <w:spacing w:after="0"/>
              <w:rPr>
                <w:sz w:val="20"/>
                <w:szCs w:val="20"/>
                <w:color w:val="auto"/>
              </w:rPr>
            </w:pPr>
            <w:r>
              <w:rPr>
                <w:rFonts w:ascii="Arial" w:cs="Arial" w:eastAsia="Arial" w:hAnsi="Arial"/>
                <w:sz w:val="20"/>
                <w:szCs w:val="20"/>
                <w:color w:val="auto"/>
              </w:rPr>
              <w:t>Long-term liabilities</w:t>
            </w:r>
          </w:p>
        </w:tc>
        <w:tc>
          <w:tcPr>
            <w:tcW w:w="560" w:type="dxa"/>
            <w:vAlign w:val="bottom"/>
          </w:tcPr>
          <w:p>
            <w:pPr>
              <w:spacing w:after="0"/>
              <w:rPr>
                <w:sz w:val="24"/>
                <w:szCs w:val="24"/>
                <w:color w:val="auto"/>
              </w:rPr>
            </w:pPr>
          </w:p>
        </w:tc>
        <w:tc>
          <w:tcPr>
            <w:tcW w:w="1160" w:type="dxa"/>
            <w:vAlign w:val="bottom"/>
          </w:tcPr>
          <w:p>
            <w:pPr>
              <w:jc w:val="right"/>
              <w:ind w:right="1"/>
              <w:spacing w:after="0"/>
              <w:rPr>
                <w:sz w:val="20"/>
                <w:szCs w:val="20"/>
                <w:color w:val="auto"/>
              </w:rPr>
            </w:pPr>
            <w:r>
              <w:rPr>
                <w:rFonts w:ascii="Arial" w:cs="Arial" w:eastAsia="Arial" w:hAnsi="Arial"/>
                <w:sz w:val="20"/>
                <w:szCs w:val="20"/>
                <w:color w:val="auto"/>
              </w:rPr>
              <w:t>124,891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jc w:val="right"/>
              <w:ind w:right="1"/>
              <w:spacing w:after="0"/>
              <w:rPr>
                <w:sz w:val="20"/>
                <w:szCs w:val="20"/>
                <w:color w:val="auto"/>
              </w:rPr>
            </w:pPr>
            <w:r>
              <w:rPr>
                <w:rFonts w:ascii="Arial" w:cs="Arial" w:eastAsia="Arial" w:hAnsi="Arial"/>
                <w:sz w:val="20"/>
                <w:szCs w:val="20"/>
                <w:color w:val="auto"/>
              </w:rPr>
              <w:t>33,617</w:t>
            </w:r>
          </w:p>
        </w:tc>
        <w:tc>
          <w:tcPr>
            <w:tcW w:w="0" w:type="dxa"/>
            <w:vAlign w:val="bottom"/>
          </w:tcPr>
          <w:p>
            <w:pPr>
              <w:spacing w:after="0"/>
              <w:rPr>
                <w:sz w:val="1"/>
                <w:szCs w:val="1"/>
                <w:color w:val="auto"/>
              </w:rPr>
            </w:pPr>
          </w:p>
        </w:tc>
      </w:tr>
      <w:tr>
        <w:trPr>
          <w:trHeight w:val="284"/>
        </w:trPr>
        <w:tc>
          <w:tcPr>
            <w:tcW w:w="6220" w:type="dxa"/>
            <w:vAlign w:val="bottom"/>
          </w:tcPr>
          <w:p>
            <w:pPr>
              <w:spacing w:after="0"/>
              <w:rPr>
                <w:sz w:val="20"/>
                <w:szCs w:val="20"/>
                <w:color w:val="auto"/>
              </w:rPr>
            </w:pPr>
            <w:r>
              <w:rPr>
                <w:rFonts w:ascii="Arial" w:cs="Arial" w:eastAsia="Arial" w:hAnsi="Arial"/>
                <w:sz w:val="20"/>
                <w:szCs w:val="20"/>
                <w:color w:val="auto"/>
              </w:rPr>
              <w:t>Liabilities subject to compromise</w:t>
            </w:r>
          </w:p>
        </w:tc>
        <w:tc>
          <w:tcPr>
            <w:tcW w:w="560" w:type="dxa"/>
            <w:vAlign w:val="bottom"/>
          </w:tcPr>
          <w:p>
            <w:pPr>
              <w:spacing w:after="0"/>
              <w:rPr>
                <w:sz w:val="24"/>
                <w:szCs w:val="24"/>
                <w:color w:val="auto"/>
              </w:rPr>
            </w:pPr>
          </w:p>
        </w:tc>
        <w:tc>
          <w:tcPr>
            <w:tcW w:w="1160" w:type="dxa"/>
            <w:vAlign w:val="bottom"/>
          </w:tcPr>
          <w:p>
            <w:pPr>
              <w:jc w:val="right"/>
              <w:ind w:right="1"/>
              <w:spacing w:after="0"/>
              <w:rPr>
                <w:sz w:val="20"/>
                <w:szCs w:val="20"/>
                <w:color w:val="auto"/>
              </w:rPr>
            </w:pPr>
            <w:r>
              <w:rPr>
                <w:rFonts w:ascii="Arial" w:cs="Arial" w:eastAsia="Arial" w:hAnsi="Arial"/>
                <w:sz w:val="20"/>
                <w:szCs w:val="20"/>
                <w:color w:val="auto"/>
              </w:rPr>
              <w:t>85,862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jc w:val="right"/>
              <w:ind w:right="1"/>
              <w:spacing w:after="0"/>
              <w:rPr>
                <w:sz w:val="20"/>
                <w:szCs w:val="20"/>
                <w:color w:val="auto"/>
              </w:rPr>
            </w:pPr>
            <w:r>
              <w:rPr>
                <w:rFonts w:ascii="Arial" w:cs="Arial" w:eastAsia="Arial" w:hAnsi="Arial"/>
                <w:sz w:val="20"/>
                <w:szCs w:val="20"/>
                <w:color w:val="auto"/>
              </w:rPr>
              <w:t>362,246</w:t>
            </w:r>
          </w:p>
        </w:tc>
        <w:tc>
          <w:tcPr>
            <w:tcW w:w="0" w:type="dxa"/>
            <w:vAlign w:val="bottom"/>
          </w:tcPr>
          <w:p>
            <w:pPr>
              <w:spacing w:after="0"/>
              <w:rPr>
                <w:sz w:val="1"/>
                <w:szCs w:val="1"/>
                <w:color w:val="auto"/>
              </w:rPr>
            </w:pPr>
          </w:p>
        </w:tc>
      </w:tr>
      <w:tr>
        <w:trPr>
          <w:trHeight w:val="23"/>
        </w:trPr>
        <w:tc>
          <w:tcPr>
            <w:tcW w:w="62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6220" w:type="dxa"/>
            <w:vAlign w:val="bottom"/>
          </w:tcPr>
          <w:p>
            <w:pPr>
              <w:ind w:left="580"/>
              <w:spacing w:after="0"/>
              <w:rPr>
                <w:sz w:val="20"/>
                <w:szCs w:val="20"/>
                <w:color w:val="auto"/>
              </w:rPr>
            </w:pPr>
            <w:r>
              <w:rPr>
                <w:rFonts w:ascii="Arial" w:cs="Arial" w:eastAsia="Arial" w:hAnsi="Arial"/>
                <w:sz w:val="20"/>
                <w:szCs w:val="20"/>
                <w:color w:val="auto"/>
              </w:rPr>
              <w:t>Total liabilities</w:t>
            </w:r>
          </w:p>
        </w:tc>
        <w:tc>
          <w:tcPr>
            <w:tcW w:w="560" w:type="dxa"/>
            <w:vAlign w:val="bottom"/>
          </w:tcPr>
          <w:p>
            <w:pPr>
              <w:spacing w:after="0"/>
              <w:rPr>
                <w:sz w:val="22"/>
                <w:szCs w:val="22"/>
                <w:color w:val="auto"/>
              </w:rPr>
            </w:pPr>
          </w:p>
        </w:tc>
        <w:tc>
          <w:tcPr>
            <w:tcW w:w="1160" w:type="dxa"/>
            <w:vAlign w:val="bottom"/>
          </w:tcPr>
          <w:p>
            <w:pPr>
              <w:jc w:val="right"/>
              <w:ind w:right="1"/>
              <w:spacing w:after="0"/>
              <w:rPr>
                <w:sz w:val="20"/>
                <w:szCs w:val="20"/>
                <w:color w:val="auto"/>
              </w:rPr>
            </w:pPr>
            <w:r>
              <w:rPr>
                <w:rFonts w:ascii="Arial" w:cs="Arial" w:eastAsia="Arial" w:hAnsi="Arial"/>
                <w:sz w:val="20"/>
                <w:szCs w:val="20"/>
                <w:color w:val="auto"/>
              </w:rPr>
              <w:t>320,814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20" w:type="dxa"/>
            <w:vAlign w:val="bottom"/>
          </w:tcPr>
          <w:p>
            <w:pPr>
              <w:jc w:val="right"/>
              <w:ind w:right="1"/>
              <w:spacing w:after="0"/>
              <w:rPr>
                <w:sz w:val="20"/>
                <w:szCs w:val="20"/>
                <w:color w:val="auto"/>
              </w:rPr>
            </w:pPr>
            <w:r>
              <w:rPr>
                <w:rFonts w:ascii="Arial" w:cs="Arial" w:eastAsia="Arial" w:hAnsi="Arial"/>
                <w:sz w:val="20"/>
                <w:szCs w:val="20"/>
                <w:color w:val="auto"/>
              </w:rPr>
              <w:t>458,881</w:t>
            </w:r>
          </w:p>
        </w:tc>
        <w:tc>
          <w:tcPr>
            <w:tcW w:w="0" w:type="dxa"/>
            <w:vAlign w:val="bottom"/>
          </w:tcPr>
          <w:p>
            <w:pPr>
              <w:spacing w:after="0"/>
              <w:rPr>
                <w:sz w:val="1"/>
                <w:szCs w:val="1"/>
                <w:color w:val="auto"/>
              </w:rPr>
            </w:pPr>
          </w:p>
        </w:tc>
      </w:tr>
      <w:tr>
        <w:trPr>
          <w:trHeight w:val="284"/>
        </w:trPr>
        <w:tc>
          <w:tcPr>
            <w:tcW w:w="6220" w:type="dxa"/>
            <w:vAlign w:val="bottom"/>
          </w:tcPr>
          <w:p>
            <w:pPr>
              <w:ind w:left="580"/>
              <w:spacing w:after="0"/>
              <w:rPr>
                <w:sz w:val="20"/>
                <w:szCs w:val="20"/>
                <w:color w:val="auto"/>
              </w:rPr>
            </w:pPr>
            <w:r>
              <w:rPr>
                <w:rFonts w:ascii="Arial" w:cs="Arial" w:eastAsia="Arial" w:hAnsi="Arial"/>
                <w:sz w:val="20"/>
                <w:szCs w:val="20"/>
                <w:color w:val="auto"/>
              </w:rPr>
              <w:t>Temporary equity</w:t>
            </w:r>
          </w:p>
        </w:tc>
        <w:tc>
          <w:tcPr>
            <w:tcW w:w="560" w:type="dxa"/>
            <w:vAlign w:val="bottom"/>
          </w:tcPr>
          <w:p>
            <w:pPr>
              <w:spacing w:after="0"/>
              <w:rPr>
                <w:sz w:val="24"/>
                <w:szCs w:val="24"/>
                <w:color w:val="auto"/>
              </w:rPr>
            </w:pPr>
          </w:p>
        </w:tc>
        <w:tc>
          <w:tcPr>
            <w:tcW w:w="1160" w:type="dxa"/>
            <w:vAlign w:val="bottom"/>
          </w:tcPr>
          <w:p>
            <w:pPr>
              <w:jc w:val="right"/>
              <w:ind w:right="1"/>
              <w:spacing w:after="0"/>
              <w:rPr>
                <w:sz w:val="20"/>
                <w:szCs w:val="20"/>
                <w:color w:val="auto"/>
              </w:rPr>
            </w:pPr>
            <w:r>
              <w:rPr>
                <w:rFonts w:ascii="Arial" w:cs="Arial" w:eastAsia="Arial" w:hAnsi="Arial"/>
                <w:sz w:val="20"/>
                <w:szCs w:val="20"/>
                <w:color w:val="auto"/>
              </w:rPr>
              <w:t>29,963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jc w:val="right"/>
              <w:ind w:right="1"/>
              <w:spacing w:after="0"/>
              <w:rPr>
                <w:sz w:val="20"/>
                <w:szCs w:val="20"/>
                <w:color w:val="auto"/>
              </w:rPr>
            </w:pPr>
            <w:r>
              <w:rPr>
                <w:rFonts w:ascii="Arial" w:cs="Arial" w:eastAsia="Arial" w:hAnsi="Arial"/>
                <w:sz w:val="20"/>
                <w:szCs w:val="20"/>
                <w:color w:val="auto"/>
              </w:rPr>
              <w:t>29,963</w:t>
            </w:r>
          </w:p>
        </w:tc>
        <w:tc>
          <w:tcPr>
            <w:tcW w:w="0" w:type="dxa"/>
            <w:vAlign w:val="bottom"/>
          </w:tcPr>
          <w:p>
            <w:pPr>
              <w:spacing w:after="0"/>
              <w:rPr>
                <w:sz w:val="1"/>
                <w:szCs w:val="1"/>
                <w:color w:val="auto"/>
              </w:rPr>
            </w:pPr>
          </w:p>
        </w:tc>
      </w:tr>
      <w:tr>
        <w:trPr>
          <w:trHeight w:val="284"/>
        </w:trPr>
        <w:tc>
          <w:tcPr>
            <w:tcW w:w="6220" w:type="dxa"/>
            <w:vAlign w:val="bottom"/>
          </w:tcPr>
          <w:p>
            <w:pPr>
              <w:ind w:left="580"/>
              <w:spacing w:after="0"/>
              <w:rPr>
                <w:sz w:val="20"/>
                <w:szCs w:val="20"/>
                <w:color w:val="auto"/>
              </w:rPr>
            </w:pPr>
            <w:r>
              <w:rPr>
                <w:rFonts w:ascii="Arial" w:cs="Arial" w:eastAsia="Arial" w:hAnsi="Arial"/>
                <w:sz w:val="20"/>
                <w:szCs w:val="20"/>
                <w:color w:val="auto"/>
              </w:rPr>
              <w:t>Total stockholders’ equity (deficit)</w:t>
            </w:r>
          </w:p>
        </w:tc>
        <w:tc>
          <w:tcPr>
            <w:tcW w:w="560" w:type="dxa"/>
            <w:vAlign w:val="bottom"/>
          </w:tcPr>
          <w:p>
            <w:pPr>
              <w:spacing w:after="0"/>
              <w:rPr>
                <w:sz w:val="24"/>
                <w:szCs w:val="24"/>
                <w:color w:val="auto"/>
              </w:rPr>
            </w:pPr>
          </w:p>
        </w:tc>
        <w:tc>
          <w:tcPr>
            <w:tcW w:w="1160" w:type="dxa"/>
            <w:vAlign w:val="bottom"/>
          </w:tcPr>
          <w:p>
            <w:pPr>
              <w:jc w:val="right"/>
              <w:ind w:right="1"/>
              <w:spacing w:after="0"/>
              <w:rPr>
                <w:sz w:val="20"/>
                <w:szCs w:val="20"/>
                <w:color w:val="auto"/>
              </w:rPr>
            </w:pPr>
            <w:r>
              <w:rPr>
                <w:rFonts w:ascii="Arial" w:cs="Arial" w:eastAsia="Arial" w:hAnsi="Arial"/>
                <w:sz w:val="20"/>
                <w:szCs w:val="20"/>
                <w:color w:val="auto"/>
              </w:rPr>
              <w:t>67,096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20"/>
                <w:szCs w:val="20"/>
                <w:color w:val="auto"/>
              </w:rPr>
              <w:t>(79,140)</w:t>
            </w:r>
          </w:p>
        </w:tc>
        <w:tc>
          <w:tcPr>
            <w:tcW w:w="0" w:type="dxa"/>
            <w:vAlign w:val="bottom"/>
          </w:tcPr>
          <w:p>
            <w:pPr>
              <w:spacing w:after="0"/>
              <w:rPr>
                <w:sz w:val="1"/>
                <w:szCs w:val="1"/>
                <w:color w:val="auto"/>
              </w:rPr>
            </w:pPr>
          </w:p>
        </w:tc>
      </w:tr>
      <w:tr>
        <w:trPr>
          <w:trHeight w:val="23"/>
        </w:trPr>
        <w:tc>
          <w:tcPr>
            <w:tcW w:w="62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220" w:type="dxa"/>
            <w:vAlign w:val="bottom"/>
          </w:tcPr>
          <w:p>
            <w:pPr>
              <w:ind w:left="580"/>
              <w:spacing w:after="0"/>
              <w:rPr>
                <w:sz w:val="20"/>
                <w:szCs w:val="20"/>
                <w:color w:val="auto"/>
              </w:rPr>
            </w:pPr>
            <w:r>
              <w:rPr>
                <w:rFonts w:ascii="Arial" w:cs="Arial" w:eastAsia="Arial" w:hAnsi="Arial"/>
                <w:sz w:val="20"/>
                <w:szCs w:val="20"/>
                <w:color w:val="auto"/>
              </w:rPr>
              <w:t>Total liabilities and stockholders’ deficit</w:t>
            </w:r>
          </w:p>
        </w:tc>
        <w:tc>
          <w:tcPr>
            <w:tcW w:w="560" w:type="dxa"/>
            <w:vAlign w:val="bottom"/>
            <w:tcBorders>
              <w:bottom w:val="single" w:sz="8" w:color="auto"/>
            </w:tcBorders>
          </w:tcPr>
          <w:p>
            <w:pPr>
              <w:jc w:val="right"/>
              <w:ind w:right="321"/>
              <w:spacing w:after="0"/>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417,873</w:t>
            </w:r>
          </w:p>
        </w:tc>
        <w:tc>
          <w:tcPr>
            <w:tcW w:w="100" w:type="dxa"/>
            <w:vAlign w:val="bottom"/>
          </w:tcPr>
          <w:p>
            <w:pPr>
              <w:spacing w:after="0"/>
              <w:rPr>
                <w:sz w:val="23"/>
                <w:szCs w:val="23"/>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w:t>
            </w:r>
          </w:p>
        </w:tc>
        <w:tc>
          <w:tcPr>
            <w:tcW w:w="16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409,704</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740"/>
          </w:cols>
          <w:pgMar w:left="920" w:top="553" w:right="239" w:bottom="1440" w:gutter="0" w:footer="0" w:header="0"/>
        </w:sectPr>
      </w:pPr>
    </w:p>
    <w:bookmarkStart w:id="19" w:name="page20"/>
    <w:bookmarkEnd w:id="19"/>
    <w:p>
      <w:pPr>
        <w:jc w:val="center"/>
        <w:ind w:right="680"/>
        <w:spacing w:after="0"/>
        <w:rPr>
          <w:sz w:val="20"/>
          <w:szCs w:val="20"/>
          <w:color w:val="auto"/>
        </w:rPr>
      </w:pPr>
      <w:r>
        <w:rPr>
          <w:rFonts w:ascii="Arial" w:cs="Arial" w:eastAsia="Arial" w:hAnsi="Arial"/>
          <w:sz w:val="18"/>
          <w:szCs w:val="18"/>
          <w:b w:val="1"/>
          <w:bCs w:val="1"/>
          <w:color w:val="auto"/>
        </w:rPr>
        <w:t>ELPIDA MEMORY, INC. AND SUBSIDIARIES</w:t>
      </w:r>
    </w:p>
    <w:p>
      <w:pPr>
        <w:spacing w:after="0" w:line="27" w:lineRule="exact"/>
        <w:rPr>
          <w:sz w:val="20"/>
          <w:szCs w:val="20"/>
          <w:color w:val="auto"/>
        </w:rPr>
      </w:pPr>
    </w:p>
    <w:p>
      <w:pPr>
        <w:jc w:val="center"/>
        <w:ind w:right="680"/>
        <w:spacing w:after="0"/>
        <w:rPr>
          <w:sz w:val="20"/>
          <w:szCs w:val="20"/>
          <w:color w:val="auto"/>
        </w:rPr>
      </w:pPr>
      <w:r>
        <w:rPr>
          <w:rFonts w:ascii="Arial" w:cs="Arial" w:eastAsia="Arial" w:hAnsi="Arial"/>
          <w:sz w:val="18"/>
          <w:szCs w:val="18"/>
          <w:b w:val="1"/>
          <w:bCs w:val="1"/>
          <w:color w:val="auto"/>
        </w:rPr>
        <w:t>(DEBTORS-IN-POSSESSION)</w:t>
      </w:r>
    </w:p>
    <w:p>
      <w:pPr>
        <w:spacing w:after="0" w:line="9" w:lineRule="exact"/>
        <w:rPr>
          <w:sz w:val="20"/>
          <w:szCs w:val="20"/>
          <w:color w:val="auto"/>
        </w:rPr>
      </w:pPr>
    </w:p>
    <w:p>
      <w:pPr>
        <w:jc w:val="center"/>
        <w:ind w:right="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140" w:type="dxa"/>
            <w:vAlign w:val="bottom"/>
            <w:gridSpan w:val="3"/>
          </w:tcPr>
          <w:p>
            <w:pPr>
              <w:ind w:left="40"/>
              <w:spacing w:after="0"/>
              <w:rPr>
                <w:sz w:val="20"/>
                <w:szCs w:val="20"/>
                <w:color w:val="auto"/>
              </w:rPr>
            </w:pPr>
            <w:r>
              <w:rPr>
                <w:rFonts w:ascii="Arial" w:cs="Arial" w:eastAsia="Arial" w:hAnsi="Arial"/>
                <w:sz w:val="20"/>
                <w:szCs w:val="20"/>
                <w:b w:val="1"/>
                <w:bCs w:val="1"/>
                <w:color w:val="auto"/>
                <w:w w:val="90"/>
              </w:rPr>
              <w:t>Condensed Combined Debtors-in-Possession Statement of Operations</w:t>
            </w:r>
          </w:p>
        </w:tc>
        <w:tc>
          <w:tcPr>
            <w:tcW w:w="20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1"/>
        </w:trPr>
        <w:tc>
          <w:tcPr>
            <w:tcW w:w="5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40" w:type="dxa"/>
            <w:vAlign w:val="bottom"/>
            <w:gridSpan w:val="2"/>
          </w:tcPr>
          <w:p>
            <w:pPr>
              <w:jc w:val="center"/>
              <w:ind w:right="220"/>
              <w:spacing w:after="0"/>
              <w:rPr>
                <w:sz w:val="20"/>
                <w:szCs w:val="20"/>
                <w:color w:val="auto"/>
              </w:rPr>
            </w:pPr>
            <w:r>
              <w:rPr>
                <w:rFonts w:ascii="Arial" w:cs="Arial" w:eastAsia="Arial" w:hAnsi="Arial"/>
                <w:sz w:val="20"/>
                <w:szCs w:val="20"/>
                <w:b w:val="1"/>
                <w:bCs w:val="1"/>
                <w:color w:val="auto"/>
                <w:w w:val="91"/>
              </w:rPr>
              <w:t>For the period from</w:t>
            </w:r>
          </w:p>
        </w:tc>
        <w:tc>
          <w:tcPr>
            <w:tcW w:w="0" w:type="dxa"/>
            <w:vAlign w:val="bottom"/>
          </w:tcPr>
          <w:p>
            <w:pPr>
              <w:spacing w:after="0"/>
              <w:rPr>
                <w:sz w:val="1"/>
                <w:szCs w:val="1"/>
                <w:color w:val="auto"/>
              </w:rPr>
            </w:pPr>
          </w:p>
        </w:tc>
      </w:tr>
      <w:tr>
        <w:trPr>
          <w:trHeight w:val="230"/>
        </w:trPr>
        <w:tc>
          <w:tcPr>
            <w:tcW w:w="5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80" w:type="dxa"/>
            <w:vAlign w:val="bottom"/>
            <w:gridSpan w:val="3"/>
          </w:tcPr>
          <w:p>
            <w:pPr>
              <w:jc w:val="center"/>
              <w:spacing w:after="0"/>
              <w:rPr>
                <w:sz w:val="20"/>
                <w:szCs w:val="20"/>
                <w:color w:val="auto"/>
              </w:rPr>
            </w:pPr>
            <w:r>
              <w:rPr>
                <w:rFonts w:ascii="Arial" w:cs="Arial" w:eastAsia="Arial" w:hAnsi="Arial"/>
                <w:sz w:val="20"/>
                <w:szCs w:val="20"/>
                <w:b w:val="1"/>
                <w:bCs w:val="1"/>
                <w:color w:val="auto"/>
                <w:w w:val="92"/>
              </w:rPr>
              <w:t>For the period from April</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40" w:type="dxa"/>
            <w:vAlign w:val="bottom"/>
            <w:gridSpan w:val="2"/>
          </w:tcPr>
          <w:p>
            <w:pPr>
              <w:jc w:val="center"/>
              <w:ind w:right="200"/>
              <w:spacing w:after="0"/>
              <w:rPr>
                <w:sz w:val="20"/>
                <w:szCs w:val="20"/>
                <w:color w:val="auto"/>
              </w:rPr>
            </w:pPr>
            <w:r>
              <w:rPr>
                <w:rFonts w:ascii="Arial" w:cs="Arial" w:eastAsia="Arial" w:hAnsi="Arial"/>
                <w:sz w:val="20"/>
                <w:szCs w:val="20"/>
                <w:b w:val="1"/>
                <w:bCs w:val="1"/>
                <w:color w:val="auto"/>
                <w:w w:val="91"/>
              </w:rPr>
              <w:t>February 27, 2012</w:t>
            </w:r>
          </w:p>
        </w:tc>
        <w:tc>
          <w:tcPr>
            <w:tcW w:w="0" w:type="dxa"/>
            <w:vAlign w:val="bottom"/>
          </w:tcPr>
          <w:p>
            <w:pPr>
              <w:spacing w:after="0"/>
              <w:rPr>
                <w:sz w:val="1"/>
                <w:szCs w:val="1"/>
                <w:color w:val="auto"/>
              </w:rPr>
            </w:pPr>
          </w:p>
        </w:tc>
      </w:tr>
      <w:tr>
        <w:trPr>
          <w:trHeight w:val="230"/>
        </w:trPr>
        <w:tc>
          <w:tcPr>
            <w:tcW w:w="5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20" w:type="dxa"/>
            <w:vAlign w:val="bottom"/>
            <w:gridSpan w:val="2"/>
          </w:tcPr>
          <w:p>
            <w:pPr>
              <w:jc w:val="center"/>
              <w:ind w:right="280"/>
              <w:spacing w:after="0"/>
              <w:rPr>
                <w:sz w:val="20"/>
                <w:szCs w:val="20"/>
                <w:color w:val="auto"/>
              </w:rPr>
            </w:pPr>
            <w:r>
              <w:rPr>
                <w:rFonts w:ascii="Arial" w:cs="Arial" w:eastAsia="Arial" w:hAnsi="Arial"/>
                <w:sz w:val="20"/>
                <w:szCs w:val="20"/>
                <w:b w:val="1"/>
                <w:bCs w:val="1"/>
                <w:color w:val="auto"/>
                <w:w w:val="89"/>
              </w:rPr>
              <w:t>1, 2012 through</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40" w:type="dxa"/>
            <w:vAlign w:val="bottom"/>
            <w:gridSpan w:val="2"/>
          </w:tcPr>
          <w:p>
            <w:pPr>
              <w:jc w:val="center"/>
              <w:ind w:right="220"/>
              <w:spacing w:after="0"/>
              <w:rPr>
                <w:sz w:val="20"/>
                <w:szCs w:val="20"/>
                <w:color w:val="auto"/>
              </w:rPr>
            </w:pPr>
            <w:r>
              <w:rPr>
                <w:rFonts w:ascii="Arial" w:cs="Arial" w:eastAsia="Arial" w:hAnsi="Arial"/>
                <w:sz w:val="20"/>
                <w:szCs w:val="20"/>
                <w:b w:val="1"/>
                <w:bCs w:val="1"/>
                <w:color w:val="auto"/>
                <w:w w:val="89"/>
              </w:rPr>
              <w:t>through</w:t>
            </w:r>
          </w:p>
        </w:tc>
        <w:tc>
          <w:tcPr>
            <w:tcW w:w="0" w:type="dxa"/>
            <w:vAlign w:val="bottom"/>
          </w:tcPr>
          <w:p>
            <w:pPr>
              <w:spacing w:after="0"/>
              <w:rPr>
                <w:sz w:val="1"/>
                <w:szCs w:val="1"/>
                <w:color w:val="auto"/>
              </w:rPr>
            </w:pPr>
          </w:p>
        </w:tc>
      </w:tr>
      <w:tr>
        <w:trPr>
          <w:trHeight w:val="256"/>
        </w:trPr>
        <w:tc>
          <w:tcPr>
            <w:tcW w:w="5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120" w:type="dxa"/>
            <w:vAlign w:val="bottom"/>
            <w:gridSpan w:val="2"/>
          </w:tcPr>
          <w:p>
            <w:pPr>
              <w:jc w:val="center"/>
              <w:ind w:right="260"/>
              <w:spacing w:after="0"/>
              <w:rPr>
                <w:sz w:val="20"/>
                <w:szCs w:val="20"/>
                <w:color w:val="auto"/>
              </w:rPr>
            </w:pPr>
            <w:r>
              <w:rPr>
                <w:rFonts w:ascii="Arial" w:cs="Arial" w:eastAsia="Arial" w:hAnsi="Arial"/>
                <w:sz w:val="20"/>
                <w:szCs w:val="20"/>
                <w:b w:val="1"/>
                <w:bCs w:val="1"/>
                <w:color w:val="auto"/>
                <w:w w:val="91"/>
              </w:rPr>
              <w:t>February 28, 2013</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140" w:type="dxa"/>
            <w:vAlign w:val="bottom"/>
            <w:gridSpan w:val="2"/>
          </w:tcPr>
          <w:p>
            <w:pPr>
              <w:jc w:val="center"/>
              <w:ind w:right="220"/>
              <w:spacing w:after="0"/>
              <w:rPr>
                <w:sz w:val="20"/>
                <w:szCs w:val="20"/>
                <w:color w:val="auto"/>
              </w:rPr>
            </w:pPr>
            <w:r>
              <w:rPr>
                <w:rFonts w:ascii="Arial" w:cs="Arial" w:eastAsia="Arial" w:hAnsi="Arial"/>
                <w:sz w:val="20"/>
                <w:szCs w:val="20"/>
                <w:b w:val="1"/>
                <w:bCs w:val="1"/>
                <w:color w:val="auto"/>
                <w:w w:val="92"/>
              </w:rPr>
              <w:t>March 31, 2012</w:t>
            </w:r>
          </w:p>
        </w:tc>
        <w:tc>
          <w:tcPr>
            <w:tcW w:w="0" w:type="dxa"/>
            <w:vAlign w:val="bottom"/>
          </w:tcPr>
          <w:p>
            <w:pPr>
              <w:spacing w:after="0"/>
              <w:rPr>
                <w:sz w:val="1"/>
                <w:szCs w:val="1"/>
                <w:color w:val="auto"/>
              </w:rPr>
            </w:pPr>
          </w:p>
        </w:tc>
      </w:tr>
      <w:tr>
        <w:trPr>
          <w:trHeight w:val="23"/>
        </w:trPr>
        <w:tc>
          <w:tcPr>
            <w:tcW w:w="58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5860" w:type="dxa"/>
            <w:vAlign w:val="bottom"/>
          </w:tcPr>
          <w:p>
            <w:pPr>
              <w:spacing w:after="0"/>
              <w:rPr>
                <w:sz w:val="20"/>
                <w:szCs w:val="20"/>
                <w:color w:val="auto"/>
              </w:rPr>
            </w:pPr>
            <w:r>
              <w:rPr>
                <w:rFonts w:ascii="Arial" w:cs="Arial" w:eastAsia="Arial" w:hAnsi="Arial"/>
                <w:sz w:val="20"/>
                <w:szCs w:val="20"/>
                <w:color w:val="auto"/>
              </w:rPr>
              <w:t>Net sales</w:t>
            </w:r>
          </w:p>
        </w:tc>
        <w:tc>
          <w:tcPr>
            <w:tcW w:w="280" w:type="dxa"/>
            <w:vAlign w:val="bottom"/>
            <w:gridSpan w:val="2"/>
          </w:tcPr>
          <w:p>
            <w:pPr>
              <w:jc w:val="right"/>
              <w:ind w:right="41"/>
              <w:spacing w:after="0"/>
              <w:rPr>
                <w:sz w:val="20"/>
                <w:szCs w:val="20"/>
                <w:color w:val="auto"/>
              </w:rPr>
            </w:pPr>
            <w:r>
              <w:rPr>
                <w:rFonts w:ascii="Arial" w:cs="Arial" w:eastAsia="Arial" w:hAnsi="Arial"/>
                <w:sz w:val="20"/>
                <w:szCs w:val="20"/>
                <w:color w:val="auto"/>
              </w:rPr>
              <w:t>¥</w:t>
            </w:r>
          </w:p>
        </w:tc>
        <w:tc>
          <w:tcPr>
            <w:tcW w:w="2080" w:type="dxa"/>
            <w:vAlign w:val="bottom"/>
          </w:tcPr>
          <w:p>
            <w:pPr>
              <w:jc w:val="right"/>
              <w:spacing w:after="0"/>
              <w:rPr>
                <w:sz w:val="20"/>
                <w:szCs w:val="20"/>
                <w:color w:val="auto"/>
              </w:rPr>
            </w:pPr>
            <w:r>
              <w:rPr>
                <w:rFonts w:ascii="Arial" w:cs="Arial" w:eastAsia="Arial" w:hAnsi="Arial"/>
                <w:sz w:val="20"/>
                <w:szCs w:val="20"/>
                <w:color w:val="auto"/>
              </w:rPr>
              <w:t>264,178</w:t>
            </w:r>
          </w:p>
        </w:tc>
        <w:tc>
          <w:tcPr>
            <w:tcW w:w="40" w:type="dxa"/>
            <w:vAlign w:val="bottom"/>
          </w:tcPr>
          <w:p>
            <w:pPr>
              <w:spacing w:after="0"/>
              <w:rPr>
                <w:sz w:val="22"/>
                <w:szCs w:val="22"/>
                <w:color w:val="auto"/>
              </w:rPr>
            </w:pPr>
          </w:p>
        </w:tc>
        <w:tc>
          <w:tcPr>
            <w:tcW w:w="340" w:type="dxa"/>
            <w:vAlign w:val="bottom"/>
            <w:gridSpan w:val="3"/>
          </w:tcPr>
          <w:p>
            <w:pPr>
              <w:jc w:val="right"/>
              <w:ind w:right="120"/>
              <w:spacing w:after="0"/>
              <w:rPr>
                <w:sz w:val="20"/>
                <w:szCs w:val="20"/>
                <w:color w:val="auto"/>
              </w:rPr>
            </w:pPr>
            <w:r>
              <w:rPr>
                <w:rFonts w:ascii="Arial" w:cs="Arial" w:eastAsia="Arial" w:hAnsi="Arial"/>
                <w:sz w:val="20"/>
                <w:szCs w:val="20"/>
                <w:color w:val="auto"/>
              </w:rPr>
              <w:t>¥</w:t>
            </w:r>
          </w:p>
        </w:tc>
        <w:tc>
          <w:tcPr>
            <w:tcW w:w="2120" w:type="dxa"/>
            <w:vAlign w:val="bottom"/>
          </w:tcPr>
          <w:p>
            <w:pPr>
              <w:jc w:val="right"/>
              <w:spacing w:after="0"/>
              <w:rPr>
                <w:sz w:val="20"/>
                <w:szCs w:val="20"/>
                <w:color w:val="auto"/>
              </w:rPr>
            </w:pPr>
            <w:r>
              <w:rPr>
                <w:rFonts w:ascii="Arial" w:cs="Arial" w:eastAsia="Arial" w:hAnsi="Arial"/>
                <w:sz w:val="20"/>
                <w:szCs w:val="20"/>
                <w:color w:val="auto"/>
              </w:rPr>
              <w:t>25,751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5860" w:type="dxa"/>
            <w:vAlign w:val="bottom"/>
          </w:tcPr>
          <w:p>
            <w:pPr>
              <w:spacing w:after="0"/>
              <w:rPr>
                <w:sz w:val="20"/>
                <w:szCs w:val="20"/>
                <w:color w:val="auto"/>
              </w:rPr>
            </w:pPr>
            <w:r>
              <w:rPr>
                <w:rFonts w:ascii="Arial" w:cs="Arial" w:eastAsia="Arial" w:hAnsi="Arial"/>
                <w:sz w:val="20"/>
                <w:szCs w:val="20"/>
                <w:color w:val="auto"/>
              </w:rPr>
              <w:t>Cost of sales</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20"/>
                <w:szCs w:val="20"/>
                <w:color w:val="auto"/>
              </w:rPr>
              <w:t>259,768</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31,442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8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5860" w:type="dxa"/>
            <w:vAlign w:val="bottom"/>
          </w:tcPr>
          <w:p>
            <w:pPr>
              <w:ind w:left="580"/>
              <w:spacing w:after="0"/>
              <w:rPr>
                <w:sz w:val="20"/>
                <w:szCs w:val="20"/>
                <w:color w:val="auto"/>
              </w:rPr>
            </w:pPr>
            <w:r>
              <w:rPr>
                <w:rFonts w:ascii="Arial" w:cs="Arial" w:eastAsia="Arial" w:hAnsi="Arial"/>
                <w:sz w:val="20"/>
                <w:szCs w:val="20"/>
                <w:color w:val="auto"/>
              </w:rPr>
              <w:t>Gross profit (loss)</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80" w:type="dxa"/>
            <w:vAlign w:val="bottom"/>
          </w:tcPr>
          <w:p>
            <w:pPr>
              <w:jc w:val="right"/>
              <w:spacing w:after="0"/>
              <w:rPr>
                <w:sz w:val="20"/>
                <w:szCs w:val="20"/>
                <w:color w:val="auto"/>
              </w:rPr>
            </w:pPr>
            <w:r>
              <w:rPr>
                <w:rFonts w:ascii="Arial" w:cs="Arial" w:eastAsia="Arial" w:hAnsi="Arial"/>
                <w:sz w:val="20"/>
                <w:szCs w:val="20"/>
                <w:color w:val="auto"/>
              </w:rPr>
              <w:t>4,410</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(5,691)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5860" w:type="dxa"/>
            <w:vAlign w:val="bottom"/>
          </w:tcPr>
          <w:p>
            <w:pPr>
              <w:spacing w:after="0"/>
              <w:rPr>
                <w:sz w:val="20"/>
                <w:szCs w:val="20"/>
                <w:color w:val="auto"/>
              </w:rPr>
            </w:pPr>
            <w:r>
              <w:rPr>
                <w:rFonts w:ascii="Arial" w:cs="Arial" w:eastAsia="Arial" w:hAnsi="Arial"/>
                <w:sz w:val="20"/>
                <w:szCs w:val="20"/>
                <w:color w:val="auto"/>
              </w:rPr>
              <w:t>Selling, general and administrative expenses</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20"/>
                <w:szCs w:val="20"/>
                <w:color w:val="auto"/>
              </w:rPr>
              <w:t>37,570</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4,753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8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5860" w:type="dxa"/>
            <w:vAlign w:val="bottom"/>
          </w:tcPr>
          <w:p>
            <w:pPr>
              <w:ind w:left="580"/>
              <w:spacing w:after="0"/>
              <w:rPr>
                <w:sz w:val="20"/>
                <w:szCs w:val="20"/>
                <w:color w:val="auto"/>
              </w:rPr>
            </w:pPr>
            <w:r>
              <w:rPr>
                <w:rFonts w:ascii="Arial" w:cs="Arial" w:eastAsia="Arial" w:hAnsi="Arial"/>
                <w:sz w:val="20"/>
                <w:szCs w:val="20"/>
                <w:color w:val="auto"/>
              </w:rPr>
              <w:t>Operating losses</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80" w:type="dxa"/>
            <w:vAlign w:val="bottom"/>
          </w:tcPr>
          <w:p>
            <w:pPr>
              <w:jc w:val="right"/>
              <w:spacing w:after="0"/>
              <w:rPr>
                <w:sz w:val="20"/>
                <w:szCs w:val="20"/>
                <w:color w:val="auto"/>
              </w:rPr>
            </w:pPr>
            <w:r>
              <w:rPr>
                <w:rFonts w:ascii="Arial" w:cs="Arial" w:eastAsia="Arial" w:hAnsi="Arial"/>
                <w:sz w:val="20"/>
                <w:szCs w:val="20"/>
                <w:color w:val="auto"/>
              </w:rPr>
              <w:t>(33,160)</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(10,444)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5860" w:type="dxa"/>
            <w:vAlign w:val="bottom"/>
          </w:tcPr>
          <w:p>
            <w:pPr>
              <w:spacing w:after="0"/>
              <w:rPr>
                <w:sz w:val="20"/>
                <w:szCs w:val="20"/>
                <w:color w:val="auto"/>
              </w:rPr>
            </w:pPr>
            <w:r>
              <w:rPr>
                <w:rFonts w:ascii="Arial" w:cs="Arial" w:eastAsia="Arial" w:hAnsi="Arial"/>
                <w:sz w:val="20"/>
                <w:szCs w:val="20"/>
                <w:color w:val="auto"/>
              </w:rPr>
              <w:t>Equity in losses from non-Debtor subsidiaries, net of tax</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20"/>
                <w:szCs w:val="20"/>
                <w:color w:val="auto"/>
              </w:rPr>
              <w:t>(860)</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(17,342)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860" w:type="dxa"/>
            <w:vAlign w:val="bottom"/>
          </w:tcPr>
          <w:p>
            <w:pPr>
              <w:spacing w:after="0"/>
              <w:rPr>
                <w:sz w:val="20"/>
                <w:szCs w:val="20"/>
                <w:color w:val="auto"/>
              </w:rPr>
            </w:pPr>
            <w:r>
              <w:rPr>
                <w:rFonts w:ascii="Arial" w:cs="Arial" w:eastAsia="Arial" w:hAnsi="Arial"/>
                <w:sz w:val="20"/>
                <w:szCs w:val="20"/>
                <w:color w:val="auto"/>
              </w:rPr>
              <w:t>Reorganization items, net</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20"/>
                <w:szCs w:val="20"/>
                <w:color w:val="auto"/>
              </w:rPr>
              <w:t>159,296</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(3,505)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860" w:type="dxa"/>
            <w:vAlign w:val="bottom"/>
          </w:tcPr>
          <w:p>
            <w:pPr>
              <w:spacing w:after="0"/>
              <w:rPr>
                <w:sz w:val="20"/>
                <w:szCs w:val="20"/>
                <w:color w:val="auto"/>
              </w:rPr>
            </w:pPr>
            <w:r>
              <w:rPr>
                <w:rFonts w:ascii="Arial" w:cs="Arial" w:eastAsia="Arial" w:hAnsi="Arial"/>
                <w:sz w:val="20"/>
                <w:szCs w:val="20"/>
                <w:color w:val="auto"/>
              </w:rPr>
              <w:t>Other expense, net</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20"/>
                <w:szCs w:val="20"/>
                <w:color w:val="auto"/>
              </w:rPr>
              <w:t>5,916</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(6,024)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8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5860" w:type="dxa"/>
            <w:vAlign w:val="bottom"/>
          </w:tcPr>
          <w:p>
            <w:pPr>
              <w:spacing w:after="0"/>
              <w:rPr>
                <w:sz w:val="20"/>
                <w:szCs w:val="20"/>
                <w:color w:val="auto"/>
              </w:rPr>
            </w:pPr>
            <w:r>
              <w:rPr>
                <w:rFonts w:ascii="Arial" w:cs="Arial" w:eastAsia="Arial" w:hAnsi="Arial"/>
                <w:sz w:val="20"/>
                <w:szCs w:val="20"/>
                <w:color w:val="auto"/>
              </w:rPr>
              <w:t>Income (loss) before income tax</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80" w:type="dxa"/>
            <w:vAlign w:val="bottom"/>
          </w:tcPr>
          <w:p>
            <w:pPr>
              <w:jc w:val="right"/>
              <w:spacing w:after="0"/>
              <w:rPr>
                <w:sz w:val="20"/>
                <w:szCs w:val="20"/>
                <w:color w:val="auto"/>
              </w:rPr>
            </w:pPr>
            <w:r>
              <w:rPr>
                <w:rFonts w:ascii="Arial" w:cs="Arial" w:eastAsia="Arial" w:hAnsi="Arial"/>
                <w:sz w:val="20"/>
                <w:szCs w:val="20"/>
                <w:color w:val="auto"/>
              </w:rPr>
              <w:t>131,192</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(37,315)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5860" w:type="dxa"/>
            <w:vAlign w:val="bottom"/>
          </w:tcPr>
          <w:p>
            <w:pPr>
              <w:ind w:left="580"/>
              <w:spacing w:after="0"/>
              <w:rPr>
                <w:sz w:val="20"/>
                <w:szCs w:val="20"/>
                <w:color w:val="auto"/>
              </w:rPr>
            </w:pPr>
            <w:r>
              <w:rPr>
                <w:rFonts w:ascii="Arial" w:cs="Arial" w:eastAsia="Arial" w:hAnsi="Arial"/>
                <w:sz w:val="20"/>
                <w:szCs w:val="20"/>
                <w:color w:val="auto"/>
              </w:rPr>
              <w:t>Income tax</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20"/>
                <w:szCs w:val="20"/>
                <w:color w:val="auto"/>
              </w:rPr>
              <w:t>(630)</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29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8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5860" w:type="dxa"/>
            <w:vAlign w:val="bottom"/>
          </w:tcPr>
          <w:p>
            <w:pPr>
              <w:ind w:left="580"/>
              <w:spacing w:after="0"/>
              <w:rPr>
                <w:sz w:val="20"/>
                <w:szCs w:val="20"/>
                <w:color w:val="auto"/>
              </w:rPr>
            </w:pPr>
            <w:r>
              <w:rPr>
                <w:rFonts w:ascii="Arial" w:cs="Arial" w:eastAsia="Arial" w:hAnsi="Arial"/>
                <w:sz w:val="20"/>
                <w:szCs w:val="20"/>
                <w:color w:val="auto"/>
              </w:rPr>
              <w:t>Net income (loss)</w:t>
            </w:r>
          </w:p>
        </w:tc>
        <w:tc>
          <w:tcPr>
            <w:tcW w:w="280" w:type="dxa"/>
            <w:vAlign w:val="bottom"/>
            <w:gridSpan w:val="2"/>
          </w:tcPr>
          <w:p>
            <w:pPr>
              <w:jc w:val="right"/>
              <w:ind w:right="41"/>
              <w:spacing w:after="0"/>
              <w:rPr>
                <w:sz w:val="20"/>
                <w:szCs w:val="20"/>
                <w:color w:val="auto"/>
              </w:rPr>
            </w:pPr>
            <w:r>
              <w:rPr>
                <w:rFonts w:ascii="Arial" w:cs="Arial" w:eastAsia="Arial" w:hAnsi="Arial"/>
                <w:sz w:val="20"/>
                <w:szCs w:val="20"/>
                <w:color w:val="auto"/>
              </w:rPr>
              <w:t>¥</w:t>
            </w:r>
          </w:p>
        </w:tc>
        <w:tc>
          <w:tcPr>
            <w:tcW w:w="2080" w:type="dxa"/>
            <w:vAlign w:val="bottom"/>
          </w:tcPr>
          <w:p>
            <w:pPr>
              <w:jc w:val="right"/>
              <w:spacing w:after="0"/>
              <w:rPr>
                <w:sz w:val="20"/>
                <w:szCs w:val="20"/>
                <w:color w:val="auto"/>
              </w:rPr>
            </w:pPr>
            <w:r>
              <w:rPr>
                <w:rFonts w:ascii="Arial" w:cs="Arial" w:eastAsia="Arial" w:hAnsi="Arial"/>
                <w:sz w:val="20"/>
                <w:szCs w:val="20"/>
                <w:color w:val="auto"/>
              </w:rPr>
              <w:t>131,822</w:t>
            </w:r>
          </w:p>
        </w:tc>
        <w:tc>
          <w:tcPr>
            <w:tcW w:w="40" w:type="dxa"/>
            <w:vAlign w:val="bottom"/>
          </w:tcPr>
          <w:p>
            <w:pPr>
              <w:spacing w:after="0"/>
              <w:rPr>
                <w:sz w:val="23"/>
                <w:szCs w:val="23"/>
                <w:color w:val="auto"/>
              </w:rPr>
            </w:pPr>
          </w:p>
        </w:tc>
        <w:tc>
          <w:tcPr>
            <w:tcW w:w="340" w:type="dxa"/>
            <w:vAlign w:val="bottom"/>
            <w:gridSpan w:val="3"/>
          </w:tcPr>
          <w:p>
            <w:pPr>
              <w:jc w:val="right"/>
              <w:ind w:right="120"/>
              <w:spacing w:after="0"/>
              <w:rPr>
                <w:sz w:val="20"/>
                <w:szCs w:val="20"/>
                <w:color w:val="auto"/>
              </w:rPr>
            </w:pPr>
            <w:r>
              <w:rPr>
                <w:rFonts w:ascii="Arial" w:cs="Arial" w:eastAsia="Arial" w:hAnsi="Arial"/>
                <w:sz w:val="20"/>
                <w:szCs w:val="20"/>
                <w:color w:val="auto"/>
              </w:rPr>
              <w:t>¥</w:t>
            </w:r>
          </w:p>
        </w:tc>
        <w:tc>
          <w:tcPr>
            <w:tcW w:w="2120" w:type="dxa"/>
            <w:vAlign w:val="bottom"/>
          </w:tcPr>
          <w:p>
            <w:pPr>
              <w:jc w:val="right"/>
              <w:spacing w:after="0"/>
              <w:rPr>
                <w:sz w:val="20"/>
                <w:szCs w:val="20"/>
                <w:color w:val="auto"/>
              </w:rPr>
            </w:pPr>
            <w:r>
              <w:rPr>
                <w:rFonts w:ascii="Arial" w:cs="Arial" w:eastAsia="Arial" w:hAnsi="Arial"/>
                <w:sz w:val="20"/>
                <w:szCs w:val="20"/>
                <w:color w:val="auto"/>
              </w:rPr>
              <w:t>(37,344)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880" w:type="dxa"/>
            <w:vAlign w:val="bottom"/>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6140" w:type="dxa"/>
            <w:vAlign w:val="bottom"/>
            <w:gridSpan w:val="3"/>
          </w:tcPr>
          <w:p>
            <w:pPr>
              <w:ind w:left="40"/>
              <w:spacing w:after="0"/>
              <w:rPr>
                <w:sz w:val="20"/>
                <w:szCs w:val="20"/>
                <w:color w:val="auto"/>
              </w:rPr>
            </w:pPr>
            <w:r>
              <w:rPr>
                <w:rFonts w:ascii="Arial" w:cs="Arial" w:eastAsia="Arial" w:hAnsi="Arial"/>
                <w:sz w:val="20"/>
                <w:szCs w:val="20"/>
                <w:b w:val="1"/>
                <w:bCs w:val="1"/>
                <w:color w:val="auto"/>
                <w:w w:val="89"/>
              </w:rPr>
              <w:t>Condensed Combined Debtors-in-Possession Statement of Cash Flows</w:t>
            </w:r>
          </w:p>
        </w:tc>
        <w:tc>
          <w:tcPr>
            <w:tcW w:w="2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5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40" w:type="dxa"/>
            <w:vAlign w:val="bottom"/>
            <w:gridSpan w:val="2"/>
          </w:tcPr>
          <w:p>
            <w:pPr>
              <w:jc w:val="center"/>
              <w:ind w:right="260"/>
              <w:spacing w:after="0"/>
              <w:rPr>
                <w:sz w:val="20"/>
                <w:szCs w:val="20"/>
                <w:color w:val="auto"/>
              </w:rPr>
            </w:pPr>
            <w:r>
              <w:rPr>
                <w:rFonts w:ascii="Arial" w:cs="Arial" w:eastAsia="Arial" w:hAnsi="Arial"/>
                <w:sz w:val="20"/>
                <w:szCs w:val="20"/>
                <w:b w:val="1"/>
                <w:bCs w:val="1"/>
                <w:color w:val="auto"/>
                <w:w w:val="91"/>
              </w:rPr>
              <w:t>For the period from</w:t>
            </w:r>
          </w:p>
        </w:tc>
        <w:tc>
          <w:tcPr>
            <w:tcW w:w="0" w:type="dxa"/>
            <w:vAlign w:val="bottom"/>
          </w:tcPr>
          <w:p>
            <w:pPr>
              <w:spacing w:after="0"/>
              <w:rPr>
                <w:sz w:val="1"/>
                <w:szCs w:val="1"/>
                <w:color w:val="auto"/>
              </w:rPr>
            </w:pPr>
          </w:p>
        </w:tc>
      </w:tr>
      <w:tr>
        <w:trPr>
          <w:trHeight w:val="230"/>
        </w:trPr>
        <w:tc>
          <w:tcPr>
            <w:tcW w:w="5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80" w:type="dxa"/>
            <w:vAlign w:val="bottom"/>
            <w:gridSpan w:val="3"/>
          </w:tcPr>
          <w:p>
            <w:pPr>
              <w:jc w:val="center"/>
              <w:ind w:right="60"/>
              <w:spacing w:after="0"/>
              <w:rPr>
                <w:sz w:val="20"/>
                <w:szCs w:val="20"/>
                <w:color w:val="auto"/>
              </w:rPr>
            </w:pPr>
            <w:r>
              <w:rPr>
                <w:rFonts w:ascii="Arial" w:cs="Arial" w:eastAsia="Arial" w:hAnsi="Arial"/>
                <w:sz w:val="20"/>
                <w:szCs w:val="20"/>
                <w:b w:val="1"/>
                <w:bCs w:val="1"/>
                <w:color w:val="auto"/>
                <w:w w:val="93"/>
              </w:rPr>
              <w:t>For the period from April</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40" w:type="dxa"/>
            <w:vAlign w:val="bottom"/>
            <w:gridSpan w:val="2"/>
          </w:tcPr>
          <w:p>
            <w:pPr>
              <w:jc w:val="center"/>
              <w:ind w:right="260"/>
              <w:spacing w:after="0"/>
              <w:rPr>
                <w:sz w:val="20"/>
                <w:szCs w:val="20"/>
                <w:color w:val="auto"/>
              </w:rPr>
            </w:pPr>
            <w:r>
              <w:rPr>
                <w:rFonts w:ascii="Arial" w:cs="Arial" w:eastAsia="Arial" w:hAnsi="Arial"/>
                <w:sz w:val="20"/>
                <w:szCs w:val="20"/>
                <w:b w:val="1"/>
                <w:bCs w:val="1"/>
                <w:color w:val="auto"/>
                <w:w w:val="92"/>
              </w:rPr>
              <w:t>February 27, 2012</w:t>
            </w:r>
          </w:p>
        </w:tc>
        <w:tc>
          <w:tcPr>
            <w:tcW w:w="0" w:type="dxa"/>
            <w:vAlign w:val="bottom"/>
          </w:tcPr>
          <w:p>
            <w:pPr>
              <w:spacing w:after="0"/>
              <w:rPr>
                <w:sz w:val="1"/>
                <w:szCs w:val="1"/>
                <w:color w:val="auto"/>
              </w:rPr>
            </w:pPr>
          </w:p>
        </w:tc>
      </w:tr>
      <w:tr>
        <w:trPr>
          <w:trHeight w:val="230"/>
        </w:trPr>
        <w:tc>
          <w:tcPr>
            <w:tcW w:w="5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20" w:type="dxa"/>
            <w:vAlign w:val="bottom"/>
            <w:gridSpan w:val="2"/>
          </w:tcPr>
          <w:p>
            <w:pPr>
              <w:jc w:val="center"/>
              <w:ind w:right="320"/>
              <w:spacing w:after="0"/>
              <w:rPr>
                <w:sz w:val="20"/>
                <w:szCs w:val="20"/>
                <w:color w:val="auto"/>
              </w:rPr>
            </w:pPr>
            <w:r>
              <w:rPr>
                <w:rFonts w:ascii="Arial" w:cs="Arial" w:eastAsia="Arial" w:hAnsi="Arial"/>
                <w:sz w:val="20"/>
                <w:szCs w:val="20"/>
                <w:b w:val="1"/>
                <w:bCs w:val="1"/>
                <w:color w:val="auto"/>
                <w:w w:val="89"/>
              </w:rPr>
              <w:t>1, 2012 through</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40" w:type="dxa"/>
            <w:vAlign w:val="bottom"/>
            <w:gridSpan w:val="2"/>
          </w:tcPr>
          <w:p>
            <w:pPr>
              <w:jc w:val="center"/>
              <w:ind w:right="260"/>
              <w:spacing w:after="0"/>
              <w:rPr>
                <w:sz w:val="20"/>
                <w:szCs w:val="20"/>
                <w:color w:val="auto"/>
              </w:rPr>
            </w:pPr>
            <w:r>
              <w:rPr>
                <w:rFonts w:ascii="Arial" w:cs="Arial" w:eastAsia="Arial" w:hAnsi="Arial"/>
                <w:sz w:val="20"/>
                <w:szCs w:val="20"/>
                <w:b w:val="1"/>
                <w:bCs w:val="1"/>
                <w:color w:val="auto"/>
                <w:w w:val="89"/>
              </w:rPr>
              <w:t>through</w:t>
            </w:r>
          </w:p>
        </w:tc>
        <w:tc>
          <w:tcPr>
            <w:tcW w:w="0" w:type="dxa"/>
            <w:vAlign w:val="bottom"/>
          </w:tcPr>
          <w:p>
            <w:pPr>
              <w:spacing w:after="0"/>
              <w:rPr>
                <w:sz w:val="1"/>
                <w:szCs w:val="1"/>
                <w:color w:val="auto"/>
              </w:rPr>
            </w:pPr>
          </w:p>
        </w:tc>
      </w:tr>
      <w:tr>
        <w:trPr>
          <w:trHeight w:val="256"/>
        </w:trPr>
        <w:tc>
          <w:tcPr>
            <w:tcW w:w="5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120" w:type="dxa"/>
            <w:vAlign w:val="bottom"/>
            <w:gridSpan w:val="2"/>
          </w:tcPr>
          <w:p>
            <w:pPr>
              <w:jc w:val="center"/>
              <w:ind w:right="320"/>
              <w:spacing w:after="0"/>
              <w:rPr>
                <w:sz w:val="20"/>
                <w:szCs w:val="20"/>
                <w:color w:val="auto"/>
              </w:rPr>
            </w:pPr>
            <w:r>
              <w:rPr>
                <w:rFonts w:ascii="Arial" w:cs="Arial" w:eastAsia="Arial" w:hAnsi="Arial"/>
                <w:sz w:val="20"/>
                <w:szCs w:val="20"/>
                <w:b w:val="1"/>
                <w:bCs w:val="1"/>
                <w:color w:val="auto"/>
                <w:w w:val="92"/>
              </w:rPr>
              <w:t>February 28, 2013</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140" w:type="dxa"/>
            <w:vAlign w:val="bottom"/>
            <w:gridSpan w:val="2"/>
          </w:tcPr>
          <w:p>
            <w:pPr>
              <w:jc w:val="center"/>
              <w:ind w:right="260"/>
              <w:spacing w:after="0"/>
              <w:rPr>
                <w:sz w:val="20"/>
                <w:szCs w:val="20"/>
                <w:color w:val="auto"/>
              </w:rPr>
            </w:pPr>
            <w:r>
              <w:rPr>
                <w:rFonts w:ascii="Arial" w:cs="Arial" w:eastAsia="Arial" w:hAnsi="Arial"/>
                <w:sz w:val="20"/>
                <w:szCs w:val="20"/>
                <w:b w:val="1"/>
                <w:bCs w:val="1"/>
                <w:color w:val="auto"/>
                <w:w w:val="92"/>
              </w:rPr>
              <w:t>March 31, 2012</w:t>
            </w:r>
          </w:p>
        </w:tc>
        <w:tc>
          <w:tcPr>
            <w:tcW w:w="0" w:type="dxa"/>
            <w:vAlign w:val="bottom"/>
          </w:tcPr>
          <w:p>
            <w:pPr>
              <w:spacing w:after="0"/>
              <w:rPr>
                <w:sz w:val="1"/>
                <w:szCs w:val="1"/>
                <w:color w:val="auto"/>
              </w:rPr>
            </w:pPr>
          </w:p>
        </w:tc>
      </w:tr>
      <w:tr>
        <w:trPr>
          <w:trHeight w:val="23"/>
        </w:trPr>
        <w:tc>
          <w:tcPr>
            <w:tcW w:w="5860" w:type="dxa"/>
            <w:vAlign w:val="bottom"/>
            <w:vMerge w:val="restart"/>
          </w:tcPr>
          <w:p>
            <w:pPr>
              <w:spacing w:after="0"/>
              <w:rPr>
                <w:sz w:val="20"/>
                <w:szCs w:val="20"/>
                <w:color w:val="auto"/>
              </w:rPr>
            </w:pPr>
            <w:r>
              <w:rPr>
                <w:rFonts w:ascii="Arial" w:cs="Arial" w:eastAsia="Arial" w:hAnsi="Arial"/>
                <w:sz w:val="20"/>
                <w:szCs w:val="20"/>
                <w:color w:val="auto"/>
              </w:rPr>
              <w:t>Net cash provided by (used in):</w:t>
            </w: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586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5860" w:type="dxa"/>
            <w:vAlign w:val="bottom"/>
          </w:tcPr>
          <w:p>
            <w:pPr>
              <w:ind w:left="240"/>
              <w:spacing w:after="0"/>
              <w:rPr>
                <w:sz w:val="20"/>
                <w:szCs w:val="20"/>
                <w:color w:val="auto"/>
              </w:rPr>
            </w:pPr>
            <w:r>
              <w:rPr>
                <w:rFonts w:ascii="Arial" w:cs="Arial" w:eastAsia="Arial" w:hAnsi="Arial"/>
                <w:sz w:val="20"/>
                <w:szCs w:val="20"/>
                <w:color w:val="auto"/>
              </w:rPr>
              <w:t>Operating activities</w:t>
            </w:r>
          </w:p>
        </w:tc>
        <w:tc>
          <w:tcPr>
            <w:tcW w:w="280" w:type="dxa"/>
            <w:vAlign w:val="bottom"/>
            <w:gridSpan w:val="2"/>
          </w:tcPr>
          <w:p>
            <w:pPr>
              <w:jc w:val="right"/>
              <w:ind w:right="61"/>
              <w:spacing w:after="0"/>
              <w:rPr>
                <w:sz w:val="20"/>
                <w:szCs w:val="20"/>
                <w:color w:val="auto"/>
              </w:rPr>
            </w:pPr>
            <w:r>
              <w:rPr>
                <w:rFonts w:ascii="Arial" w:cs="Arial" w:eastAsia="Arial" w:hAnsi="Arial"/>
                <w:sz w:val="20"/>
                <w:szCs w:val="20"/>
                <w:color w:val="auto"/>
                <w:w w:val="89"/>
              </w:rPr>
              <w:t>¥</w:t>
            </w:r>
          </w:p>
        </w:tc>
        <w:tc>
          <w:tcPr>
            <w:tcW w:w="2080" w:type="dxa"/>
            <w:vAlign w:val="bottom"/>
          </w:tcPr>
          <w:p>
            <w:pPr>
              <w:jc w:val="right"/>
              <w:spacing w:after="0"/>
              <w:rPr>
                <w:sz w:val="20"/>
                <w:szCs w:val="20"/>
                <w:color w:val="auto"/>
              </w:rPr>
            </w:pPr>
            <w:r>
              <w:rPr>
                <w:rFonts w:ascii="Arial" w:cs="Arial" w:eastAsia="Arial" w:hAnsi="Arial"/>
                <w:sz w:val="20"/>
                <w:szCs w:val="20"/>
                <w:color w:val="auto"/>
              </w:rPr>
              <w:t>20,238</w:t>
            </w:r>
          </w:p>
        </w:tc>
        <w:tc>
          <w:tcPr>
            <w:tcW w:w="40" w:type="dxa"/>
            <w:vAlign w:val="bottom"/>
          </w:tcPr>
          <w:p>
            <w:pPr>
              <w:spacing w:after="0"/>
              <w:rPr>
                <w:sz w:val="24"/>
                <w:szCs w:val="24"/>
                <w:color w:val="auto"/>
              </w:rPr>
            </w:pPr>
          </w:p>
        </w:tc>
        <w:tc>
          <w:tcPr>
            <w:tcW w:w="340" w:type="dxa"/>
            <w:vAlign w:val="bottom"/>
            <w:gridSpan w:val="3"/>
          </w:tcPr>
          <w:p>
            <w:pPr>
              <w:jc w:val="right"/>
              <w:ind w:right="140"/>
              <w:spacing w:after="0"/>
              <w:rPr>
                <w:sz w:val="20"/>
                <w:szCs w:val="20"/>
                <w:color w:val="auto"/>
              </w:rPr>
            </w:pPr>
            <w:r>
              <w:rPr>
                <w:rFonts w:ascii="Arial" w:cs="Arial" w:eastAsia="Arial" w:hAnsi="Arial"/>
                <w:sz w:val="20"/>
                <w:szCs w:val="20"/>
                <w:color w:val="auto"/>
              </w:rPr>
              <w:t>¥</w:t>
            </w:r>
          </w:p>
        </w:tc>
        <w:tc>
          <w:tcPr>
            <w:tcW w:w="2120" w:type="dxa"/>
            <w:vAlign w:val="bottom"/>
          </w:tcPr>
          <w:p>
            <w:pPr>
              <w:jc w:val="right"/>
              <w:spacing w:after="0"/>
              <w:rPr>
                <w:sz w:val="20"/>
                <w:szCs w:val="20"/>
                <w:color w:val="auto"/>
              </w:rPr>
            </w:pPr>
            <w:r>
              <w:rPr>
                <w:rFonts w:ascii="Arial" w:cs="Arial" w:eastAsia="Arial" w:hAnsi="Arial"/>
                <w:sz w:val="20"/>
                <w:szCs w:val="20"/>
                <w:color w:val="auto"/>
              </w:rPr>
              <w:t>(12,711)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860" w:type="dxa"/>
            <w:vAlign w:val="bottom"/>
          </w:tcPr>
          <w:p>
            <w:pPr>
              <w:ind w:left="240"/>
              <w:spacing w:after="0"/>
              <w:rPr>
                <w:sz w:val="20"/>
                <w:szCs w:val="20"/>
                <w:color w:val="auto"/>
              </w:rPr>
            </w:pPr>
            <w:r>
              <w:rPr>
                <w:rFonts w:ascii="Arial" w:cs="Arial" w:eastAsia="Arial" w:hAnsi="Arial"/>
                <w:sz w:val="20"/>
                <w:szCs w:val="20"/>
                <w:color w:val="auto"/>
              </w:rPr>
              <w:t>Investing activities</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20"/>
                <w:szCs w:val="20"/>
                <w:color w:val="auto"/>
              </w:rPr>
              <w:t>(30,655)</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(690)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860" w:type="dxa"/>
            <w:vAlign w:val="bottom"/>
          </w:tcPr>
          <w:p>
            <w:pPr>
              <w:ind w:left="240"/>
              <w:spacing w:after="0"/>
              <w:rPr>
                <w:sz w:val="20"/>
                <w:szCs w:val="20"/>
                <w:color w:val="auto"/>
              </w:rPr>
            </w:pPr>
            <w:r>
              <w:rPr>
                <w:rFonts w:ascii="Arial" w:cs="Arial" w:eastAsia="Arial" w:hAnsi="Arial"/>
                <w:sz w:val="20"/>
                <w:szCs w:val="20"/>
                <w:color w:val="auto"/>
              </w:rPr>
              <w:t>Financing activities</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20"/>
                <w:szCs w:val="20"/>
                <w:color w:val="auto"/>
              </w:rPr>
              <w:t>15,946</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4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
        </w:trPr>
        <w:tc>
          <w:tcPr>
            <w:tcW w:w="58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5860" w:type="dxa"/>
            <w:vAlign w:val="bottom"/>
          </w:tcPr>
          <w:p>
            <w:pPr>
              <w:spacing w:after="0"/>
              <w:rPr>
                <w:sz w:val="20"/>
                <w:szCs w:val="20"/>
                <w:color w:val="auto"/>
              </w:rPr>
            </w:pPr>
            <w:r>
              <w:rPr>
                <w:rFonts w:ascii="Arial" w:cs="Arial" w:eastAsia="Arial" w:hAnsi="Arial"/>
                <w:sz w:val="20"/>
                <w:szCs w:val="20"/>
                <w:color w:val="auto"/>
              </w:rPr>
              <w:t>Net increase (decrease) in cash and cash equivalents</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80" w:type="dxa"/>
            <w:vAlign w:val="bottom"/>
          </w:tcPr>
          <w:p>
            <w:pPr>
              <w:jc w:val="right"/>
              <w:spacing w:after="0"/>
              <w:rPr>
                <w:sz w:val="20"/>
                <w:szCs w:val="20"/>
                <w:color w:val="auto"/>
              </w:rPr>
            </w:pPr>
            <w:r>
              <w:rPr>
                <w:rFonts w:ascii="Arial" w:cs="Arial" w:eastAsia="Arial" w:hAnsi="Arial"/>
                <w:sz w:val="20"/>
                <w:szCs w:val="20"/>
                <w:color w:val="auto"/>
              </w:rPr>
              <w:t>5,529</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(13,401)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5860" w:type="dxa"/>
            <w:vAlign w:val="bottom"/>
          </w:tcPr>
          <w:p>
            <w:pPr>
              <w:spacing w:after="0"/>
              <w:rPr>
                <w:sz w:val="20"/>
                <w:szCs w:val="20"/>
                <w:color w:val="auto"/>
              </w:rPr>
            </w:pPr>
            <w:r>
              <w:rPr>
                <w:rFonts w:ascii="Arial" w:cs="Arial" w:eastAsia="Arial" w:hAnsi="Arial"/>
                <w:sz w:val="20"/>
                <w:szCs w:val="20"/>
                <w:color w:val="auto"/>
              </w:rPr>
              <w:t>Cash and cash equivalents, beginning of period</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20"/>
                <w:szCs w:val="20"/>
                <w:color w:val="auto"/>
              </w:rPr>
              <w:t>14,864</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20" w:type="dxa"/>
            <w:vAlign w:val="bottom"/>
          </w:tcPr>
          <w:p>
            <w:pPr>
              <w:jc w:val="right"/>
              <w:ind w:right="1"/>
              <w:spacing w:after="0"/>
              <w:rPr>
                <w:sz w:val="20"/>
                <w:szCs w:val="20"/>
                <w:color w:val="auto"/>
              </w:rPr>
            </w:pPr>
            <w:r>
              <w:rPr>
                <w:rFonts w:ascii="Arial" w:cs="Arial" w:eastAsia="Arial" w:hAnsi="Arial"/>
                <w:sz w:val="20"/>
                <w:szCs w:val="20"/>
                <w:color w:val="auto"/>
              </w:rPr>
              <w:t>28,265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860" w:type="dxa"/>
            <w:vAlign w:val="bottom"/>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5860" w:type="dxa"/>
            <w:vAlign w:val="bottom"/>
          </w:tcPr>
          <w:p>
            <w:pPr>
              <w:spacing w:after="0"/>
              <w:rPr>
                <w:sz w:val="20"/>
                <w:szCs w:val="20"/>
                <w:color w:val="auto"/>
              </w:rPr>
            </w:pPr>
            <w:r>
              <w:rPr>
                <w:rFonts w:ascii="Arial" w:cs="Arial" w:eastAsia="Arial" w:hAnsi="Arial"/>
                <w:sz w:val="20"/>
                <w:szCs w:val="20"/>
                <w:color w:val="auto"/>
              </w:rPr>
              <w:t>Cash and cash equivalents, end of period</w:t>
            </w:r>
          </w:p>
        </w:tc>
        <w:tc>
          <w:tcPr>
            <w:tcW w:w="280" w:type="dxa"/>
            <w:vAlign w:val="bottom"/>
            <w:tcBorders>
              <w:bottom w:val="single" w:sz="8" w:color="auto"/>
            </w:tcBorders>
            <w:gridSpan w:val="2"/>
          </w:tcPr>
          <w:p>
            <w:pPr>
              <w:jc w:val="right"/>
              <w:ind w:right="61"/>
              <w:spacing w:after="0"/>
              <w:rPr>
                <w:sz w:val="20"/>
                <w:szCs w:val="20"/>
                <w:color w:val="auto"/>
              </w:rPr>
            </w:pPr>
            <w:r>
              <w:rPr>
                <w:rFonts w:ascii="Arial" w:cs="Arial" w:eastAsia="Arial" w:hAnsi="Arial"/>
                <w:sz w:val="20"/>
                <w:szCs w:val="20"/>
                <w:color w:val="auto"/>
                <w:w w:val="89"/>
              </w:rPr>
              <w:t>¥</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20,393</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20"/>
                <w:szCs w:val="20"/>
                <w:color w:val="auto"/>
                <w:w w:val="89"/>
              </w:rPr>
              <w:t>¥</w:t>
            </w:r>
          </w:p>
        </w:tc>
        <w:tc>
          <w:tcPr>
            <w:tcW w:w="21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14,864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1"/>
        </w:trPr>
        <w:tc>
          <w:tcPr>
            <w:tcW w:w="5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bl>
    <w:p>
      <w:pPr>
        <w:sectPr>
          <w:pgSz w:w="11900" w:h="16838" w:orient="portrait"/>
          <w:cols w:equalWidth="0" w:num="1">
            <w:col w:w="10740"/>
          </w:cols>
          <w:pgMar w:left="920" w:top="553" w:right="239" w:bottom="1440" w:gutter="0" w:footer="0" w:header="0"/>
        </w:sectPr>
      </w:pPr>
    </w:p>
    <w:bookmarkStart w:id="20" w:name="page21"/>
    <w:bookmarkEnd w:id="20"/>
    <w:p>
      <w:pPr>
        <w:jc w:val="center"/>
        <w:ind w:right="340"/>
        <w:spacing w:after="0"/>
        <w:rPr>
          <w:sz w:val="20"/>
          <w:szCs w:val="20"/>
          <w:color w:val="auto"/>
        </w:rPr>
      </w:pPr>
      <w:r>
        <w:rPr>
          <w:rFonts w:ascii="Arial" w:cs="Arial" w:eastAsia="Arial" w:hAnsi="Arial"/>
          <w:sz w:val="18"/>
          <w:szCs w:val="18"/>
          <w:b w:val="1"/>
          <w:bCs w:val="1"/>
          <w:color w:val="auto"/>
        </w:rPr>
        <w:t>ELPIDA MEMORY, INC. AND SUBSIDIARIES</w:t>
      </w:r>
    </w:p>
    <w:p>
      <w:pPr>
        <w:spacing w:after="0" w:line="27"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auto"/>
        </w:rPr>
        <w:t>(DEBTORS-IN-POSSESSION)</w:t>
      </w:r>
    </w:p>
    <w:p>
      <w:pPr>
        <w:spacing w:after="0" w:line="9"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1" w:lineRule="exact"/>
        <w:rPr>
          <w:sz w:val="20"/>
          <w:szCs w:val="20"/>
          <w:color w:val="auto"/>
        </w:rPr>
      </w:pPr>
    </w:p>
    <w:p>
      <w:pPr>
        <w:ind w:left="380" w:hanging="374"/>
        <w:spacing w:after="0"/>
        <w:tabs>
          <w:tab w:leader="none" w:pos="380" w:val="left"/>
        </w:tabs>
        <w:numPr>
          <w:ilvl w:val="0"/>
          <w:numId w:val="5"/>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Liabilities Subject to Compromise</w:t>
      </w:r>
    </w:p>
    <w:p>
      <w:pPr>
        <w:spacing w:after="0" w:line="67" w:lineRule="exact"/>
        <w:rPr>
          <w:rFonts w:ascii="Arial" w:cs="Arial" w:eastAsia="Arial" w:hAnsi="Arial"/>
          <w:sz w:val="20"/>
          <w:szCs w:val="20"/>
          <w:b w:val="1"/>
          <w:bCs w:val="1"/>
          <w:i w:val="1"/>
          <w:iCs w:val="1"/>
          <w:color w:val="auto"/>
        </w:rPr>
      </w:pPr>
    </w:p>
    <w:p>
      <w:pPr>
        <w:ind w:left="380"/>
        <w:spacing w:after="0" w:line="260" w:lineRule="auto"/>
        <w:rPr>
          <w:rFonts w:ascii="Arial" w:cs="Arial" w:eastAsia="Arial" w:hAnsi="Arial"/>
          <w:sz w:val="20"/>
          <w:szCs w:val="20"/>
          <w:b w:val="1"/>
          <w:bCs w:val="1"/>
          <w:i w:val="1"/>
          <w:iCs w:val="1"/>
          <w:color w:val="auto"/>
        </w:rPr>
      </w:pPr>
      <w:r>
        <w:rPr>
          <w:rFonts w:ascii="Arial" w:cs="Arial" w:eastAsia="Arial" w:hAnsi="Arial"/>
          <w:sz w:val="20"/>
          <w:szCs w:val="20"/>
          <w:color w:val="auto"/>
        </w:rPr>
        <w:t>Liabilities subject to compromise represent the estimated amounts expected to be allowed on known or potential claims to be resolved through the reorganization proceedings.</w:t>
      </w:r>
    </w:p>
    <w:p>
      <w:pPr>
        <w:spacing w:after="0" w:line="95" w:lineRule="exact"/>
        <w:rPr>
          <w:rFonts w:ascii="Arial" w:cs="Arial" w:eastAsia="Arial" w:hAnsi="Arial"/>
          <w:sz w:val="20"/>
          <w:szCs w:val="20"/>
          <w:b w:val="1"/>
          <w:bCs w:val="1"/>
          <w:i w:val="1"/>
          <w:iCs w:val="1"/>
          <w:color w:val="auto"/>
        </w:rPr>
      </w:pPr>
    </w:p>
    <w:p>
      <w:pPr>
        <w:ind w:left="380"/>
        <w:spacing w:after="0" w:line="260" w:lineRule="auto"/>
        <w:rPr>
          <w:rFonts w:ascii="Arial" w:cs="Arial" w:eastAsia="Arial" w:hAnsi="Arial"/>
          <w:sz w:val="20"/>
          <w:szCs w:val="20"/>
          <w:b w:val="1"/>
          <w:bCs w:val="1"/>
          <w:i w:val="1"/>
          <w:iCs w:val="1"/>
          <w:color w:val="auto"/>
        </w:rPr>
      </w:pPr>
      <w:r>
        <w:rPr>
          <w:rFonts w:ascii="Arial" w:cs="Arial" w:eastAsia="Arial" w:hAnsi="Arial"/>
          <w:sz w:val="20"/>
          <w:szCs w:val="20"/>
          <w:color w:val="auto"/>
        </w:rPr>
        <w:t>In accordance with ASC 852, substantially all of the Company’s unsecured debt has been classified as liabilities subject to compromise.</w:t>
      </w:r>
    </w:p>
    <w:p>
      <w:pPr>
        <w:spacing w:after="0" w:line="95" w:lineRule="exact"/>
        <w:rPr>
          <w:rFonts w:ascii="Arial" w:cs="Arial" w:eastAsia="Arial" w:hAnsi="Arial"/>
          <w:sz w:val="20"/>
          <w:szCs w:val="20"/>
          <w:b w:val="1"/>
          <w:bCs w:val="1"/>
          <w:i w:val="1"/>
          <w:iCs w:val="1"/>
          <w:color w:val="auto"/>
        </w:rPr>
      </w:pPr>
    </w:p>
    <w:p>
      <w:pPr>
        <w:jc w:val="both"/>
        <w:ind w:left="380"/>
        <w:spacing w:after="0" w:line="244" w:lineRule="auto"/>
        <w:rPr>
          <w:rFonts w:ascii="Arial" w:cs="Arial" w:eastAsia="Arial" w:hAnsi="Arial"/>
          <w:sz w:val="20"/>
          <w:szCs w:val="20"/>
          <w:b w:val="1"/>
          <w:bCs w:val="1"/>
          <w:i w:val="1"/>
          <w:iCs w:val="1"/>
          <w:color w:val="auto"/>
        </w:rPr>
      </w:pPr>
      <w:r>
        <w:rPr>
          <w:rFonts w:ascii="Arial" w:cs="Arial" w:eastAsia="Arial" w:hAnsi="Arial"/>
          <w:sz w:val="20"/>
          <w:szCs w:val="20"/>
          <w:color w:val="auto"/>
        </w:rPr>
        <w:t>Differences between the liability amounts Elpida and Elpida Akita estimated and the claims filed by creditors will be investigated and resolved in connection with the claim resolution process. Elpida will continue to evaluate these liabilities throughout the reorganization proceedings and adjust the amounts as necessary. Such adjustments may be material. In light of the expected number of creditors, the claims resolution process may take considerable time to complete. Accordingly, the ultimate settlement amounts of allowed claims are not presently known.</w:t>
      </w:r>
    </w:p>
    <w:p>
      <w:pPr>
        <w:spacing w:after="0" w:line="113" w:lineRule="exact"/>
        <w:rPr>
          <w:rFonts w:ascii="Arial" w:cs="Arial" w:eastAsia="Arial" w:hAnsi="Arial"/>
          <w:sz w:val="20"/>
          <w:szCs w:val="20"/>
          <w:b w:val="1"/>
          <w:bCs w:val="1"/>
          <w:i w:val="1"/>
          <w:iCs w:val="1"/>
          <w:color w:val="auto"/>
        </w:rPr>
      </w:pPr>
    </w:p>
    <w:p>
      <w:pPr>
        <w:ind w:left="380"/>
        <w:spacing w:after="0" w:line="260" w:lineRule="auto"/>
        <w:rPr>
          <w:rFonts w:ascii="Arial" w:cs="Arial" w:eastAsia="Arial" w:hAnsi="Arial"/>
          <w:sz w:val="20"/>
          <w:szCs w:val="20"/>
          <w:b w:val="1"/>
          <w:bCs w:val="1"/>
          <w:i w:val="1"/>
          <w:iCs w:val="1"/>
          <w:color w:val="auto"/>
        </w:rPr>
      </w:pPr>
      <w:r>
        <w:rPr>
          <w:rFonts w:ascii="Arial" w:cs="Arial" w:eastAsia="Arial" w:hAnsi="Arial"/>
          <w:sz w:val="20"/>
          <w:szCs w:val="20"/>
          <w:color w:val="auto"/>
        </w:rPr>
        <w:t>The following table summarizes the components of liabilities subject to compromise included on the consolidated balance sheet at February 28, 2013 and March 31, 2012:</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gridSpan w:val="2"/>
          </w:tcPr>
          <w:p>
            <w:pPr>
              <w:ind w:left="100"/>
              <w:spacing w:after="0"/>
              <w:rPr>
                <w:sz w:val="20"/>
                <w:szCs w:val="20"/>
                <w:color w:val="auto"/>
              </w:rPr>
            </w:pPr>
            <w:r>
              <w:rPr>
                <w:rFonts w:ascii="Arial" w:cs="Arial" w:eastAsia="Arial" w:hAnsi="Arial"/>
                <w:sz w:val="20"/>
                <w:szCs w:val="20"/>
                <w:b w:val="1"/>
                <w:bCs w:val="1"/>
                <w:color w:val="auto"/>
              </w:rPr>
              <w:t>February 28,</w:t>
            </w:r>
          </w:p>
        </w:tc>
        <w:tc>
          <w:tcPr>
            <w:tcW w:w="260" w:type="dxa"/>
            <w:vAlign w:val="bottom"/>
          </w:tcPr>
          <w:p>
            <w:pPr>
              <w:spacing w:after="0"/>
              <w:rPr>
                <w:sz w:val="19"/>
                <w:szCs w:val="19"/>
                <w:color w:val="auto"/>
              </w:rPr>
            </w:pPr>
          </w:p>
        </w:tc>
        <w:tc>
          <w:tcPr>
            <w:tcW w:w="1420" w:type="dxa"/>
            <w:vAlign w:val="bottom"/>
          </w:tcPr>
          <w:p>
            <w:pPr>
              <w:jc w:val="right"/>
              <w:ind w:right="321"/>
              <w:spacing w:after="0"/>
              <w:rPr>
                <w:sz w:val="20"/>
                <w:szCs w:val="20"/>
                <w:color w:val="auto"/>
              </w:rPr>
            </w:pPr>
            <w:r>
              <w:rPr>
                <w:rFonts w:ascii="Arial" w:cs="Arial" w:eastAsia="Arial" w:hAnsi="Arial"/>
                <w:sz w:val="20"/>
                <w:szCs w:val="20"/>
                <w:b w:val="1"/>
                <w:bCs w:val="1"/>
                <w:color w:val="auto"/>
              </w:rPr>
              <w:t>March 31,</w:t>
            </w:r>
          </w:p>
        </w:tc>
      </w:tr>
      <w:tr>
        <w:trPr>
          <w:trHeight w:val="256"/>
        </w:trPr>
        <w:tc>
          <w:tcPr>
            <w:tcW w:w="6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80" w:type="dxa"/>
            <w:vAlign w:val="bottom"/>
          </w:tcPr>
          <w:p>
            <w:pPr>
              <w:jc w:val="right"/>
              <w:ind w:right="541"/>
              <w:spacing w:after="0"/>
              <w:rPr>
                <w:sz w:val="20"/>
                <w:szCs w:val="20"/>
                <w:color w:val="auto"/>
              </w:rPr>
            </w:pPr>
            <w:r>
              <w:rPr>
                <w:rFonts w:ascii="Arial" w:cs="Arial" w:eastAsia="Arial" w:hAnsi="Arial"/>
                <w:sz w:val="20"/>
                <w:szCs w:val="20"/>
                <w:b w:val="1"/>
                <w:bCs w:val="1"/>
                <w:color w:val="auto"/>
              </w:rPr>
              <w:t>2013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20" w:type="dxa"/>
            <w:vAlign w:val="bottom"/>
          </w:tcPr>
          <w:p>
            <w:pPr>
              <w:jc w:val="right"/>
              <w:ind w:right="541"/>
              <w:spacing w:after="0"/>
              <w:rPr>
                <w:sz w:val="20"/>
                <w:szCs w:val="20"/>
                <w:color w:val="auto"/>
              </w:rPr>
            </w:pPr>
            <w:r>
              <w:rPr>
                <w:rFonts w:ascii="Arial" w:cs="Arial" w:eastAsia="Arial" w:hAnsi="Arial"/>
                <w:sz w:val="20"/>
                <w:szCs w:val="20"/>
                <w:b w:val="1"/>
                <w:bCs w:val="1"/>
                <w:color w:val="auto"/>
              </w:rPr>
              <w:t>2012</w:t>
            </w:r>
          </w:p>
        </w:tc>
      </w:tr>
      <w:tr>
        <w:trPr>
          <w:trHeight w:val="23"/>
        </w:trPr>
        <w:tc>
          <w:tcPr>
            <w:tcW w:w="63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4"/>
        </w:trPr>
        <w:tc>
          <w:tcPr>
            <w:tcW w:w="6300" w:type="dxa"/>
            <w:vAlign w:val="bottom"/>
          </w:tcPr>
          <w:p>
            <w:pPr>
              <w:spacing w:after="0"/>
              <w:rPr>
                <w:sz w:val="20"/>
                <w:szCs w:val="20"/>
                <w:color w:val="auto"/>
              </w:rPr>
            </w:pPr>
            <w:r>
              <w:rPr>
                <w:rFonts w:ascii="Arial" w:cs="Arial" w:eastAsia="Arial" w:hAnsi="Arial"/>
                <w:sz w:val="20"/>
                <w:szCs w:val="20"/>
                <w:color w:val="auto"/>
              </w:rPr>
              <w:t>Long-term debt and bonds</w:t>
            </w:r>
          </w:p>
        </w:tc>
        <w:tc>
          <w:tcPr>
            <w:tcW w:w="20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480" w:type="dxa"/>
            <w:vAlign w:val="bottom"/>
          </w:tcPr>
          <w:p>
            <w:pPr>
              <w:jc w:val="right"/>
              <w:spacing w:after="0"/>
              <w:rPr>
                <w:sz w:val="20"/>
                <w:szCs w:val="20"/>
                <w:color w:val="auto"/>
              </w:rPr>
            </w:pPr>
            <w:r>
              <w:rPr>
                <w:rFonts w:ascii="Arial" w:cs="Arial" w:eastAsia="Arial" w:hAnsi="Arial"/>
                <w:sz w:val="20"/>
                <w:szCs w:val="20"/>
                <w:color w:val="auto"/>
              </w:rPr>
              <w:t>59,274</w:t>
            </w:r>
          </w:p>
        </w:tc>
        <w:tc>
          <w:tcPr>
            <w:tcW w:w="120" w:type="dxa"/>
            <w:vAlign w:val="bottom"/>
          </w:tcPr>
          <w:p>
            <w:pPr>
              <w:spacing w:after="0"/>
              <w:rPr>
                <w:sz w:val="22"/>
                <w:szCs w:val="22"/>
                <w:color w:val="auto"/>
              </w:rPr>
            </w:pPr>
          </w:p>
        </w:tc>
        <w:tc>
          <w:tcPr>
            <w:tcW w:w="260" w:type="dxa"/>
            <w:vAlign w:val="bottom"/>
          </w:tcPr>
          <w:p>
            <w:pPr>
              <w:jc w:val="right"/>
              <w:ind w:right="41"/>
              <w:spacing w:after="0"/>
              <w:rPr>
                <w:sz w:val="20"/>
                <w:szCs w:val="20"/>
                <w:color w:val="auto"/>
              </w:rPr>
            </w:pPr>
            <w:r>
              <w:rPr>
                <w:rFonts w:ascii="Arial" w:cs="Arial" w:eastAsia="Arial" w:hAnsi="Arial"/>
                <w:sz w:val="20"/>
                <w:szCs w:val="20"/>
                <w:color w:val="auto"/>
                <w:w w:val="89"/>
              </w:rPr>
              <w:t>¥</w:t>
            </w:r>
          </w:p>
        </w:tc>
        <w:tc>
          <w:tcPr>
            <w:tcW w:w="1420" w:type="dxa"/>
            <w:vAlign w:val="bottom"/>
          </w:tcPr>
          <w:p>
            <w:pPr>
              <w:jc w:val="right"/>
              <w:ind w:right="1"/>
              <w:spacing w:after="0"/>
              <w:rPr>
                <w:sz w:val="20"/>
                <w:szCs w:val="20"/>
                <w:color w:val="auto"/>
              </w:rPr>
            </w:pPr>
            <w:r>
              <w:rPr>
                <w:rFonts w:ascii="Arial" w:cs="Arial" w:eastAsia="Arial" w:hAnsi="Arial"/>
                <w:sz w:val="20"/>
                <w:szCs w:val="20"/>
                <w:color w:val="auto"/>
              </w:rPr>
              <w:t>240,021</w:t>
            </w:r>
          </w:p>
        </w:tc>
      </w:tr>
      <w:tr>
        <w:trPr>
          <w:trHeight w:val="284"/>
        </w:trPr>
        <w:tc>
          <w:tcPr>
            <w:tcW w:w="6300" w:type="dxa"/>
            <w:vAlign w:val="bottom"/>
          </w:tcPr>
          <w:p>
            <w:pPr>
              <w:spacing w:after="0"/>
              <w:rPr>
                <w:sz w:val="20"/>
                <w:szCs w:val="20"/>
                <w:color w:val="auto"/>
              </w:rPr>
            </w:pPr>
            <w:r>
              <w:rPr>
                <w:rFonts w:ascii="Arial" w:cs="Arial" w:eastAsia="Arial" w:hAnsi="Arial"/>
                <w:sz w:val="20"/>
                <w:szCs w:val="20"/>
                <w:color w:val="auto"/>
              </w:rPr>
              <w:t>Accounts payable and other liabilities</w:t>
            </w:r>
          </w:p>
        </w:tc>
        <w:tc>
          <w:tcPr>
            <w:tcW w:w="2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21,897</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jc w:val="right"/>
              <w:ind w:right="1"/>
              <w:spacing w:after="0"/>
              <w:rPr>
                <w:sz w:val="20"/>
                <w:szCs w:val="20"/>
                <w:color w:val="auto"/>
              </w:rPr>
            </w:pPr>
            <w:r>
              <w:rPr>
                <w:rFonts w:ascii="Arial" w:cs="Arial" w:eastAsia="Arial" w:hAnsi="Arial"/>
                <w:sz w:val="20"/>
                <w:szCs w:val="20"/>
                <w:color w:val="auto"/>
              </w:rPr>
              <w:t>63,027</w:t>
            </w:r>
          </w:p>
        </w:tc>
      </w:tr>
      <w:tr>
        <w:trPr>
          <w:trHeight w:val="284"/>
        </w:trPr>
        <w:tc>
          <w:tcPr>
            <w:tcW w:w="6300" w:type="dxa"/>
            <w:vAlign w:val="bottom"/>
          </w:tcPr>
          <w:p>
            <w:pPr>
              <w:spacing w:after="0"/>
              <w:rPr>
                <w:sz w:val="20"/>
                <w:szCs w:val="20"/>
                <w:color w:val="auto"/>
              </w:rPr>
            </w:pPr>
            <w:r>
              <w:rPr>
                <w:rFonts w:ascii="Arial" w:cs="Arial" w:eastAsia="Arial" w:hAnsi="Arial"/>
                <w:sz w:val="20"/>
                <w:szCs w:val="20"/>
                <w:color w:val="auto"/>
              </w:rPr>
              <w:t>Obligations under capital leases</w:t>
            </w:r>
          </w:p>
        </w:tc>
        <w:tc>
          <w:tcPr>
            <w:tcW w:w="2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4,691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jc w:val="right"/>
              <w:ind w:right="1"/>
              <w:spacing w:after="0"/>
              <w:rPr>
                <w:sz w:val="20"/>
                <w:szCs w:val="20"/>
                <w:color w:val="auto"/>
              </w:rPr>
            </w:pPr>
            <w:r>
              <w:rPr>
                <w:rFonts w:ascii="Arial" w:cs="Arial" w:eastAsia="Arial" w:hAnsi="Arial"/>
                <w:sz w:val="20"/>
                <w:szCs w:val="20"/>
                <w:color w:val="auto"/>
              </w:rPr>
              <w:t>59,198</w:t>
            </w:r>
          </w:p>
        </w:tc>
      </w:tr>
      <w:tr>
        <w:trPr>
          <w:trHeight w:val="23"/>
        </w:trPr>
        <w:tc>
          <w:tcPr>
            <w:tcW w:w="63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72"/>
        </w:trPr>
        <w:tc>
          <w:tcPr>
            <w:tcW w:w="6300" w:type="dxa"/>
            <w:vAlign w:val="bottom"/>
          </w:tcPr>
          <w:p>
            <w:pPr>
              <w:ind w:left="580"/>
              <w:spacing w:after="0"/>
              <w:rPr>
                <w:sz w:val="20"/>
                <w:szCs w:val="20"/>
                <w:color w:val="auto"/>
              </w:rPr>
            </w:pPr>
            <w:r>
              <w:rPr>
                <w:rFonts w:ascii="Arial" w:cs="Arial" w:eastAsia="Arial" w:hAnsi="Arial"/>
                <w:sz w:val="20"/>
                <w:szCs w:val="20"/>
                <w:color w:val="auto"/>
              </w:rPr>
              <w:t>Total liabilities subject to compromise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85,862</w:t>
            </w:r>
          </w:p>
        </w:tc>
        <w:tc>
          <w:tcPr>
            <w:tcW w:w="120" w:type="dxa"/>
            <w:vAlign w:val="bottom"/>
          </w:tcPr>
          <w:p>
            <w:pPr>
              <w:spacing w:after="0"/>
              <w:rPr>
                <w:sz w:val="23"/>
                <w:szCs w:val="23"/>
                <w:color w:val="auto"/>
              </w:rPr>
            </w:pPr>
          </w:p>
        </w:tc>
        <w:tc>
          <w:tcPr>
            <w:tcW w:w="2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w w:val="89"/>
              </w:rPr>
              <w:t>¥</w:t>
            </w:r>
          </w:p>
        </w:tc>
        <w:tc>
          <w:tcPr>
            <w:tcW w:w="14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362,246</w:t>
            </w:r>
          </w:p>
        </w:tc>
      </w:tr>
      <w:tr>
        <w:trPr>
          <w:trHeight w:val="20"/>
        </w:trPr>
        <w:tc>
          <w:tcPr>
            <w:tcW w:w="6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05" w:lineRule="exact"/>
        <w:rPr>
          <w:sz w:val="20"/>
          <w:szCs w:val="20"/>
          <w:color w:val="auto"/>
        </w:rPr>
      </w:pPr>
    </w:p>
    <w:p>
      <w:pPr>
        <w:jc w:val="both"/>
        <w:ind w:left="280"/>
        <w:spacing w:after="0" w:line="243" w:lineRule="auto"/>
        <w:rPr>
          <w:sz w:val="20"/>
          <w:szCs w:val="20"/>
          <w:color w:val="auto"/>
        </w:rPr>
      </w:pPr>
      <w:r>
        <w:rPr>
          <w:rFonts w:ascii="Arial" w:cs="Arial" w:eastAsia="Arial" w:hAnsi="Arial"/>
          <w:sz w:val="20"/>
          <w:szCs w:val="20"/>
          <w:color w:val="auto"/>
        </w:rPr>
        <w:t xml:space="preserve">As noted in Note (1) </w:t>
      </w:r>
      <w:r>
        <w:rPr>
          <w:rFonts w:ascii="Arial" w:cs="Arial" w:eastAsia="Arial" w:hAnsi="Arial"/>
          <w:sz w:val="20"/>
          <w:szCs w:val="20"/>
          <w:i w:val="1"/>
          <w:iCs w:val="1"/>
          <w:color w:val="auto"/>
        </w:rPr>
        <w:t>(b)</w:t>
      </w:r>
      <w:r>
        <w:rPr>
          <w:rFonts w:ascii="Arial" w:cs="Arial" w:eastAsia="Arial" w:hAnsi="Arial"/>
          <w:sz w:val="20"/>
          <w:szCs w:val="20"/>
          <w:color w:val="auto"/>
        </w:rPr>
        <w:t xml:space="preserve"> above, on February 28, 2013, the creditors agreed and the Court approved the Plan. In accordance with the Plan, approximately ¥117,268 of the liabilities subject to compromise were reclassified to their applicable balance sheet accounts such as long-term debt and bonds, accounts payable and obligations under capital leases and will be repaid over 7 years in accordance with payment terms specified in the Plan. Further, the Plan included 66.1% forgiveness of the remaining liabilities subject to compromise in Elpida. This forgiveness was recorded as a gain during the eleven months ended February 28, 2013. The balance of the liabilities subject to compromise at February 28, 2013 represents those remaining claims that are subject to repayment based on future performance of the Company.</w:t>
      </w:r>
    </w:p>
    <w:p>
      <w:pPr>
        <w:spacing w:after="0" w:line="112" w:lineRule="exact"/>
        <w:rPr>
          <w:sz w:val="20"/>
          <w:szCs w:val="20"/>
          <w:color w:val="auto"/>
        </w:rPr>
      </w:pPr>
    </w:p>
    <w:p>
      <w:pPr>
        <w:ind w:left="380" w:hanging="374"/>
        <w:spacing w:after="0"/>
        <w:tabs>
          <w:tab w:leader="none" w:pos="380" w:val="left"/>
        </w:tabs>
        <w:numPr>
          <w:ilvl w:val="0"/>
          <w:numId w:val="6"/>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Reorganization Items</w:t>
      </w:r>
    </w:p>
    <w:p>
      <w:pPr>
        <w:spacing w:after="0" w:line="134" w:lineRule="exact"/>
        <w:rPr>
          <w:rFonts w:ascii="Arial" w:cs="Arial" w:eastAsia="Arial" w:hAnsi="Arial"/>
          <w:sz w:val="20"/>
          <w:szCs w:val="20"/>
          <w:b w:val="1"/>
          <w:bCs w:val="1"/>
          <w:i w:val="1"/>
          <w:iCs w:val="1"/>
          <w:color w:val="auto"/>
        </w:rPr>
      </w:pPr>
    </w:p>
    <w:p>
      <w:pPr>
        <w:jc w:val="both"/>
        <w:ind w:left="380"/>
        <w:spacing w:after="0" w:line="250" w:lineRule="auto"/>
        <w:rPr>
          <w:rFonts w:ascii="Arial" w:cs="Arial" w:eastAsia="Arial" w:hAnsi="Arial"/>
          <w:sz w:val="20"/>
          <w:szCs w:val="20"/>
          <w:b w:val="1"/>
          <w:bCs w:val="1"/>
          <w:i w:val="1"/>
          <w:iCs w:val="1"/>
          <w:color w:val="auto"/>
        </w:rPr>
      </w:pPr>
      <w:r>
        <w:rPr>
          <w:rFonts w:ascii="Arial" w:cs="Arial" w:eastAsia="Arial" w:hAnsi="Arial"/>
          <w:sz w:val="20"/>
          <w:szCs w:val="20"/>
          <w:color w:val="auto"/>
        </w:rPr>
        <w:t>Reorganization items, net represent amounts incurred and recorded subsequent to the petition filing as a direct result of the filing of the petition and commencement of reorganization proceedings and are comprised of the following for the eleven months ended February 28, 2013 and the year ended March 31, 2012:</w:t>
      </w:r>
    </w:p>
    <w:p>
      <w:pPr>
        <w:spacing w:after="0" w:line="234" w:lineRule="exact"/>
        <w:rPr>
          <w:sz w:val="20"/>
          <w:szCs w:val="20"/>
          <w:color w:val="auto"/>
        </w:rPr>
      </w:pPr>
    </w:p>
    <w:p>
      <w:pPr>
        <w:jc w:val="center"/>
        <w:ind w:left="4220"/>
        <w:spacing w:after="0"/>
        <w:rPr>
          <w:sz w:val="20"/>
          <w:szCs w:val="20"/>
          <w:color w:val="auto"/>
        </w:rPr>
      </w:pPr>
      <w:r>
        <w:rPr>
          <w:rFonts w:ascii="Arial" w:cs="Arial" w:eastAsia="Arial" w:hAnsi="Arial"/>
          <w:sz w:val="20"/>
          <w:szCs w:val="20"/>
          <w:b w:val="1"/>
          <w:bCs w:val="1"/>
          <w:color w:val="auto"/>
        </w:rPr>
        <w:t>Eleven months</w:t>
      </w:r>
    </w:p>
    <w:p>
      <w:pPr>
        <w:spacing w:after="0" w:line="21" w:lineRule="exact"/>
        <w:rPr>
          <w:sz w:val="20"/>
          <w:szCs w:val="20"/>
          <w:color w:val="auto"/>
        </w:rPr>
      </w:pPr>
    </w:p>
    <w:p>
      <w:pPr>
        <w:jc w:val="center"/>
        <w:ind w:left="4220"/>
        <w:spacing w:after="0"/>
        <w:rPr>
          <w:sz w:val="20"/>
          <w:szCs w:val="20"/>
          <w:color w:val="auto"/>
        </w:rPr>
      </w:pPr>
      <w:r>
        <w:rPr>
          <w:rFonts w:ascii="Arial" w:cs="Arial" w:eastAsia="Arial" w:hAnsi="Arial"/>
          <w:sz w:val="20"/>
          <w:szCs w:val="20"/>
          <w:b w:val="1"/>
          <w:bCs w:val="1"/>
          <w:color w:val="auto"/>
        </w:rPr>
        <w:t>ended</w:t>
      </w:r>
    </w:p>
    <w:p>
      <w:pPr>
        <w:jc w:val="center"/>
        <w:ind w:left="4220"/>
        <w:spacing w:after="0"/>
        <w:rPr>
          <w:sz w:val="20"/>
          <w:szCs w:val="20"/>
          <w:color w:val="auto"/>
        </w:rPr>
      </w:pPr>
      <w:r>
        <w:rPr>
          <w:rFonts w:ascii="Arial" w:cs="Arial" w:eastAsia="Arial" w:hAnsi="Arial"/>
          <w:sz w:val="20"/>
          <w:szCs w:val="20"/>
          <w:b w:val="1"/>
          <w:bCs w:val="1"/>
          <w:color w:val="auto"/>
        </w:rPr>
        <w:t>February 28,</w:t>
      </w:r>
    </w:p>
    <w:p>
      <w:pPr>
        <w:jc w:val="center"/>
        <w:ind w:left="4220"/>
        <w:spacing w:after="0"/>
        <w:rPr>
          <w:sz w:val="20"/>
          <w:szCs w:val="20"/>
          <w:color w:val="auto"/>
        </w:rPr>
      </w:pPr>
      <w:r>
        <w:rPr>
          <w:rFonts w:ascii="Arial" w:cs="Arial" w:eastAsia="Arial" w:hAnsi="Arial"/>
          <w:sz w:val="20"/>
          <w:szCs w:val="20"/>
          <w:b w:val="1"/>
          <w:bCs w:val="1"/>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4197350</wp:posOffset>
            </wp:positionH>
            <wp:positionV relativeFrom="paragraph">
              <wp:posOffset>17145</wp:posOffset>
            </wp:positionV>
            <wp:extent cx="11061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31" w:lineRule="exact"/>
        <w:rPr>
          <w:sz w:val="20"/>
          <w:szCs w:val="20"/>
          <w:color w:val="auto"/>
        </w:rPr>
      </w:pPr>
    </w:p>
    <w:tbl>
      <w:tblPr>
        <w:tblLayout w:type="fixed"/>
        <w:tblInd w:w="400" w:type="dxa"/>
        <w:tblCellMar>
          <w:top w:w="0" w:type="dxa"/>
          <w:left w:w="0" w:type="dxa"/>
          <w:bottom w:w="0" w:type="dxa"/>
          <w:right w:w="0" w:type="dxa"/>
        </w:tblCellMar>
      </w:tblPr>
      <w:tr>
        <w:trPr>
          <w:trHeight w:val="250"/>
        </w:trPr>
        <w:tc>
          <w:tcPr>
            <w:tcW w:w="6200" w:type="dxa"/>
            <w:vAlign w:val="bottom"/>
          </w:tcPr>
          <w:p>
            <w:pPr>
              <w:spacing w:after="0"/>
              <w:rPr>
                <w:sz w:val="20"/>
                <w:szCs w:val="20"/>
                <w:color w:val="auto"/>
              </w:rPr>
            </w:pPr>
            <w:r>
              <w:rPr>
                <w:rFonts w:ascii="Arial" w:cs="Arial" w:eastAsia="Arial" w:hAnsi="Arial"/>
                <w:sz w:val="20"/>
                <w:szCs w:val="20"/>
                <w:color w:val="auto"/>
              </w:rPr>
              <w:t>Gain on forgiveness of debts (*1)</w:t>
            </w:r>
          </w:p>
        </w:tc>
        <w:tc>
          <w:tcPr>
            <w:tcW w:w="540" w:type="dxa"/>
            <w:vAlign w:val="bottom"/>
          </w:tcPr>
          <w:p>
            <w:pPr>
              <w:jc w:val="right"/>
              <w:ind w:right="301"/>
              <w:spacing w:after="0"/>
              <w:rPr>
                <w:sz w:val="20"/>
                <w:szCs w:val="20"/>
                <w:color w:val="auto"/>
              </w:rPr>
            </w:pPr>
            <w:r>
              <w:rPr>
                <w:rFonts w:ascii="Arial" w:cs="Arial" w:eastAsia="Arial" w:hAnsi="Arial"/>
                <w:sz w:val="20"/>
                <w:szCs w:val="20"/>
                <w:color w:val="auto"/>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(162,858)</w:t>
            </w:r>
          </w:p>
        </w:tc>
      </w:tr>
      <w:tr>
        <w:trPr>
          <w:trHeight w:val="284"/>
        </w:trPr>
        <w:tc>
          <w:tcPr>
            <w:tcW w:w="6200" w:type="dxa"/>
            <w:vAlign w:val="bottom"/>
          </w:tcPr>
          <w:p>
            <w:pPr>
              <w:spacing w:after="0"/>
              <w:rPr>
                <w:sz w:val="20"/>
                <w:szCs w:val="20"/>
                <w:color w:val="auto"/>
              </w:rPr>
            </w:pPr>
            <w:r>
              <w:rPr>
                <w:rFonts w:ascii="Arial" w:cs="Arial" w:eastAsia="Arial" w:hAnsi="Arial"/>
                <w:sz w:val="20"/>
                <w:szCs w:val="20"/>
                <w:color w:val="auto"/>
              </w:rPr>
              <w:t>Professional fees (*2)</w:t>
            </w:r>
          </w:p>
        </w:tc>
        <w:tc>
          <w:tcPr>
            <w:tcW w:w="540" w:type="dxa"/>
            <w:vAlign w:val="bottom"/>
          </w:tcPr>
          <w:p>
            <w:pPr>
              <w:spacing w:after="0"/>
              <w:rPr>
                <w:sz w:val="24"/>
                <w:szCs w:val="24"/>
                <w:color w:val="auto"/>
              </w:rPr>
            </w:pPr>
          </w:p>
        </w:tc>
        <w:tc>
          <w:tcPr>
            <w:tcW w:w="1220" w:type="dxa"/>
            <w:vAlign w:val="bottom"/>
          </w:tcPr>
          <w:p>
            <w:pPr>
              <w:jc w:val="right"/>
              <w:ind w:right="1"/>
              <w:spacing w:after="0"/>
              <w:rPr>
                <w:sz w:val="20"/>
                <w:szCs w:val="20"/>
                <w:color w:val="auto"/>
              </w:rPr>
            </w:pPr>
            <w:r>
              <w:rPr>
                <w:rFonts w:ascii="Arial" w:cs="Arial" w:eastAsia="Arial" w:hAnsi="Arial"/>
                <w:sz w:val="20"/>
                <w:szCs w:val="20"/>
                <w:color w:val="auto"/>
              </w:rPr>
              <w:t>280</w:t>
            </w:r>
          </w:p>
        </w:tc>
      </w:tr>
      <w:tr>
        <w:trPr>
          <w:trHeight w:val="284"/>
        </w:trPr>
        <w:tc>
          <w:tcPr>
            <w:tcW w:w="6200" w:type="dxa"/>
            <w:vAlign w:val="bottom"/>
          </w:tcPr>
          <w:p>
            <w:pPr>
              <w:spacing w:after="0"/>
              <w:rPr>
                <w:sz w:val="20"/>
                <w:szCs w:val="20"/>
                <w:color w:val="auto"/>
              </w:rPr>
            </w:pPr>
            <w:r>
              <w:rPr>
                <w:rFonts w:ascii="Arial" w:cs="Arial" w:eastAsia="Arial" w:hAnsi="Arial"/>
                <w:sz w:val="20"/>
                <w:szCs w:val="20"/>
                <w:color w:val="auto"/>
              </w:rPr>
              <w:t>Penalties (*3)</w:t>
            </w:r>
          </w:p>
        </w:tc>
        <w:tc>
          <w:tcPr>
            <w:tcW w:w="540" w:type="dxa"/>
            <w:vAlign w:val="bottom"/>
          </w:tcPr>
          <w:p>
            <w:pPr>
              <w:spacing w:after="0"/>
              <w:rPr>
                <w:sz w:val="24"/>
                <w:szCs w:val="24"/>
                <w:color w:val="auto"/>
              </w:rPr>
            </w:pPr>
          </w:p>
        </w:tc>
        <w:tc>
          <w:tcPr>
            <w:tcW w:w="1220" w:type="dxa"/>
            <w:vAlign w:val="bottom"/>
          </w:tcPr>
          <w:p>
            <w:pPr>
              <w:jc w:val="right"/>
              <w:ind w:right="1"/>
              <w:spacing w:after="0"/>
              <w:rPr>
                <w:sz w:val="20"/>
                <w:szCs w:val="20"/>
                <w:color w:val="auto"/>
              </w:rPr>
            </w:pPr>
            <w:r>
              <w:rPr>
                <w:rFonts w:ascii="Arial" w:cs="Arial" w:eastAsia="Arial" w:hAnsi="Arial"/>
                <w:sz w:val="20"/>
                <w:szCs w:val="20"/>
                <w:color w:val="auto"/>
              </w:rPr>
              <w:t>3,282</w:t>
            </w:r>
          </w:p>
        </w:tc>
      </w:tr>
      <w:tr>
        <w:trPr>
          <w:trHeight w:val="23"/>
        </w:trPr>
        <w:tc>
          <w:tcPr>
            <w:tcW w:w="62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72"/>
        </w:trPr>
        <w:tc>
          <w:tcPr>
            <w:tcW w:w="6200" w:type="dxa"/>
            <w:vAlign w:val="bottom"/>
          </w:tcPr>
          <w:p>
            <w:pPr>
              <w:ind w:left="560"/>
              <w:spacing w:after="0"/>
              <w:rPr>
                <w:sz w:val="20"/>
                <w:szCs w:val="20"/>
                <w:color w:val="auto"/>
              </w:rPr>
            </w:pPr>
            <w:r>
              <w:rPr>
                <w:rFonts w:ascii="Arial" w:cs="Arial" w:eastAsia="Arial" w:hAnsi="Arial"/>
                <w:sz w:val="20"/>
                <w:szCs w:val="20"/>
                <w:color w:val="auto"/>
              </w:rPr>
              <w:t>Total reorganization items, net</w:t>
            </w:r>
          </w:p>
        </w:tc>
        <w:tc>
          <w:tcPr>
            <w:tcW w:w="540" w:type="dxa"/>
            <w:vAlign w:val="bottom"/>
            <w:tcBorders>
              <w:bottom w:val="single" w:sz="8" w:color="auto"/>
            </w:tcBorders>
          </w:tcPr>
          <w:p>
            <w:pPr>
              <w:jc w:val="right"/>
              <w:ind w:right="301"/>
              <w:spacing w:after="0"/>
              <w:rPr>
                <w:sz w:val="20"/>
                <w:szCs w:val="20"/>
                <w:color w:val="auto"/>
              </w:rPr>
            </w:pPr>
            <w:r>
              <w:rPr>
                <w:rFonts w:ascii="Arial" w:cs="Arial" w:eastAsia="Arial" w:hAnsi="Arial"/>
                <w:sz w:val="20"/>
                <w:szCs w:val="20"/>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(159,296)</w:t>
            </w:r>
          </w:p>
        </w:tc>
      </w:tr>
      <w:tr>
        <w:trPr>
          <w:trHeight w:val="20"/>
        </w:trPr>
        <w:tc>
          <w:tcPr>
            <w:tcW w:w="6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80"/>
          </w:cols>
          <w:pgMar w:left="580" w:top="553" w:right="239" w:bottom="1440" w:gutter="0" w:footer="0" w:header="0"/>
        </w:sectPr>
      </w:pPr>
    </w:p>
    <w:bookmarkStart w:id="21" w:name="page22"/>
    <w:bookmarkEnd w:id="21"/>
    <w:p>
      <w:pPr>
        <w:jc w:val="center"/>
        <w:ind w:right="20"/>
        <w:spacing w:after="0"/>
        <w:rPr>
          <w:sz w:val="20"/>
          <w:szCs w:val="20"/>
          <w:color w:val="auto"/>
        </w:rPr>
      </w:pPr>
      <w:r>
        <w:rPr>
          <w:rFonts w:ascii="Arial" w:cs="Arial" w:eastAsia="Arial" w:hAnsi="Arial"/>
          <w:sz w:val="18"/>
          <w:szCs w:val="18"/>
          <w:b w:val="1"/>
          <w:bCs w:val="1"/>
          <w:color w:val="auto"/>
        </w:rPr>
        <w:t>ELPIDA MEMORY,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(DEBTORS-IN-POSSESSION)</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1" w:lineRule="exact"/>
        <w:rPr>
          <w:sz w:val="20"/>
          <w:szCs w:val="20"/>
          <w:color w:val="auto"/>
        </w:rPr>
      </w:pPr>
    </w:p>
    <w:p>
      <w:pPr>
        <w:ind w:left="700"/>
        <w:spacing w:after="0"/>
        <w:tabs>
          <w:tab w:leader="none" w:pos="1180" w:val="left"/>
        </w:tabs>
        <w:rPr>
          <w:sz w:val="20"/>
          <w:szCs w:val="20"/>
          <w:color w:val="auto"/>
        </w:rPr>
      </w:pPr>
      <w:r>
        <w:rPr>
          <w:rFonts w:ascii="Arial" w:cs="Arial" w:eastAsia="Arial" w:hAnsi="Arial"/>
          <w:sz w:val="20"/>
          <w:szCs w:val="20"/>
          <w:color w:val="auto"/>
        </w:rPr>
        <w:t>(*1)</w:t>
      </w:r>
      <w:r>
        <w:rPr>
          <w:sz w:val="20"/>
          <w:szCs w:val="20"/>
          <w:color w:val="auto"/>
        </w:rPr>
        <w:tab/>
      </w:r>
      <w:r>
        <w:rPr>
          <w:rFonts w:ascii="Arial" w:cs="Arial" w:eastAsia="Arial" w:hAnsi="Arial"/>
          <w:sz w:val="16"/>
          <w:szCs w:val="16"/>
          <w:color w:val="auto"/>
        </w:rPr>
        <w:t>The forgiveness of certain debt resulted from the Court’s approval of the Plan.</w:t>
      </w:r>
    </w:p>
    <w:p>
      <w:pPr>
        <w:spacing w:after="0" w:line="81" w:lineRule="exact"/>
        <w:rPr>
          <w:sz w:val="20"/>
          <w:szCs w:val="20"/>
          <w:color w:val="auto"/>
        </w:rPr>
      </w:pPr>
    </w:p>
    <w:p>
      <w:pPr>
        <w:ind w:left="700"/>
        <w:spacing w:after="0"/>
        <w:tabs>
          <w:tab w:leader="none" w:pos="1180" w:val="left"/>
        </w:tabs>
        <w:rPr>
          <w:sz w:val="20"/>
          <w:szCs w:val="20"/>
          <w:color w:val="auto"/>
        </w:rPr>
      </w:pPr>
      <w:r>
        <w:rPr>
          <w:rFonts w:ascii="Arial" w:cs="Arial" w:eastAsia="Arial" w:hAnsi="Arial"/>
          <w:sz w:val="20"/>
          <w:szCs w:val="20"/>
          <w:color w:val="auto"/>
        </w:rPr>
        <w:t>(*2)</w:t>
      </w:r>
      <w:r>
        <w:rPr>
          <w:sz w:val="20"/>
          <w:szCs w:val="20"/>
          <w:color w:val="auto"/>
        </w:rPr>
        <w:tab/>
      </w:r>
      <w:r>
        <w:rPr>
          <w:rFonts w:ascii="Arial" w:cs="Arial" w:eastAsia="Arial" w:hAnsi="Arial"/>
          <w:sz w:val="16"/>
          <w:szCs w:val="16"/>
          <w:color w:val="auto"/>
        </w:rPr>
        <w:t>Professional fees are expenses incurred directly related to the reorganization and restructuring.</w:t>
      </w:r>
    </w:p>
    <w:p>
      <w:pPr>
        <w:spacing w:after="0" w:line="81" w:lineRule="exact"/>
        <w:rPr>
          <w:sz w:val="20"/>
          <w:szCs w:val="20"/>
          <w:color w:val="auto"/>
        </w:rPr>
      </w:pPr>
    </w:p>
    <w:p>
      <w:pPr>
        <w:jc w:val="both"/>
        <w:ind w:left="1200" w:hanging="499"/>
        <w:spacing w:after="0" w:line="246" w:lineRule="auto"/>
        <w:tabs>
          <w:tab w:leader="none" w:pos="1180" w:val="left"/>
        </w:tabs>
        <w:rPr>
          <w:sz w:val="20"/>
          <w:szCs w:val="20"/>
          <w:color w:val="auto"/>
        </w:rPr>
      </w:pPr>
      <w:r>
        <w:rPr>
          <w:rFonts w:ascii="Arial" w:cs="Arial" w:eastAsia="Arial" w:hAnsi="Arial"/>
          <w:sz w:val="20"/>
          <w:szCs w:val="20"/>
          <w:color w:val="auto"/>
        </w:rPr>
        <w:t>(*3)</w:t>
        <w:tab/>
        <w:t>Penalties primarily related to certain subsidiary whose stock holder held a put option to sell its stock to Elpida and intended to execute the put option. However, Elpida was unable to honor the contractual obligation because of the commencement of corporate reorganization proceeding. As a result, Elpida was obligated to pay indemnification for the purchase price of the stocks to the holder. The obligation is included in liabilities subject to compromise.</w:t>
      </w:r>
    </w:p>
    <w:p>
      <w:pPr>
        <w:spacing w:after="0" w:line="131" w:lineRule="exact"/>
        <w:rPr>
          <w:sz w:val="20"/>
          <w:szCs w:val="20"/>
          <w:color w:val="auto"/>
        </w:rPr>
      </w:pPr>
    </w:p>
    <w:tbl>
      <w:tblPr>
        <w:tblLayout w:type="fixed"/>
        <w:tblInd w:w="740" w:type="dxa"/>
        <w:tblCellMar>
          <w:top w:w="0" w:type="dxa"/>
          <w:left w:w="0" w:type="dxa"/>
          <w:bottom w:w="0" w:type="dxa"/>
          <w:right w:w="0" w:type="dxa"/>
        </w:tblCellMar>
      </w:tblPr>
      <w:tr>
        <w:trPr>
          <w:trHeight w:val="230"/>
        </w:trPr>
        <w:tc>
          <w:tcPr>
            <w:tcW w:w="6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center"/>
              <w:ind w:right="181"/>
              <w:spacing w:after="0"/>
              <w:rPr>
                <w:sz w:val="20"/>
                <w:szCs w:val="20"/>
                <w:color w:val="auto"/>
              </w:rPr>
            </w:pPr>
            <w:r>
              <w:rPr>
                <w:rFonts w:ascii="Arial" w:cs="Arial" w:eastAsia="Arial" w:hAnsi="Arial"/>
                <w:sz w:val="20"/>
                <w:szCs w:val="20"/>
                <w:b w:val="1"/>
                <w:bCs w:val="1"/>
                <w:color w:val="auto"/>
                <w:w w:val="92"/>
              </w:rPr>
              <w:t>Year</w:t>
            </w:r>
          </w:p>
        </w:tc>
      </w:tr>
      <w:tr>
        <w:trPr>
          <w:trHeight w:val="230"/>
        </w:trPr>
        <w:tc>
          <w:tcPr>
            <w:tcW w:w="6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center"/>
              <w:ind w:right="181"/>
              <w:spacing w:after="0"/>
              <w:rPr>
                <w:sz w:val="20"/>
                <w:szCs w:val="20"/>
                <w:color w:val="auto"/>
              </w:rPr>
            </w:pPr>
            <w:r>
              <w:rPr>
                <w:rFonts w:ascii="Arial" w:cs="Arial" w:eastAsia="Arial" w:hAnsi="Arial"/>
                <w:sz w:val="20"/>
                <w:szCs w:val="20"/>
                <w:b w:val="1"/>
                <w:bCs w:val="1"/>
                <w:color w:val="auto"/>
                <w:w w:val="88"/>
              </w:rPr>
              <w:t>ended</w:t>
            </w:r>
          </w:p>
        </w:tc>
      </w:tr>
      <w:tr>
        <w:trPr>
          <w:trHeight w:val="230"/>
        </w:trPr>
        <w:tc>
          <w:tcPr>
            <w:tcW w:w="6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center"/>
              <w:ind w:right="181"/>
              <w:spacing w:after="0"/>
              <w:rPr>
                <w:sz w:val="20"/>
                <w:szCs w:val="20"/>
                <w:color w:val="auto"/>
              </w:rPr>
            </w:pPr>
            <w:r>
              <w:rPr>
                <w:rFonts w:ascii="Arial" w:cs="Arial" w:eastAsia="Arial" w:hAnsi="Arial"/>
                <w:sz w:val="20"/>
                <w:szCs w:val="20"/>
                <w:b w:val="1"/>
                <w:bCs w:val="1"/>
                <w:color w:val="auto"/>
                <w:w w:val="95"/>
              </w:rPr>
              <w:t>March 31,</w:t>
            </w:r>
          </w:p>
        </w:tc>
      </w:tr>
      <w:tr>
        <w:trPr>
          <w:trHeight w:val="256"/>
        </w:trPr>
        <w:tc>
          <w:tcPr>
            <w:tcW w:w="6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40" w:type="dxa"/>
            <w:vAlign w:val="bottom"/>
          </w:tcPr>
          <w:p>
            <w:pPr>
              <w:jc w:val="center"/>
              <w:ind w:right="181"/>
              <w:spacing w:after="0"/>
              <w:rPr>
                <w:sz w:val="20"/>
                <w:szCs w:val="20"/>
                <w:color w:val="auto"/>
              </w:rPr>
            </w:pPr>
            <w:r>
              <w:rPr>
                <w:rFonts w:ascii="Arial" w:cs="Arial" w:eastAsia="Arial" w:hAnsi="Arial"/>
                <w:sz w:val="20"/>
                <w:szCs w:val="20"/>
                <w:b w:val="1"/>
                <w:bCs w:val="1"/>
                <w:color w:val="auto"/>
                <w:w w:val="89"/>
              </w:rPr>
              <w:t>2012</w:t>
            </w:r>
          </w:p>
        </w:tc>
      </w:tr>
      <w:tr>
        <w:trPr>
          <w:trHeight w:val="23"/>
        </w:trPr>
        <w:tc>
          <w:tcPr>
            <w:tcW w:w="6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4"/>
        </w:trPr>
        <w:tc>
          <w:tcPr>
            <w:tcW w:w="6220" w:type="dxa"/>
            <w:vAlign w:val="bottom"/>
          </w:tcPr>
          <w:p>
            <w:pPr>
              <w:spacing w:after="0"/>
              <w:rPr>
                <w:sz w:val="20"/>
                <w:szCs w:val="20"/>
                <w:color w:val="auto"/>
              </w:rPr>
            </w:pPr>
            <w:r>
              <w:rPr>
                <w:rFonts w:ascii="Arial" w:cs="Arial" w:eastAsia="Arial" w:hAnsi="Arial"/>
                <w:sz w:val="20"/>
                <w:szCs w:val="20"/>
                <w:color w:val="auto"/>
              </w:rPr>
              <w:t>Settlement of long-term debt (*1)</w:t>
            </w:r>
          </w:p>
        </w:tc>
        <w:tc>
          <w:tcPr>
            <w:tcW w:w="280" w:type="dxa"/>
            <w:vAlign w:val="bottom"/>
          </w:tcPr>
          <w:p>
            <w:pPr>
              <w:jc w:val="right"/>
              <w:ind w:right="61"/>
              <w:spacing w:after="0"/>
              <w:rPr>
                <w:sz w:val="20"/>
                <w:szCs w:val="20"/>
                <w:color w:val="auto"/>
              </w:rPr>
            </w:pPr>
            <w:r>
              <w:rPr>
                <w:rFonts w:ascii="Arial" w:cs="Arial" w:eastAsia="Arial" w:hAnsi="Arial"/>
                <w:sz w:val="20"/>
                <w:szCs w:val="20"/>
                <w:color w:val="auto"/>
                <w:w w:val="89"/>
              </w:rPr>
              <w:t>¥</w:t>
            </w:r>
          </w:p>
        </w:tc>
        <w:tc>
          <w:tcPr>
            <w:tcW w:w="1440" w:type="dxa"/>
            <w:vAlign w:val="bottom"/>
          </w:tcPr>
          <w:p>
            <w:pPr>
              <w:jc w:val="right"/>
              <w:spacing w:after="0"/>
              <w:rPr>
                <w:sz w:val="20"/>
                <w:szCs w:val="20"/>
                <w:color w:val="auto"/>
              </w:rPr>
            </w:pPr>
            <w:r>
              <w:rPr>
                <w:rFonts w:ascii="Arial" w:cs="Arial" w:eastAsia="Arial" w:hAnsi="Arial"/>
                <w:sz w:val="20"/>
                <w:szCs w:val="20"/>
                <w:color w:val="auto"/>
              </w:rPr>
              <w:t>(238)</w:t>
            </w:r>
          </w:p>
        </w:tc>
      </w:tr>
      <w:tr>
        <w:trPr>
          <w:trHeight w:val="284"/>
        </w:trPr>
        <w:tc>
          <w:tcPr>
            <w:tcW w:w="6220" w:type="dxa"/>
            <w:vAlign w:val="bottom"/>
          </w:tcPr>
          <w:p>
            <w:pPr>
              <w:spacing w:after="0"/>
              <w:rPr>
                <w:sz w:val="20"/>
                <w:szCs w:val="20"/>
                <w:color w:val="auto"/>
              </w:rPr>
            </w:pPr>
            <w:r>
              <w:rPr>
                <w:rFonts w:ascii="Arial" w:cs="Arial" w:eastAsia="Arial" w:hAnsi="Arial"/>
                <w:sz w:val="20"/>
                <w:szCs w:val="20"/>
                <w:color w:val="auto"/>
              </w:rPr>
              <w:t>Professional fees (*2)</w:t>
            </w:r>
          </w:p>
        </w:tc>
        <w:tc>
          <w:tcPr>
            <w:tcW w:w="2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244</w:t>
            </w:r>
          </w:p>
        </w:tc>
      </w:tr>
      <w:tr>
        <w:trPr>
          <w:trHeight w:val="284"/>
        </w:trPr>
        <w:tc>
          <w:tcPr>
            <w:tcW w:w="6220" w:type="dxa"/>
            <w:vAlign w:val="bottom"/>
          </w:tcPr>
          <w:p>
            <w:pPr>
              <w:spacing w:after="0"/>
              <w:rPr>
                <w:sz w:val="20"/>
                <w:szCs w:val="20"/>
                <w:color w:val="auto"/>
              </w:rPr>
            </w:pPr>
            <w:r>
              <w:rPr>
                <w:rFonts w:ascii="Arial" w:cs="Arial" w:eastAsia="Arial" w:hAnsi="Arial"/>
                <w:sz w:val="20"/>
                <w:szCs w:val="20"/>
                <w:color w:val="auto"/>
              </w:rPr>
              <w:t>Adjustments of bond issuance costs (*3)</w:t>
            </w:r>
          </w:p>
        </w:tc>
        <w:tc>
          <w:tcPr>
            <w:tcW w:w="2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448</w:t>
            </w:r>
          </w:p>
        </w:tc>
      </w:tr>
      <w:tr>
        <w:trPr>
          <w:trHeight w:val="284"/>
        </w:trPr>
        <w:tc>
          <w:tcPr>
            <w:tcW w:w="6220" w:type="dxa"/>
            <w:vAlign w:val="bottom"/>
          </w:tcPr>
          <w:p>
            <w:pPr>
              <w:spacing w:after="0"/>
              <w:rPr>
                <w:sz w:val="20"/>
                <w:szCs w:val="20"/>
                <w:color w:val="auto"/>
              </w:rPr>
            </w:pPr>
            <w:r>
              <w:rPr>
                <w:rFonts w:ascii="Arial" w:cs="Arial" w:eastAsia="Arial" w:hAnsi="Arial"/>
                <w:sz w:val="20"/>
                <w:szCs w:val="20"/>
                <w:color w:val="auto"/>
              </w:rPr>
              <w:t>Penalties (*4)</w:t>
            </w:r>
          </w:p>
        </w:tc>
        <w:tc>
          <w:tcPr>
            <w:tcW w:w="2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3,051</w:t>
            </w:r>
          </w:p>
        </w:tc>
      </w:tr>
      <w:tr>
        <w:trPr>
          <w:trHeight w:val="23"/>
        </w:trPr>
        <w:tc>
          <w:tcPr>
            <w:tcW w:w="6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72"/>
        </w:trPr>
        <w:tc>
          <w:tcPr>
            <w:tcW w:w="6220" w:type="dxa"/>
            <w:vAlign w:val="bottom"/>
          </w:tcPr>
          <w:p>
            <w:pPr>
              <w:ind w:left="580"/>
              <w:spacing w:after="0"/>
              <w:rPr>
                <w:sz w:val="20"/>
                <w:szCs w:val="20"/>
                <w:color w:val="auto"/>
              </w:rPr>
            </w:pPr>
            <w:r>
              <w:rPr>
                <w:rFonts w:ascii="Arial" w:cs="Arial" w:eastAsia="Arial" w:hAnsi="Arial"/>
                <w:sz w:val="20"/>
                <w:szCs w:val="20"/>
                <w:color w:val="auto"/>
              </w:rPr>
              <w:t>Total reorganization items, net</w:t>
            </w:r>
          </w:p>
        </w:tc>
        <w:tc>
          <w:tcPr>
            <w:tcW w:w="28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3,505</w:t>
            </w:r>
          </w:p>
        </w:tc>
      </w:tr>
      <w:tr>
        <w:trPr>
          <w:trHeight w:val="20"/>
        </w:trPr>
        <w:tc>
          <w:tcPr>
            <w:tcW w:w="6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left="1200" w:hanging="499"/>
        <w:spacing w:after="0" w:line="260" w:lineRule="auto"/>
        <w:tabs>
          <w:tab w:leader="none" w:pos="1180" w:val="left"/>
        </w:tabs>
        <w:rPr>
          <w:sz w:val="20"/>
          <w:szCs w:val="20"/>
          <w:color w:val="auto"/>
        </w:rPr>
      </w:pPr>
      <w:r>
        <w:rPr>
          <w:rFonts w:ascii="Arial" w:cs="Arial" w:eastAsia="Arial" w:hAnsi="Arial"/>
          <w:sz w:val="20"/>
          <w:szCs w:val="20"/>
          <w:color w:val="auto"/>
        </w:rPr>
        <w:t>(*1)</w:t>
        <w:tab/>
        <w:t>The settlement of certain long-term debt resulted in a gain recognized due to 1) the abandonment of the related claim by the respective creditors and 2) the rejection of claims due to the creditors’ application process deficiency.</w:t>
      </w:r>
    </w:p>
    <w:p>
      <w:pPr>
        <w:spacing w:after="0" w:line="28" w:lineRule="exact"/>
        <w:rPr>
          <w:sz w:val="20"/>
          <w:szCs w:val="20"/>
          <w:color w:val="auto"/>
        </w:rPr>
      </w:pPr>
    </w:p>
    <w:p>
      <w:pPr>
        <w:ind w:left="700"/>
        <w:spacing w:after="0"/>
        <w:tabs>
          <w:tab w:leader="none" w:pos="1180" w:val="left"/>
        </w:tabs>
        <w:rPr>
          <w:sz w:val="20"/>
          <w:szCs w:val="20"/>
          <w:color w:val="auto"/>
        </w:rPr>
      </w:pPr>
      <w:r>
        <w:rPr>
          <w:rFonts w:ascii="Arial" w:cs="Arial" w:eastAsia="Arial" w:hAnsi="Arial"/>
          <w:sz w:val="20"/>
          <w:szCs w:val="20"/>
          <w:color w:val="auto"/>
        </w:rPr>
        <w:t>(*2)</w:t>
      </w:r>
      <w:r>
        <w:rPr>
          <w:sz w:val="20"/>
          <w:szCs w:val="20"/>
          <w:color w:val="auto"/>
        </w:rPr>
        <w:tab/>
      </w:r>
      <w:r>
        <w:rPr>
          <w:rFonts w:ascii="Arial" w:cs="Arial" w:eastAsia="Arial" w:hAnsi="Arial"/>
          <w:sz w:val="16"/>
          <w:szCs w:val="16"/>
          <w:color w:val="auto"/>
        </w:rPr>
        <w:t>Professional fees are expenses incurred directly related to the reorganization and restructuring.</w:t>
      </w:r>
    </w:p>
    <w:p>
      <w:pPr>
        <w:spacing w:after="0" w:line="67" w:lineRule="exact"/>
        <w:rPr>
          <w:sz w:val="20"/>
          <w:szCs w:val="20"/>
          <w:color w:val="auto"/>
        </w:rPr>
      </w:pPr>
    </w:p>
    <w:p>
      <w:pPr>
        <w:ind w:left="1200" w:right="20" w:hanging="499"/>
        <w:spacing w:after="0" w:line="305" w:lineRule="auto"/>
        <w:tabs>
          <w:tab w:leader="none" w:pos="1180" w:val="left"/>
        </w:tabs>
        <w:rPr>
          <w:sz w:val="20"/>
          <w:szCs w:val="20"/>
          <w:color w:val="auto"/>
        </w:rPr>
      </w:pPr>
      <w:r>
        <w:rPr>
          <w:rFonts w:ascii="Arial" w:cs="Arial" w:eastAsia="Arial" w:hAnsi="Arial"/>
          <w:sz w:val="18"/>
          <w:szCs w:val="18"/>
          <w:color w:val="auto"/>
        </w:rPr>
        <w:t>(*3)</w:t>
        <w:tab/>
        <w:t>Adjustments of bond issuance costs related to certain debt that has been classified as subject to compromise and previously recorded as an asset to be amortized were fully expensed to adjust related debt amounts to the amounts of the allowed claims.</w:t>
      </w:r>
    </w:p>
    <w:p>
      <w:pPr>
        <w:spacing w:after="0" w:line="1" w:lineRule="exact"/>
        <w:rPr>
          <w:sz w:val="20"/>
          <w:szCs w:val="20"/>
          <w:color w:val="auto"/>
        </w:rPr>
      </w:pPr>
    </w:p>
    <w:p>
      <w:pPr>
        <w:ind w:left="1200" w:hanging="499"/>
        <w:spacing w:after="0" w:line="260" w:lineRule="auto"/>
        <w:tabs>
          <w:tab w:leader="none" w:pos="1180" w:val="left"/>
        </w:tabs>
        <w:rPr>
          <w:sz w:val="20"/>
          <w:szCs w:val="20"/>
          <w:color w:val="auto"/>
        </w:rPr>
      </w:pPr>
      <w:r>
        <w:rPr>
          <w:rFonts w:ascii="Arial" w:cs="Arial" w:eastAsia="Arial" w:hAnsi="Arial"/>
          <w:sz w:val="20"/>
          <w:szCs w:val="20"/>
          <w:color w:val="auto"/>
        </w:rPr>
        <w:t>(*4)</w:t>
        <w:tab/>
        <w:t>Elpida was obligated to pay penalties for certain debt and lease contracts. In addition, Elpida reimbursed holders of Taiwan Depositary Receipts as a result of filing voluntary petition in Japan.</w:t>
      </w:r>
    </w:p>
    <w:p>
      <w:pPr>
        <w:spacing w:after="0" w:line="171" w:lineRule="exact"/>
        <w:rPr>
          <w:sz w:val="20"/>
          <w:szCs w:val="20"/>
          <w:color w:val="auto"/>
        </w:rPr>
      </w:pPr>
    </w:p>
    <w:p>
      <w:pPr>
        <w:ind w:left="340" w:hanging="338"/>
        <w:spacing w:after="0"/>
        <w:tabs>
          <w:tab w:leader="none" w:pos="340"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Summary of Significant Accounting Policies</w:t>
      </w:r>
    </w:p>
    <w:p>
      <w:pPr>
        <w:spacing w:after="0" w:line="127" w:lineRule="exact"/>
        <w:rPr>
          <w:rFonts w:ascii="Arial" w:cs="Arial" w:eastAsia="Arial" w:hAnsi="Arial"/>
          <w:sz w:val="20"/>
          <w:szCs w:val="20"/>
          <w:b w:val="1"/>
          <w:bCs w:val="1"/>
          <w:color w:val="auto"/>
        </w:rPr>
      </w:pPr>
    </w:p>
    <w:p>
      <w:pPr>
        <w:ind w:left="700" w:hanging="374"/>
        <w:spacing w:after="0"/>
        <w:tabs>
          <w:tab w:leader="none" w:pos="700" w:val="left"/>
        </w:tabs>
        <w:numPr>
          <w:ilvl w:val="1"/>
          <w:numId w:val="7"/>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Change in Fiscal Year</w:t>
      </w:r>
    </w:p>
    <w:p>
      <w:pPr>
        <w:spacing w:after="0" w:line="67" w:lineRule="exact"/>
        <w:rPr>
          <w:rFonts w:ascii="Arial" w:cs="Arial" w:eastAsia="Arial" w:hAnsi="Arial"/>
          <w:sz w:val="20"/>
          <w:szCs w:val="20"/>
          <w:b w:val="1"/>
          <w:bCs w:val="1"/>
          <w:i w:val="1"/>
          <w:iCs w:val="1"/>
          <w:color w:val="auto"/>
        </w:rPr>
      </w:pPr>
    </w:p>
    <w:p>
      <w:pPr>
        <w:ind w:left="700"/>
        <w:spacing w:after="0" w:line="287" w:lineRule="auto"/>
        <w:rPr>
          <w:rFonts w:ascii="Arial" w:cs="Arial" w:eastAsia="Arial" w:hAnsi="Arial"/>
          <w:sz w:val="20"/>
          <w:szCs w:val="20"/>
          <w:b w:val="1"/>
          <w:bCs w:val="1"/>
          <w:i w:val="1"/>
          <w:iCs w:val="1"/>
          <w:color w:val="auto"/>
        </w:rPr>
      </w:pPr>
      <w:r>
        <w:rPr>
          <w:rFonts w:ascii="Arial" w:cs="Arial" w:eastAsia="Arial" w:hAnsi="Arial"/>
          <w:sz w:val="19"/>
          <w:szCs w:val="19"/>
          <w:color w:val="auto"/>
        </w:rPr>
        <w:t>According to the Reorganization Act, Elpida’s fiscal year end date changed to the day when the Plan was approved by the Court, which is February 28. In addition, as described in the Plan, Elpida’s fiscal year end date will be August 31, hereafter.</w:t>
      </w:r>
    </w:p>
    <w:p>
      <w:pPr>
        <w:spacing w:after="0" w:line="98" w:lineRule="exact"/>
        <w:rPr>
          <w:rFonts w:ascii="Arial" w:cs="Arial" w:eastAsia="Arial" w:hAnsi="Arial"/>
          <w:sz w:val="20"/>
          <w:szCs w:val="20"/>
          <w:b w:val="1"/>
          <w:bCs w:val="1"/>
          <w:i w:val="1"/>
          <w:iCs w:val="1"/>
          <w:color w:val="auto"/>
        </w:rPr>
      </w:pPr>
    </w:p>
    <w:p>
      <w:pPr>
        <w:ind w:left="700" w:hanging="374"/>
        <w:spacing w:after="0"/>
        <w:tabs>
          <w:tab w:leader="none" w:pos="700" w:val="left"/>
        </w:tabs>
        <w:numPr>
          <w:ilvl w:val="1"/>
          <w:numId w:val="7"/>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Use of Estimates</w:t>
      </w:r>
    </w:p>
    <w:p>
      <w:pPr>
        <w:spacing w:after="0" w:line="67" w:lineRule="exact"/>
        <w:rPr>
          <w:rFonts w:ascii="Arial" w:cs="Arial" w:eastAsia="Arial" w:hAnsi="Arial"/>
          <w:sz w:val="20"/>
          <w:szCs w:val="20"/>
          <w:b w:val="1"/>
          <w:bCs w:val="1"/>
          <w:i w:val="1"/>
          <w:iCs w:val="1"/>
          <w:color w:val="auto"/>
        </w:rPr>
      </w:pPr>
    </w:p>
    <w:p>
      <w:pPr>
        <w:jc w:val="both"/>
        <w:ind w:left="700"/>
        <w:spacing w:after="0" w:line="313" w:lineRule="auto"/>
        <w:rPr>
          <w:rFonts w:ascii="Arial" w:cs="Arial" w:eastAsia="Arial" w:hAnsi="Arial"/>
          <w:sz w:val="20"/>
          <w:szCs w:val="20"/>
          <w:b w:val="1"/>
          <w:bCs w:val="1"/>
          <w:i w:val="1"/>
          <w:iCs w:val="1"/>
          <w:color w:val="auto"/>
        </w:rPr>
      </w:pPr>
      <w:r>
        <w:rPr>
          <w:rFonts w:ascii="Arial" w:cs="Arial" w:eastAsia="Arial" w:hAnsi="Arial"/>
          <w:sz w:val="16"/>
          <w:szCs w:val="16"/>
          <w:color w:val="auto"/>
        </w:rPr>
        <w:t>The preparation of consolidated financial statements in conformity with U.S. generally accepted accounting principles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and such differences may be material to the consolidated financial statements. Significant items subject to such estimates and assumptions include the useful lives of fixed assets; allowances for doubtful accounts and sales returns; the valuation of derivatives, deferred tax assets, fixed assets, inventory, investments, and stock options; reserves for employee benefit obligations, income tax uncertainties and other contingencies; and classification</w:t>
      </w:r>
    </w:p>
    <w:p>
      <w:pPr>
        <w:spacing w:after="0" w:line="3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60" w:top="553" w:right="239" w:bottom="1440" w:gutter="0" w:footer="0" w:header="0"/>
        </w:sectPr>
      </w:pPr>
    </w:p>
    <w:bookmarkStart w:id="22" w:name="page23"/>
    <w:bookmarkEnd w:id="22"/>
    <w:p>
      <w:pPr>
        <w:jc w:val="center"/>
        <w:ind w:right="340"/>
        <w:spacing w:after="0"/>
        <w:rPr>
          <w:sz w:val="20"/>
          <w:szCs w:val="20"/>
          <w:color w:val="auto"/>
        </w:rPr>
      </w:pPr>
      <w:r>
        <w:rPr>
          <w:rFonts w:ascii="Arial" w:cs="Arial" w:eastAsia="Arial" w:hAnsi="Arial"/>
          <w:sz w:val="18"/>
          <w:szCs w:val="18"/>
          <w:b w:val="1"/>
          <w:bCs w:val="1"/>
          <w:color w:val="auto"/>
        </w:rPr>
        <w:t>ELPIDA MEMORY, INC. AND SUBSIDIARIES</w:t>
      </w:r>
    </w:p>
    <w:p>
      <w:pPr>
        <w:spacing w:after="0" w:line="27"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auto"/>
        </w:rPr>
        <w:t>(DEBTORS-IN-POSSESSION)</w:t>
      </w:r>
    </w:p>
    <w:p>
      <w:pPr>
        <w:spacing w:after="0" w:line="9"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1" w:lineRule="exact"/>
        <w:rPr>
          <w:sz w:val="20"/>
          <w:szCs w:val="20"/>
          <w:color w:val="auto"/>
        </w:rPr>
      </w:pPr>
    </w:p>
    <w:p>
      <w:pPr>
        <w:ind w:left="380"/>
        <w:spacing w:after="0"/>
        <w:rPr>
          <w:sz w:val="20"/>
          <w:szCs w:val="20"/>
          <w:color w:val="auto"/>
        </w:rPr>
      </w:pPr>
      <w:r>
        <w:rPr>
          <w:rFonts w:ascii="Arial" w:cs="Arial" w:eastAsia="Arial" w:hAnsi="Arial"/>
          <w:sz w:val="20"/>
          <w:szCs w:val="20"/>
          <w:color w:val="auto"/>
        </w:rPr>
        <w:t>and measurement of lease obligations and liabilities subject to compromise.</w:t>
      </w:r>
    </w:p>
    <w:p>
      <w:pPr>
        <w:spacing w:after="0" w:line="200" w:lineRule="exact"/>
        <w:rPr>
          <w:sz w:val="20"/>
          <w:szCs w:val="20"/>
          <w:color w:val="auto"/>
        </w:rPr>
      </w:pPr>
    </w:p>
    <w:p>
      <w:pPr>
        <w:spacing w:after="0" w:line="232" w:lineRule="exact"/>
        <w:rPr>
          <w:sz w:val="20"/>
          <w:szCs w:val="20"/>
          <w:color w:val="auto"/>
        </w:rPr>
      </w:pPr>
    </w:p>
    <w:p>
      <w:pPr>
        <w:ind w:left="380" w:hanging="374"/>
        <w:spacing w:after="0"/>
        <w:tabs>
          <w:tab w:leader="none" w:pos="380" w:val="left"/>
        </w:tabs>
        <w:numPr>
          <w:ilvl w:val="0"/>
          <w:numId w:val="8"/>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Principles of Consolidation</w:t>
      </w:r>
    </w:p>
    <w:p>
      <w:pPr>
        <w:spacing w:after="0" w:line="67" w:lineRule="exact"/>
        <w:rPr>
          <w:rFonts w:ascii="Arial" w:cs="Arial" w:eastAsia="Arial" w:hAnsi="Arial"/>
          <w:sz w:val="20"/>
          <w:szCs w:val="20"/>
          <w:b w:val="1"/>
          <w:bCs w:val="1"/>
          <w:i w:val="1"/>
          <w:iCs w:val="1"/>
          <w:color w:val="auto"/>
        </w:rPr>
      </w:pPr>
    </w:p>
    <w:p>
      <w:pPr>
        <w:jc w:val="both"/>
        <w:ind w:left="380"/>
        <w:spacing w:after="0" w:line="246" w:lineRule="auto"/>
        <w:rPr>
          <w:rFonts w:ascii="Arial" w:cs="Arial" w:eastAsia="Arial" w:hAnsi="Arial"/>
          <w:sz w:val="20"/>
          <w:szCs w:val="20"/>
          <w:b w:val="1"/>
          <w:bCs w:val="1"/>
          <w:i w:val="1"/>
          <w:iCs w:val="1"/>
          <w:color w:val="auto"/>
        </w:rPr>
      </w:pPr>
      <w:r>
        <w:rPr>
          <w:rFonts w:ascii="Arial" w:cs="Arial" w:eastAsia="Arial" w:hAnsi="Arial"/>
          <w:sz w:val="20"/>
          <w:szCs w:val="20"/>
          <w:color w:val="auto"/>
        </w:rPr>
        <w:t>The accompanying consolidated financial statements include the accounts of Elpida and its majority owned subsidiaries. All significant intercompany balances and transactions have been eliminated in consolidation. The Company has no involvement with variable interest entities. The Company accounts for investments over which it has significant influence but not a controlling financial interest using the equity method of accounting.</w:t>
      </w:r>
    </w:p>
    <w:p>
      <w:pPr>
        <w:spacing w:after="0" w:line="191" w:lineRule="exact"/>
        <w:rPr>
          <w:rFonts w:ascii="Arial" w:cs="Arial" w:eastAsia="Arial" w:hAnsi="Arial"/>
          <w:sz w:val="20"/>
          <w:szCs w:val="20"/>
          <w:b w:val="1"/>
          <w:bCs w:val="1"/>
          <w:i w:val="1"/>
          <w:iCs w:val="1"/>
          <w:color w:val="auto"/>
        </w:rPr>
      </w:pPr>
    </w:p>
    <w:p>
      <w:pPr>
        <w:ind w:left="380" w:hanging="374"/>
        <w:spacing w:after="0"/>
        <w:tabs>
          <w:tab w:leader="none" w:pos="380" w:val="left"/>
        </w:tabs>
        <w:numPr>
          <w:ilvl w:val="0"/>
          <w:numId w:val="8"/>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Foreign Currency Translation</w:t>
      </w:r>
    </w:p>
    <w:p>
      <w:pPr>
        <w:spacing w:after="0" w:line="67" w:lineRule="exact"/>
        <w:rPr>
          <w:rFonts w:ascii="Arial" w:cs="Arial" w:eastAsia="Arial" w:hAnsi="Arial"/>
          <w:sz w:val="20"/>
          <w:szCs w:val="20"/>
          <w:b w:val="1"/>
          <w:bCs w:val="1"/>
          <w:i w:val="1"/>
          <w:iCs w:val="1"/>
          <w:color w:val="auto"/>
        </w:rPr>
      </w:pPr>
    </w:p>
    <w:p>
      <w:pPr>
        <w:jc w:val="both"/>
        <w:ind w:left="380"/>
        <w:spacing w:after="0" w:line="250" w:lineRule="auto"/>
        <w:rPr>
          <w:rFonts w:ascii="Arial" w:cs="Arial" w:eastAsia="Arial" w:hAnsi="Arial"/>
          <w:sz w:val="20"/>
          <w:szCs w:val="20"/>
          <w:b w:val="1"/>
          <w:bCs w:val="1"/>
          <w:i w:val="1"/>
          <w:iCs w:val="1"/>
          <w:color w:val="auto"/>
        </w:rPr>
      </w:pPr>
      <w:r>
        <w:rPr>
          <w:rFonts w:ascii="Arial" w:cs="Arial" w:eastAsia="Arial" w:hAnsi="Arial"/>
          <w:sz w:val="20"/>
          <w:szCs w:val="20"/>
          <w:color w:val="auto"/>
        </w:rPr>
        <w:t>Foreign currency transactions are measured at the applicable rates of exchange prevailing at the transaction dates. Assets and liabilities denominated in currencies other than Japanese yen are remeasured at the applicable rates of exchange prevailing at the balance sheet date with the resulting gain or loss credited or charged to income.</w:t>
      </w:r>
    </w:p>
    <w:p>
      <w:pPr>
        <w:spacing w:after="0" w:line="186" w:lineRule="exact"/>
        <w:rPr>
          <w:rFonts w:ascii="Arial" w:cs="Arial" w:eastAsia="Arial" w:hAnsi="Arial"/>
          <w:sz w:val="20"/>
          <w:szCs w:val="20"/>
          <w:b w:val="1"/>
          <w:bCs w:val="1"/>
          <w:i w:val="1"/>
          <w:iCs w:val="1"/>
          <w:color w:val="auto"/>
        </w:rPr>
      </w:pPr>
    </w:p>
    <w:p>
      <w:pPr>
        <w:jc w:val="both"/>
        <w:ind w:left="380"/>
        <w:spacing w:after="0" w:line="282" w:lineRule="auto"/>
        <w:rPr>
          <w:rFonts w:ascii="Arial" w:cs="Arial" w:eastAsia="Arial" w:hAnsi="Arial"/>
          <w:sz w:val="20"/>
          <w:szCs w:val="20"/>
          <w:b w:val="1"/>
          <w:bCs w:val="1"/>
          <w:i w:val="1"/>
          <w:iCs w:val="1"/>
          <w:color w:val="auto"/>
        </w:rPr>
      </w:pPr>
      <w:r>
        <w:rPr>
          <w:rFonts w:ascii="Arial" w:cs="Arial" w:eastAsia="Arial" w:hAnsi="Arial"/>
          <w:sz w:val="18"/>
          <w:szCs w:val="18"/>
          <w:color w:val="auto"/>
        </w:rPr>
        <w:t>Elpida’s foreign subsidiaries use the local currencies other than Japanese yen as their functional currencies. Accordingly, assets and liabilities of foreign subsidiaries are translated into Japanese yen at applicable year-end rates of exchange and all revenue and expense accounts are translated at average rates of exchange during the year. The resulting translation adjustments are accumulated and included in accumulated other comprehensive income (loss) classified as part of stockholders’ equity.</w:t>
      </w:r>
    </w:p>
    <w:p>
      <w:pPr>
        <w:spacing w:after="0" w:line="161" w:lineRule="exact"/>
        <w:rPr>
          <w:rFonts w:ascii="Arial" w:cs="Arial" w:eastAsia="Arial" w:hAnsi="Arial"/>
          <w:sz w:val="20"/>
          <w:szCs w:val="20"/>
          <w:b w:val="1"/>
          <w:bCs w:val="1"/>
          <w:i w:val="1"/>
          <w:iCs w:val="1"/>
          <w:color w:val="auto"/>
        </w:rPr>
      </w:pPr>
    </w:p>
    <w:p>
      <w:pPr>
        <w:ind w:left="380" w:hanging="374"/>
        <w:spacing w:after="0"/>
        <w:tabs>
          <w:tab w:leader="none" w:pos="380" w:val="left"/>
        </w:tabs>
        <w:numPr>
          <w:ilvl w:val="0"/>
          <w:numId w:val="8"/>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Cash and Cash Equivalents</w:t>
      </w:r>
    </w:p>
    <w:p>
      <w:pPr>
        <w:spacing w:after="0" w:line="67" w:lineRule="exact"/>
        <w:rPr>
          <w:rFonts w:ascii="Arial" w:cs="Arial" w:eastAsia="Arial" w:hAnsi="Arial"/>
          <w:sz w:val="20"/>
          <w:szCs w:val="20"/>
          <w:b w:val="1"/>
          <w:bCs w:val="1"/>
          <w:i w:val="1"/>
          <w:iCs w:val="1"/>
          <w:color w:val="auto"/>
        </w:rPr>
      </w:pPr>
    </w:p>
    <w:p>
      <w:pPr>
        <w:ind w:left="380"/>
        <w:spacing w:after="0"/>
        <w:rPr>
          <w:rFonts w:ascii="Arial" w:cs="Arial" w:eastAsia="Arial" w:hAnsi="Arial"/>
          <w:sz w:val="20"/>
          <w:szCs w:val="20"/>
          <w:b w:val="1"/>
          <w:bCs w:val="1"/>
          <w:i w:val="1"/>
          <w:iCs w:val="1"/>
          <w:color w:val="auto"/>
        </w:rPr>
      </w:pPr>
      <w:r>
        <w:rPr>
          <w:rFonts w:ascii="Arial" w:cs="Arial" w:eastAsia="Arial" w:hAnsi="Arial"/>
          <w:sz w:val="18"/>
          <w:szCs w:val="18"/>
          <w:color w:val="auto"/>
        </w:rPr>
        <w:t>The Company considers all highly liquid investments with a maturity of three months or less when purchased to be cash equivalents.</w:t>
      </w:r>
    </w:p>
    <w:p>
      <w:pPr>
        <w:spacing w:after="0" w:line="238" w:lineRule="exact"/>
        <w:rPr>
          <w:rFonts w:ascii="Arial" w:cs="Arial" w:eastAsia="Arial" w:hAnsi="Arial"/>
          <w:sz w:val="20"/>
          <w:szCs w:val="20"/>
          <w:b w:val="1"/>
          <w:bCs w:val="1"/>
          <w:i w:val="1"/>
          <w:iCs w:val="1"/>
          <w:color w:val="auto"/>
        </w:rPr>
      </w:pPr>
    </w:p>
    <w:p>
      <w:pPr>
        <w:ind w:left="380" w:hanging="374"/>
        <w:spacing w:after="0"/>
        <w:tabs>
          <w:tab w:leader="none" w:pos="380" w:val="left"/>
        </w:tabs>
        <w:numPr>
          <w:ilvl w:val="0"/>
          <w:numId w:val="8"/>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Trade Accounts Receivable</w:t>
      </w:r>
    </w:p>
    <w:p>
      <w:pPr>
        <w:spacing w:after="0" w:line="67" w:lineRule="exact"/>
        <w:rPr>
          <w:rFonts w:ascii="Arial" w:cs="Arial" w:eastAsia="Arial" w:hAnsi="Arial"/>
          <w:sz w:val="20"/>
          <w:szCs w:val="20"/>
          <w:b w:val="1"/>
          <w:bCs w:val="1"/>
          <w:i w:val="1"/>
          <w:iCs w:val="1"/>
          <w:color w:val="auto"/>
        </w:rPr>
      </w:pPr>
    </w:p>
    <w:p>
      <w:pPr>
        <w:jc w:val="both"/>
        <w:ind w:left="380"/>
        <w:spacing w:after="0" w:line="260" w:lineRule="auto"/>
        <w:rPr>
          <w:rFonts w:ascii="Arial" w:cs="Arial" w:eastAsia="Arial" w:hAnsi="Arial"/>
          <w:sz w:val="20"/>
          <w:szCs w:val="20"/>
          <w:b w:val="1"/>
          <w:bCs w:val="1"/>
          <w:i w:val="1"/>
          <w:iCs w:val="1"/>
          <w:color w:val="auto"/>
        </w:rPr>
      </w:pPr>
      <w:r>
        <w:rPr>
          <w:rFonts w:ascii="Arial" w:cs="Arial" w:eastAsia="Arial" w:hAnsi="Arial"/>
          <w:sz w:val="19"/>
          <w:szCs w:val="19"/>
          <w:color w:val="auto"/>
        </w:rPr>
        <w:t>Trade accounts receivable are recorded at the invoiced amount and do not bear interest. Amounts collected on trade accounts receivable are included in net cash provided by operating activities in the consolidated statements of cash flows. Allowance for doubtful trade receivables are determined based on a combination of historical experience, aging analysis, and any specific factors affecting customer accounts. Uncollectible trade accounts receivable are charged-off when legal actions have been taken to collect the receivable, and it becomes clear that an amount smaller than the original receivable will be recovered.</w:t>
      </w:r>
    </w:p>
    <w:p>
      <w:pPr>
        <w:spacing w:after="0" w:line="180" w:lineRule="exact"/>
        <w:rPr>
          <w:rFonts w:ascii="Arial" w:cs="Arial" w:eastAsia="Arial" w:hAnsi="Arial"/>
          <w:sz w:val="20"/>
          <w:szCs w:val="20"/>
          <w:b w:val="1"/>
          <w:bCs w:val="1"/>
          <w:i w:val="1"/>
          <w:iCs w:val="1"/>
          <w:color w:val="auto"/>
        </w:rPr>
      </w:pPr>
    </w:p>
    <w:p>
      <w:pPr>
        <w:ind w:left="380" w:hanging="374"/>
        <w:spacing w:after="0"/>
        <w:tabs>
          <w:tab w:leader="none" w:pos="380" w:val="left"/>
        </w:tabs>
        <w:numPr>
          <w:ilvl w:val="0"/>
          <w:numId w:val="8"/>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Inventories</w:t>
      </w:r>
    </w:p>
    <w:p>
      <w:pPr>
        <w:spacing w:after="0" w:line="67" w:lineRule="exact"/>
        <w:rPr>
          <w:rFonts w:ascii="Arial" w:cs="Arial" w:eastAsia="Arial" w:hAnsi="Arial"/>
          <w:sz w:val="20"/>
          <w:szCs w:val="20"/>
          <w:b w:val="1"/>
          <w:bCs w:val="1"/>
          <w:i w:val="1"/>
          <w:iCs w:val="1"/>
          <w:color w:val="auto"/>
        </w:rPr>
      </w:pPr>
    </w:p>
    <w:p>
      <w:pPr>
        <w:ind w:left="380"/>
        <w:spacing w:after="0" w:line="260" w:lineRule="auto"/>
        <w:rPr>
          <w:rFonts w:ascii="Arial" w:cs="Arial" w:eastAsia="Arial" w:hAnsi="Arial"/>
          <w:sz w:val="20"/>
          <w:szCs w:val="20"/>
          <w:b w:val="1"/>
          <w:bCs w:val="1"/>
          <w:i w:val="1"/>
          <w:iCs w:val="1"/>
          <w:color w:val="auto"/>
        </w:rPr>
      </w:pPr>
      <w:r>
        <w:rPr>
          <w:rFonts w:ascii="Arial" w:cs="Arial" w:eastAsia="Arial" w:hAnsi="Arial"/>
          <w:sz w:val="20"/>
          <w:szCs w:val="20"/>
          <w:color w:val="auto"/>
        </w:rPr>
        <w:t>Inventories, except for supplies, are stated at the lower of cost or market, cost being determined using the first-in, first-out method or the average cost method.</w:t>
      </w:r>
    </w:p>
    <w:p>
      <w:pPr>
        <w:spacing w:after="0" w:line="95" w:lineRule="exact"/>
        <w:rPr>
          <w:rFonts w:ascii="Arial" w:cs="Arial" w:eastAsia="Arial" w:hAnsi="Arial"/>
          <w:sz w:val="20"/>
          <w:szCs w:val="20"/>
          <w:b w:val="1"/>
          <w:bCs w:val="1"/>
          <w:i w:val="1"/>
          <w:iCs w:val="1"/>
          <w:color w:val="auto"/>
        </w:rPr>
      </w:pPr>
    </w:p>
    <w:p>
      <w:pPr>
        <w:ind w:left="380"/>
        <w:spacing w:after="0"/>
        <w:rPr>
          <w:rFonts w:ascii="Arial" w:cs="Arial" w:eastAsia="Arial" w:hAnsi="Arial"/>
          <w:sz w:val="20"/>
          <w:szCs w:val="20"/>
          <w:b w:val="1"/>
          <w:bCs w:val="1"/>
          <w:i w:val="1"/>
          <w:iCs w:val="1"/>
          <w:color w:val="auto"/>
        </w:rPr>
      </w:pPr>
      <w:r>
        <w:rPr>
          <w:rFonts w:ascii="Arial" w:cs="Arial" w:eastAsia="Arial" w:hAnsi="Arial"/>
          <w:sz w:val="20"/>
          <w:szCs w:val="20"/>
          <w:color w:val="auto"/>
        </w:rPr>
        <w:t>The cost of supplies is determined using the first-in, first-out method.</w:t>
      </w:r>
    </w:p>
    <w:p>
      <w:pPr>
        <w:spacing w:after="0" w:line="215" w:lineRule="exact"/>
        <w:rPr>
          <w:rFonts w:ascii="Arial" w:cs="Arial" w:eastAsia="Arial" w:hAnsi="Arial"/>
          <w:sz w:val="20"/>
          <w:szCs w:val="20"/>
          <w:b w:val="1"/>
          <w:bCs w:val="1"/>
          <w:i w:val="1"/>
          <w:iCs w:val="1"/>
          <w:color w:val="auto"/>
        </w:rPr>
      </w:pPr>
    </w:p>
    <w:p>
      <w:pPr>
        <w:ind w:left="380" w:hanging="374"/>
        <w:spacing w:after="0"/>
        <w:tabs>
          <w:tab w:leader="none" w:pos="380" w:val="left"/>
        </w:tabs>
        <w:numPr>
          <w:ilvl w:val="0"/>
          <w:numId w:val="8"/>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Revenue Recognition</w:t>
      </w:r>
    </w:p>
    <w:p>
      <w:pPr>
        <w:spacing w:after="0" w:line="67" w:lineRule="exact"/>
        <w:rPr>
          <w:rFonts w:ascii="Arial" w:cs="Arial" w:eastAsia="Arial" w:hAnsi="Arial"/>
          <w:sz w:val="20"/>
          <w:szCs w:val="20"/>
          <w:b w:val="1"/>
          <w:bCs w:val="1"/>
          <w:i w:val="1"/>
          <w:iCs w:val="1"/>
          <w:color w:val="auto"/>
        </w:rPr>
      </w:pPr>
    </w:p>
    <w:p>
      <w:pPr>
        <w:ind w:left="380"/>
        <w:spacing w:after="0" w:line="386" w:lineRule="auto"/>
        <w:rPr>
          <w:rFonts w:ascii="Arial" w:cs="Arial" w:eastAsia="Arial" w:hAnsi="Arial"/>
          <w:sz w:val="20"/>
          <w:szCs w:val="20"/>
          <w:b w:val="1"/>
          <w:bCs w:val="1"/>
          <w:i w:val="1"/>
          <w:iCs w:val="1"/>
          <w:color w:val="auto"/>
        </w:rPr>
      </w:pPr>
      <w:r>
        <w:rPr>
          <w:rFonts w:ascii="Arial" w:cs="Arial" w:eastAsia="Arial" w:hAnsi="Arial"/>
          <w:sz w:val="16"/>
          <w:szCs w:val="16"/>
          <w:color w:val="auto"/>
        </w:rPr>
        <w:t>The Company recognizes revenue when products are delivered and the customer takes ownership and assumes risk of loss, collection of the relevant receivable is probable, persuasive evidence of an arrangement exists and the sales price is fixed or determinable.</w:t>
      </w:r>
    </w:p>
    <w:p>
      <w:pPr>
        <w:spacing w:after="0" w:line="2" w:lineRule="exact"/>
        <w:rPr>
          <w:rFonts w:ascii="Arial" w:cs="Arial" w:eastAsia="Arial" w:hAnsi="Arial"/>
          <w:sz w:val="20"/>
          <w:szCs w:val="20"/>
          <w:b w:val="1"/>
          <w:bCs w:val="1"/>
          <w:i w:val="1"/>
          <w:iCs w:val="1"/>
          <w:color w:val="auto"/>
        </w:rPr>
      </w:pPr>
    </w:p>
    <w:p>
      <w:pPr>
        <w:ind w:left="380"/>
        <w:spacing w:after="0" w:line="260" w:lineRule="auto"/>
        <w:rPr>
          <w:rFonts w:ascii="Arial" w:cs="Arial" w:eastAsia="Arial" w:hAnsi="Arial"/>
          <w:sz w:val="20"/>
          <w:szCs w:val="20"/>
          <w:b w:val="1"/>
          <w:bCs w:val="1"/>
          <w:i w:val="1"/>
          <w:iCs w:val="1"/>
          <w:color w:val="auto"/>
        </w:rPr>
      </w:pPr>
      <w:r>
        <w:rPr>
          <w:rFonts w:ascii="Arial" w:cs="Arial" w:eastAsia="Arial" w:hAnsi="Arial"/>
          <w:sz w:val="20"/>
          <w:szCs w:val="20"/>
          <w:color w:val="auto"/>
        </w:rPr>
        <w:t>Taxes collected from customers and remitted to governmental authorities are accounted for on a net basis and therefore are excluded from revenues in the consolidated statements of operations.</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80"/>
          </w:cols>
          <w:pgMar w:left="580" w:top="553" w:right="239" w:bottom="1440" w:gutter="0" w:footer="0" w:header="0"/>
        </w:sectPr>
      </w:pPr>
    </w:p>
    <w:bookmarkStart w:id="23" w:name="page24"/>
    <w:bookmarkEnd w:id="23"/>
    <w:p>
      <w:pPr>
        <w:jc w:val="center"/>
        <w:ind w:right="340"/>
        <w:spacing w:after="0"/>
        <w:rPr>
          <w:sz w:val="20"/>
          <w:szCs w:val="20"/>
          <w:color w:val="auto"/>
        </w:rPr>
      </w:pPr>
      <w:r>
        <w:rPr>
          <w:rFonts w:ascii="Arial" w:cs="Arial" w:eastAsia="Arial" w:hAnsi="Arial"/>
          <w:sz w:val="18"/>
          <w:szCs w:val="18"/>
          <w:b w:val="1"/>
          <w:bCs w:val="1"/>
          <w:color w:val="auto"/>
        </w:rPr>
        <w:t>ELPIDA MEMORY, INC. AND SUBSIDIARIES</w:t>
      </w:r>
    </w:p>
    <w:p>
      <w:pPr>
        <w:spacing w:after="0" w:line="27"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auto"/>
        </w:rPr>
        <w:t>(DEBTORS-IN-POSSESSION)</w:t>
      </w:r>
    </w:p>
    <w:p>
      <w:pPr>
        <w:spacing w:after="0" w:line="9"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80" w:hanging="374"/>
        <w:spacing w:after="0"/>
        <w:tabs>
          <w:tab w:leader="none" w:pos="380" w:val="left"/>
        </w:tabs>
        <w:numPr>
          <w:ilvl w:val="0"/>
          <w:numId w:val="9"/>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Investment Securities</w:t>
      </w:r>
    </w:p>
    <w:p>
      <w:pPr>
        <w:spacing w:after="0" w:line="67" w:lineRule="exact"/>
        <w:rPr>
          <w:rFonts w:ascii="Arial" w:cs="Arial" w:eastAsia="Arial" w:hAnsi="Arial"/>
          <w:sz w:val="20"/>
          <w:szCs w:val="20"/>
          <w:b w:val="1"/>
          <w:bCs w:val="1"/>
          <w:i w:val="1"/>
          <w:iCs w:val="1"/>
          <w:color w:val="auto"/>
        </w:rPr>
      </w:pPr>
    </w:p>
    <w:p>
      <w:pPr>
        <w:ind w:left="380" w:right="20"/>
        <w:spacing w:after="0" w:line="260" w:lineRule="auto"/>
        <w:rPr>
          <w:rFonts w:ascii="Arial" w:cs="Arial" w:eastAsia="Arial" w:hAnsi="Arial"/>
          <w:sz w:val="20"/>
          <w:szCs w:val="20"/>
          <w:b w:val="1"/>
          <w:bCs w:val="1"/>
          <w:i w:val="1"/>
          <w:iCs w:val="1"/>
          <w:color w:val="auto"/>
        </w:rPr>
      </w:pPr>
      <w:r>
        <w:rPr>
          <w:rFonts w:ascii="Arial" w:cs="Arial" w:eastAsia="Arial" w:hAnsi="Arial"/>
          <w:sz w:val="20"/>
          <w:szCs w:val="20"/>
          <w:color w:val="auto"/>
        </w:rPr>
        <w:t>Investment securities at February 28, 2013 and March 31, 2012 consist of equity securities. The Company classifies its equity securities that have readily determinable fair values as available-for-sale.</w:t>
      </w:r>
    </w:p>
    <w:p>
      <w:pPr>
        <w:spacing w:after="0" w:line="95" w:lineRule="exact"/>
        <w:rPr>
          <w:rFonts w:ascii="Arial" w:cs="Arial" w:eastAsia="Arial" w:hAnsi="Arial"/>
          <w:sz w:val="20"/>
          <w:szCs w:val="20"/>
          <w:b w:val="1"/>
          <w:bCs w:val="1"/>
          <w:i w:val="1"/>
          <w:iCs w:val="1"/>
          <w:color w:val="auto"/>
        </w:rPr>
      </w:pPr>
    </w:p>
    <w:p>
      <w:pPr>
        <w:jc w:val="both"/>
        <w:ind w:left="380"/>
        <w:spacing w:after="0" w:line="342" w:lineRule="auto"/>
        <w:rPr>
          <w:rFonts w:ascii="Arial" w:cs="Arial" w:eastAsia="Arial" w:hAnsi="Arial"/>
          <w:sz w:val="20"/>
          <w:szCs w:val="20"/>
          <w:b w:val="1"/>
          <w:bCs w:val="1"/>
          <w:i w:val="1"/>
          <w:iCs w:val="1"/>
          <w:color w:val="auto"/>
        </w:rPr>
      </w:pPr>
      <w:r>
        <w:rPr>
          <w:rFonts w:ascii="Arial" w:cs="Arial" w:eastAsia="Arial" w:hAnsi="Arial"/>
          <w:sz w:val="16"/>
          <w:szCs w:val="16"/>
          <w:color w:val="auto"/>
        </w:rPr>
        <w:t>Available-for-sale securities are recorded at fair value. Unrealized holding gains and losses, net of the related tax effect, on available-for-sale securities are excluded from earnings and are reported as a separate component of accumulated other comprehensive income until realized. Realized gains and losses from the sale of available-for-sale securities are determined on a specific-identification basis.</w:t>
      </w:r>
    </w:p>
    <w:p>
      <w:pPr>
        <w:spacing w:after="0" w:line="37" w:lineRule="exact"/>
        <w:rPr>
          <w:rFonts w:ascii="Arial" w:cs="Arial" w:eastAsia="Arial" w:hAnsi="Arial"/>
          <w:sz w:val="20"/>
          <w:szCs w:val="20"/>
          <w:b w:val="1"/>
          <w:bCs w:val="1"/>
          <w:i w:val="1"/>
          <w:iCs w:val="1"/>
          <w:color w:val="auto"/>
        </w:rPr>
      </w:pPr>
    </w:p>
    <w:p>
      <w:pPr>
        <w:jc w:val="both"/>
        <w:ind w:left="380"/>
        <w:spacing w:after="0" w:line="243" w:lineRule="auto"/>
        <w:rPr>
          <w:rFonts w:ascii="Arial" w:cs="Arial" w:eastAsia="Arial" w:hAnsi="Arial"/>
          <w:sz w:val="20"/>
          <w:szCs w:val="20"/>
          <w:b w:val="1"/>
          <w:bCs w:val="1"/>
          <w:i w:val="1"/>
          <w:iCs w:val="1"/>
          <w:color w:val="auto"/>
        </w:rPr>
      </w:pPr>
      <w:r>
        <w:rPr>
          <w:rFonts w:ascii="Arial" w:cs="Arial" w:eastAsia="Arial" w:hAnsi="Arial"/>
          <w:sz w:val="20"/>
          <w:szCs w:val="20"/>
          <w:color w:val="auto"/>
        </w:rPr>
        <w:t>Decline in the market value of any available-for-sale security below cost that is deemed to be other-than-temporary results in impairment to reduce the carrying amount to fair value. To determine whether impairment is other-than-temporary, the Company considers all available information relevant to the collectability of the security, including past events, current conditions, and reasonable and supportable forecasts when developing estimates of cash flows expected to be collected. Evidence considered in this assessment includes the reasons for the impairment, the severity and duration of the impairment, changes in value subsequent to year-end, forecasted performance of the investee, and the general market condition in the geographic area or industry the investee operates in.</w:t>
      </w:r>
    </w:p>
    <w:p>
      <w:pPr>
        <w:spacing w:after="0" w:line="193" w:lineRule="exact"/>
        <w:rPr>
          <w:rFonts w:ascii="Arial" w:cs="Arial" w:eastAsia="Arial" w:hAnsi="Arial"/>
          <w:sz w:val="20"/>
          <w:szCs w:val="20"/>
          <w:b w:val="1"/>
          <w:bCs w:val="1"/>
          <w:i w:val="1"/>
          <w:iCs w:val="1"/>
          <w:color w:val="auto"/>
        </w:rPr>
      </w:pPr>
    </w:p>
    <w:p>
      <w:pPr>
        <w:ind w:left="380" w:hanging="374"/>
        <w:spacing w:after="0"/>
        <w:tabs>
          <w:tab w:leader="none" w:pos="380" w:val="left"/>
        </w:tabs>
        <w:numPr>
          <w:ilvl w:val="0"/>
          <w:numId w:val="9"/>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Derivative Instruments and Hedging Activities</w:t>
      </w:r>
    </w:p>
    <w:p>
      <w:pPr>
        <w:spacing w:after="0" w:line="67" w:lineRule="exact"/>
        <w:rPr>
          <w:rFonts w:ascii="Arial" w:cs="Arial" w:eastAsia="Arial" w:hAnsi="Arial"/>
          <w:sz w:val="20"/>
          <w:szCs w:val="20"/>
          <w:b w:val="1"/>
          <w:bCs w:val="1"/>
          <w:i w:val="1"/>
          <w:iCs w:val="1"/>
          <w:color w:val="auto"/>
        </w:rPr>
      </w:pPr>
    </w:p>
    <w:p>
      <w:pPr>
        <w:jc w:val="both"/>
        <w:ind w:left="380"/>
        <w:spacing w:after="0" w:line="282" w:lineRule="auto"/>
        <w:rPr>
          <w:rFonts w:ascii="Arial" w:cs="Arial" w:eastAsia="Arial" w:hAnsi="Arial"/>
          <w:sz w:val="20"/>
          <w:szCs w:val="20"/>
          <w:b w:val="1"/>
          <w:bCs w:val="1"/>
          <w:i w:val="1"/>
          <w:iCs w:val="1"/>
          <w:color w:val="auto"/>
        </w:rPr>
      </w:pPr>
      <w:r>
        <w:rPr>
          <w:rFonts w:ascii="Arial" w:cs="Arial" w:eastAsia="Arial" w:hAnsi="Arial"/>
          <w:sz w:val="18"/>
          <w:szCs w:val="18"/>
          <w:color w:val="auto"/>
        </w:rPr>
        <w:t>The Company recognizes all derivative instruments as either assets or liabilities in the balance sheet at their respective fair values. For derivatives designated in hedging relationships, changes in the fair value are either offset through earnings against the change in fair value of the hedged item attributable to the risk being hedged or recognized in accumulated other comprehensive income, to the extent the derivative is effective at offsetting the changes in cash flows being hedged until the hedged item affects earnings.</w:t>
      </w:r>
    </w:p>
    <w:p>
      <w:pPr>
        <w:spacing w:after="0" w:line="67" w:lineRule="exact"/>
        <w:rPr>
          <w:rFonts w:ascii="Arial" w:cs="Arial" w:eastAsia="Arial" w:hAnsi="Arial"/>
          <w:sz w:val="20"/>
          <w:szCs w:val="20"/>
          <w:b w:val="1"/>
          <w:bCs w:val="1"/>
          <w:i w:val="1"/>
          <w:iCs w:val="1"/>
          <w:color w:val="auto"/>
        </w:rPr>
      </w:pPr>
    </w:p>
    <w:p>
      <w:pPr>
        <w:jc w:val="both"/>
        <w:ind w:left="380"/>
        <w:spacing w:after="0" w:line="271" w:lineRule="auto"/>
        <w:rPr>
          <w:rFonts w:ascii="Arial" w:cs="Arial" w:eastAsia="Arial" w:hAnsi="Arial"/>
          <w:sz w:val="20"/>
          <w:szCs w:val="20"/>
          <w:b w:val="1"/>
          <w:bCs w:val="1"/>
          <w:i w:val="1"/>
          <w:iCs w:val="1"/>
          <w:color w:val="auto"/>
        </w:rPr>
      </w:pPr>
      <w:r>
        <w:rPr>
          <w:rFonts w:ascii="Arial" w:cs="Arial" w:eastAsia="Arial" w:hAnsi="Arial"/>
          <w:sz w:val="18"/>
          <w:szCs w:val="18"/>
          <w:color w:val="auto"/>
        </w:rPr>
        <w:t>The Company enters into derivative contracts that it intends to designate as a hedge of an exposure to changes in the fair value of a recognized asset or liability that are attributable to a particular risk (fair value hedge). For hedging relationships, the Company formally documents the hedging relationship and its risk-management objective and strategy for undertaking the hedge, the hedging instrument, the hedged transaction, the nature of the risk being hedged, how the hedging instrument’s effectiveness in offsetting the hedged risk will be assessed prospectively and retrospectively, and a description of the method used to measure ineffectiveness. The Company also formally assesses, both at the inception of the hedging relationship and on an ongoing basis, whether the derivatives that are used in hedging relationships are highly effective in offsetting changes in fair value of hedged transactions. For derivative instruments that are designated and qualify as part of a fair value hedging relationship, the effective portion of the gain or loss on the derivative is reported as a component of earnings. Gains and losses on the derivative representing either hedge ineffectiveness or hedge components excluded from the assessment of effectiveness are recognized in earnings.</w:t>
      </w:r>
    </w:p>
    <w:p>
      <w:pPr>
        <w:spacing w:after="0" w:line="93" w:lineRule="exact"/>
        <w:rPr>
          <w:rFonts w:ascii="Arial" w:cs="Arial" w:eastAsia="Arial" w:hAnsi="Arial"/>
          <w:sz w:val="20"/>
          <w:szCs w:val="20"/>
          <w:b w:val="1"/>
          <w:bCs w:val="1"/>
          <w:i w:val="1"/>
          <w:iCs w:val="1"/>
          <w:color w:val="auto"/>
        </w:rPr>
      </w:pPr>
    </w:p>
    <w:p>
      <w:pPr>
        <w:jc w:val="both"/>
        <w:ind w:left="380"/>
        <w:spacing w:after="0" w:line="250" w:lineRule="auto"/>
        <w:rPr>
          <w:rFonts w:ascii="Arial" w:cs="Arial" w:eastAsia="Arial" w:hAnsi="Arial"/>
          <w:sz w:val="20"/>
          <w:szCs w:val="20"/>
          <w:b w:val="1"/>
          <w:bCs w:val="1"/>
          <w:i w:val="1"/>
          <w:iCs w:val="1"/>
          <w:color w:val="auto"/>
        </w:rPr>
      </w:pPr>
      <w:r>
        <w:rPr>
          <w:rFonts w:ascii="Arial" w:cs="Arial" w:eastAsia="Arial" w:hAnsi="Arial"/>
          <w:sz w:val="20"/>
          <w:szCs w:val="20"/>
          <w:color w:val="auto"/>
        </w:rPr>
        <w:t>The Company discontinues hedge accounting prospectively when it determines that the derivative is no longer effective in offsetting changes in fair value attributable to the hedged risk, the derivative expires or is sold, terminated, or exercised, the fair value hedge is dedesignated in accordance with the derecognition criteria for hedge accounting.</w:t>
      </w:r>
    </w:p>
    <w:p>
      <w:pPr>
        <w:spacing w:after="0" w:line="105" w:lineRule="exact"/>
        <w:rPr>
          <w:rFonts w:ascii="Arial" w:cs="Arial" w:eastAsia="Arial" w:hAnsi="Arial"/>
          <w:sz w:val="20"/>
          <w:szCs w:val="20"/>
          <w:b w:val="1"/>
          <w:bCs w:val="1"/>
          <w:i w:val="1"/>
          <w:iCs w:val="1"/>
          <w:color w:val="auto"/>
        </w:rPr>
      </w:pPr>
    </w:p>
    <w:p>
      <w:pPr>
        <w:ind w:left="380"/>
        <w:spacing w:after="0" w:line="287" w:lineRule="auto"/>
        <w:rPr>
          <w:rFonts w:ascii="Arial" w:cs="Arial" w:eastAsia="Arial" w:hAnsi="Arial"/>
          <w:sz w:val="20"/>
          <w:szCs w:val="20"/>
          <w:b w:val="1"/>
          <w:bCs w:val="1"/>
          <w:i w:val="1"/>
          <w:iCs w:val="1"/>
          <w:color w:val="auto"/>
        </w:rPr>
      </w:pPr>
      <w:r>
        <w:rPr>
          <w:rFonts w:ascii="Arial" w:cs="Arial" w:eastAsia="Arial" w:hAnsi="Arial"/>
          <w:sz w:val="19"/>
          <w:szCs w:val="19"/>
          <w:color w:val="auto"/>
        </w:rPr>
        <w:t>In all situations in which hedge accounting is discontinued and the derivative remains outstanding, the Company continues to carry the derivative at its fair value on the balance sheet and recognizes any subsequent changes in its fair value in earnings.</w:t>
      </w:r>
    </w:p>
    <w:p>
      <w:pPr>
        <w:spacing w:after="0" w:line="1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80"/>
          </w:cols>
          <w:pgMar w:left="580" w:top="553" w:right="239" w:bottom="1440" w:gutter="0" w:footer="0" w:header="0"/>
        </w:sectPr>
      </w:pPr>
    </w:p>
    <w:bookmarkStart w:id="24" w:name="page25"/>
    <w:bookmarkEnd w:id="24"/>
    <w:p>
      <w:pPr>
        <w:jc w:val="center"/>
        <w:ind w:right="340"/>
        <w:spacing w:after="0"/>
        <w:rPr>
          <w:sz w:val="20"/>
          <w:szCs w:val="20"/>
          <w:color w:val="auto"/>
        </w:rPr>
      </w:pPr>
      <w:r>
        <w:rPr>
          <w:rFonts w:ascii="Arial" w:cs="Arial" w:eastAsia="Arial" w:hAnsi="Arial"/>
          <w:sz w:val="18"/>
          <w:szCs w:val="18"/>
          <w:b w:val="1"/>
          <w:bCs w:val="1"/>
          <w:color w:val="auto"/>
        </w:rPr>
        <w:t>ELPIDA MEMORY, INC. AND SUBSIDIARIES</w:t>
      </w:r>
    </w:p>
    <w:p>
      <w:pPr>
        <w:spacing w:after="0" w:line="27"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auto"/>
        </w:rPr>
        <w:t>(DEBTORS-IN-POSSESSION)</w:t>
      </w:r>
    </w:p>
    <w:p>
      <w:pPr>
        <w:spacing w:after="0" w:line="9"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80" w:hanging="374"/>
        <w:spacing w:after="0"/>
        <w:tabs>
          <w:tab w:leader="none" w:pos="380" w:val="left"/>
        </w:tabs>
        <w:numPr>
          <w:ilvl w:val="0"/>
          <w:numId w:val="10"/>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Property, Plant, and Equipment</w:t>
      </w:r>
    </w:p>
    <w:p>
      <w:pPr>
        <w:spacing w:after="0" w:line="67" w:lineRule="exact"/>
        <w:rPr>
          <w:rFonts w:ascii="Arial" w:cs="Arial" w:eastAsia="Arial" w:hAnsi="Arial"/>
          <w:sz w:val="20"/>
          <w:szCs w:val="20"/>
          <w:b w:val="1"/>
          <w:bCs w:val="1"/>
          <w:i w:val="1"/>
          <w:iCs w:val="1"/>
          <w:color w:val="auto"/>
        </w:rPr>
      </w:pPr>
    </w:p>
    <w:p>
      <w:pPr>
        <w:ind w:left="380"/>
        <w:spacing w:after="0" w:line="260" w:lineRule="auto"/>
        <w:rPr>
          <w:rFonts w:ascii="Arial" w:cs="Arial" w:eastAsia="Arial" w:hAnsi="Arial"/>
          <w:sz w:val="20"/>
          <w:szCs w:val="20"/>
          <w:b w:val="1"/>
          <w:bCs w:val="1"/>
          <w:i w:val="1"/>
          <w:iCs w:val="1"/>
          <w:color w:val="auto"/>
        </w:rPr>
      </w:pPr>
      <w:r>
        <w:rPr>
          <w:rFonts w:ascii="Arial" w:cs="Arial" w:eastAsia="Arial" w:hAnsi="Arial"/>
          <w:sz w:val="20"/>
          <w:szCs w:val="20"/>
          <w:color w:val="auto"/>
        </w:rPr>
        <w:t>Property, plant, and equipment are stated at cost. Plant and equipment under capital leases are stated at the present value of minimum lease payments.</w:t>
      </w:r>
    </w:p>
    <w:p>
      <w:pPr>
        <w:spacing w:after="0" w:line="95" w:lineRule="exact"/>
        <w:rPr>
          <w:rFonts w:ascii="Arial" w:cs="Arial" w:eastAsia="Arial" w:hAnsi="Arial"/>
          <w:sz w:val="20"/>
          <w:szCs w:val="20"/>
          <w:b w:val="1"/>
          <w:bCs w:val="1"/>
          <w:i w:val="1"/>
          <w:iCs w:val="1"/>
          <w:color w:val="auto"/>
        </w:rPr>
      </w:pPr>
    </w:p>
    <w:p>
      <w:pPr>
        <w:ind w:left="380"/>
        <w:spacing w:after="0"/>
        <w:rPr>
          <w:rFonts w:ascii="Arial" w:cs="Arial" w:eastAsia="Arial" w:hAnsi="Arial"/>
          <w:sz w:val="20"/>
          <w:szCs w:val="20"/>
          <w:b w:val="1"/>
          <w:bCs w:val="1"/>
          <w:i w:val="1"/>
          <w:iCs w:val="1"/>
          <w:color w:val="auto"/>
        </w:rPr>
      </w:pPr>
      <w:r>
        <w:rPr>
          <w:rFonts w:ascii="Arial" w:cs="Arial" w:eastAsia="Arial" w:hAnsi="Arial"/>
          <w:sz w:val="20"/>
          <w:szCs w:val="20"/>
          <w:color w:val="auto"/>
        </w:rPr>
        <w:t>Depreciation is calculated on the straight-line method over the following estimated useful lives of the respective assets:</w:t>
      </w:r>
    </w:p>
    <w:p>
      <w:pPr>
        <w:sectPr>
          <w:pgSz w:w="11900" w:h="16838" w:orient="portrait"/>
          <w:cols w:equalWidth="0" w:num="1">
            <w:col w:w="11080"/>
          </w:cols>
          <w:pgMar w:left="580" w:top="553" w:right="239" w:bottom="1440" w:gutter="0" w:footer="0" w:header="0"/>
        </w:sectPr>
      </w:pPr>
    </w:p>
    <w:p>
      <w:pPr>
        <w:spacing w:after="0" w:line="29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Building and structures</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auto"/>
        </w:rPr>
        <w:t>2 to 56 years</w:t>
      </w:r>
    </w:p>
    <w:p>
      <w:pPr>
        <w:spacing w:after="0" w:line="99" w:lineRule="exact"/>
        <w:rPr>
          <w:sz w:val="20"/>
          <w:szCs w:val="20"/>
          <w:color w:val="auto"/>
        </w:rPr>
      </w:pPr>
    </w:p>
    <w:p>
      <w:pPr>
        <w:sectPr>
          <w:pgSz w:w="11900" w:h="16838" w:orient="portrait"/>
          <w:cols w:equalWidth="0" w:num="2">
            <w:col w:w="4580" w:space="720"/>
            <w:col w:w="5780"/>
          </w:cols>
          <w:pgMar w:left="580" w:top="553" w:right="239" w:bottom="1440" w:gutter="0" w:footer="0" w:header="0"/>
          <w:type w:val="continuous"/>
        </w:sectPr>
      </w:pPr>
    </w:p>
    <w:p>
      <w:pPr>
        <w:ind w:left="1080"/>
        <w:spacing w:after="0"/>
        <w:rPr>
          <w:sz w:val="20"/>
          <w:szCs w:val="20"/>
          <w:color w:val="auto"/>
        </w:rPr>
      </w:pPr>
      <w:r>
        <w:rPr>
          <w:rFonts w:ascii="Arial" w:cs="Arial" w:eastAsia="Arial" w:hAnsi="Arial"/>
          <w:sz w:val="18"/>
          <w:szCs w:val="18"/>
          <w:color w:val="auto"/>
        </w:rPr>
        <w:t>Machinery and equipment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 to 20 years</w:t>
      </w:r>
    </w:p>
    <w:p>
      <w:pPr>
        <w:spacing w:after="0" w:line="99" w:lineRule="exact"/>
        <w:rPr>
          <w:sz w:val="20"/>
          <w:szCs w:val="20"/>
          <w:color w:val="auto"/>
        </w:rPr>
      </w:pPr>
    </w:p>
    <w:p>
      <w:pPr>
        <w:sectPr>
          <w:pgSz w:w="11900" w:h="16838" w:orient="portrait"/>
          <w:cols w:equalWidth="0" w:num="2">
            <w:col w:w="4580" w:space="720"/>
            <w:col w:w="5780"/>
          </w:cols>
          <w:pgMar w:left="580" w:top="553" w:right="239" w:bottom="1440" w:gutter="0" w:footer="0" w:header="0"/>
          <w:type w:val="continuous"/>
        </w:sectPr>
      </w:pPr>
    </w:p>
    <w:p>
      <w:pPr>
        <w:ind w:left="1080"/>
        <w:spacing w:after="0"/>
        <w:rPr>
          <w:sz w:val="20"/>
          <w:szCs w:val="20"/>
          <w:color w:val="auto"/>
        </w:rPr>
      </w:pPr>
      <w:r>
        <w:rPr>
          <w:rFonts w:ascii="Arial" w:cs="Arial" w:eastAsia="Arial" w:hAnsi="Arial"/>
          <w:sz w:val="18"/>
          <w:szCs w:val="18"/>
          <w:color w:val="auto"/>
        </w:rPr>
        <w:t>Furniture and fixtures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 to 25 years</w:t>
      </w:r>
    </w:p>
    <w:p>
      <w:pPr>
        <w:spacing w:after="0" w:line="207" w:lineRule="exact"/>
        <w:rPr>
          <w:sz w:val="20"/>
          <w:szCs w:val="20"/>
          <w:color w:val="auto"/>
        </w:rPr>
      </w:pPr>
    </w:p>
    <w:p>
      <w:pPr>
        <w:sectPr>
          <w:pgSz w:w="11900" w:h="16838" w:orient="portrait"/>
          <w:cols w:equalWidth="0" w:num="2">
            <w:col w:w="4580" w:space="720"/>
            <w:col w:w="5780"/>
          </w:cols>
          <w:pgMar w:left="580" w:top="553" w:right="239" w:bottom="1440" w:gutter="0" w:footer="0" w:header="0"/>
          <w:type w:val="continuous"/>
        </w:sectPr>
      </w:pPr>
    </w:p>
    <w:p>
      <w:pPr>
        <w:ind w:left="380"/>
        <w:spacing w:after="0" w:line="260" w:lineRule="auto"/>
        <w:rPr>
          <w:sz w:val="20"/>
          <w:szCs w:val="20"/>
          <w:color w:val="auto"/>
        </w:rPr>
      </w:pPr>
      <w:r>
        <w:rPr>
          <w:rFonts w:ascii="Arial" w:cs="Arial" w:eastAsia="Arial" w:hAnsi="Arial"/>
          <w:sz w:val="20"/>
          <w:szCs w:val="20"/>
          <w:color w:val="auto"/>
        </w:rPr>
        <w:t>Plant and equipment held under capital leases are amortized on a straight-line basis over the shorter of the lease term or estimated useful life of the asset.</w:t>
      </w:r>
    </w:p>
    <w:p>
      <w:pPr>
        <w:spacing w:after="0" w:line="96" w:lineRule="exact"/>
        <w:rPr>
          <w:sz w:val="20"/>
          <w:szCs w:val="20"/>
          <w:color w:val="auto"/>
        </w:rPr>
      </w:pPr>
    </w:p>
    <w:p>
      <w:pPr>
        <w:ind w:left="380"/>
        <w:spacing w:after="0" w:line="260" w:lineRule="auto"/>
        <w:rPr>
          <w:sz w:val="20"/>
          <w:szCs w:val="20"/>
          <w:color w:val="auto"/>
        </w:rPr>
      </w:pPr>
      <w:r>
        <w:rPr>
          <w:rFonts w:ascii="Arial" w:cs="Arial" w:eastAsia="Arial" w:hAnsi="Arial"/>
          <w:sz w:val="20"/>
          <w:szCs w:val="20"/>
          <w:color w:val="auto"/>
        </w:rPr>
        <w:t>Total depreciation for the eleven months ended February 28, 2013 and the year ended March 31, 2012 was ¥73,846 and ¥113,733, respectively.</w:t>
      </w:r>
    </w:p>
    <w:p>
      <w:pPr>
        <w:spacing w:after="0" w:line="177" w:lineRule="exact"/>
        <w:rPr>
          <w:sz w:val="20"/>
          <w:szCs w:val="20"/>
          <w:color w:val="auto"/>
        </w:rPr>
      </w:pPr>
    </w:p>
    <w:p>
      <w:pPr>
        <w:ind w:left="380" w:hanging="374"/>
        <w:spacing w:after="0"/>
        <w:tabs>
          <w:tab w:leader="none" w:pos="380" w:val="left"/>
        </w:tabs>
        <w:numPr>
          <w:ilvl w:val="0"/>
          <w:numId w:val="11"/>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Major Maintenance Activities</w:t>
      </w:r>
    </w:p>
    <w:p>
      <w:pPr>
        <w:spacing w:after="0" w:line="67" w:lineRule="exact"/>
        <w:rPr>
          <w:rFonts w:ascii="Arial" w:cs="Arial" w:eastAsia="Arial" w:hAnsi="Arial"/>
          <w:sz w:val="20"/>
          <w:szCs w:val="20"/>
          <w:b w:val="1"/>
          <w:bCs w:val="1"/>
          <w:i w:val="1"/>
          <w:iCs w:val="1"/>
          <w:color w:val="auto"/>
        </w:rPr>
      </w:pPr>
    </w:p>
    <w:p>
      <w:pPr>
        <w:ind w:left="380"/>
        <w:spacing w:after="0"/>
        <w:rPr>
          <w:rFonts w:ascii="Arial" w:cs="Arial" w:eastAsia="Arial" w:hAnsi="Arial"/>
          <w:sz w:val="20"/>
          <w:szCs w:val="20"/>
          <w:b w:val="1"/>
          <w:bCs w:val="1"/>
          <w:i w:val="1"/>
          <w:iCs w:val="1"/>
          <w:color w:val="auto"/>
        </w:rPr>
      </w:pPr>
      <w:r>
        <w:rPr>
          <w:rFonts w:ascii="Arial" w:cs="Arial" w:eastAsia="Arial" w:hAnsi="Arial"/>
          <w:sz w:val="19"/>
          <w:szCs w:val="19"/>
          <w:color w:val="auto"/>
        </w:rPr>
        <w:t>The Company incurs maintenance costs on its major equipment. Repair and maintenance costs are expensed as incurred.</w:t>
      </w:r>
    </w:p>
    <w:p>
      <w:pPr>
        <w:spacing w:after="0" w:line="227" w:lineRule="exact"/>
        <w:rPr>
          <w:rFonts w:ascii="Arial" w:cs="Arial" w:eastAsia="Arial" w:hAnsi="Arial"/>
          <w:sz w:val="20"/>
          <w:szCs w:val="20"/>
          <w:b w:val="1"/>
          <w:bCs w:val="1"/>
          <w:i w:val="1"/>
          <w:iCs w:val="1"/>
          <w:color w:val="auto"/>
        </w:rPr>
      </w:pPr>
    </w:p>
    <w:p>
      <w:pPr>
        <w:ind w:left="380" w:hanging="374"/>
        <w:spacing w:after="0"/>
        <w:tabs>
          <w:tab w:leader="none" w:pos="380" w:val="left"/>
        </w:tabs>
        <w:numPr>
          <w:ilvl w:val="0"/>
          <w:numId w:val="11"/>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Intangible Assets</w:t>
      </w:r>
    </w:p>
    <w:p>
      <w:pPr>
        <w:spacing w:after="0" w:line="67" w:lineRule="exact"/>
        <w:rPr>
          <w:rFonts w:ascii="Arial" w:cs="Arial" w:eastAsia="Arial" w:hAnsi="Arial"/>
          <w:sz w:val="20"/>
          <w:szCs w:val="20"/>
          <w:b w:val="1"/>
          <w:bCs w:val="1"/>
          <w:i w:val="1"/>
          <w:iCs w:val="1"/>
          <w:color w:val="auto"/>
        </w:rPr>
      </w:pPr>
    </w:p>
    <w:p>
      <w:pPr>
        <w:jc w:val="both"/>
        <w:ind w:left="380"/>
        <w:spacing w:after="0" w:line="246" w:lineRule="auto"/>
        <w:rPr>
          <w:rFonts w:ascii="Arial" w:cs="Arial" w:eastAsia="Arial" w:hAnsi="Arial"/>
          <w:sz w:val="20"/>
          <w:szCs w:val="20"/>
          <w:b w:val="1"/>
          <w:bCs w:val="1"/>
          <w:i w:val="1"/>
          <w:iCs w:val="1"/>
          <w:color w:val="auto"/>
        </w:rPr>
      </w:pPr>
      <w:r>
        <w:rPr>
          <w:rFonts w:ascii="Arial" w:cs="Arial" w:eastAsia="Arial" w:hAnsi="Arial"/>
          <w:sz w:val="20"/>
          <w:szCs w:val="20"/>
          <w:color w:val="auto"/>
        </w:rPr>
        <w:t xml:space="preserve">Intangible assets with finite lives consist primarily of license fees and technologies. License fees are amortized on a straight-line basis over the contractual periods which are principally 2 to 15 years. Certain costs incurred to develop or obtain internal use computer software are capitalized according to ASC Subtopic 350-40, </w:t>
      </w:r>
      <w:r>
        <w:rPr>
          <w:rFonts w:ascii="Arial" w:cs="Arial" w:eastAsia="Arial" w:hAnsi="Arial"/>
          <w:sz w:val="20"/>
          <w:szCs w:val="20"/>
          <w:i w:val="1"/>
          <w:iCs w:val="1"/>
          <w:color w:val="auto"/>
        </w:rPr>
        <w:t>Internal-Use Software,</w:t>
      </w:r>
      <w:r>
        <w:rPr>
          <w:rFonts w:ascii="Arial" w:cs="Arial" w:eastAsia="Arial" w:hAnsi="Arial"/>
          <w:sz w:val="20"/>
          <w:szCs w:val="20"/>
          <w:color w:val="auto"/>
        </w:rPr>
        <w:t xml:space="preserve"> and amortized on a straight-line basis over the estimated useful lives of five years or less.</w:t>
      </w:r>
    </w:p>
    <w:p>
      <w:pPr>
        <w:spacing w:after="0" w:line="191" w:lineRule="exact"/>
        <w:rPr>
          <w:rFonts w:ascii="Arial" w:cs="Arial" w:eastAsia="Arial" w:hAnsi="Arial"/>
          <w:sz w:val="20"/>
          <w:szCs w:val="20"/>
          <w:b w:val="1"/>
          <w:bCs w:val="1"/>
          <w:i w:val="1"/>
          <w:iCs w:val="1"/>
          <w:color w:val="auto"/>
        </w:rPr>
      </w:pPr>
    </w:p>
    <w:p>
      <w:pPr>
        <w:ind w:left="380" w:hanging="374"/>
        <w:spacing w:after="0"/>
        <w:tabs>
          <w:tab w:leader="none" w:pos="380" w:val="left"/>
        </w:tabs>
        <w:numPr>
          <w:ilvl w:val="0"/>
          <w:numId w:val="11"/>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Research and Development and Advertising Costs</w:t>
      </w:r>
    </w:p>
    <w:p>
      <w:pPr>
        <w:spacing w:after="0" w:line="67" w:lineRule="exact"/>
        <w:rPr>
          <w:rFonts w:ascii="Arial" w:cs="Arial" w:eastAsia="Arial" w:hAnsi="Arial"/>
          <w:sz w:val="20"/>
          <w:szCs w:val="20"/>
          <w:b w:val="1"/>
          <w:bCs w:val="1"/>
          <w:i w:val="1"/>
          <w:iCs w:val="1"/>
          <w:color w:val="auto"/>
        </w:rPr>
      </w:pPr>
    </w:p>
    <w:p>
      <w:pPr>
        <w:jc w:val="both"/>
        <w:ind w:left="380"/>
        <w:spacing w:after="0" w:line="291" w:lineRule="auto"/>
        <w:rPr>
          <w:rFonts w:ascii="Arial" w:cs="Arial" w:eastAsia="Arial" w:hAnsi="Arial"/>
          <w:sz w:val="20"/>
          <w:szCs w:val="20"/>
          <w:b w:val="1"/>
          <w:bCs w:val="1"/>
          <w:i w:val="1"/>
          <w:iCs w:val="1"/>
          <w:color w:val="auto"/>
        </w:rPr>
      </w:pPr>
      <w:r>
        <w:rPr>
          <w:rFonts w:ascii="Arial" w:cs="Arial" w:eastAsia="Arial" w:hAnsi="Arial"/>
          <w:sz w:val="18"/>
          <w:szCs w:val="18"/>
          <w:color w:val="auto"/>
        </w:rPr>
        <w:t>Research and development and advertising costs are expensed as incurred. Research and development costs amounted to ¥26,803 and ¥42,183 for the eleven months ended February 28, 2013 and the year ended March 31, 2012, respectively. Advertising costs amounted to ¥1 and ¥8 for the eleven months ended February 28, 2013 and the year ended March 31, 2012, respectively.</w:t>
      </w:r>
    </w:p>
    <w:p>
      <w:pPr>
        <w:spacing w:after="0" w:line="151" w:lineRule="exact"/>
        <w:rPr>
          <w:rFonts w:ascii="Arial" w:cs="Arial" w:eastAsia="Arial" w:hAnsi="Arial"/>
          <w:sz w:val="20"/>
          <w:szCs w:val="20"/>
          <w:b w:val="1"/>
          <w:bCs w:val="1"/>
          <w:i w:val="1"/>
          <w:iCs w:val="1"/>
          <w:color w:val="auto"/>
        </w:rPr>
      </w:pPr>
    </w:p>
    <w:p>
      <w:pPr>
        <w:ind w:left="380" w:hanging="374"/>
        <w:spacing w:after="0"/>
        <w:tabs>
          <w:tab w:leader="none" w:pos="380" w:val="left"/>
        </w:tabs>
        <w:numPr>
          <w:ilvl w:val="0"/>
          <w:numId w:val="11"/>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Income Taxes</w:t>
      </w:r>
    </w:p>
    <w:p>
      <w:pPr>
        <w:spacing w:after="0" w:line="67" w:lineRule="exact"/>
        <w:rPr>
          <w:rFonts w:ascii="Arial" w:cs="Arial" w:eastAsia="Arial" w:hAnsi="Arial"/>
          <w:sz w:val="20"/>
          <w:szCs w:val="20"/>
          <w:b w:val="1"/>
          <w:bCs w:val="1"/>
          <w:i w:val="1"/>
          <w:iCs w:val="1"/>
          <w:color w:val="auto"/>
        </w:rPr>
      </w:pPr>
    </w:p>
    <w:p>
      <w:pPr>
        <w:jc w:val="both"/>
        <w:ind w:left="380"/>
        <w:spacing w:after="0" w:line="311" w:lineRule="auto"/>
        <w:rPr>
          <w:rFonts w:ascii="Arial" w:cs="Arial" w:eastAsia="Arial" w:hAnsi="Arial"/>
          <w:sz w:val="20"/>
          <w:szCs w:val="20"/>
          <w:b w:val="1"/>
          <w:bCs w:val="1"/>
          <w:i w:val="1"/>
          <w:iCs w:val="1"/>
          <w:color w:val="auto"/>
        </w:rPr>
      </w:pPr>
      <w:r>
        <w:rPr>
          <w:rFonts w:ascii="Arial" w:cs="Arial" w:eastAsia="Arial" w:hAnsi="Arial"/>
          <w:sz w:val="16"/>
          <w:szCs w:val="16"/>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The Company recognizes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 The Company records interest related to unrecognized tax benefits in interest expense and penalties in selling, general, and administrative expenses.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80"/>
          </w:cols>
          <w:pgMar w:left="580" w:top="553" w:right="239" w:bottom="1440" w:gutter="0" w:footer="0" w:header="0"/>
          <w:type w:val="continuous"/>
        </w:sectPr>
      </w:pPr>
    </w:p>
    <w:bookmarkStart w:id="25" w:name="page26"/>
    <w:bookmarkEnd w:id="25"/>
    <w:p>
      <w:pPr>
        <w:jc w:val="center"/>
        <w:ind w:right="340"/>
        <w:spacing w:after="0"/>
        <w:rPr>
          <w:sz w:val="20"/>
          <w:szCs w:val="20"/>
          <w:color w:val="auto"/>
        </w:rPr>
      </w:pPr>
      <w:r>
        <w:rPr>
          <w:rFonts w:ascii="Arial" w:cs="Arial" w:eastAsia="Arial" w:hAnsi="Arial"/>
          <w:sz w:val="18"/>
          <w:szCs w:val="18"/>
          <w:b w:val="1"/>
          <w:bCs w:val="1"/>
          <w:color w:val="auto"/>
        </w:rPr>
        <w:t>ELPIDA MEMORY, INC. AND SUBSIDIARIES</w:t>
      </w:r>
    </w:p>
    <w:p>
      <w:pPr>
        <w:spacing w:after="0" w:line="27"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auto"/>
        </w:rPr>
        <w:t>(DEBTORS-IN-POSSESSION)</w:t>
      </w:r>
    </w:p>
    <w:p>
      <w:pPr>
        <w:spacing w:after="0" w:line="9"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80" w:hanging="374"/>
        <w:spacing w:after="0"/>
        <w:tabs>
          <w:tab w:leader="none" w:pos="380" w:val="left"/>
        </w:tabs>
        <w:numPr>
          <w:ilvl w:val="0"/>
          <w:numId w:val="12"/>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Stock Option Plan</w:t>
      </w:r>
    </w:p>
    <w:p>
      <w:pPr>
        <w:spacing w:after="0" w:line="67" w:lineRule="exact"/>
        <w:rPr>
          <w:rFonts w:ascii="Arial" w:cs="Arial" w:eastAsia="Arial" w:hAnsi="Arial"/>
          <w:sz w:val="20"/>
          <w:szCs w:val="20"/>
          <w:b w:val="1"/>
          <w:bCs w:val="1"/>
          <w:i w:val="1"/>
          <w:iCs w:val="1"/>
          <w:color w:val="auto"/>
        </w:rPr>
      </w:pPr>
    </w:p>
    <w:p>
      <w:pPr>
        <w:jc w:val="both"/>
        <w:ind w:left="380"/>
        <w:spacing w:after="0" w:line="246" w:lineRule="auto"/>
        <w:rPr>
          <w:rFonts w:ascii="Arial" w:cs="Arial" w:eastAsia="Arial" w:hAnsi="Arial"/>
          <w:sz w:val="20"/>
          <w:szCs w:val="20"/>
          <w:b w:val="1"/>
          <w:bCs w:val="1"/>
          <w:i w:val="1"/>
          <w:iCs w:val="1"/>
          <w:color w:val="auto"/>
        </w:rPr>
      </w:pPr>
      <w:r>
        <w:rPr>
          <w:rFonts w:ascii="Arial" w:cs="Arial" w:eastAsia="Arial" w:hAnsi="Arial"/>
          <w:sz w:val="20"/>
          <w:szCs w:val="20"/>
          <w:color w:val="auto"/>
        </w:rPr>
        <w:t>The Company recognizes the cost of all employee stock options in the consolidated financial statements. Equity-classified awards are measured at the grant date fair value of the award. The Company estimates grant date fair value using the Black-Scholes-Merton option-pricing model. Compensation cost for all stock options is recognized using the straight-line attribution method reduced for estimated forfeitures.</w:t>
      </w:r>
    </w:p>
    <w:p>
      <w:pPr>
        <w:spacing w:after="0" w:line="164" w:lineRule="exact"/>
        <w:rPr>
          <w:rFonts w:ascii="Arial" w:cs="Arial" w:eastAsia="Arial" w:hAnsi="Arial"/>
          <w:sz w:val="20"/>
          <w:szCs w:val="20"/>
          <w:b w:val="1"/>
          <w:bCs w:val="1"/>
          <w:i w:val="1"/>
          <w:iCs w:val="1"/>
          <w:color w:val="auto"/>
        </w:rPr>
      </w:pPr>
    </w:p>
    <w:p>
      <w:pPr>
        <w:ind w:left="380" w:hanging="374"/>
        <w:spacing w:after="0"/>
        <w:tabs>
          <w:tab w:leader="none" w:pos="380" w:val="left"/>
        </w:tabs>
        <w:numPr>
          <w:ilvl w:val="0"/>
          <w:numId w:val="12"/>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Retirement Benefits</w:t>
      </w:r>
    </w:p>
    <w:p>
      <w:pPr>
        <w:spacing w:after="0" w:line="67" w:lineRule="exact"/>
        <w:rPr>
          <w:rFonts w:ascii="Arial" w:cs="Arial" w:eastAsia="Arial" w:hAnsi="Arial"/>
          <w:sz w:val="20"/>
          <w:szCs w:val="20"/>
          <w:b w:val="1"/>
          <w:bCs w:val="1"/>
          <w:i w:val="1"/>
          <w:iCs w:val="1"/>
          <w:color w:val="auto"/>
        </w:rPr>
      </w:pPr>
    </w:p>
    <w:p>
      <w:pPr>
        <w:ind w:left="380"/>
        <w:spacing w:after="0" w:line="260" w:lineRule="auto"/>
        <w:rPr>
          <w:rFonts w:ascii="Arial" w:cs="Arial" w:eastAsia="Arial" w:hAnsi="Arial"/>
          <w:sz w:val="20"/>
          <w:szCs w:val="20"/>
          <w:b w:val="1"/>
          <w:bCs w:val="1"/>
          <w:i w:val="1"/>
          <w:iCs w:val="1"/>
          <w:color w:val="auto"/>
        </w:rPr>
      </w:pPr>
      <w:r>
        <w:rPr>
          <w:rFonts w:ascii="Arial" w:cs="Arial" w:eastAsia="Arial" w:hAnsi="Arial"/>
          <w:sz w:val="20"/>
          <w:szCs w:val="20"/>
          <w:color w:val="auto"/>
        </w:rPr>
        <w:t>The Company has retirement benefit plans which consist of defined benefit pension plans, lump-sum indemnity plans and defined contribution plans.</w:t>
      </w:r>
    </w:p>
    <w:p>
      <w:pPr>
        <w:spacing w:after="0" w:line="95" w:lineRule="exact"/>
        <w:rPr>
          <w:rFonts w:ascii="Arial" w:cs="Arial" w:eastAsia="Arial" w:hAnsi="Arial"/>
          <w:sz w:val="20"/>
          <w:szCs w:val="20"/>
          <w:b w:val="1"/>
          <w:bCs w:val="1"/>
          <w:i w:val="1"/>
          <w:iCs w:val="1"/>
          <w:color w:val="auto"/>
        </w:rPr>
      </w:pPr>
    </w:p>
    <w:p>
      <w:pPr>
        <w:jc w:val="both"/>
        <w:ind w:left="380"/>
        <w:spacing w:after="0" w:line="276" w:lineRule="auto"/>
        <w:rPr>
          <w:rFonts w:ascii="Arial" w:cs="Arial" w:eastAsia="Arial" w:hAnsi="Arial"/>
          <w:sz w:val="20"/>
          <w:szCs w:val="20"/>
          <w:b w:val="1"/>
          <w:bCs w:val="1"/>
          <w:i w:val="1"/>
          <w:iCs w:val="1"/>
          <w:color w:val="auto"/>
        </w:rPr>
      </w:pPr>
      <w:r>
        <w:rPr>
          <w:rFonts w:ascii="Arial" w:cs="Arial" w:eastAsia="Arial" w:hAnsi="Arial"/>
          <w:sz w:val="18"/>
          <w:szCs w:val="18"/>
          <w:color w:val="auto"/>
        </w:rPr>
        <w:t>The Company records annual amounts relating to its defined benefit plans based on calculations that incorporate various actuarial and other assumptions, including discount rates, mortality, assumed rates of return, compensation increases and turnover rates. The Company reviews its assumptions on an annual basis and makes modifications to the assumptions based on current rates and trends when it is appropriate to do so. The effect of modifications to those assumptions is recorded in accumulated other comprehensive income and amortized to net periodic cost over future periods using the corridor method. The Company believes that the assumptions utilized in recording its obligations under its plans are reasonable based on its experience and market conditions.</w:t>
      </w:r>
    </w:p>
    <w:p>
      <w:pPr>
        <w:spacing w:after="0" w:line="84" w:lineRule="exact"/>
        <w:rPr>
          <w:rFonts w:ascii="Arial" w:cs="Arial" w:eastAsia="Arial" w:hAnsi="Arial"/>
          <w:sz w:val="20"/>
          <w:szCs w:val="20"/>
          <w:b w:val="1"/>
          <w:bCs w:val="1"/>
          <w:i w:val="1"/>
          <w:iCs w:val="1"/>
          <w:color w:val="auto"/>
        </w:rPr>
      </w:pPr>
    </w:p>
    <w:p>
      <w:pPr>
        <w:ind w:left="380"/>
        <w:spacing w:after="0"/>
        <w:rPr>
          <w:rFonts w:ascii="Arial" w:cs="Arial" w:eastAsia="Arial" w:hAnsi="Arial"/>
          <w:sz w:val="20"/>
          <w:szCs w:val="20"/>
          <w:b w:val="1"/>
          <w:bCs w:val="1"/>
          <w:i w:val="1"/>
          <w:iCs w:val="1"/>
          <w:color w:val="auto"/>
        </w:rPr>
      </w:pPr>
      <w:r>
        <w:rPr>
          <w:rFonts w:ascii="Arial" w:cs="Arial" w:eastAsia="Arial" w:hAnsi="Arial"/>
          <w:sz w:val="20"/>
          <w:szCs w:val="20"/>
          <w:color w:val="auto"/>
        </w:rPr>
        <w:t>For the defined contribution plans, the Company recognizes cash contributions as net pension cost.</w:t>
      </w:r>
    </w:p>
    <w:p>
      <w:pPr>
        <w:spacing w:after="0" w:line="215" w:lineRule="exact"/>
        <w:rPr>
          <w:rFonts w:ascii="Arial" w:cs="Arial" w:eastAsia="Arial" w:hAnsi="Arial"/>
          <w:sz w:val="20"/>
          <w:szCs w:val="20"/>
          <w:b w:val="1"/>
          <w:bCs w:val="1"/>
          <w:i w:val="1"/>
          <w:iCs w:val="1"/>
          <w:color w:val="auto"/>
        </w:rPr>
      </w:pPr>
    </w:p>
    <w:p>
      <w:pPr>
        <w:ind w:left="380" w:hanging="374"/>
        <w:spacing w:after="0"/>
        <w:tabs>
          <w:tab w:leader="none" w:pos="380" w:val="left"/>
        </w:tabs>
        <w:numPr>
          <w:ilvl w:val="0"/>
          <w:numId w:val="12"/>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Long-Lived Assets</w:t>
      </w:r>
    </w:p>
    <w:p>
      <w:pPr>
        <w:spacing w:after="0" w:line="67" w:lineRule="exact"/>
        <w:rPr>
          <w:rFonts w:ascii="Arial" w:cs="Arial" w:eastAsia="Arial" w:hAnsi="Arial"/>
          <w:sz w:val="20"/>
          <w:szCs w:val="20"/>
          <w:b w:val="1"/>
          <w:bCs w:val="1"/>
          <w:i w:val="1"/>
          <w:iCs w:val="1"/>
          <w:color w:val="auto"/>
        </w:rPr>
      </w:pPr>
    </w:p>
    <w:p>
      <w:pPr>
        <w:jc w:val="both"/>
        <w:ind w:left="380"/>
        <w:spacing w:after="0" w:line="273" w:lineRule="auto"/>
        <w:rPr>
          <w:rFonts w:ascii="Arial" w:cs="Arial" w:eastAsia="Arial" w:hAnsi="Arial"/>
          <w:sz w:val="20"/>
          <w:szCs w:val="20"/>
          <w:b w:val="1"/>
          <w:bCs w:val="1"/>
          <w:i w:val="1"/>
          <w:iCs w:val="1"/>
          <w:color w:val="auto"/>
        </w:rPr>
      </w:pPr>
      <w:r>
        <w:rPr>
          <w:rFonts w:ascii="Arial" w:cs="Arial" w:eastAsia="Arial" w:hAnsi="Arial"/>
          <w:sz w:val="18"/>
          <w:szCs w:val="18"/>
          <w:color w:val="auto"/>
        </w:rPr>
        <w:t>Long-lived assets, such as property, plant, and equipment, and purchased intangible assets subject to amortization, are reviewed for impairment whenever events or changes in circumstances indicate that the carrying amount of an asset may not be recoverable. If circumstances require a long-lived asset or asset group be tested for possible impairment, the Company first compares undiscounted cash flows expected to be generated by that asset or asset group to its carrying value. If the carrying value of the long-lived asset or asset group is not recoverable on an undiscounted cash flow basis, impairment is recognized to the extent that the carrying value exceeds its fair value. Fair value is determined through various valuation techniques including discounted cash flow models, quoted market values and third-party independent appraisals, as considered necessary. Assets to be disposed of by sale are reported at the lower of the carrying amount or fair value less costs to sell, and are no longer depreciated.</w:t>
      </w:r>
    </w:p>
    <w:p>
      <w:pPr>
        <w:spacing w:after="0" w:line="169" w:lineRule="exact"/>
        <w:rPr>
          <w:rFonts w:ascii="Arial" w:cs="Arial" w:eastAsia="Arial" w:hAnsi="Arial"/>
          <w:sz w:val="20"/>
          <w:szCs w:val="20"/>
          <w:b w:val="1"/>
          <w:bCs w:val="1"/>
          <w:i w:val="1"/>
          <w:iCs w:val="1"/>
          <w:color w:val="auto"/>
        </w:rPr>
      </w:pPr>
    </w:p>
    <w:p>
      <w:pPr>
        <w:ind w:left="380" w:hanging="374"/>
        <w:spacing w:after="0"/>
        <w:tabs>
          <w:tab w:leader="none" w:pos="380" w:val="left"/>
        </w:tabs>
        <w:numPr>
          <w:ilvl w:val="0"/>
          <w:numId w:val="12"/>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Commitments and Contingencies</w:t>
      </w:r>
    </w:p>
    <w:p>
      <w:pPr>
        <w:spacing w:after="0" w:line="67" w:lineRule="exact"/>
        <w:rPr>
          <w:rFonts w:ascii="Arial" w:cs="Arial" w:eastAsia="Arial" w:hAnsi="Arial"/>
          <w:sz w:val="20"/>
          <w:szCs w:val="20"/>
          <w:b w:val="1"/>
          <w:bCs w:val="1"/>
          <w:i w:val="1"/>
          <w:iCs w:val="1"/>
          <w:color w:val="auto"/>
        </w:rPr>
      </w:pPr>
    </w:p>
    <w:p>
      <w:pPr>
        <w:jc w:val="both"/>
        <w:ind w:left="380" w:right="20"/>
        <w:spacing w:after="0" w:line="250" w:lineRule="auto"/>
        <w:rPr>
          <w:rFonts w:ascii="Arial" w:cs="Arial" w:eastAsia="Arial" w:hAnsi="Arial"/>
          <w:sz w:val="20"/>
          <w:szCs w:val="20"/>
          <w:b w:val="1"/>
          <w:bCs w:val="1"/>
          <w:i w:val="1"/>
          <w:iCs w:val="1"/>
          <w:color w:val="auto"/>
        </w:rPr>
      </w:pPr>
      <w:r>
        <w:rPr>
          <w:rFonts w:ascii="Arial" w:cs="Arial" w:eastAsia="Arial" w:hAnsi="Arial"/>
          <w:sz w:val="20"/>
          <w:szCs w:val="20"/>
          <w:color w:val="auto"/>
        </w:rPr>
        <w:t>Liabilities for loss contingencies arising from claims, assessments, litigation, fines, and penalties and other sources are recorded when it is probable that a liability has been incurred and the amount can be reasonably estimated. Legal costs incurred in connection with loss contingencies are expensed as incurred.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80"/>
          </w:cols>
          <w:pgMar w:left="580" w:top="553" w:right="239" w:bottom="1440" w:gutter="0" w:footer="0" w:header="0"/>
        </w:sectPr>
      </w:pPr>
    </w:p>
    <w:bookmarkStart w:id="26" w:name="page27"/>
    <w:bookmarkEnd w:id="26"/>
    <w:p>
      <w:pPr>
        <w:jc w:val="center"/>
        <w:ind w:right="340"/>
        <w:spacing w:after="0"/>
        <w:rPr>
          <w:sz w:val="20"/>
          <w:szCs w:val="20"/>
          <w:color w:val="auto"/>
        </w:rPr>
      </w:pPr>
      <w:r>
        <w:rPr>
          <w:rFonts w:ascii="Arial" w:cs="Arial" w:eastAsia="Arial" w:hAnsi="Arial"/>
          <w:sz w:val="18"/>
          <w:szCs w:val="18"/>
          <w:b w:val="1"/>
          <w:bCs w:val="1"/>
          <w:color w:val="auto"/>
        </w:rPr>
        <w:t>ELPIDA MEMORY, INC. AND SUBSIDIARIES</w:t>
      </w:r>
    </w:p>
    <w:p>
      <w:pPr>
        <w:spacing w:after="0" w:line="27"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auto"/>
        </w:rPr>
        <w:t>(DEBTORS-IN-POSSESSION)</w:t>
      </w:r>
    </w:p>
    <w:p>
      <w:pPr>
        <w:spacing w:after="0" w:line="9"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1" w:lineRule="exact"/>
        <w:rPr>
          <w:sz w:val="20"/>
          <w:szCs w:val="20"/>
          <w:color w:val="auto"/>
        </w:rPr>
      </w:pPr>
    </w:p>
    <w:p>
      <w:pPr>
        <w:ind w:left="380" w:hanging="374"/>
        <w:spacing w:after="0"/>
        <w:tabs>
          <w:tab w:leader="none" w:pos="380" w:val="left"/>
        </w:tabs>
        <w:numPr>
          <w:ilvl w:val="0"/>
          <w:numId w:val="13"/>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Capitalized Interest</w:t>
      </w:r>
    </w:p>
    <w:p>
      <w:pPr>
        <w:spacing w:after="0" w:line="67" w:lineRule="exact"/>
        <w:rPr>
          <w:rFonts w:ascii="Arial" w:cs="Arial" w:eastAsia="Arial" w:hAnsi="Arial"/>
          <w:sz w:val="20"/>
          <w:szCs w:val="20"/>
          <w:b w:val="1"/>
          <w:bCs w:val="1"/>
          <w:i w:val="1"/>
          <w:iCs w:val="1"/>
          <w:color w:val="auto"/>
        </w:rPr>
      </w:pPr>
    </w:p>
    <w:p>
      <w:pPr>
        <w:jc w:val="both"/>
        <w:ind w:left="380"/>
        <w:spacing w:after="0" w:line="275" w:lineRule="auto"/>
        <w:rPr>
          <w:rFonts w:ascii="Arial" w:cs="Arial" w:eastAsia="Arial" w:hAnsi="Arial"/>
          <w:sz w:val="20"/>
          <w:szCs w:val="20"/>
          <w:b w:val="1"/>
          <w:bCs w:val="1"/>
          <w:i w:val="1"/>
          <w:iCs w:val="1"/>
          <w:color w:val="auto"/>
        </w:rPr>
      </w:pPr>
      <w:r>
        <w:rPr>
          <w:rFonts w:ascii="Arial" w:cs="Arial" w:eastAsia="Arial" w:hAnsi="Arial"/>
          <w:sz w:val="18"/>
          <w:szCs w:val="18"/>
          <w:color w:val="auto"/>
        </w:rPr>
        <w:t>The Company’s policy is to capitalize interest cost incurred on debt during the construction of major projects. A reconciliation of total interest cost to “interest expense” as reported in the consolidated statements of operations for the eleven months ended February 28,</w:t>
      </w:r>
    </w:p>
    <w:p>
      <w:pPr>
        <w:ind w:left="380"/>
        <w:spacing w:after="0"/>
        <w:rPr>
          <w:rFonts w:ascii="Arial" w:cs="Arial" w:eastAsia="Arial" w:hAnsi="Arial"/>
          <w:sz w:val="20"/>
          <w:szCs w:val="20"/>
          <w:b w:val="1"/>
          <w:bCs w:val="1"/>
          <w:i w:val="1"/>
          <w:iCs w:val="1"/>
          <w:color w:val="auto"/>
        </w:rPr>
      </w:pPr>
      <w:r>
        <w:rPr>
          <w:rFonts w:ascii="Arial" w:cs="Arial" w:eastAsia="Arial" w:hAnsi="Arial"/>
          <w:sz w:val="20"/>
          <w:szCs w:val="20"/>
          <w:color w:val="auto"/>
        </w:rPr>
        <w:t>2013 and the year ended March 31, 2012 is as follows:</w:t>
      </w:r>
    </w:p>
    <w:p>
      <w:pPr>
        <w:spacing w:after="0" w:line="274"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6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20"/>
                <w:szCs w:val="20"/>
                <w:b w:val="1"/>
                <w:bCs w:val="1"/>
                <w:color w:val="auto"/>
                <w:w w:val="87"/>
              </w:rPr>
              <w:t>Eleven months</w:t>
            </w:r>
          </w:p>
        </w:tc>
        <w:tc>
          <w:tcPr>
            <w:tcW w:w="280" w:type="dxa"/>
            <w:vAlign w:val="bottom"/>
          </w:tcPr>
          <w:p>
            <w:pPr>
              <w:spacing w:after="0"/>
              <w:rPr>
                <w:sz w:val="19"/>
                <w:szCs w:val="19"/>
                <w:color w:val="auto"/>
              </w:rPr>
            </w:pPr>
          </w:p>
        </w:tc>
        <w:tc>
          <w:tcPr>
            <w:tcW w:w="1420" w:type="dxa"/>
            <w:vAlign w:val="bottom"/>
          </w:tcPr>
          <w:p>
            <w:pPr>
              <w:jc w:val="center"/>
              <w:ind w:right="181"/>
              <w:spacing w:after="0"/>
              <w:rPr>
                <w:sz w:val="20"/>
                <w:szCs w:val="20"/>
                <w:color w:val="auto"/>
              </w:rPr>
            </w:pPr>
            <w:r>
              <w:rPr>
                <w:rFonts w:ascii="Arial" w:cs="Arial" w:eastAsia="Arial" w:hAnsi="Arial"/>
                <w:sz w:val="20"/>
                <w:szCs w:val="20"/>
                <w:b w:val="1"/>
                <w:bCs w:val="1"/>
                <w:color w:val="auto"/>
                <w:w w:val="87"/>
              </w:rPr>
              <w:t>Year</w:t>
            </w:r>
          </w:p>
        </w:tc>
      </w:tr>
      <w:tr>
        <w:trPr>
          <w:trHeight w:val="230"/>
        </w:trPr>
        <w:tc>
          <w:tcPr>
            <w:tcW w:w="6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20"/>
                <w:szCs w:val="20"/>
                <w:b w:val="1"/>
                <w:bCs w:val="1"/>
                <w:color w:val="auto"/>
                <w:w w:val="90"/>
              </w:rPr>
              <w:t>ended February</w:t>
            </w:r>
          </w:p>
        </w:tc>
        <w:tc>
          <w:tcPr>
            <w:tcW w:w="280" w:type="dxa"/>
            <w:vAlign w:val="bottom"/>
          </w:tcPr>
          <w:p>
            <w:pPr>
              <w:spacing w:after="0"/>
              <w:rPr>
                <w:sz w:val="19"/>
                <w:szCs w:val="19"/>
                <w:color w:val="auto"/>
              </w:rPr>
            </w:pPr>
          </w:p>
        </w:tc>
        <w:tc>
          <w:tcPr>
            <w:tcW w:w="1420" w:type="dxa"/>
            <w:vAlign w:val="bottom"/>
          </w:tcPr>
          <w:p>
            <w:pPr>
              <w:jc w:val="center"/>
              <w:ind w:right="181"/>
              <w:spacing w:after="0"/>
              <w:rPr>
                <w:sz w:val="20"/>
                <w:szCs w:val="20"/>
                <w:color w:val="auto"/>
              </w:rPr>
            </w:pPr>
            <w:r>
              <w:rPr>
                <w:rFonts w:ascii="Arial" w:cs="Arial" w:eastAsia="Arial" w:hAnsi="Arial"/>
                <w:sz w:val="20"/>
                <w:szCs w:val="20"/>
                <w:b w:val="1"/>
                <w:bCs w:val="1"/>
                <w:color w:val="auto"/>
                <w:w w:val="84"/>
              </w:rPr>
              <w:t>ended</w:t>
            </w:r>
          </w:p>
        </w:tc>
      </w:tr>
      <w:tr>
        <w:trPr>
          <w:trHeight w:val="230"/>
        </w:trPr>
        <w:tc>
          <w:tcPr>
            <w:tcW w:w="6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ind w:right="621"/>
              <w:spacing w:after="0"/>
              <w:rPr>
                <w:sz w:val="20"/>
                <w:szCs w:val="20"/>
                <w:color w:val="auto"/>
              </w:rPr>
            </w:pPr>
            <w:r>
              <w:rPr>
                <w:rFonts w:ascii="Arial" w:cs="Arial" w:eastAsia="Arial" w:hAnsi="Arial"/>
                <w:sz w:val="20"/>
                <w:szCs w:val="20"/>
                <w:b w:val="1"/>
                <w:bCs w:val="1"/>
                <w:color w:val="auto"/>
              </w:rPr>
              <w:t>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center"/>
              <w:ind w:right="181"/>
              <w:spacing w:after="0"/>
              <w:rPr>
                <w:sz w:val="20"/>
                <w:szCs w:val="20"/>
                <w:color w:val="auto"/>
              </w:rPr>
            </w:pPr>
            <w:r>
              <w:rPr>
                <w:rFonts w:ascii="Arial" w:cs="Arial" w:eastAsia="Arial" w:hAnsi="Arial"/>
                <w:sz w:val="20"/>
                <w:szCs w:val="20"/>
                <w:b w:val="1"/>
                <w:bCs w:val="1"/>
                <w:color w:val="auto"/>
                <w:w w:val="93"/>
              </w:rPr>
              <w:t>March 31,</w:t>
            </w:r>
          </w:p>
        </w:tc>
      </w:tr>
      <w:tr>
        <w:trPr>
          <w:trHeight w:val="256"/>
        </w:trPr>
        <w:tc>
          <w:tcPr>
            <w:tcW w:w="6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40" w:type="dxa"/>
            <w:vAlign w:val="bottom"/>
          </w:tcPr>
          <w:p>
            <w:pPr>
              <w:jc w:val="right"/>
              <w:ind w:right="541"/>
              <w:spacing w:after="0"/>
              <w:rPr>
                <w:sz w:val="20"/>
                <w:szCs w:val="20"/>
                <w:color w:val="auto"/>
              </w:rPr>
            </w:pPr>
            <w:r>
              <w:rPr>
                <w:rFonts w:ascii="Arial" w:cs="Arial" w:eastAsia="Arial" w:hAnsi="Arial"/>
                <w:sz w:val="20"/>
                <w:szCs w:val="20"/>
                <w:b w:val="1"/>
                <w:bCs w:val="1"/>
                <w:color w:val="auto"/>
              </w:rPr>
              <w:t>2013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tcPr>
          <w:p>
            <w:pPr>
              <w:jc w:val="center"/>
              <w:ind w:right="181"/>
              <w:spacing w:after="0"/>
              <w:rPr>
                <w:sz w:val="20"/>
                <w:szCs w:val="20"/>
                <w:color w:val="auto"/>
              </w:rPr>
            </w:pPr>
            <w:r>
              <w:rPr>
                <w:rFonts w:ascii="Arial" w:cs="Arial" w:eastAsia="Arial" w:hAnsi="Arial"/>
                <w:sz w:val="20"/>
                <w:szCs w:val="20"/>
                <w:b w:val="1"/>
                <w:bCs w:val="1"/>
                <w:color w:val="auto"/>
                <w:w w:val="85"/>
              </w:rPr>
              <w:t>2012</w:t>
            </w:r>
          </w:p>
        </w:tc>
      </w:tr>
      <w:tr>
        <w:trPr>
          <w:trHeight w:val="23"/>
        </w:trPr>
        <w:tc>
          <w:tcPr>
            <w:tcW w:w="62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4"/>
        </w:trPr>
        <w:tc>
          <w:tcPr>
            <w:tcW w:w="6280" w:type="dxa"/>
            <w:vAlign w:val="bottom"/>
          </w:tcPr>
          <w:p>
            <w:pPr>
              <w:spacing w:after="0"/>
              <w:rPr>
                <w:sz w:val="20"/>
                <w:szCs w:val="20"/>
                <w:color w:val="auto"/>
              </w:rPr>
            </w:pPr>
            <w:r>
              <w:rPr>
                <w:rFonts w:ascii="Arial" w:cs="Arial" w:eastAsia="Arial" w:hAnsi="Arial"/>
                <w:sz w:val="20"/>
                <w:szCs w:val="20"/>
                <w:color w:val="auto"/>
              </w:rPr>
              <w:t>Interest cost capitalized</w:t>
            </w: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540" w:type="dxa"/>
            <w:vAlign w:val="bottom"/>
          </w:tcPr>
          <w:p>
            <w:pPr>
              <w:jc w:val="right"/>
              <w:ind w:right="1"/>
              <w:spacing w:after="0"/>
              <w:rPr>
                <w:sz w:val="20"/>
                <w:szCs w:val="20"/>
                <w:color w:val="auto"/>
              </w:rPr>
            </w:pPr>
            <w:r>
              <w:rPr>
                <w:rFonts w:ascii="Arial" w:cs="Arial" w:eastAsia="Arial" w:hAnsi="Arial"/>
                <w:sz w:val="20"/>
                <w:szCs w:val="20"/>
                <w:color w:val="auto"/>
              </w:rPr>
              <w:t>213</w:t>
            </w:r>
          </w:p>
        </w:tc>
        <w:tc>
          <w:tcPr>
            <w:tcW w:w="100" w:type="dxa"/>
            <w:vAlign w:val="bottom"/>
          </w:tcPr>
          <w:p>
            <w:pPr>
              <w:spacing w:after="0"/>
              <w:rPr>
                <w:sz w:val="22"/>
                <w:szCs w:val="22"/>
                <w:color w:val="auto"/>
              </w:rPr>
            </w:pPr>
          </w:p>
        </w:tc>
        <w:tc>
          <w:tcPr>
            <w:tcW w:w="2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420" w:type="dxa"/>
            <w:vAlign w:val="bottom"/>
          </w:tcPr>
          <w:p>
            <w:pPr>
              <w:jc w:val="right"/>
              <w:ind w:right="1"/>
              <w:spacing w:after="0"/>
              <w:rPr>
                <w:sz w:val="20"/>
                <w:szCs w:val="20"/>
                <w:color w:val="auto"/>
              </w:rPr>
            </w:pPr>
            <w:r>
              <w:rPr>
                <w:rFonts w:ascii="Arial" w:cs="Arial" w:eastAsia="Arial" w:hAnsi="Arial"/>
                <w:sz w:val="20"/>
                <w:szCs w:val="20"/>
                <w:color w:val="auto"/>
              </w:rPr>
              <w:t>153</w:t>
            </w:r>
          </w:p>
        </w:tc>
      </w:tr>
      <w:tr>
        <w:trPr>
          <w:trHeight w:val="284"/>
        </w:trPr>
        <w:tc>
          <w:tcPr>
            <w:tcW w:w="6280" w:type="dxa"/>
            <w:vAlign w:val="bottom"/>
          </w:tcPr>
          <w:p>
            <w:pPr>
              <w:spacing w:after="0"/>
              <w:rPr>
                <w:sz w:val="20"/>
                <w:szCs w:val="20"/>
                <w:color w:val="auto"/>
              </w:rPr>
            </w:pPr>
            <w:r>
              <w:rPr>
                <w:rFonts w:ascii="Arial" w:cs="Arial" w:eastAsia="Arial" w:hAnsi="Arial"/>
                <w:sz w:val="20"/>
                <w:szCs w:val="20"/>
                <w:color w:val="auto"/>
              </w:rPr>
              <w:t>Interest cost charged to expense</w:t>
            </w:r>
          </w:p>
        </w:tc>
        <w:tc>
          <w:tcPr>
            <w:tcW w:w="140" w:type="dxa"/>
            <w:vAlign w:val="bottom"/>
          </w:tcPr>
          <w:p>
            <w:pPr>
              <w:spacing w:after="0"/>
              <w:rPr>
                <w:sz w:val="24"/>
                <w:szCs w:val="24"/>
                <w:color w:val="auto"/>
              </w:rPr>
            </w:pPr>
          </w:p>
        </w:tc>
        <w:tc>
          <w:tcPr>
            <w:tcW w:w="1540" w:type="dxa"/>
            <w:vAlign w:val="bottom"/>
          </w:tcPr>
          <w:p>
            <w:pPr>
              <w:jc w:val="right"/>
              <w:ind w:right="1"/>
              <w:spacing w:after="0"/>
              <w:rPr>
                <w:sz w:val="20"/>
                <w:szCs w:val="20"/>
                <w:color w:val="auto"/>
              </w:rPr>
            </w:pPr>
            <w:r>
              <w:rPr>
                <w:rFonts w:ascii="Arial" w:cs="Arial" w:eastAsia="Arial" w:hAnsi="Arial"/>
                <w:sz w:val="20"/>
                <w:szCs w:val="20"/>
                <w:color w:val="auto"/>
              </w:rPr>
              <w:t>1,952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jc w:val="right"/>
              <w:ind w:right="1"/>
              <w:spacing w:after="0"/>
              <w:rPr>
                <w:sz w:val="20"/>
                <w:szCs w:val="20"/>
                <w:color w:val="auto"/>
              </w:rPr>
            </w:pPr>
            <w:r>
              <w:rPr>
                <w:rFonts w:ascii="Arial" w:cs="Arial" w:eastAsia="Arial" w:hAnsi="Arial"/>
                <w:sz w:val="20"/>
                <w:szCs w:val="20"/>
                <w:color w:val="auto"/>
              </w:rPr>
              <w:t>8,445</w:t>
            </w:r>
          </w:p>
        </w:tc>
      </w:tr>
      <w:tr>
        <w:trPr>
          <w:trHeight w:val="23"/>
        </w:trPr>
        <w:tc>
          <w:tcPr>
            <w:tcW w:w="62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72"/>
        </w:trPr>
        <w:tc>
          <w:tcPr>
            <w:tcW w:w="6280" w:type="dxa"/>
            <w:vAlign w:val="bottom"/>
          </w:tcPr>
          <w:p>
            <w:pPr>
              <w:ind w:left="580"/>
              <w:spacing w:after="0"/>
              <w:rPr>
                <w:sz w:val="20"/>
                <w:szCs w:val="20"/>
                <w:color w:val="auto"/>
              </w:rPr>
            </w:pPr>
            <w:r>
              <w:rPr>
                <w:rFonts w:ascii="Arial" w:cs="Arial" w:eastAsia="Arial" w:hAnsi="Arial"/>
                <w:sz w:val="20"/>
                <w:szCs w:val="20"/>
                <w:color w:val="auto"/>
              </w:rPr>
              <w:t>Total interest cost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5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2,165</w:t>
            </w:r>
          </w:p>
        </w:tc>
        <w:tc>
          <w:tcPr>
            <w:tcW w:w="100" w:type="dxa"/>
            <w:vAlign w:val="bottom"/>
          </w:tcPr>
          <w:p>
            <w:pPr>
              <w:spacing w:after="0"/>
              <w:rPr>
                <w:sz w:val="23"/>
                <w:szCs w:val="23"/>
                <w:color w:val="auto"/>
              </w:rPr>
            </w:pPr>
          </w:p>
        </w:tc>
        <w:tc>
          <w:tcPr>
            <w:tcW w:w="28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4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8,598</w:t>
            </w:r>
          </w:p>
        </w:tc>
      </w:tr>
      <w:tr>
        <w:trPr>
          <w:trHeight w:val="20"/>
        </w:trPr>
        <w:tc>
          <w:tcPr>
            <w:tcW w:w="6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left="380" w:hanging="374"/>
        <w:spacing w:after="0"/>
        <w:tabs>
          <w:tab w:leader="none" w:pos="380" w:val="left"/>
        </w:tabs>
        <w:numPr>
          <w:ilvl w:val="0"/>
          <w:numId w:val="14"/>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Fair Value Measurements</w:t>
      </w:r>
    </w:p>
    <w:p>
      <w:pPr>
        <w:spacing w:after="0" w:line="67" w:lineRule="exact"/>
        <w:rPr>
          <w:rFonts w:ascii="Arial" w:cs="Arial" w:eastAsia="Arial" w:hAnsi="Arial"/>
          <w:sz w:val="20"/>
          <w:szCs w:val="20"/>
          <w:b w:val="1"/>
          <w:bCs w:val="1"/>
          <w:i w:val="1"/>
          <w:iCs w:val="1"/>
          <w:color w:val="auto"/>
        </w:rPr>
      </w:pPr>
    </w:p>
    <w:p>
      <w:pPr>
        <w:jc w:val="both"/>
        <w:ind w:left="380"/>
        <w:spacing w:after="0" w:line="244" w:lineRule="auto"/>
        <w:rPr>
          <w:rFonts w:ascii="Arial" w:cs="Arial" w:eastAsia="Arial" w:hAnsi="Arial"/>
          <w:sz w:val="20"/>
          <w:szCs w:val="20"/>
          <w:b w:val="1"/>
          <w:bCs w:val="1"/>
          <w:i w:val="1"/>
          <w:iCs w:val="1"/>
          <w:color w:val="auto"/>
        </w:rPr>
      </w:pPr>
      <w:r>
        <w:rPr>
          <w:rFonts w:ascii="Arial" w:cs="Arial" w:eastAsia="Arial" w:hAnsi="Arial"/>
          <w:sz w:val="20"/>
          <w:szCs w:val="20"/>
          <w:color w:val="auto"/>
        </w:rPr>
        <w:t>The Company utilizes valuation techniques that maximize the use of observable inputs and minimize the use of unobservable inputs to the extent possible. The Company determines fair value based on assumptions that market participants would use in pricing an asset or liability in the principal or most advantageous market. When considering market participant assumptions in fair value measurements, the following fair value hierarchy distinguishes between observable and unobservable inputs, which are categorized in one of the following levels:</w:t>
      </w:r>
    </w:p>
    <w:p>
      <w:pPr>
        <w:spacing w:after="0" w:line="113" w:lineRule="exact"/>
        <w:rPr>
          <w:rFonts w:ascii="Arial" w:cs="Arial" w:eastAsia="Arial" w:hAnsi="Arial"/>
          <w:sz w:val="20"/>
          <w:szCs w:val="20"/>
          <w:b w:val="1"/>
          <w:bCs w:val="1"/>
          <w:i w:val="1"/>
          <w:iCs w:val="1"/>
          <w:color w:val="auto"/>
        </w:rPr>
      </w:pPr>
    </w:p>
    <w:p>
      <w:pPr>
        <w:ind w:left="2260" w:hanging="1863"/>
        <w:spacing w:after="0" w:line="260" w:lineRule="auto"/>
        <w:tabs>
          <w:tab w:leader="none" w:pos="883" w:val="left"/>
        </w:tabs>
        <w:numPr>
          <w:ilvl w:val="1"/>
          <w:numId w:val="14"/>
        </w:numPr>
        <w:rPr>
          <w:rFonts w:ascii="Arial" w:cs="Arial" w:eastAsia="Arial" w:hAnsi="Arial"/>
          <w:sz w:val="20"/>
          <w:szCs w:val="20"/>
          <w:color w:val="auto"/>
        </w:rPr>
      </w:pPr>
      <w:r>
        <w:rPr>
          <w:rFonts w:ascii="Arial" w:cs="Arial" w:eastAsia="Arial" w:hAnsi="Arial"/>
          <w:sz w:val="20"/>
          <w:szCs w:val="20"/>
          <w:color w:val="auto"/>
        </w:rPr>
        <w:t>Level 1 Inputs: Unadjusted quoted prices in active markets for identical assets or liabilities accessible to the reporting entity at the measurement date.</w:t>
      </w:r>
    </w:p>
    <w:p>
      <w:pPr>
        <w:spacing w:after="0" w:line="28" w:lineRule="exact"/>
        <w:rPr>
          <w:rFonts w:ascii="Arial" w:cs="Arial" w:eastAsia="Arial" w:hAnsi="Arial"/>
          <w:sz w:val="20"/>
          <w:szCs w:val="20"/>
          <w:color w:val="auto"/>
        </w:rPr>
      </w:pPr>
    </w:p>
    <w:p>
      <w:pPr>
        <w:ind w:left="2260" w:hanging="1863"/>
        <w:spacing w:after="0" w:line="260" w:lineRule="auto"/>
        <w:tabs>
          <w:tab w:leader="none" w:pos="883" w:val="left"/>
        </w:tabs>
        <w:numPr>
          <w:ilvl w:val="1"/>
          <w:numId w:val="14"/>
        </w:numPr>
        <w:rPr>
          <w:rFonts w:ascii="Arial" w:cs="Arial" w:eastAsia="Arial" w:hAnsi="Arial"/>
          <w:sz w:val="20"/>
          <w:szCs w:val="20"/>
          <w:color w:val="auto"/>
        </w:rPr>
      </w:pPr>
      <w:r>
        <w:rPr>
          <w:rFonts w:ascii="Arial" w:cs="Arial" w:eastAsia="Arial" w:hAnsi="Arial"/>
          <w:sz w:val="20"/>
          <w:szCs w:val="20"/>
          <w:color w:val="auto"/>
        </w:rPr>
        <w:t>Level 2 Inputs: Other than quoted prices included in Level 1 inputs that are observable for the asset or liability, either directly or indirectly, for substantially the full term of the asset or liability.</w:t>
      </w:r>
    </w:p>
    <w:p>
      <w:pPr>
        <w:spacing w:after="0" w:line="28" w:lineRule="exact"/>
        <w:rPr>
          <w:rFonts w:ascii="Arial" w:cs="Arial" w:eastAsia="Arial" w:hAnsi="Arial"/>
          <w:sz w:val="20"/>
          <w:szCs w:val="20"/>
          <w:color w:val="auto"/>
        </w:rPr>
      </w:pPr>
    </w:p>
    <w:p>
      <w:pPr>
        <w:ind w:left="2260" w:hanging="1863"/>
        <w:spacing w:after="0" w:line="250" w:lineRule="auto"/>
        <w:tabs>
          <w:tab w:leader="none" w:pos="883" w:val="left"/>
        </w:tabs>
        <w:numPr>
          <w:ilvl w:val="1"/>
          <w:numId w:val="14"/>
        </w:numPr>
        <w:rPr>
          <w:rFonts w:ascii="Arial" w:cs="Arial" w:eastAsia="Arial" w:hAnsi="Arial"/>
          <w:sz w:val="20"/>
          <w:szCs w:val="20"/>
          <w:color w:val="auto"/>
        </w:rPr>
      </w:pPr>
      <w:r>
        <w:rPr>
          <w:rFonts w:ascii="Arial" w:cs="Arial" w:eastAsia="Arial" w:hAnsi="Arial"/>
          <w:sz w:val="20"/>
          <w:szCs w:val="20"/>
          <w:color w:val="auto"/>
        </w:rPr>
        <w:t>Level 3 Inputs: Unobservable inputs for the asset or liability used to measure fair value to the extent that observable inputs are not available, thereby allowing for situations in which there is little, if any, market activity for the asset or liability at the measurement date.</w:t>
      </w:r>
    </w:p>
    <w:p>
      <w:pPr>
        <w:spacing w:after="0" w:line="186" w:lineRule="exact"/>
        <w:rPr>
          <w:rFonts w:ascii="Arial" w:cs="Arial" w:eastAsia="Arial" w:hAnsi="Arial"/>
          <w:sz w:val="20"/>
          <w:szCs w:val="20"/>
          <w:color w:val="auto"/>
        </w:rPr>
      </w:pPr>
    </w:p>
    <w:p>
      <w:pPr>
        <w:ind w:left="380" w:hanging="374"/>
        <w:spacing w:after="0"/>
        <w:tabs>
          <w:tab w:leader="none" w:pos="380" w:val="left"/>
        </w:tabs>
        <w:numPr>
          <w:ilvl w:val="0"/>
          <w:numId w:val="14"/>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Product Warranties</w:t>
      </w:r>
    </w:p>
    <w:p>
      <w:pPr>
        <w:spacing w:after="0" w:line="107" w:lineRule="exact"/>
        <w:rPr>
          <w:rFonts w:ascii="Arial" w:cs="Arial" w:eastAsia="Arial" w:hAnsi="Arial"/>
          <w:sz w:val="20"/>
          <w:szCs w:val="20"/>
          <w:b w:val="1"/>
          <w:bCs w:val="1"/>
          <w:i w:val="1"/>
          <w:iCs w:val="1"/>
          <w:color w:val="auto"/>
        </w:rPr>
      </w:pPr>
    </w:p>
    <w:p>
      <w:pPr>
        <w:jc w:val="both"/>
        <w:ind w:left="380"/>
        <w:spacing w:after="0" w:line="260" w:lineRule="auto"/>
        <w:rPr>
          <w:rFonts w:ascii="Arial" w:cs="Arial" w:eastAsia="Arial" w:hAnsi="Arial"/>
          <w:sz w:val="20"/>
          <w:szCs w:val="20"/>
          <w:b w:val="1"/>
          <w:bCs w:val="1"/>
          <w:i w:val="1"/>
          <w:iCs w:val="1"/>
          <w:color w:val="auto"/>
        </w:rPr>
      </w:pPr>
      <w:r>
        <w:rPr>
          <w:rFonts w:ascii="Arial" w:cs="Arial" w:eastAsia="Arial" w:hAnsi="Arial"/>
          <w:sz w:val="19"/>
          <w:szCs w:val="19"/>
          <w:color w:val="auto"/>
        </w:rPr>
        <w:t>The Company generally provides a limited warranty that its products are in compliance with Company specifications existing at the time of delivery. Under the Company’s general terms and conditions of sale, the liability for certain failures of product during a stated warranty period is usually limited to repair or replacement of defective items or return of, or a credit with respect to, amounts paid for such items. The Company accrues product warranty costs which are based primarily on historical experience of actual warranty claims as well as current information on costs for repair or replacement of defective products.</w:t>
      </w: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80"/>
          </w:cols>
          <w:pgMar w:left="580" w:top="553" w:right="239" w:bottom="1440" w:gutter="0" w:footer="0" w:header="0"/>
        </w:sectPr>
      </w:pPr>
    </w:p>
    <w:bookmarkStart w:id="27" w:name="page28"/>
    <w:bookmarkEnd w:id="27"/>
    <w:p>
      <w:pPr>
        <w:jc w:val="center"/>
        <w:ind w:right="20"/>
        <w:spacing w:after="0"/>
        <w:rPr>
          <w:sz w:val="20"/>
          <w:szCs w:val="20"/>
          <w:color w:val="auto"/>
        </w:rPr>
      </w:pPr>
      <w:r>
        <w:rPr>
          <w:rFonts w:ascii="Arial" w:cs="Arial" w:eastAsia="Arial" w:hAnsi="Arial"/>
          <w:sz w:val="18"/>
          <w:szCs w:val="18"/>
          <w:b w:val="1"/>
          <w:bCs w:val="1"/>
          <w:color w:val="auto"/>
        </w:rPr>
        <w:t>ELPIDA MEMORY,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(DEBTORS-IN-POSSESSION)</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1" w:lineRule="exact"/>
        <w:rPr>
          <w:sz w:val="20"/>
          <w:szCs w:val="20"/>
          <w:color w:val="auto"/>
        </w:rPr>
      </w:pPr>
    </w:p>
    <w:p>
      <w:pPr>
        <w:ind w:left="700" w:hanging="374"/>
        <w:spacing w:after="0"/>
        <w:tabs>
          <w:tab w:leader="none" w:pos="700" w:val="left"/>
        </w:tabs>
        <w:numPr>
          <w:ilvl w:val="1"/>
          <w:numId w:val="15"/>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Recently Adopted Accounting Standards</w:t>
      </w:r>
    </w:p>
    <w:p>
      <w:pPr>
        <w:spacing w:after="0" w:line="107" w:lineRule="exact"/>
        <w:rPr>
          <w:rFonts w:ascii="Arial" w:cs="Arial" w:eastAsia="Arial" w:hAnsi="Arial"/>
          <w:sz w:val="20"/>
          <w:szCs w:val="20"/>
          <w:b w:val="1"/>
          <w:bCs w:val="1"/>
          <w:i w:val="1"/>
          <w:iCs w:val="1"/>
          <w:color w:val="auto"/>
        </w:rPr>
      </w:pPr>
    </w:p>
    <w:p>
      <w:pPr>
        <w:jc w:val="both"/>
        <w:ind w:left="700"/>
        <w:spacing w:after="0" w:line="246" w:lineRule="auto"/>
        <w:rPr>
          <w:rFonts w:ascii="Arial" w:cs="Arial" w:eastAsia="Arial" w:hAnsi="Arial"/>
          <w:sz w:val="20"/>
          <w:szCs w:val="20"/>
          <w:b w:val="1"/>
          <w:bCs w:val="1"/>
          <w:i w:val="1"/>
          <w:iCs w:val="1"/>
          <w:color w:val="auto"/>
        </w:rPr>
      </w:pPr>
      <w:r>
        <w:rPr>
          <w:rFonts w:ascii="Arial" w:cs="Arial" w:eastAsia="Arial" w:hAnsi="Arial"/>
          <w:sz w:val="20"/>
          <w:szCs w:val="20"/>
          <w:color w:val="auto"/>
        </w:rPr>
        <w:t>In June 2011, the FASB issued a new accounting standard on the presentation of comprehensive income. The new standard requires the presentation of comprehensive income, the components of net income and the components of other comprehensive income either in a single continuous statement of comprehensive income or in two separate but consecutive statements. The Company adopted this standard in the eleven months ended February 28, 2013.</w:t>
      </w:r>
    </w:p>
    <w:p>
      <w:pPr>
        <w:spacing w:after="0" w:line="110" w:lineRule="exact"/>
        <w:rPr>
          <w:rFonts w:ascii="Arial" w:cs="Arial" w:eastAsia="Arial" w:hAnsi="Arial"/>
          <w:sz w:val="20"/>
          <w:szCs w:val="20"/>
          <w:b w:val="1"/>
          <w:bCs w:val="1"/>
          <w:i w:val="1"/>
          <w:iCs w:val="1"/>
          <w:color w:val="auto"/>
        </w:rPr>
      </w:pPr>
    </w:p>
    <w:p>
      <w:pPr>
        <w:ind w:left="700"/>
        <w:spacing w:after="0"/>
        <w:rPr>
          <w:rFonts w:ascii="Arial" w:cs="Arial" w:eastAsia="Arial" w:hAnsi="Arial"/>
          <w:sz w:val="20"/>
          <w:szCs w:val="20"/>
          <w:b w:val="1"/>
          <w:bCs w:val="1"/>
          <w:i w:val="1"/>
          <w:iCs w:val="1"/>
          <w:color w:val="auto"/>
        </w:rPr>
      </w:pPr>
      <w:r>
        <w:rPr>
          <w:rFonts w:ascii="Arial" w:cs="Arial" w:eastAsia="Arial" w:hAnsi="Arial"/>
          <w:sz w:val="20"/>
          <w:szCs w:val="20"/>
          <w:color w:val="auto"/>
        </w:rPr>
        <w:t>The adoption of this standard did not have a material impact on the accompanying financial statements.</w:t>
      </w:r>
    </w:p>
    <w:p>
      <w:pPr>
        <w:spacing w:after="0" w:line="317" w:lineRule="exact"/>
        <w:rPr>
          <w:rFonts w:ascii="Arial" w:cs="Arial" w:eastAsia="Arial" w:hAnsi="Arial"/>
          <w:sz w:val="20"/>
          <w:szCs w:val="20"/>
          <w:b w:val="1"/>
          <w:bCs w:val="1"/>
          <w:i w:val="1"/>
          <w:iCs w:val="1"/>
          <w:color w:val="auto"/>
        </w:rPr>
      </w:pPr>
    </w:p>
    <w:p>
      <w:pPr>
        <w:ind w:left="340" w:hanging="338"/>
        <w:spacing w:after="0"/>
        <w:tabs>
          <w:tab w:leader="none" w:pos="340" w:val="left"/>
        </w:tabs>
        <w:numPr>
          <w:ilvl w:val="0"/>
          <w:numId w:val="16"/>
        </w:numPr>
        <w:rPr>
          <w:rFonts w:ascii="Arial" w:cs="Arial" w:eastAsia="Arial" w:hAnsi="Arial"/>
          <w:sz w:val="20"/>
          <w:szCs w:val="20"/>
          <w:b w:val="1"/>
          <w:bCs w:val="1"/>
          <w:color w:val="auto"/>
        </w:rPr>
      </w:pPr>
      <w:r>
        <w:rPr>
          <w:rFonts w:ascii="Arial" w:cs="Arial" w:eastAsia="Arial" w:hAnsi="Arial"/>
          <w:sz w:val="20"/>
          <w:szCs w:val="20"/>
          <w:b w:val="1"/>
          <w:bCs w:val="1"/>
          <w:color w:val="auto"/>
        </w:rPr>
        <w:t>Business and Credit Concentrations</w:t>
      </w:r>
    </w:p>
    <w:p>
      <w:pPr>
        <w:spacing w:after="0" w:line="113" w:lineRule="exact"/>
        <w:rPr>
          <w:rFonts w:ascii="Arial" w:cs="Arial" w:eastAsia="Arial" w:hAnsi="Arial"/>
          <w:sz w:val="20"/>
          <w:szCs w:val="20"/>
          <w:b w:val="1"/>
          <w:bCs w:val="1"/>
          <w:color w:val="auto"/>
        </w:rPr>
      </w:pPr>
    </w:p>
    <w:p>
      <w:pPr>
        <w:ind w:left="320" w:right="20"/>
        <w:spacing w:after="0" w:line="260" w:lineRule="auto"/>
        <w:rPr>
          <w:rFonts w:ascii="Arial" w:cs="Arial" w:eastAsia="Arial" w:hAnsi="Arial"/>
          <w:sz w:val="20"/>
          <w:szCs w:val="20"/>
          <w:b w:val="1"/>
          <w:bCs w:val="1"/>
          <w:color w:val="auto"/>
        </w:rPr>
      </w:pPr>
      <w:r>
        <w:rPr>
          <w:rFonts w:ascii="Arial" w:cs="Arial" w:eastAsia="Arial" w:hAnsi="Arial"/>
          <w:sz w:val="20"/>
          <w:szCs w:val="20"/>
          <w:color w:val="auto"/>
        </w:rPr>
        <w:t>The Company is primarily engaged in a single line of business of designing, manufacturing and sale of DRAMs and therefore the fluctuation of unit volumes and prices in the DRAM market can significantly impact the Company’s business.</w:t>
      </w:r>
    </w:p>
    <w:p>
      <w:pPr>
        <w:spacing w:after="0" w:line="95" w:lineRule="exact"/>
        <w:rPr>
          <w:rFonts w:ascii="Arial" w:cs="Arial" w:eastAsia="Arial" w:hAnsi="Arial"/>
          <w:sz w:val="20"/>
          <w:szCs w:val="20"/>
          <w:b w:val="1"/>
          <w:bCs w:val="1"/>
          <w:color w:val="auto"/>
        </w:rPr>
      </w:pPr>
    </w:p>
    <w:p>
      <w:pPr>
        <w:jc w:val="both"/>
        <w:ind w:left="320"/>
        <w:spacing w:after="0" w:line="246" w:lineRule="auto"/>
        <w:rPr>
          <w:rFonts w:ascii="Arial" w:cs="Arial" w:eastAsia="Arial" w:hAnsi="Arial"/>
          <w:sz w:val="20"/>
          <w:szCs w:val="20"/>
          <w:b w:val="1"/>
          <w:bCs w:val="1"/>
          <w:color w:val="auto"/>
        </w:rPr>
      </w:pPr>
      <w:r>
        <w:rPr>
          <w:rFonts w:ascii="Arial" w:cs="Arial" w:eastAsia="Arial" w:hAnsi="Arial"/>
          <w:sz w:val="20"/>
          <w:szCs w:val="20"/>
          <w:color w:val="auto"/>
        </w:rPr>
        <w:t>For the eleven months ended February 28, 2013, the two largest customers accounted for 24.0% and 13.0% of the Company’s sales, and the largest customer accounted for 11.7% of accounts receivable at February 28, 2013. For the year ended March 31, 2012, the two largest customers accounted for 18.5% and 12.6% of the Company’s sales, and the largest customer accounted for 13.9% of accounts receivable at March 31, 2012.</w:t>
      </w:r>
    </w:p>
    <w:p>
      <w:pPr>
        <w:spacing w:after="0" w:line="293" w:lineRule="exact"/>
        <w:rPr>
          <w:rFonts w:ascii="Arial" w:cs="Arial" w:eastAsia="Arial" w:hAnsi="Arial"/>
          <w:sz w:val="20"/>
          <w:szCs w:val="20"/>
          <w:b w:val="1"/>
          <w:bCs w:val="1"/>
          <w:color w:val="auto"/>
        </w:rPr>
      </w:pPr>
    </w:p>
    <w:p>
      <w:pPr>
        <w:ind w:left="340" w:hanging="338"/>
        <w:spacing w:after="0"/>
        <w:tabs>
          <w:tab w:leader="none" w:pos="340" w:val="left"/>
        </w:tabs>
        <w:numPr>
          <w:ilvl w:val="0"/>
          <w:numId w:val="16"/>
        </w:numPr>
        <w:rPr>
          <w:rFonts w:ascii="Arial" w:cs="Arial" w:eastAsia="Arial" w:hAnsi="Arial"/>
          <w:sz w:val="20"/>
          <w:szCs w:val="20"/>
          <w:b w:val="1"/>
          <w:bCs w:val="1"/>
          <w:color w:val="auto"/>
        </w:rPr>
      </w:pPr>
      <w:r>
        <w:rPr>
          <w:rFonts w:ascii="Arial" w:cs="Arial" w:eastAsia="Arial" w:hAnsi="Arial"/>
          <w:sz w:val="20"/>
          <w:szCs w:val="20"/>
          <w:b w:val="1"/>
          <w:bCs w:val="1"/>
          <w:color w:val="auto"/>
        </w:rPr>
        <w:t>Inventories</w:t>
      </w:r>
    </w:p>
    <w:p>
      <w:pPr>
        <w:spacing w:after="0" w:line="113" w:lineRule="exact"/>
        <w:rPr>
          <w:rFonts w:ascii="Arial" w:cs="Arial" w:eastAsia="Arial" w:hAnsi="Arial"/>
          <w:sz w:val="20"/>
          <w:szCs w:val="20"/>
          <w:b w:val="1"/>
          <w:bCs w:val="1"/>
          <w:color w:val="auto"/>
        </w:rPr>
      </w:pPr>
    </w:p>
    <w:p>
      <w:pPr>
        <w:ind w:left="320"/>
        <w:spacing w:after="0"/>
        <w:rPr>
          <w:rFonts w:ascii="Arial" w:cs="Arial" w:eastAsia="Arial" w:hAnsi="Arial"/>
          <w:sz w:val="20"/>
          <w:szCs w:val="20"/>
          <w:b w:val="1"/>
          <w:bCs w:val="1"/>
          <w:color w:val="auto"/>
        </w:rPr>
      </w:pPr>
      <w:r>
        <w:rPr>
          <w:rFonts w:ascii="Arial" w:cs="Arial" w:eastAsia="Arial" w:hAnsi="Arial"/>
          <w:sz w:val="20"/>
          <w:szCs w:val="20"/>
          <w:color w:val="auto"/>
        </w:rPr>
        <w:t>Inventories at February 28, 2013 and March 31, 2012 consisted of the following:</w:t>
      </w:r>
    </w:p>
    <w:p>
      <w:pPr>
        <w:spacing w:after="0" w:line="290"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gridSpan w:val="2"/>
          </w:tcPr>
          <w:p>
            <w:pPr>
              <w:ind w:left="100"/>
              <w:spacing w:after="0"/>
              <w:rPr>
                <w:sz w:val="20"/>
                <w:szCs w:val="20"/>
                <w:color w:val="auto"/>
              </w:rPr>
            </w:pPr>
            <w:r>
              <w:rPr>
                <w:rFonts w:ascii="Arial" w:cs="Arial" w:eastAsia="Arial" w:hAnsi="Arial"/>
                <w:sz w:val="20"/>
                <w:szCs w:val="20"/>
                <w:b w:val="1"/>
                <w:bCs w:val="1"/>
                <w:color w:val="auto"/>
              </w:rPr>
              <w:t>February 28,</w:t>
            </w:r>
          </w:p>
        </w:tc>
        <w:tc>
          <w:tcPr>
            <w:tcW w:w="280" w:type="dxa"/>
            <w:vAlign w:val="bottom"/>
          </w:tcPr>
          <w:p>
            <w:pPr>
              <w:spacing w:after="0"/>
              <w:rPr>
                <w:sz w:val="19"/>
                <w:szCs w:val="19"/>
                <w:color w:val="auto"/>
              </w:rPr>
            </w:pPr>
          </w:p>
        </w:tc>
        <w:tc>
          <w:tcPr>
            <w:tcW w:w="1460" w:type="dxa"/>
            <w:vAlign w:val="bottom"/>
          </w:tcPr>
          <w:p>
            <w:pPr>
              <w:jc w:val="right"/>
              <w:ind w:right="341"/>
              <w:spacing w:after="0"/>
              <w:rPr>
                <w:sz w:val="20"/>
                <w:szCs w:val="20"/>
                <w:color w:val="auto"/>
              </w:rPr>
            </w:pPr>
            <w:r>
              <w:rPr>
                <w:rFonts w:ascii="Arial" w:cs="Arial" w:eastAsia="Arial" w:hAnsi="Arial"/>
                <w:sz w:val="20"/>
                <w:szCs w:val="20"/>
                <w:b w:val="1"/>
                <w:bCs w:val="1"/>
                <w:color w:val="auto"/>
              </w:rPr>
              <w:t>March 31,</w:t>
            </w:r>
          </w:p>
        </w:tc>
      </w:tr>
      <w:tr>
        <w:trPr>
          <w:trHeight w:val="256"/>
        </w:trPr>
        <w:tc>
          <w:tcPr>
            <w:tcW w:w="6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20" w:type="dxa"/>
            <w:vAlign w:val="bottom"/>
          </w:tcPr>
          <w:p>
            <w:pPr>
              <w:jc w:val="right"/>
              <w:ind w:right="581"/>
              <w:spacing w:after="0"/>
              <w:rPr>
                <w:sz w:val="20"/>
                <w:szCs w:val="20"/>
                <w:color w:val="auto"/>
              </w:rPr>
            </w:pPr>
            <w:r>
              <w:rPr>
                <w:rFonts w:ascii="Arial" w:cs="Arial" w:eastAsia="Arial" w:hAnsi="Arial"/>
                <w:sz w:val="20"/>
                <w:szCs w:val="20"/>
                <w:b w:val="1"/>
                <w:bCs w:val="1"/>
                <w:color w:val="auto"/>
              </w:rPr>
              <w:t>2013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60" w:type="dxa"/>
            <w:vAlign w:val="bottom"/>
          </w:tcPr>
          <w:p>
            <w:pPr>
              <w:jc w:val="right"/>
              <w:ind w:right="581"/>
              <w:spacing w:after="0"/>
              <w:rPr>
                <w:sz w:val="20"/>
                <w:szCs w:val="20"/>
                <w:color w:val="auto"/>
              </w:rPr>
            </w:pPr>
            <w:r>
              <w:rPr>
                <w:rFonts w:ascii="Arial" w:cs="Arial" w:eastAsia="Arial" w:hAnsi="Arial"/>
                <w:sz w:val="20"/>
                <w:szCs w:val="20"/>
                <w:b w:val="1"/>
                <w:bCs w:val="1"/>
                <w:color w:val="auto"/>
              </w:rPr>
              <w:t>2012</w:t>
            </w:r>
          </w:p>
        </w:tc>
      </w:tr>
      <w:tr>
        <w:trPr>
          <w:trHeight w:val="23"/>
        </w:trPr>
        <w:tc>
          <w:tcPr>
            <w:tcW w:w="65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4"/>
        </w:trPr>
        <w:tc>
          <w:tcPr>
            <w:tcW w:w="6500" w:type="dxa"/>
            <w:vAlign w:val="bottom"/>
          </w:tcPr>
          <w:p>
            <w:pPr>
              <w:spacing w:after="0"/>
              <w:rPr>
                <w:sz w:val="20"/>
                <w:szCs w:val="20"/>
                <w:color w:val="auto"/>
              </w:rPr>
            </w:pPr>
            <w:r>
              <w:rPr>
                <w:rFonts w:ascii="Arial" w:cs="Arial" w:eastAsia="Arial" w:hAnsi="Arial"/>
                <w:sz w:val="20"/>
                <w:szCs w:val="20"/>
                <w:color w:val="auto"/>
              </w:rPr>
              <w:t>Finished products</w:t>
            </w:r>
          </w:p>
        </w:tc>
        <w:tc>
          <w:tcPr>
            <w:tcW w:w="2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1520" w:type="dxa"/>
            <w:vAlign w:val="bottom"/>
          </w:tcPr>
          <w:p>
            <w:pPr>
              <w:jc w:val="right"/>
              <w:ind w:right="1"/>
              <w:spacing w:after="0"/>
              <w:rPr>
                <w:sz w:val="20"/>
                <w:szCs w:val="20"/>
                <w:color w:val="auto"/>
              </w:rPr>
            </w:pPr>
            <w:r>
              <w:rPr>
                <w:rFonts w:ascii="Arial" w:cs="Arial" w:eastAsia="Arial" w:hAnsi="Arial"/>
                <w:sz w:val="20"/>
                <w:szCs w:val="20"/>
                <w:color w:val="auto"/>
              </w:rPr>
              <w:t>33,706</w:t>
            </w:r>
          </w:p>
        </w:tc>
        <w:tc>
          <w:tcPr>
            <w:tcW w:w="100" w:type="dxa"/>
            <w:vAlign w:val="bottom"/>
          </w:tcPr>
          <w:p>
            <w:pPr>
              <w:spacing w:after="0"/>
              <w:rPr>
                <w:sz w:val="22"/>
                <w:szCs w:val="22"/>
                <w:color w:val="auto"/>
              </w:rPr>
            </w:pPr>
          </w:p>
        </w:tc>
        <w:tc>
          <w:tcPr>
            <w:tcW w:w="280" w:type="dxa"/>
            <w:vAlign w:val="bottom"/>
          </w:tcPr>
          <w:p>
            <w:pPr>
              <w:jc w:val="right"/>
              <w:ind w:right="61"/>
              <w:spacing w:after="0"/>
              <w:rPr>
                <w:sz w:val="20"/>
                <w:szCs w:val="20"/>
                <w:color w:val="auto"/>
              </w:rPr>
            </w:pPr>
            <w:r>
              <w:rPr>
                <w:rFonts w:ascii="Arial" w:cs="Arial" w:eastAsia="Arial" w:hAnsi="Arial"/>
                <w:sz w:val="20"/>
                <w:szCs w:val="20"/>
                <w:color w:val="auto"/>
                <w:w w:val="89"/>
              </w:rPr>
              <w:t>¥</w:t>
            </w:r>
          </w:p>
        </w:tc>
        <w:tc>
          <w:tcPr>
            <w:tcW w:w="1460" w:type="dxa"/>
            <w:vAlign w:val="bottom"/>
          </w:tcPr>
          <w:p>
            <w:pPr>
              <w:jc w:val="right"/>
              <w:ind w:right="1"/>
              <w:spacing w:after="0"/>
              <w:rPr>
                <w:sz w:val="20"/>
                <w:szCs w:val="20"/>
                <w:color w:val="auto"/>
              </w:rPr>
            </w:pPr>
            <w:r>
              <w:rPr>
                <w:rFonts w:ascii="Arial" w:cs="Arial" w:eastAsia="Arial" w:hAnsi="Arial"/>
                <w:sz w:val="20"/>
                <w:szCs w:val="20"/>
                <w:color w:val="auto"/>
              </w:rPr>
              <w:t>34,750</w:t>
            </w:r>
          </w:p>
        </w:tc>
      </w:tr>
      <w:tr>
        <w:trPr>
          <w:trHeight w:val="284"/>
        </w:trPr>
        <w:tc>
          <w:tcPr>
            <w:tcW w:w="6500" w:type="dxa"/>
            <w:vAlign w:val="bottom"/>
          </w:tcPr>
          <w:p>
            <w:pPr>
              <w:spacing w:after="0"/>
              <w:rPr>
                <w:sz w:val="20"/>
                <w:szCs w:val="20"/>
                <w:color w:val="auto"/>
              </w:rPr>
            </w:pPr>
            <w:r>
              <w:rPr>
                <w:rFonts w:ascii="Arial" w:cs="Arial" w:eastAsia="Arial" w:hAnsi="Arial"/>
                <w:sz w:val="20"/>
                <w:szCs w:val="20"/>
                <w:color w:val="auto"/>
              </w:rPr>
              <w:t>Semi-finished components</w:t>
            </w:r>
          </w:p>
        </w:tc>
        <w:tc>
          <w:tcPr>
            <w:tcW w:w="240" w:type="dxa"/>
            <w:vAlign w:val="bottom"/>
          </w:tcPr>
          <w:p>
            <w:pPr>
              <w:spacing w:after="0"/>
              <w:rPr>
                <w:sz w:val="24"/>
                <w:szCs w:val="24"/>
                <w:color w:val="auto"/>
              </w:rPr>
            </w:pPr>
          </w:p>
        </w:tc>
        <w:tc>
          <w:tcPr>
            <w:tcW w:w="1520" w:type="dxa"/>
            <w:vAlign w:val="bottom"/>
          </w:tcPr>
          <w:p>
            <w:pPr>
              <w:jc w:val="right"/>
              <w:ind w:right="1"/>
              <w:spacing w:after="0"/>
              <w:rPr>
                <w:sz w:val="20"/>
                <w:szCs w:val="20"/>
                <w:color w:val="auto"/>
              </w:rPr>
            </w:pPr>
            <w:r>
              <w:rPr>
                <w:rFonts w:ascii="Arial" w:cs="Arial" w:eastAsia="Arial" w:hAnsi="Arial"/>
                <w:sz w:val="20"/>
                <w:szCs w:val="20"/>
                <w:color w:val="auto"/>
              </w:rPr>
              <w:t>6,867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jc w:val="right"/>
              <w:ind w:right="1"/>
              <w:spacing w:after="0"/>
              <w:rPr>
                <w:sz w:val="20"/>
                <w:szCs w:val="20"/>
                <w:color w:val="auto"/>
              </w:rPr>
            </w:pPr>
            <w:r>
              <w:rPr>
                <w:rFonts w:ascii="Arial" w:cs="Arial" w:eastAsia="Arial" w:hAnsi="Arial"/>
                <w:sz w:val="20"/>
                <w:szCs w:val="20"/>
                <w:color w:val="auto"/>
              </w:rPr>
              <w:t>20,221</w:t>
            </w:r>
          </w:p>
        </w:tc>
      </w:tr>
      <w:tr>
        <w:trPr>
          <w:trHeight w:val="284"/>
        </w:trPr>
        <w:tc>
          <w:tcPr>
            <w:tcW w:w="6500" w:type="dxa"/>
            <w:vAlign w:val="bottom"/>
          </w:tcPr>
          <w:p>
            <w:pPr>
              <w:spacing w:after="0"/>
              <w:rPr>
                <w:sz w:val="20"/>
                <w:szCs w:val="20"/>
                <w:color w:val="auto"/>
              </w:rPr>
            </w:pPr>
            <w:r>
              <w:rPr>
                <w:rFonts w:ascii="Arial" w:cs="Arial" w:eastAsia="Arial" w:hAnsi="Arial"/>
                <w:sz w:val="20"/>
                <w:szCs w:val="20"/>
                <w:color w:val="auto"/>
              </w:rPr>
              <w:t>Raw materials</w:t>
            </w:r>
          </w:p>
        </w:tc>
        <w:tc>
          <w:tcPr>
            <w:tcW w:w="240" w:type="dxa"/>
            <w:vAlign w:val="bottom"/>
          </w:tcPr>
          <w:p>
            <w:pPr>
              <w:spacing w:after="0"/>
              <w:rPr>
                <w:sz w:val="24"/>
                <w:szCs w:val="24"/>
                <w:color w:val="auto"/>
              </w:rPr>
            </w:pPr>
          </w:p>
        </w:tc>
        <w:tc>
          <w:tcPr>
            <w:tcW w:w="1520" w:type="dxa"/>
            <w:vAlign w:val="bottom"/>
          </w:tcPr>
          <w:p>
            <w:pPr>
              <w:jc w:val="right"/>
              <w:ind w:right="1"/>
              <w:spacing w:after="0"/>
              <w:rPr>
                <w:sz w:val="20"/>
                <w:szCs w:val="20"/>
                <w:color w:val="auto"/>
              </w:rPr>
            </w:pPr>
            <w:r>
              <w:rPr>
                <w:rFonts w:ascii="Arial" w:cs="Arial" w:eastAsia="Arial" w:hAnsi="Arial"/>
                <w:sz w:val="20"/>
                <w:szCs w:val="20"/>
                <w:color w:val="auto"/>
              </w:rPr>
              <w:t>1,812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jc w:val="right"/>
              <w:ind w:right="1"/>
              <w:spacing w:after="0"/>
              <w:rPr>
                <w:sz w:val="20"/>
                <w:szCs w:val="20"/>
                <w:color w:val="auto"/>
              </w:rPr>
            </w:pPr>
            <w:r>
              <w:rPr>
                <w:rFonts w:ascii="Arial" w:cs="Arial" w:eastAsia="Arial" w:hAnsi="Arial"/>
                <w:sz w:val="20"/>
                <w:szCs w:val="20"/>
                <w:color w:val="auto"/>
              </w:rPr>
              <w:t>1,752</w:t>
            </w:r>
          </w:p>
        </w:tc>
      </w:tr>
      <w:tr>
        <w:trPr>
          <w:trHeight w:val="284"/>
        </w:trPr>
        <w:tc>
          <w:tcPr>
            <w:tcW w:w="6500" w:type="dxa"/>
            <w:vAlign w:val="bottom"/>
          </w:tcPr>
          <w:p>
            <w:pPr>
              <w:spacing w:after="0"/>
              <w:rPr>
                <w:sz w:val="20"/>
                <w:szCs w:val="20"/>
                <w:color w:val="auto"/>
              </w:rPr>
            </w:pPr>
            <w:r>
              <w:rPr>
                <w:rFonts w:ascii="Arial" w:cs="Arial" w:eastAsia="Arial" w:hAnsi="Arial"/>
                <w:sz w:val="20"/>
                <w:szCs w:val="20"/>
                <w:color w:val="auto"/>
              </w:rPr>
              <w:t>Work in process</w:t>
            </w:r>
          </w:p>
        </w:tc>
        <w:tc>
          <w:tcPr>
            <w:tcW w:w="240" w:type="dxa"/>
            <w:vAlign w:val="bottom"/>
          </w:tcPr>
          <w:p>
            <w:pPr>
              <w:spacing w:after="0"/>
              <w:rPr>
                <w:sz w:val="24"/>
                <w:szCs w:val="24"/>
                <w:color w:val="auto"/>
              </w:rPr>
            </w:pPr>
          </w:p>
        </w:tc>
        <w:tc>
          <w:tcPr>
            <w:tcW w:w="1520" w:type="dxa"/>
            <w:vAlign w:val="bottom"/>
          </w:tcPr>
          <w:p>
            <w:pPr>
              <w:jc w:val="right"/>
              <w:ind w:right="1"/>
              <w:spacing w:after="0"/>
              <w:rPr>
                <w:sz w:val="20"/>
                <w:szCs w:val="20"/>
                <w:color w:val="auto"/>
              </w:rPr>
            </w:pPr>
            <w:r>
              <w:rPr>
                <w:rFonts w:ascii="Arial" w:cs="Arial" w:eastAsia="Arial" w:hAnsi="Arial"/>
                <w:sz w:val="20"/>
                <w:szCs w:val="20"/>
                <w:color w:val="auto"/>
              </w:rPr>
              <w:t>20,864</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jc w:val="right"/>
              <w:ind w:right="1"/>
              <w:spacing w:after="0"/>
              <w:rPr>
                <w:sz w:val="20"/>
                <w:szCs w:val="20"/>
                <w:color w:val="auto"/>
              </w:rPr>
            </w:pPr>
            <w:r>
              <w:rPr>
                <w:rFonts w:ascii="Arial" w:cs="Arial" w:eastAsia="Arial" w:hAnsi="Arial"/>
                <w:sz w:val="20"/>
                <w:szCs w:val="20"/>
                <w:color w:val="auto"/>
              </w:rPr>
              <w:t>21,114</w:t>
            </w:r>
          </w:p>
        </w:tc>
      </w:tr>
      <w:tr>
        <w:trPr>
          <w:trHeight w:val="284"/>
        </w:trPr>
        <w:tc>
          <w:tcPr>
            <w:tcW w:w="6500" w:type="dxa"/>
            <w:vAlign w:val="bottom"/>
          </w:tcPr>
          <w:p>
            <w:pPr>
              <w:spacing w:after="0"/>
              <w:rPr>
                <w:sz w:val="20"/>
                <w:szCs w:val="20"/>
                <w:color w:val="auto"/>
              </w:rPr>
            </w:pPr>
            <w:r>
              <w:rPr>
                <w:rFonts w:ascii="Arial" w:cs="Arial" w:eastAsia="Arial" w:hAnsi="Arial"/>
                <w:sz w:val="20"/>
                <w:szCs w:val="20"/>
                <w:color w:val="auto"/>
              </w:rPr>
              <w:t>Supplies</w:t>
            </w:r>
          </w:p>
        </w:tc>
        <w:tc>
          <w:tcPr>
            <w:tcW w:w="240" w:type="dxa"/>
            <w:vAlign w:val="bottom"/>
          </w:tcPr>
          <w:p>
            <w:pPr>
              <w:spacing w:after="0"/>
              <w:rPr>
                <w:sz w:val="24"/>
                <w:szCs w:val="24"/>
                <w:color w:val="auto"/>
              </w:rPr>
            </w:pPr>
          </w:p>
        </w:tc>
        <w:tc>
          <w:tcPr>
            <w:tcW w:w="1520" w:type="dxa"/>
            <w:vAlign w:val="bottom"/>
          </w:tcPr>
          <w:p>
            <w:pPr>
              <w:jc w:val="right"/>
              <w:ind w:right="1"/>
              <w:spacing w:after="0"/>
              <w:rPr>
                <w:sz w:val="20"/>
                <w:szCs w:val="20"/>
                <w:color w:val="auto"/>
              </w:rPr>
            </w:pPr>
            <w:r>
              <w:rPr>
                <w:rFonts w:ascii="Arial" w:cs="Arial" w:eastAsia="Arial" w:hAnsi="Arial"/>
                <w:sz w:val="20"/>
                <w:szCs w:val="20"/>
                <w:color w:val="auto"/>
              </w:rPr>
              <w:t>3,238</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jc w:val="right"/>
              <w:ind w:right="1"/>
              <w:spacing w:after="0"/>
              <w:rPr>
                <w:sz w:val="20"/>
                <w:szCs w:val="20"/>
                <w:color w:val="auto"/>
              </w:rPr>
            </w:pPr>
            <w:r>
              <w:rPr>
                <w:rFonts w:ascii="Arial" w:cs="Arial" w:eastAsia="Arial" w:hAnsi="Arial"/>
                <w:sz w:val="20"/>
                <w:szCs w:val="20"/>
                <w:color w:val="auto"/>
              </w:rPr>
              <w:t>3,216</w:t>
            </w:r>
          </w:p>
        </w:tc>
      </w:tr>
      <w:tr>
        <w:trPr>
          <w:trHeight w:val="23"/>
        </w:trPr>
        <w:tc>
          <w:tcPr>
            <w:tcW w:w="65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4"/>
        </w:trPr>
        <w:tc>
          <w:tcPr>
            <w:tcW w:w="6500" w:type="dxa"/>
            <w:vAlign w:val="bottom"/>
          </w:tcPr>
          <w:p>
            <w:pPr>
              <w:spacing w:after="0"/>
              <w:rPr>
                <w:sz w:val="22"/>
                <w:szCs w:val="22"/>
                <w:color w:val="auto"/>
              </w:rPr>
            </w:pPr>
          </w:p>
        </w:tc>
        <w:tc>
          <w:tcPr>
            <w:tcW w:w="2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1520" w:type="dxa"/>
            <w:vAlign w:val="bottom"/>
          </w:tcPr>
          <w:p>
            <w:pPr>
              <w:jc w:val="right"/>
              <w:ind w:right="1"/>
              <w:spacing w:after="0"/>
              <w:rPr>
                <w:sz w:val="20"/>
                <w:szCs w:val="20"/>
                <w:color w:val="auto"/>
              </w:rPr>
            </w:pPr>
            <w:r>
              <w:rPr>
                <w:rFonts w:ascii="Arial" w:cs="Arial" w:eastAsia="Arial" w:hAnsi="Arial"/>
                <w:sz w:val="20"/>
                <w:szCs w:val="20"/>
                <w:color w:val="auto"/>
              </w:rPr>
              <w:t>66,487</w:t>
            </w:r>
          </w:p>
        </w:tc>
        <w:tc>
          <w:tcPr>
            <w:tcW w:w="100" w:type="dxa"/>
            <w:vAlign w:val="bottom"/>
          </w:tcPr>
          <w:p>
            <w:pPr>
              <w:spacing w:after="0"/>
              <w:rPr>
                <w:sz w:val="22"/>
                <w:szCs w:val="22"/>
                <w:color w:val="auto"/>
              </w:rPr>
            </w:pPr>
          </w:p>
        </w:tc>
        <w:tc>
          <w:tcPr>
            <w:tcW w:w="280" w:type="dxa"/>
            <w:vAlign w:val="bottom"/>
          </w:tcPr>
          <w:p>
            <w:pPr>
              <w:jc w:val="right"/>
              <w:ind w:right="61"/>
              <w:spacing w:after="0"/>
              <w:rPr>
                <w:sz w:val="20"/>
                <w:szCs w:val="20"/>
                <w:color w:val="auto"/>
              </w:rPr>
            </w:pPr>
            <w:r>
              <w:rPr>
                <w:rFonts w:ascii="Arial" w:cs="Arial" w:eastAsia="Arial" w:hAnsi="Arial"/>
                <w:sz w:val="20"/>
                <w:szCs w:val="20"/>
                <w:color w:val="auto"/>
                <w:w w:val="89"/>
              </w:rPr>
              <w:t>¥</w:t>
            </w:r>
          </w:p>
        </w:tc>
        <w:tc>
          <w:tcPr>
            <w:tcW w:w="1460" w:type="dxa"/>
            <w:vAlign w:val="bottom"/>
          </w:tcPr>
          <w:p>
            <w:pPr>
              <w:jc w:val="right"/>
              <w:ind w:right="1"/>
              <w:spacing w:after="0"/>
              <w:rPr>
                <w:sz w:val="20"/>
                <w:szCs w:val="20"/>
                <w:color w:val="auto"/>
              </w:rPr>
            </w:pPr>
            <w:r>
              <w:rPr>
                <w:rFonts w:ascii="Arial" w:cs="Arial" w:eastAsia="Arial" w:hAnsi="Arial"/>
                <w:sz w:val="20"/>
                <w:szCs w:val="20"/>
                <w:color w:val="auto"/>
              </w:rPr>
              <w:t>81,053</w:t>
            </w:r>
          </w:p>
        </w:tc>
      </w:tr>
      <w:tr>
        <w:trPr>
          <w:trHeight w:val="23"/>
        </w:trPr>
        <w:tc>
          <w:tcPr>
            <w:tcW w:w="65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
        </w:trPr>
        <w:tc>
          <w:tcPr>
            <w:tcW w:w="6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left="340" w:hanging="338"/>
        <w:spacing w:after="0"/>
        <w:tabs>
          <w:tab w:leader="none" w:pos="340" w:val="left"/>
        </w:tabs>
        <w:numPr>
          <w:ilvl w:val="0"/>
          <w:numId w:val="17"/>
        </w:numPr>
        <w:rPr>
          <w:rFonts w:ascii="Arial" w:cs="Arial" w:eastAsia="Arial" w:hAnsi="Arial"/>
          <w:sz w:val="20"/>
          <w:szCs w:val="20"/>
          <w:b w:val="1"/>
          <w:bCs w:val="1"/>
          <w:color w:val="auto"/>
        </w:rPr>
      </w:pPr>
      <w:r>
        <w:rPr>
          <w:rFonts w:ascii="Arial" w:cs="Arial" w:eastAsia="Arial" w:hAnsi="Arial"/>
          <w:sz w:val="20"/>
          <w:szCs w:val="20"/>
          <w:b w:val="1"/>
          <w:bCs w:val="1"/>
          <w:color w:val="auto"/>
        </w:rPr>
        <w:t>Pledged Assets</w:t>
      </w:r>
    </w:p>
    <w:p>
      <w:pPr>
        <w:spacing w:after="0" w:line="113" w:lineRule="exact"/>
        <w:rPr>
          <w:rFonts w:ascii="Arial" w:cs="Arial" w:eastAsia="Arial" w:hAnsi="Arial"/>
          <w:sz w:val="20"/>
          <w:szCs w:val="20"/>
          <w:b w:val="1"/>
          <w:bCs w:val="1"/>
          <w:color w:val="auto"/>
        </w:rPr>
      </w:pPr>
    </w:p>
    <w:p>
      <w:pPr>
        <w:ind w:left="320"/>
        <w:spacing w:after="0"/>
        <w:rPr>
          <w:rFonts w:ascii="Arial" w:cs="Arial" w:eastAsia="Arial" w:hAnsi="Arial"/>
          <w:sz w:val="20"/>
          <w:szCs w:val="20"/>
          <w:b w:val="1"/>
          <w:bCs w:val="1"/>
          <w:color w:val="auto"/>
        </w:rPr>
      </w:pPr>
      <w:r>
        <w:rPr>
          <w:rFonts w:ascii="Arial" w:cs="Arial" w:eastAsia="Arial" w:hAnsi="Arial"/>
          <w:sz w:val="20"/>
          <w:szCs w:val="20"/>
          <w:color w:val="auto"/>
        </w:rPr>
        <w:t>Assets pledged as collateral for guarantees for liabilities at February 28, 2013 and March 31, 2012 were as follows:</w:t>
      </w:r>
    </w:p>
    <w:p>
      <w:pPr>
        <w:spacing w:after="0" w:line="290"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gridSpan w:val="2"/>
          </w:tcPr>
          <w:p>
            <w:pPr>
              <w:ind w:left="100"/>
              <w:spacing w:after="0"/>
              <w:rPr>
                <w:sz w:val="20"/>
                <w:szCs w:val="20"/>
                <w:color w:val="auto"/>
              </w:rPr>
            </w:pPr>
            <w:r>
              <w:rPr>
                <w:rFonts w:ascii="Arial" w:cs="Arial" w:eastAsia="Arial" w:hAnsi="Arial"/>
                <w:sz w:val="20"/>
                <w:szCs w:val="20"/>
                <w:b w:val="1"/>
                <w:bCs w:val="1"/>
                <w:color w:val="auto"/>
              </w:rPr>
              <w:t>February 28,</w:t>
            </w:r>
          </w:p>
        </w:tc>
        <w:tc>
          <w:tcPr>
            <w:tcW w:w="280" w:type="dxa"/>
            <w:vAlign w:val="bottom"/>
          </w:tcPr>
          <w:p>
            <w:pPr>
              <w:spacing w:after="0"/>
              <w:rPr>
                <w:sz w:val="19"/>
                <w:szCs w:val="19"/>
                <w:color w:val="auto"/>
              </w:rPr>
            </w:pPr>
          </w:p>
        </w:tc>
        <w:tc>
          <w:tcPr>
            <w:tcW w:w="1460" w:type="dxa"/>
            <w:vAlign w:val="bottom"/>
          </w:tcPr>
          <w:p>
            <w:pPr>
              <w:jc w:val="right"/>
              <w:ind w:right="341"/>
              <w:spacing w:after="0"/>
              <w:rPr>
                <w:sz w:val="20"/>
                <w:szCs w:val="20"/>
                <w:color w:val="auto"/>
              </w:rPr>
            </w:pPr>
            <w:r>
              <w:rPr>
                <w:rFonts w:ascii="Arial" w:cs="Arial" w:eastAsia="Arial" w:hAnsi="Arial"/>
                <w:sz w:val="20"/>
                <w:szCs w:val="20"/>
                <w:b w:val="1"/>
                <w:bCs w:val="1"/>
                <w:color w:val="auto"/>
              </w:rPr>
              <w:t>March 31,</w:t>
            </w:r>
          </w:p>
        </w:tc>
      </w:tr>
      <w:tr>
        <w:trPr>
          <w:trHeight w:val="256"/>
        </w:trPr>
        <w:tc>
          <w:tcPr>
            <w:tcW w:w="6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20" w:type="dxa"/>
            <w:vAlign w:val="bottom"/>
          </w:tcPr>
          <w:p>
            <w:pPr>
              <w:jc w:val="right"/>
              <w:ind w:right="561"/>
              <w:spacing w:after="0"/>
              <w:rPr>
                <w:sz w:val="20"/>
                <w:szCs w:val="20"/>
                <w:color w:val="auto"/>
              </w:rPr>
            </w:pPr>
            <w:r>
              <w:rPr>
                <w:rFonts w:ascii="Arial" w:cs="Arial" w:eastAsia="Arial" w:hAnsi="Arial"/>
                <w:sz w:val="20"/>
                <w:szCs w:val="20"/>
                <w:b w:val="1"/>
                <w:bCs w:val="1"/>
                <w:color w:val="auto"/>
              </w:rPr>
              <w:t>2013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60" w:type="dxa"/>
            <w:vAlign w:val="bottom"/>
          </w:tcPr>
          <w:p>
            <w:pPr>
              <w:jc w:val="right"/>
              <w:ind w:right="581"/>
              <w:spacing w:after="0"/>
              <w:rPr>
                <w:sz w:val="20"/>
                <w:szCs w:val="20"/>
                <w:color w:val="auto"/>
              </w:rPr>
            </w:pPr>
            <w:r>
              <w:rPr>
                <w:rFonts w:ascii="Arial" w:cs="Arial" w:eastAsia="Arial" w:hAnsi="Arial"/>
                <w:sz w:val="20"/>
                <w:szCs w:val="20"/>
                <w:b w:val="1"/>
                <w:bCs w:val="1"/>
                <w:color w:val="auto"/>
              </w:rPr>
              <w:t>2012</w:t>
            </w:r>
          </w:p>
        </w:tc>
      </w:tr>
      <w:tr>
        <w:trPr>
          <w:trHeight w:val="23"/>
        </w:trPr>
        <w:tc>
          <w:tcPr>
            <w:tcW w:w="64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4"/>
        </w:trPr>
        <w:tc>
          <w:tcPr>
            <w:tcW w:w="6480" w:type="dxa"/>
            <w:vAlign w:val="bottom"/>
          </w:tcPr>
          <w:p>
            <w:pPr>
              <w:spacing w:after="0"/>
              <w:rPr>
                <w:sz w:val="20"/>
                <w:szCs w:val="20"/>
                <w:color w:val="auto"/>
              </w:rPr>
            </w:pPr>
            <w:r>
              <w:rPr>
                <w:rFonts w:ascii="Arial" w:cs="Arial" w:eastAsia="Arial" w:hAnsi="Arial"/>
                <w:sz w:val="20"/>
                <w:szCs w:val="20"/>
                <w:color w:val="auto"/>
              </w:rPr>
              <w:t>Accounts receivable, trade</w:t>
            </w:r>
          </w:p>
        </w:tc>
        <w:tc>
          <w:tcPr>
            <w:tcW w:w="220" w:type="dxa"/>
            <w:vAlign w:val="bottom"/>
          </w:tcPr>
          <w:p>
            <w:pPr>
              <w:jc w:val="right"/>
              <w:ind w:right="1"/>
              <w:spacing w:after="0"/>
              <w:rPr>
                <w:sz w:val="20"/>
                <w:szCs w:val="20"/>
                <w:color w:val="auto"/>
              </w:rPr>
            </w:pPr>
            <w:r>
              <w:rPr>
                <w:rFonts w:ascii="Arial" w:cs="Arial" w:eastAsia="Arial" w:hAnsi="Arial"/>
                <w:sz w:val="20"/>
                <w:szCs w:val="20"/>
                <w:color w:val="auto"/>
                <w:w w:val="89"/>
              </w:rPr>
              <w:t>¥</w:t>
            </w:r>
          </w:p>
        </w:tc>
        <w:tc>
          <w:tcPr>
            <w:tcW w:w="1520" w:type="dxa"/>
            <w:vAlign w:val="bottom"/>
          </w:tcPr>
          <w:p>
            <w:pPr>
              <w:jc w:val="right"/>
              <w:ind w:right="1"/>
              <w:spacing w:after="0"/>
              <w:rPr>
                <w:sz w:val="20"/>
                <w:szCs w:val="20"/>
                <w:color w:val="auto"/>
              </w:rPr>
            </w:pPr>
            <w:r>
              <w:rPr>
                <w:rFonts w:ascii="Arial" w:cs="Arial" w:eastAsia="Arial" w:hAnsi="Arial"/>
                <w:sz w:val="20"/>
                <w:szCs w:val="20"/>
                <w:color w:val="auto"/>
              </w:rPr>
              <w:t>54,002</w:t>
            </w:r>
          </w:p>
        </w:tc>
        <w:tc>
          <w:tcPr>
            <w:tcW w:w="120" w:type="dxa"/>
            <w:vAlign w:val="bottom"/>
          </w:tcPr>
          <w:p>
            <w:pPr>
              <w:spacing w:after="0"/>
              <w:rPr>
                <w:sz w:val="22"/>
                <w:szCs w:val="22"/>
                <w:color w:val="auto"/>
              </w:rPr>
            </w:pPr>
          </w:p>
        </w:tc>
        <w:tc>
          <w:tcPr>
            <w:tcW w:w="280" w:type="dxa"/>
            <w:vAlign w:val="bottom"/>
          </w:tcPr>
          <w:p>
            <w:pPr>
              <w:jc w:val="right"/>
              <w:ind w:right="61"/>
              <w:spacing w:after="0"/>
              <w:rPr>
                <w:sz w:val="20"/>
                <w:szCs w:val="20"/>
                <w:color w:val="auto"/>
              </w:rPr>
            </w:pPr>
            <w:r>
              <w:rPr>
                <w:rFonts w:ascii="Arial" w:cs="Arial" w:eastAsia="Arial" w:hAnsi="Arial"/>
                <w:sz w:val="20"/>
                <w:szCs w:val="20"/>
                <w:color w:val="auto"/>
                <w:w w:val="89"/>
              </w:rPr>
              <w:t>¥</w:t>
            </w:r>
          </w:p>
        </w:tc>
        <w:tc>
          <w:tcPr>
            <w:tcW w:w="1460" w:type="dxa"/>
            <w:vAlign w:val="bottom"/>
          </w:tcPr>
          <w:p>
            <w:pPr>
              <w:jc w:val="right"/>
              <w:ind w:right="1"/>
              <w:spacing w:after="0"/>
              <w:rPr>
                <w:sz w:val="20"/>
                <w:szCs w:val="20"/>
                <w:color w:val="auto"/>
              </w:rPr>
            </w:pPr>
            <w:r>
              <w:rPr>
                <w:rFonts w:ascii="Arial" w:cs="Arial" w:eastAsia="Arial" w:hAnsi="Arial"/>
                <w:sz w:val="20"/>
                <w:szCs w:val="20"/>
                <w:color w:val="auto"/>
              </w:rPr>
              <w:t>—</w:t>
            </w:r>
          </w:p>
        </w:tc>
      </w:tr>
      <w:tr>
        <w:trPr>
          <w:trHeight w:val="284"/>
        </w:trPr>
        <w:tc>
          <w:tcPr>
            <w:tcW w:w="6480" w:type="dxa"/>
            <w:vAlign w:val="bottom"/>
          </w:tcPr>
          <w:p>
            <w:pPr>
              <w:spacing w:after="0"/>
              <w:rPr>
                <w:sz w:val="20"/>
                <w:szCs w:val="20"/>
                <w:color w:val="auto"/>
              </w:rPr>
            </w:pPr>
            <w:r>
              <w:rPr>
                <w:rFonts w:ascii="Arial" w:cs="Arial" w:eastAsia="Arial" w:hAnsi="Arial"/>
                <w:sz w:val="20"/>
                <w:szCs w:val="20"/>
                <w:color w:val="auto"/>
              </w:rPr>
              <w:t>Inventories</w:t>
            </w:r>
          </w:p>
        </w:tc>
        <w:tc>
          <w:tcPr>
            <w:tcW w:w="220" w:type="dxa"/>
            <w:vAlign w:val="bottom"/>
          </w:tcPr>
          <w:p>
            <w:pPr>
              <w:spacing w:after="0"/>
              <w:rPr>
                <w:sz w:val="24"/>
                <w:szCs w:val="24"/>
                <w:color w:val="auto"/>
              </w:rPr>
            </w:pPr>
          </w:p>
        </w:tc>
        <w:tc>
          <w:tcPr>
            <w:tcW w:w="1520" w:type="dxa"/>
            <w:vAlign w:val="bottom"/>
          </w:tcPr>
          <w:p>
            <w:pPr>
              <w:jc w:val="right"/>
              <w:ind w:right="1"/>
              <w:spacing w:after="0"/>
              <w:rPr>
                <w:sz w:val="20"/>
                <w:szCs w:val="20"/>
                <w:color w:val="auto"/>
              </w:rPr>
            </w:pPr>
            <w:r>
              <w:rPr>
                <w:rFonts w:ascii="Arial" w:cs="Arial" w:eastAsia="Arial" w:hAnsi="Arial"/>
                <w:sz w:val="20"/>
                <w:szCs w:val="20"/>
                <w:color w:val="auto"/>
              </w:rPr>
              <w:t>454</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jc w:val="right"/>
              <w:ind w:right="1"/>
              <w:spacing w:after="0"/>
              <w:rPr>
                <w:sz w:val="20"/>
                <w:szCs w:val="20"/>
                <w:color w:val="auto"/>
              </w:rPr>
            </w:pPr>
            <w:r>
              <w:rPr>
                <w:rFonts w:ascii="Arial" w:cs="Arial" w:eastAsia="Arial" w:hAnsi="Arial"/>
                <w:sz w:val="20"/>
                <w:szCs w:val="20"/>
                <w:color w:val="auto"/>
              </w:rPr>
              <w:t>—</w:t>
            </w:r>
          </w:p>
        </w:tc>
      </w:tr>
      <w:tr>
        <w:trPr>
          <w:trHeight w:val="284"/>
        </w:trPr>
        <w:tc>
          <w:tcPr>
            <w:tcW w:w="6480" w:type="dxa"/>
            <w:vAlign w:val="bottom"/>
          </w:tcPr>
          <w:p>
            <w:pPr>
              <w:spacing w:after="0"/>
              <w:rPr>
                <w:sz w:val="20"/>
                <w:szCs w:val="20"/>
                <w:color w:val="auto"/>
              </w:rPr>
            </w:pPr>
            <w:r>
              <w:rPr>
                <w:rFonts w:ascii="Arial" w:cs="Arial" w:eastAsia="Arial" w:hAnsi="Arial"/>
                <w:sz w:val="20"/>
                <w:szCs w:val="20"/>
                <w:color w:val="auto"/>
              </w:rPr>
              <w:t>Buildings and structures</w:t>
            </w:r>
          </w:p>
        </w:tc>
        <w:tc>
          <w:tcPr>
            <w:tcW w:w="220" w:type="dxa"/>
            <w:vAlign w:val="bottom"/>
          </w:tcPr>
          <w:p>
            <w:pPr>
              <w:spacing w:after="0"/>
              <w:rPr>
                <w:sz w:val="24"/>
                <w:szCs w:val="24"/>
                <w:color w:val="auto"/>
              </w:rPr>
            </w:pPr>
          </w:p>
        </w:tc>
        <w:tc>
          <w:tcPr>
            <w:tcW w:w="1520" w:type="dxa"/>
            <w:vAlign w:val="bottom"/>
          </w:tcPr>
          <w:p>
            <w:pPr>
              <w:jc w:val="right"/>
              <w:ind w:right="1"/>
              <w:spacing w:after="0"/>
              <w:rPr>
                <w:sz w:val="20"/>
                <w:szCs w:val="20"/>
                <w:color w:val="auto"/>
              </w:rPr>
            </w:pPr>
            <w:r>
              <w:rPr>
                <w:rFonts w:ascii="Arial" w:cs="Arial" w:eastAsia="Arial" w:hAnsi="Arial"/>
                <w:sz w:val="20"/>
                <w:szCs w:val="20"/>
                <w:color w:val="auto"/>
              </w:rPr>
              <w:t>7,052</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jc w:val="right"/>
              <w:ind w:right="1"/>
              <w:spacing w:after="0"/>
              <w:rPr>
                <w:sz w:val="20"/>
                <w:szCs w:val="20"/>
                <w:color w:val="auto"/>
              </w:rPr>
            </w:pPr>
            <w:r>
              <w:rPr>
                <w:rFonts w:ascii="Arial" w:cs="Arial" w:eastAsia="Arial" w:hAnsi="Arial"/>
                <w:sz w:val="20"/>
                <w:szCs w:val="20"/>
                <w:color w:val="auto"/>
              </w:rPr>
              <w:t>22,116</w:t>
            </w:r>
          </w:p>
        </w:tc>
      </w:tr>
      <w:tr>
        <w:trPr>
          <w:trHeight w:val="284"/>
        </w:trPr>
        <w:tc>
          <w:tcPr>
            <w:tcW w:w="6480" w:type="dxa"/>
            <w:vAlign w:val="bottom"/>
          </w:tcPr>
          <w:p>
            <w:pPr>
              <w:spacing w:after="0"/>
              <w:rPr>
                <w:sz w:val="20"/>
                <w:szCs w:val="20"/>
                <w:color w:val="auto"/>
              </w:rPr>
            </w:pPr>
            <w:r>
              <w:rPr>
                <w:rFonts w:ascii="Arial" w:cs="Arial" w:eastAsia="Arial" w:hAnsi="Arial"/>
                <w:sz w:val="20"/>
                <w:szCs w:val="20"/>
                <w:color w:val="auto"/>
              </w:rPr>
              <w:t>Machinery and equipment</w:t>
            </w:r>
          </w:p>
        </w:tc>
        <w:tc>
          <w:tcPr>
            <w:tcW w:w="220" w:type="dxa"/>
            <w:vAlign w:val="bottom"/>
          </w:tcPr>
          <w:p>
            <w:pPr>
              <w:spacing w:after="0"/>
              <w:rPr>
                <w:sz w:val="24"/>
                <w:szCs w:val="24"/>
                <w:color w:val="auto"/>
              </w:rPr>
            </w:pPr>
          </w:p>
        </w:tc>
        <w:tc>
          <w:tcPr>
            <w:tcW w:w="1520" w:type="dxa"/>
            <w:vAlign w:val="bottom"/>
          </w:tcPr>
          <w:p>
            <w:pPr>
              <w:jc w:val="right"/>
              <w:ind w:right="1"/>
              <w:spacing w:after="0"/>
              <w:rPr>
                <w:sz w:val="20"/>
                <w:szCs w:val="20"/>
                <w:color w:val="auto"/>
              </w:rPr>
            </w:pPr>
            <w:r>
              <w:rPr>
                <w:rFonts w:ascii="Arial" w:cs="Arial" w:eastAsia="Arial" w:hAnsi="Arial"/>
                <w:sz w:val="20"/>
                <w:szCs w:val="20"/>
                <w:color w:val="auto"/>
              </w:rPr>
              <w:t>128,439</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jc w:val="right"/>
              <w:ind w:right="1"/>
              <w:spacing w:after="0"/>
              <w:rPr>
                <w:sz w:val="20"/>
                <w:szCs w:val="20"/>
                <w:color w:val="auto"/>
              </w:rPr>
            </w:pPr>
            <w:r>
              <w:rPr>
                <w:rFonts w:ascii="Arial" w:cs="Arial" w:eastAsia="Arial" w:hAnsi="Arial"/>
                <w:sz w:val="20"/>
                <w:szCs w:val="20"/>
                <w:color w:val="auto"/>
              </w:rPr>
              <w:t>149,661</w:t>
            </w:r>
          </w:p>
        </w:tc>
      </w:tr>
      <w:tr>
        <w:trPr>
          <w:trHeight w:val="284"/>
        </w:trPr>
        <w:tc>
          <w:tcPr>
            <w:tcW w:w="6480" w:type="dxa"/>
            <w:vAlign w:val="bottom"/>
          </w:tcPr>
          <w:p>
            <w:pPr>
              <w:spacing w:after="0"/>
              <w:rPr>
                <w:sz w:val="20"/>
                <w:szCs w:val="20"/>
                <w:color w:val="auto"/>
              </w:rPr>
            </w:pPr>
            <w:r>
              <w:rPr>
                <w:rFonts w:ascii="Arial" w:cs="Arial" w:eastAsia="Arial" w:hAnsi="Arial"/>
                <w:sz w:val="20"/>
                <w:szCs w:val="20"/>
                <w:color w:val="auto"/>
              </w:rPr>
              <w:t>Land</w:t>
            </w:r>
          </w:p>
        </w:tc>
        <w:tc>
          <w:tcPr>
            <w:tcW w:w="220" w:type="dxa"/>
            <w:vAlign w:val="bottom"/>
          </w:tcPr>
          <w:p>
            <w:pPr>
              <w:spacing w:after="0"/>
              <w:rPr>
                <w:sz w:val="24"/>
                <w:szCs w:val="24"/>
                <w:color w:val="auto"/>
              </w:rPr>
            </w:pPr>
          </w:p>
        </w:tc>
        <w:tc>
          <w:tcPr>
            <w:tcW w:w="1520" w:type="dxa"/>
            <w:vAlign w:val="bottom"/>
          </w:tcPr>
          <w:p>
            <w:pPr>
              <w:jc w:val="right"/>
              <w:ind w:right="1"/>
              <w:spacing w:after="0"/>
              <w:rPr>
                <w:sz w:val="20"/>
                <w:szCs w:val="20"/>
                <w:color w:val="auto"/>
              </w:rPr>
            </w:pPr>
            <w:r>
              <w:rPr>
                <w:rFonts w:ascii="Arial" w:cs="Arial" w:eastAsia="Arial" w:hAnsi="Arial"/>
                <w:sz w:val="20"/>
                <w:szCs w:val="20"/>
                <w:color w:val="auto"/>
              </w:rPr>
              <w:t>465</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jc w:val="right"/>
              <w:ind w:right="1"/>
              <w:spacing w:after="0"/>
              <w:rPr>
                <w:sz w:val="20"/>
                <w:szCs w:val="20"/>
                <w:color w:val="auto"/>
              </w:rPr>
            </w:pPr>
            <w:r>
              <w:rPr>
                <w:rFonts w:ascii="Arial" w:cs="Arial" w:eastAsia="Arial" w:hAnsi="Arial"/>
                <w:sz w:val="20"/>
                <w:szCs w:val="20"/>
                <w:color w:val="auto"/>
              </w:rPr>
              <w:t>465</w:t>
            </w:r>
          </w:p>
        </w:tc>
      </w:tr>
      <w:tr>
        <w:trPr>
          <w:trHeight w:val="284"/>
        </w:trPr>
        <w:tc>
          <w:tcPr>
            <w:tcW w:w="6480" w:type="dxa"/>
            <w:vAlign w:val="bottom"/>
          </w:tcPr>
          <w:p>
            <w:pPr>
              <w:spacing w:after="0"/>
              <w:rPr>
                <w:sz w:val="20"/>
                <w:szCs w:val="20"/>
                <w:color w:val="auto"/>
              </w:rPr>
            </w:pPr>
            <w:r>
              <w:rPr>
                <w:rFonts w:ascii="Arial" w:cs="Arial" w:eastAsia="Arial" w:hAnsi="Arial"/>
                <w:sz w:val="20"/>
                <w:szCs w:val="20"/>
                <w:color w:val="auto"/>
              </w:rPr>
              <w:t>Investment in subsidiaries</w:t>
            </w:r>
          </w:p>
        </w:tc>
        <w:tc>
          <w:tcPr>
            <w:tcW w:w="220" w:type="dxa"/>
            <w:vAlign w:val="bottom"/>
          </w:tcPr>
          <w:p>
            <w:pPr>
              <w:spacing w:after="0"/>
              <w:rPr>
                <w:sz w:val="24"/>
                <w:szCs w:val="24"/>
                <w:color w:val="auto"/>
              </w:rPr>
            </w:pPr>
          </w:p>
        </w:tc>
        <w:tc>
          <w:tcPr>
            <w:tcW w:w="1520" w:type="dxa"/>
            <w:vAlign w:val="bottom"/>
          </w:tcPr>
          <w:p>
            <w:pPr>
              <w:jc w:val="right"/>
              <w:ind w:right="1"/>
              <w:spacing w:after="0"/>
              <w:rPr>
                <w:sz w:val="20"/>
                <w:szCs w:val="20"/>
                <w:color w:val="auto"/>
              </w:rPr>
            </w:pPr>
            <w:r>
              <w:rPr>
                <w:rFonts w:ascii="Arial" w:cs="Arial" w:eastAsia="Arial" w:hAnsi="Arial"/>
                <w:sz w:val="20"/>
                <w:szCs w:val="20"/>
                <w:color w:val="auto"/>
              </w:rPr>
              <w:t>2,116</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jc w:val="right"/>
              <w:ind w:right="1"/>
              <w:spacing w:after="0"/>
              <w:rPr>
                <w:sz w:val="20"/>
                <w:szCs w:val="20"/>
                <w:color w:val="auto"/>
              </w:rPr>
            </w:pPr>
            <w:r>
              <w:rPr>
                <w:rFonts w:ascii="Arial" w:cs="Arial" w:eastAsia="Arial" w:hAnsi="Arial"/>
                <w:sz w:val="20"/>
                <w:szCs w:val="20"/>
                <w:color w:val="auto"/>
              </w:rPr>
              <w:t>—</w:t>
            </w:r>
          </w:p>
        </w:tc>
      </w:tr>
      <w:tr>
        <w:trPr>
          <w:trHeight w:val="23"/>
        </w:trPr>
        <w:tc>
          <w:tcPr>
            <w:tcW w:w="64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4"/>
        </w:trPr>
        <w:tc>
          <w:tcPr>
            <w:tcW w:w="6480" w:type="dxa"/>
            <w:vAlign w:val="bottom"/>
          </w:tcPr>
          <w:p>
            <w:pPr>
              <w:spacing w:after="0"/>
              <w:rPr>
                <w:sz w:val="22"/>
                <w:szCs w:val="22"/>
                <w:color w:val="auto"/>
              </w:rPr>
            </w:pPr>
          </w:p>
        </w:tc>
        <w:tc>
          <w:tcPr>
            <w:tcW w:w="220" w:type="dxa"/>
            <w:vAlign w:val="bottom"/>
          </w:tcPr>
          <w:p>
            <w:pPr>
              <w:jc w:val="right"/>
              <w:ind w:right="1"/>
              <w:spacing w:after="0"/>
              <w:rPr>
                <w:sz w:val="20"/>
                <w:szCs w:val="20"/>
                <w:color w:val="auto"/>
              </w:rPr>
            </w:pPr>
            <w:r>
              <w:rPr>
                <w:rFonts w:ascii="Arial" w:cs="Arial" w:eastAsia="Arial" w:hAnsi="Arial"/>
                <w:sz w:val="20"/>
                <w:szCs w:val="20"/>
                <w:color w:val="auto"/>
                <w:w w:val="89"/>
              </w:rPr>
              <w:t>¥</w:t>
            </w:r>
          </w:p>
        </w:tc>
        <w:tc>
          <w:tcPr>
            <w:tcW w:w="1520" w:type="dxa"/>
            <w:vAlign w:val="bottom"/>
          </w:tcPr>
          <w:p>
            <w:pPr>
              <w:jc w:val="right"/>
              <w:ind w:right="1"/>
              <w:spacing w:after="0"/>
              <w:rPr>
                <w:sz w:val="20"/>
                <w:szCs w:val="20"/>
                <w:color w:val="auto"/>
              </w:rPr>
            </w:pPr>
            <w:r>
              <w:rPr>
                <w:rFonts w:ascii="Arial" w:cs="Arial" w:eastAsia="Arial" w:hAnsi="Arial"/>
                <w:sz w:val="20"/>
                <w:szCs w:val="20"/>
                <w:color w:val="auto"/>
              </w:rPr>
              <w:t>192,528</w:t>
            </w:r>
          </w:p>
        </w:tc>
        <w:tc>
          <w:tcPr>
            <w:tcW w:w="120" w:type="dxa"/>
            <w:vAlign w:val="bottom"/>
          </w:tcPr>
          <w:p>
            <w:pPr>
              <w:spacing w:after="0"/>
              <w:rPr>
                <w:sz w:val="22"/>
                <w:szCs w:val="22"/>
                <w:color w:val="auto"/>
              </w:rPr>
            </w:pPr>
          </w:p>
        </w:tc>
        <w:tc>
          <w:tcPr>
            <w:tcW w:w="280" w:type="dxa"/>
            <w:vAlign w:val="bottom"/>
          </w:tcPr>
          <w:p>
            <w:pPr>
              <w:jc w:val="right"/>
              <w:ind w:right="61"/>
              <w:spacing w:after="0"/>
              <w:rPr>
                <w:sz w:val="20"/>
                <w:szCs w:val="20"/>
                <w:color w:val="auto"/>
              </w:rPr>
            </w:pPr>
            <w:r>
              <w:rPr>
                <w:rFonts w:ascii="Arial" w:cs="Arial" w:eastAsia="Arial" w:hAnsi="Arial"/>
                <w:sz w:val="20"/>
                <w:szCs w:val="20"/>
                <w:color w:val="auto"/>
                <w:w w:val="89"/>
              </w:rPr>
              <w:t>¥</w:t>
            </w:r>
          </w:p>
        </w:tc>
        <w:tc>
          <w:tcPr>
            <w:tcW w:w="1460" w:type="dxa"/>
            <w:vAlign w:val="bottom"/>
          </w:tcPr>
          <w:p>
            <w:pPr>
              <w:jc w:val="right"/>
              <w:ind w:right="1"/>
              <w:spacing w:after="0"/>
              <w:rPr>
                <w:sz w:val="20"/>
                <w:szCs w:val="20"/>
                <w:color w:val="auto"/>
              </w:rPr>
            </w:pPr>
            <w:r>
              <w:rPr>
                <w:rFonts w:ascii="Arial" w:cs="Arial" w:eastAsia="Arial" w:hAnsi="Arial"/>
                <w:sz w:val="20"/>
                <w:szCs w:val="20"/>
                <w:color w:val="auto"/>
              </w:rPr>
              <w:t>172,242</w:t>
            </w:r>
          </w:p>
        </w:tc>
      </w:tr>
      <w:tr>
        <w:trPr>
          <w:trHeight w:val="23"/>
        </w:trPr>
        <w:tc>
          <w:tcPr>
            <w:tcW w:w="64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
        </w:trPr>
        <w:tc>
          <w:tcPr>
            <w:tcW w:w="6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60" w:top="553" w:right="239" w:bottom="1440" w:gutter="0" w:footer="0" w:header="0"/>
        </w:sectPr>
      </w:pPr>
    </w:p>
    <w:bookmarkStart w:id="28" w:name="page29"/>
    <w:bookmarkEnd w:id="28"/>
    <w:p>
      <w:pPr>
        <w:jc w:val="center"/>
        <w:ind w:right="20"/>
        <w:spacing w:after="0"/>
        <w:rPr>
          <w:sz w:val="20"/>
          <w:szCs w:val="20"/>
          <w:color w:val="auto"/>
        </w:rPr>
      </w:pPr>
      <w:r>
        <w:rPr>
          <w:rFonts w:ascii="Arial" w:cs="Arial" w:eastAsia="Arial" w:hAnsi="Arial"/>
          <w:sz w:val="18"/>
          <w:szCs w:val="18"/>
          <w:b w:val="1"/>
          <w:bCs w:val="1"/>
          <w:color w:val="auto"/>
        </w:rPr>
        <w:t>ELPIDA MEMORY,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(DEBTORS-IN-POSSESSION)</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20"/>
        <w:spacing w:after="0" w:line="260" w:lineRule="auto"/>
        <w:rPr>
          <w:sz w:val="20"/>
          <w:szCs w:val="20"/>
          <w:color w:val="auto"/>
        </w:rPr>
      </w:pPr>
      <w:r>
        <w:rPr>
          <w:rFonts w:ascii="Arial" w:cs="Arial" w:eastAsia="Arial" w:hAnsi="Arial"/>
          <w:sz w:val="20"/>
          <w:szCs w:val="20"/>
          <w:color w:val="auto"/>
        </w:rPr>
        <w:t>Accounts receivable, trade and investment in subsidiaries at February 28, 2013 above, were eliminated in the consolidated balance sheet as they represent intercompany balances.</w:t>
      </w:r>
    </w:p>
    <w:p>
      <w:pPr>
        <w:spacing w:after="0" w:line="231" w:lineRule="exact"/>
        <w:rPr>
          <w:sz w:val="20"/>
          <w:szCs w:val="20"/>
          <w:color w:val="auto"/>
        </w:rPr>
      </w:pPr>
    </w:p>
    <w:p>
      <w:pPr>
        <w:ind w:left="320"/>
        <w:spacing w:after="0"/>
        <w:rPr>
          <w:sz w:val="20"/>
          <w:szCs w:val="20"/>
          <w:color w:val="auto"/>
        </w:rPr>
      </w:pPr>
      <w:r>
        <w:rPr>
          <w:rFonts w:ascii="Arial" w:cs="Arial" w:eastAsia="Arial" w:hAnsi="Arial"/>
          <w:sz w:val="20"/>
          <w:szCs w:val="20"/>
          <w:color w:val="auto"/>
        </w:rPr>
        <w:t>The above assets were pledged against the following liabilities at February 28, 2013 and March 31, 2012:</w:t>
      </w:r>
    </w:p>
    <w:p>
      <w:pPr>
        <w:spacing w:after="0" w:line="290"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gridSpan w:val="2"/>
          </w:tcPr>
          <w:p>
            <w:pPr>
              <w:ind w:left="120"/>
              <w:spacing w:after="0"/>
              <w:rPr>
                <w:sz w:val="20"/>
                <w:szCs w:val="20"/>
                <w:color w:val="auto"/>
              </w:rPr>
            </w:pPr>
            <w:r>
              <w:rPr>
                <w:rFonts w:ascii="Arial" w:cs="Arial" w:eastAsia="Arial" w:hAnsi="Arial"/>
                <w:sz w:val="20"/>
                <w:szCs w:val="20"/>
                <w:b w:val="1"/>
                <w:bCs w:val="1"/>
                <w:color w:val="auto"/>
              </w:rPr>
              <w:t>February 28,</w:t>
            </w:r>
          </w:p>
        </w:tc>
        <w:tc>
          <w:tcPr>
            <w:tcW w:w="280" w:type="dxa"/>
            <w:vAlign w:val="bottom"/>
          </w:tcPr>
          <w:p>
            <w:pPr>
              <w:spacing w:after="0"/>
              <w:rPr>
                <w:sz w:val="19"/>
                <w:szCs w:val="19"/>
                <w:color w:val="auto"/>
              </w:rPr>
            </w:pPr>
          </w:p>
        </w:tc>
        <w:tc>
          <w:tcPr>
            <w:tcW w:w="1440" w:type="dxa"/>
            <w:vAlign w:val="bottom"/>
          </w:tcPr>
          <w:p>
            <w:pPr>
              <w:jc w:val="right"/>
              <w:ind w:right="321"/>
              <w:spacing w:after="0"/>
              <w:rPr>
                <w:sz w:val="20"/>
                <w:szCs w:val="20"/>
                <w:color w:val="auto"/>
              </w:rPr>
            </w:pPr>
            <w:r>
              <w:rPr>
                <w:rFonts w:ascii="Arial" w:cs="Arial" w:eastAsia="Arial" w:hAnsi="Arial"/>
                <w:sz w:val="20"/>
                <w:szCs w:val="20"/>
                <w:b w:val="1"/>
                <w:bCs w:val="1"/>
                <w:color w:val="auto"/>
              </w:rPr>
              <w:t>March 31,</w:t>
            </w:r>
          </w:p>
        </w:tc>
      </w:tr>
      <w:tr>
        <w:trPr>
          <w:trHeight w:val="256"/>
        </w:trPr>
        <w:tc>
          <w:tcPr>
            <w:tcW w:w="6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0" w:type="dxa"/>
            <w:vAlign w:val="bottom"/>
          </w:tcPr>
          <w:p>
            <w:pPr>
              <w:jc w:val="right"/>
              <w:ind w:right="621"/>
              <w:spacing w:after="0"/>
              <w:rPr>
                <w:sz w:val="20"/>
                <w:szCs w:val="20"/>
                <w:color w:val="auto"/>
              </w:rPr>
            </w:pPr>
            <w:r>
              <w:rPr>
                <w:rFonts w:ascii="Arial" w:cs="Arial" w:eastAsia="Arial" w:hAnsi="Arial"/>
                <w:sz w:val="20"/>
                <w:szCs w:val="20"/>
                <w:b w:val="1"/>
                <w:bCs w:val="1"/>
                <w:color w:val="auto"/>
              </w:rPr>
              <w:t>2013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40" w:type="dxa"/>
            <w:vAlign w:val="bottom"/>
          </w:tcPr>
          <w:p>
            <w:pPr>
              <w:jc w:val="right"/>
              <w:ind w:right="561"/>
              <w:spacing w:after="0"/>
              <w:rPr>
                <w:sz w:val="20"/>
                <w:szCs w:val="20"/>
                <w:color w:val="auto"/>
              </w:rPr>
            </w:pPr>
            <w:r>
              <w:rPr>
                <w:rFonts w:ascii="Arial" w:cs="Arial" w:eastAsia="Arial" w:hAnsi="Arial"/>
                <w:sz w:val="20"/>
                <w:szCs w:val="20"/>
                <w:b w:val="1"/>
                <w:bCs w:val="1"/>
                <w:color w:val="auto"/>
              </w:rPr>
              <w:t>2012</w:t>
            </w:r>
          </w:p>
        </w:tc>
      </w:tr>
      <w:tr>
        <w:trPr>
          <w:trHeight w:val="23"/>
        </w:trPr>
        <w:tc>
          <w:tcPr>
            <w:tcW w:w="63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4"/>
        </w:trPr>
        <w:tc>
          <w:tcPr>
            <w:tcW w:w="6380" w:type="dxa"/>
            <w:vAlign w:val="bottom"/>
          </w:tcPr>
          <w:p>
            <w:pPr>
              <w:spacing w:after="0"/>
              <w:rPr>
                <w:sz w:val="20"/>
                <w:szCs w:val="20"/>
                <w:color w:val="auto"/>
              </w:rPr>
            </w:pPr>
            <w:r>
              <w:rPr>
                <w:rFonts w:ascii="Arial" w:cs="Arial" w:eastAsia="Arial" w:hAnsi="Arial"/>
                <w:sz w:val="20"/>
                <w:szCs w:val="20"/>
                <w:color w:val="auto"/>
              </w:rPr>
              <w:t>Accounts payable</w:t>
            </w:r>
          </w:p>
        </w:tc>
        <w:tc>
          <w:tcPr>
            <w:tcW w:w="240" w:type="dxa"/>
            <w:vAlign w:val="bottom"/>
          </w:tcPr>
          <w:p>
            <w:pPr>
              <w:jc w:val="right"/>
              <w:ind w:right="21"/>
              <w:spacing w:after="0"/>
              <w:rPr>
                <w:sz w:val="20"/>
                <w:szCs w:val="20"/>
                <w:color w:val="auto"/>
              </w:rPr>
            </w:pPr>
            <w:r>
              <w:rPr>
                <w:rFonts w:ascii="Arial" w:cs="Arial" w:eastAsia="Arial" w:hAnsi="Arial"/>
                <w:sz w:val="20"/>
                <w:szCs w:val="20"/>
                <w:color w:val="auto"/>
                <w:w w:val="89"/>
              </w:rPr>
              <w:t>¥</w:t>
            </w:r>
          </w:p>
        </w:tc>
        <w:tc>
          <w:tcPr>
            <w:tcW w:w="1600" w:type="dxa"/>
            <w:vAlign w:val="bottom"/>
          </w:tcPr>
          <w:p>
            <w:pPr>
              <w:jc w:val="right"/>
              <w:ind w:right="1"/>
              <w:spacing w:after="0"/>
              <w:rPr>
                <w:sz w:val="20"/>
                <w:szCs w:val="20"/>
                <w:color w:val="auto"/>
              </w:rPr>
            </w:pPr>
            <w:r>
              <w:rPr>
                <w:rFonts w:ascii="Arial" w:cs="Arial" w:eastAsia="Arial" w:hAnsi="Arial"/>
                <w:sz w:val="20"/>
                <w:szCs w:val="20"/>
                <w:color w:val="auto"/>
              </w:rPr>
              <w:t>1,775</w:t>
            </w:r>
          </w:p>
        </w:tc>
        <w:tc>
          <w:tcPr>
            <w:tcW w:w="100" w:type="dxa"/>
            <w:vAlign w:val="bottom"/>
          </w:tcPr>
          <w:p>
            <w:pPr>
              <w:spacing w:after="0"/>
              <w:rPr>
                <w:sz w:val="22"/>
                <w:szCs w:val="22"/>
                <w:color w:val="auto"/>
              </w:rPr>
            </w:pPr>
          </w:p>
        </w:tc>
        <w:tc>
          <w:tcPr>
            <w:tcW w:w="280" w:type="dxa"/>
            <w:vAlign w:val="bottom"/>
          </w:tcPr>
          <w:p>
            <w:pPr>
              <w:jc w:val="right"/>
              <w:ind w:right="61"/>
              <w:spacing w:after="0"/>
              <w:rPr>
                <w:sz w:val="20"/>
                <w:szCs w:val="20"/>
                <w:color w:val="auto"/>
              </w:rPr>
            </w:pPr>
            <w:r>
              <w:rPr>
                <w:rFonts w:ascii="Arial" w:cs="Arial" w:eastAsia="Arial" w:hAnsi="Arial"/>
                <w:sz w:val="20"/>
                <w:szCs w:val="20"/>
                <w:color w:val="auto"/>
                <w:w w:val="89"/>
              </w:rPr>
              <w:t>¥</w:t>
            </w:r>
          </w:p>
        </w:tc>
        <w:tc>
          <w:tcPr>
            <w:tcW w:w="144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84"/>
        </w:trPr>
        <w:tc>
          <w:tcPr>
            <w:tcW w:w="6380" w:type="dxa"/>
            <w:vAlign w:val="bottom"/>
          </w:tcPr>
          <w:p>
            <w:pPr>
              <w:spacing w:after="0"/>
              <w:rPr>
                <w:sz w:val="20"/>
                <w:szCs w:val="20"/>
                <w:color w:val="auto"/>
              </w:rPr>
            </w:pPr>
            <w:r>
              <w:rPr>
                <w:rFonts w:ascii="Arial" w:cs="Arial" w:eastAsia="Arial" w:hAnsi="Arial"/>
                <w:sz w:val="20"/>
                <w:szCs w:val="20"/>
                <w:color w:val="auto"/>
              </w:rPr>
              <w:t>Short-term borrowings</w:t>
            </w:r>
          </w:p>
        </w:tc>
        <w:tc>
          <w:tcPr>
            <w:tcW w:w="240" w:type="dxa"/>
            <w:vAlign w:val="bottom"/>
          </w:tcPr>
          <w:p>
            <w:pPr>
              <w:spacing w:after="0"/>
              <w:rPr>
                <w:sz w:val="24"/>
                <w:szCs w:val="24"/>
                <w:color w:val="auto"/>
              </w:rPr>
            </w:pPr>
          </w:p>
        </w:tc>
        <w:tc>
          <w:tcPr>
            <w:tcW w:w="1600" w:type="dxa"/>
            <w:vAlign w:val="bottom"/>
          </w:tcPr>
          <w:p>
            <w:pPr>
              <w:jc w:val="right"/>
              <w:ind w:right="1"/>
              <w:spacing w:after="0"/>
              <w:rPr>
                <w:sz w:val="20"/>
                <w:szCs w:val="20"/>
                <w:color w:val="auto"/>
              </w:rPr>
            </w:pPr>
            <w:r>
              <w:rPr>
                <w:rFonts w:ascii="Arial" w:cs="Arial" w:eastAsia="Arial" w:hAnsi="Arial"/>
                <w:sz w:val="20"/>
                <w:szCs w:val="20"/>
                <w:color w:val="auto"/>
              </w:rPr>
              <w:t>8,000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84"/>
        </w:trPr>
        <w:tc>
          <w:tcPr>
            <w:tcW w:w="6380" w:type="dxa"/>
            <w:vAlign w:val="bottom"/>
          </w:tcPr>
          <w:p>
            <w:pPr>
              <w:spacing w:after="0"/>
              <w:rPr>
                <w:sz w:val="20"/>
                <w:szCs w:val="20"/>
                <w:color w:val="auto"/>
              </w:rPr>
            </w:pPr>
            <w:r>
              <w:rPr>
                <w:rFonts w:ascii="Arial" w:cs="Arial" w:eastAsia="Arial" w:hAnsi="Arial"/>
                <w:sz w:val="20"/>
                <w:szCs w:val="20"/>
                <w:color w:val="auto"/>
              </w:rPr>
              <w:t>Long-term debt</w:t>
            </w:r>
          </w:p>
        </w:tc>
        <w:tc>
          <w:tcPr>
            <w:tcW w:w="240" w:type="dxa"/>
            <w:vAlign w:val="bottom"/>
          </w:tcPr>
          <w:p>
            <w:pPr>
              <w:spacing w:after="0"/>
              <w:rPr>
                <w:sz w:val="24"/>
                <w:szCs w:val="24"/>
                <w:color w:val="auto"/>
              </w:rPr>
            </w:pPr>
          </w:p>
        </w:tc>
        <w:tc>
          <w:tcPr>
            <w:tcW w:w="1600" w:type="dxa"/>
            <w:vAlign w:val="bottom"/>
          </w:tcPr>
          <w:p>
            <w:pPr>
              <w:jc w:val="right"/>
              <w:ind w:right="1"/>
              <w:spacing w:after="0"/>
              <w:rPr>
                <w:sz w:val="20"/>
                <w:szCs w:val="20"/>
                <w:color w:val="auto"/>
              </w:rPr>
            </w:pPr>
            <w:r>
              <w:rPr>
                <w:rFonts w:ascii="Arial" w:cs="Arial" w:eastAsia="Arial" w:hAnsi="Arial"/>
                <w:sz w:val="20"/>
                <w:szCs w:val="20"/>
                <w:color w:val="auto"/>
              </w:rPr>
              <w:t>80,746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129,662</w:t>
            </w:r>
          </w:p>
        </w:tc>
      </w:tr>
      <w:tr>
        <w:trPr>
          <w:trHeight w:val="284"/>
        </w:trPr>
        <w:tc>
          <w:tcPr>
            <w:tcW w:w="6380" w:type="dxa"/>
            <w:vAlign w:val="bottom"/>
          </w:tcPr>
          <w:p>
            <w:pPr>
              <w:spacing w:after="0"/>
              <w:rPr>
                <w:sz w:val="20"/>
                <w:szCs w:val="20"/>
                <w:color w:val="auto"/>
              </w:rPr>
            </w:pPr>
            <w:r>
              <w:rPr>
                <w:rFonts w:ascii="Arial" w:cs="Arial" w:eastAsia="Arial" w:hAnsi="Arial"/>
                <w:sz w:val="20"/>
                <w:szCs w:val="20"/>
                <w:color w:val="auto"/>
              </w:rPr>
              <w:t>Obligations under capital leases</w:t>
            </w:r>
          </w:p>
        </w:tc>
        <w:tc>
          <w:tcPr>
            <w:tcW w:w="240" w:type="dxa"/>
            <w:vAlign w:val="bottom"/>
          </w:tcPr>
          <w:p>
            <w:pPr>
              <w:spacing w:after="0"/>
              <w:rPr>
                <w:sz w:val="24"/>
                <w:szCs w:val="24"/>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17,294</w:t>
            </w:r>
          </w:p>
        </w:tc>
      </w:tr>
      <w:tr>
        <w:trPr>
          <w:trHeight w:val="284"/>
        </w:trPr>
        <w:tc>
          <w:tcPr>
            <w:tcW w:w="6380" w:type="dxa"/>
            <w:vAlign w:val="bottom"/>
          </w:tcPr>
          <w:p>
            <w:pPr>
              <w:spacing w:after="0"/>
              <w:rPr>
                <w:sz w:val="20"/>
                <w:szCs w:val="20"/>
                <w:color w:val="auto"/>
              </w:rPr>
            </w:pPr>
            <w:r>
              <w:rPr>
                <w:rFonts w:ascii="Arial" w:cs="Arial" w:eastAsia="Arial" w:hAnsi="Arial"/>
                <w:sz w:val="20"/>
                <w:szCs w:val="20"/>
                <w:color w:val="auto"/>
              </w:rPr>
              <w:t>Long-term other payables</w:t>
            </w:r>
          </w:p>
        </w:tc>
        <w:tc>
          <w:tcPr>
            <w:tcW w:w="240" w:type="dxa"/>
            <w:vAlign w:val="bottom"/>
          </w:tcPr>
          <w:p>
            <w:pPr>
              <w:spacing w:after="0"/>
              <w:rPr>
                <w:sz w:val="24"/>
                <w:szCs w:val="24"/>
                <w:color w:val="auto"/>
              </w:rPr>
            </w:pPr>
          </w:p>
        </w:tc>
        <w:tc>
          <w:tcPr>
            <w:tcW w:w="1600" w:type="dxa"/>
            <w:vAlign w:val="bottom"/>
          </w:tcPr>
          <w:p>
            <w:pPr>
              <w:jc w:val="right"/>
              <w:ind w:right="1"/>
              <w:spacing w:after="0"/>
              <w:rPr>
                <w:sz w:val="20"/>
                <w:szCs w:val="20"/>
                <w:color w:val="auto"/>
              </w:rPr>
            </w:pPr>
            <w:r>
              <w:rPr>
                <w:rFonts w:ascii="Arial" w:cs="Arial" w:eastAsia="Arial" w:hAnsi="Arial"/>
                <w:sz w:val="20"/>
                <w:szCs w:val="20"/>
                <w:color w:val="auto"/>
              </w:rPr>
              <w:t>1,452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84"/>
        </w:trPr>
        <w:tc>
          <w:tcPr>
            <w:tcW w:w="6380" w:type="dxa"/>
            <w:vAlign w:val="bottom"/>
          </w:tcPr>
          <w:p>
            <w:pPr>
              <w:spacing w:after="0"/>
              <w:rPr>
                <w:sz w:val="20"/>
                <w:szCs w:val="20"/>
                <w:color w:val="auto"/>
              </w:rPr>
            </w:pPr>
            <w:r>
              <w:rPr>
                <w:rFonts w:ascii="Arial" w:cs="Arial" w:eastAsia="Arial" w:hAnsi="Arial"/>
                <w:sz w:val="20"/>
                <w:szCs w:val="20"/>
                <w:color w:val="auto"/>
              </w:rPr>
              <w:t>Future lease payments</w:t>
            </w:r>
          </w:p>
        </w:tc>
        <w:tc>
          <w:tcPr>
            <w:tcW w:w="240" w:type="dxa"/>
            <w:vAlign w:val="bottom"/>
          </w:tcPr>
          <w:p>
            <w:pPr>
              <w:spacing w:after="0"/>
              <w:rPr>
                <w:sz w:val="24"/>
                <w:szCs w:val="24"/>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1,178</w:t>
            </w:r>
          </w:p>
        </w:tc>
      </w:tr>
      <w:tr>
        <w:trPr>
          <w:trHeight w:val="284"/>
        </w:trPr>
        <w:tc>
          <w:tcPr>
            <w:tcW w:w="6380" w:type="dxa"/>
            <w:vAlign w:val="bottom"/>
          </w:tcPr>
          <w:p>
            <w:pPr>
              <w:spacing w:after="0"/>
              <w:rPr>
                <w:sz w:val="20"/>
                <w:szCs w:val="20"/>
                <w:color w:val="auto"/>
              </w:rPr>
            </w:pPr>
            <w:r>
              <w:rPr>
                <w:rFonts w:ascii="Arial" w:cs="Arial" w:eastAsia="Arial" w:hAnsi="Arial"/>
                <w:sz w:val="20"/>
                <w:szCs w:val="20"/>
                <w:color w:val="auto"/>
              </w:rPr>
              <w:t>Deposits received</w:t>
            </w:r>
          </w:p>
        </w:tc>
        <w:tc>
          <w:tcPr>
            <w:tcW w:w="240" w:type="dxa"/>
            <w:vAlign w:val="bottom"/>
          </w:tcPr>
          <w:p>
            <w:pPr>
              <w:spacing w:after="0"/>
              <w:rPr>
                <w:sz w:val="24"/>
                <w:szCs w:val="24"/>
                <w:color w:val="auto"/>
              </w:rPr>
            </w:pPr>
          </w:p>
        </w:tc>
        <w:tc>
          <w:tcPr>
            <w:tcW w:w="1600" w:type="dxa"/>
            <w:vAlign w:val="bottom"/>
          </w:tcPr>
          <w:p>
            <w:pPr>
              <w:jc w:val="right"/>
              <w:ind w:right="1"/>
              <w:spacing w:after="0"/>
              <w:rPr>
                <w:sz w:val="20"/>
                <w:szCs w:val="20"/>
                <w:color w:val="auto"/>
              </w:rPr>
            </w:pPr>
            <w:r>
              <w:rPr>
                <w:rFonts w:ascii="Arial" w:cs="Arial" w:eastAsia="Arial" w:hAnsi="Arial"/>
                <w:sz w:val="20"/>
                <w:szCs w:val="20"/>
                <w:color w:val="auto"/>
              </w:rPr>
              <w:t>936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2,930</w:t>
            </w:r>
          </w:p>
        </w:tc>
      </w:tr>
      <w:tr>
        <w:trPr>
          <w:trHeight w:val="23"/>
        </w:trPr>
        <w:tc>
          <w:tcPr>
            <w:tcW w:w="63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4"/>
        </w:trPr>
        <w:tc>
          <w:tcPr>
            <w:tcW w:w="6380" w:type="dxa"/>
            <w:vAlign w:val="bottom"/>
          </w:tcPr>
          <w:p>
            <w:pPr>
              <w:spacing w:after="0"/>
              <w:rPr>
                <w:sz w:val="22"/>
                <w:szCs w:val="22"/>
                <w:color w:val="auto"/>
              </w:rPr>
            </w:pPr>
          </w:p>
        </w:tc>
        <w:tc>
          <w:tcPr>
            <w:tcW w:w="240" w:type="dxa"/>
            <w:vAlign w:val="bottom"/>
          </w:tcPr>
          <w:p>
            <w:pPr>
              <w:jc w:val="right"/>
              <w:ind w:right="21"/>
              <w:spacing w:after="0"/>
              <w:rPr>
                <w:sz w:val="20"/>
                <w:szCs w:val="20"/>
                <w:color w:val="auto"/>
              </w:rPr>
            </w:pPr>
            <w:r>
              <w:rPr>
                <w:rFonts w:ascii="Arial" w:cs="Arial" w:eastAsia="Arial" w:hAnsi="Arial"/>
                <w:sz w:val="20"/>
                <w:szCs w:val="20"/>
                <w:color w:val="auto"/>
                <w:w w:val="89"/>
              </w:rPr>
              <w:t>¥</w:t>
            </w:r>
          </w:p>
        </w:tc>
        <w:tc>
          <w:tcPr>
            <w:tcW w:w="1600" w:type="dxa"/>
            <w:vAlign w:val="bottom"/>
          </w:tcPr>
          <w:p>
            <w:pPr>
              <w:jc w:val="right"/>
              <w:ind w:right="1"/>
              <w:spacing w:after="0"/>
              <w:rPr>
                <w:sz w:val="20"/>
                <w:szCs w:val="20"/>
                <w:color w:val="auto"/>
              </w:rPr>
            </w:pPr>
            <w:r>
              <w:rPr>
                <w:rFonts w:ascii="Arial" w:cs="Arial" w:eastAsia="Arial" w:hAnsi="Arial"/>
                <w:sz w:val="20"/>
                <w:szCs w:val="20"/>
                <w:color w:val="auto"/>
              </w:rPr>
              <w:t>92,909</w:t>
            </w:r>
          </w:p>
        </w:tc>
        <w:tc>
          <w:tcPr>
            <w:tcW w:w="100" w:type="dxa"/>
            <w:vAlign w:val="bottom"/>
          </w:tcPr>
          <w:p>
            <w:pPr>
              <w:spacing w:after="0"/>
              <w:rPr>
                <w:sz w:val="22"/>
                <w:szCs w:val="22"/>
                <w:color w:val="auto"/>
              </w:rPr>
            </w:pPr>
          </w:p>
        </w:tc>
        <w:tc>
          <w:tcPr>
            <w:tcW w:w="280" w:type="dxa"/>
            <w:vAlign w:val="bottom"/>
          </w:tcPr>
          <w:p>
            <w:pPr>
              <w:jc w:val="right"/>
              <w:ind w:right="61"/>
              <w:spacing w:after="0"/>
              <w:rPr>
                <w:sz w:val="20"/>
                <w:szCs w:val="20"/>
                <w:color w:val="auto"/>
              </w:rPr>
            </w:pPr>
            <w:r>
              <w:rPr>
                <w:rFonts w:ascii="Arial" w:cs="Arial" w:eastAsia="Arial" w:hAnsi="Arial"/>
                <w:sz w:val="20"/>
                <w:szCs w:val="20"/>
                <w:color w:val="auto"/>
                <w:w w:val="89"/>
              </w:rPr>
              <w:t>¥</w:t>
            </w:r>
          </w:p>
        </w:tc>
        <w:tc>
          <w:tcPr>
            <w:tcW w:w="1440" w:type="dxa"/>
            <w:vAlign w:val="bottom"/>
          </w:tcPr>
          <w:p>
            <w:pPr>
              <w:jc w:val="right"/>
              <w:spacing w:after="0"/>
              <w:rPr>
                <w:sz w:val="20"/>
                <w:szCs w:val="20"/>
                <w:color w:val="auto"/>
              </w:rPr>
            </w:pPr>
            <w:r>
              <w:rPr>
                <w:rFonts w:ascii="Arial" w:cs="Arial" w:eastAsia="Arial" w:hAnsi="Arial"/>
                <w:sz w:val="20"/>
                <w:szCs w:val="20"/>
                <w:color w:val="auto"/>
              </w:rPr>
              <w:t>151,064</w:t>
            </w:r>
          </w:p>
        </w:tc>
      </w:tr>
      <w:tr>
        <w:trPr>
          <w:trHeight w:val="23"/>
        </w:trPr>
        <w:tc>
          <w:tcPr>
            <w:tcW w:w="63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
        </w:trPr>
        <w:tc>
          <w:tcPr>
            <w:tcW w:w="6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18" w:lineRule="exact"/>
        <w:rPr>
          <w:sz w:val="20"/>
          <w:szCs w:val="20"/>
          <w:color w:val="auto"/>
        </w:rPr>
      </w:pPr>
    </w:p>
    <w:p>
      <w:pPr>
        <w:ind w:left="320"/>
        <w:spacing w:after="0"/>
        <w:rPr>
          <w:sz w:val="20"/>
          <w:szCs w:val="20"/>
          <w:color w:val="auto"/>
        </w:rPr>
      </w:pPr>
      <w:r>
        <w:rPr>
          <w:rFonts w:ascii="Arial" w:cs="Arial" w:eastAsia="Arial" w:hAnsi="Arial"/>
          <w:sz w:val="20"/>
          <w:szCs w:val="20"/>
          <w:color w:val="auto"/>
        </w:rPr>
        <w:t>Of the ¥129,662 of long-term debt at March 31, 2012 above, ¥90,973 was classified as Liabilities subject to compromise.</w:t>
      </w:r>
    </w:p>
    <w:p>
      <w:pPr>
        <w:spacing w:after="0" w:line="270" w:lineRule="exact"/>
        <w:rPr>
          <w:sz w:val="20"/>
          <w:szCs w:val="20"/>
          <w:color w:val="auto"/>
        </w:rPr>
      </w:pPr>
    </w:p>
    <w:p>
      <w:pPr>
        <w:ind w:left="320" w:right="20"/>
        <w:spacing w:after="0" w:line="316" w:lineRule="auto"/>
        <w:rPr>
          <w:sz w:val="20"/>
          <w:szCs w:val="20"/>
          <w:color w:val="auto"/>
        </w:rPr>
      </w:pPr>
      <w:r>
        <w:rPr>
          <w:rFonts w:ascii="Arial" w:cs="Arial" w:eastAsia="Arial" w:hAnsi="Arial"/>
          <w:sz w:val="18"/>
          <w:szCs w:val="18"/>
          <w:color w:val="auto"/>
        </w:rPr>
        <w:t>In December 2012, the Company pledged 1,764 million shares of Rexchip to a subsidiary of Micron as a condition that Micron and the subsidiary provide a financial guarantee to certain financial institutions to support the Company's current and future financing activities.</w:t>
      </w:r>
    </w:p>
    <w:p>
      <w:pPr>
        <w:spacing w:after="0" w:line="171" w:lineRule="exact"/>
        <w:rPr>
          <w:sz w:val="20"/>
          <w:szCs w:val="20"/>
          <w:color w:val="auto"/>
        </w:rPr>
      </w:pPr>
    </w:p>
    <w:p>
      <w:pPr>
        <w:ind w:left="320" w:right="20"/>
        <w:spacing w:after="0" w:line="260" w:lineRule="auto"/>
        <w:rPr>
          <w:sz w:val="20"/>
          <w:szCs w:val="20"/>
          <w:color w:val="auto"/>
        </w:rPr>
      </w:pPr>
      <w:r>
        <w:rPr>
          <w:rFonts w:ascii="Arial" w:cs="Arial" w:eastAsia="Arial" w:hAnsi="Arial"/>
          <w:sz w:val="20"/>
          <w:szCs w:val="20"/>
          <w:color w:val="auto"/>
        </w:rPr>
        <w:t>In March 2013, the Company pledged an additional 20 million shares of Rexchip to a subsidiary of Micron for the guarantee mentioned above.</w:t>
      </w:r>
    </w:p>
    <w:p>
      <w:pPr>
        <w:spacing w:after="0" w:line="279" w:lineRule="exact"/>
        <w:rPr>
          <w:sz w:val="20"/>
          <w:szCs w:val="20"/>
          <w:color w:val="auto"/>
        </w:rPr>
      </w:pPr>
    </w:p>
    <w:p>
      <w:pPr>
        <w:ind w:left="340" w:hanging="338"/>
        <w:spacing w:after="0"/>
        <w:tabs>
          <w:tab w:leader="none" w:pos="340" w:val="left"/>
        </w:tabs>
        <w:numPr>
          <w:ilvl w:val="0"/>
          <w:numId w:val="18"/>
        </w:numPr>
        <w:rPr>
          <w:rFonts w:ascii="Arial" w:cs="Arial" w:eastAsia="Arial" w:hAnsi="Arial"/>
          <w:sz w:val="20"/>
          <w:szCs w:val="20"/>
          <w:b w:val="1"/>
          <w:bCs w:val="1"/>
          <w:color w:val="auto"/>
        </w:rPr>
      </w:pPr>
      <w:r>
        <w:rPr>
          <w:rFonts w:ascii="Arial" w:cs="Arial" w:eastAsia="Arial" w:hAnsi="Arial"/>
          <w:sz w:val="20"/>
          <w:szCs w:val="20"/>
          <w:b w:val="1"/>
          <w:bCs w:val="1"/>
          <w:color w:val="auto"/>
        </w:rPr>
        <w:t>Investment Securities</w:t>
      </w:r>
    </w:p>
    <w:p>
      <w:pPr>
        <w:spacing w:after="0" w:line="113" w:lineRule="exact"/>
        <w:rPr>
          <w:rFonts w:ascii="Arial" w:cs="Arial" w:eastAsia="Arial" w:hAnsi="Arial"/>
          <w:sz w:val="20"/>
          <w:szCs w:val="20"/>
          <w:b w:val="1"/>
          <w:bCs w:val="1"/>
          <w:color w:val="auto"/>
        </w:rPr>
      </w:pPr>
    </w:p>
    <w:p>
      <w:pPr>
        <w:ind w:left="320"/>
        <w:spacing w:after="0" w:line="260" w:lineRule="auto"/>
        <w:rPr>
          <w:rFonts w:ascii="Arial" w:cs="Arial" w:eastAsia="Arial" w:hAnsi="Arial"/>
          <w:sz w:val="20"/>
          <w:szCs w:val="20"/>
          <w:b w:val="1"/>
          <w:bCs w:val="1"/>
          <w:color w:val="auto"/>
        </w:rPr>
      </w:pPr>
      <w:r>
        <w:rPr>
          <w:rFonts w:ascii="Arial" w:cs="Arial" w:eastAsia="Arial" w:hAnsi="Arial"/>
          <w:sz w:val="20"/>
          <w:szCs w:val="20"/>
          <w:color w:val="auto"/>
        </w:rPr>
        <w:t>The carrying amount, gross unrealized holding gains, gross unrealized holding losses, and fair value of available-for-sale equity securities at February 28, 2013 and March 31, 2012 were as follows:</w:t>
      </w:r>
    </w:p>
    <w:p>
      <w:pPr>
        <w:spacing w:after="0" w:line="252"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2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20"/>
                <w:szCs w:val="20"/>
                <w:b w:val="1"/>
                <w:bCs w:val="1"/>
                <w:color w:val="auto"/>
                <w:w w:val="85"/>
              </w:rPr>
              <w:t>Aggregate cost</w:t>
            </w:r>
          </w:p>
        </w:tc>
        <w:tc>
          <w:tcPr>
            <w:tcW w:w="140" w:type="dxa"/>
            <w:vAlign w:val="bottom"/>
          </w:tcPr>
          <w:p>
            <w:pPr>
              <w:spacing w:after="0"/>
              <w:rPr>
                <w:sz w:val="19"/>
                <w:szCs w:val="19"/>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20"/>
                <w:szCs w:val="20"/>
                <w:b w:val="1"/>
                <w:bCs w:val="1"/>
                <w:color w:val="auto"/>
                <w:w w:val="88"/>
              </w:rPr>
              <w:t>Gross unrealized</w:t>
            </w:r>
          </w:p>
        </w:tc>
        <w:tc>
          <w:tcPr>
            <w:tcW w:w="140" w:type="dxa"/>
            <w:vAlign w:val="bottom"/>
          </w:tcPr>
          <w:p>
            <w:pPr>
              <w:spacing w:after="0"/>
              <w:rPr>
                <w:sz w:val="19"/>
                <w:szCs w:val="19"/>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20"/>
                <w:szCs w:val="20"/>
                <w:b w:val="1"/>
                <w:bCs w:val="1"/>
                <w:color w:val="auto"/>
                <w:w w:val="87"/>
              </w:rPr>
              <w:t>Gross unrealized</w:t>
            </w:r>
          </w:p>
        </w:tc>
        <w:tc>
          <w:tcPr>
            <w:tcW w:w="200" w:type="dxa"/>
            <w:vAlign w:val="bottom"/>
          </w:tcPr>
          <w:p>
            <w:pPr>
              <w:spacing w:after="0"/>
              <w:rPr>
                <w:sz w:val="19"/>
                <w:szCs w:val="19"/>
                <w:color w:val="auto"/>
              </w:rPr>
            </w:pPr>
          </w:p>
        </w:tc>
        <w:tc>
          <w:tcPr>
            <w:tcW w:w="1540" w:type="dxa"/>
            <w:vAlign w:val="bottom"/>
          </w:tcPr>
          <w:p>
            <w:pPr>
              <w:jc w:val="right"/>
              <w:ind w:right="161"/>
              <w:spacing w:after="0"/>
              <w:rPr>
                <w:sz w:val="20"/>
                <w:szCs w:val="20"/>
                <w:color w:val="auto"/>
              </w:rPr>
            </w:pPr>
            <w:r>
              <w:rPr>
                <w:rFonts w:ascii="Arial" w:cs="Arial" w:eastAsia="Arial" w:hAnsi="Arial"/>
                <w:sz w:val="20"/>
                <w:szCs w:val="20"/>
                <w:b w:val="1"/>
                <w:bCs w:val="1"/>
                <w:color w:val="auto"/>
                <w:w w:val="92"/>
              </w:rPr>
              <w:t>Aggregate fair</w:t>
            </w:r>
          </w:p>
        </w:tc>
        <w:tc>
          <w:tcPr>
            <w:tcW w:w="0" w:type="dxa"/>
            <w:vAlign w:val="bottom"/>
          </w:tcPr>
          <w:p>
            <w:pPr>
              <w:spacing w:after="0"/>
              <w:rPr>
                <w:sz w:val="1"/>
                <w:szCs w:val="1"/>
                <w:color w:val="auto"/>
              </w:rPr>
            </w:pPr>
          </w:p>
        </w:tc>
      </w:tr>
      <w:tr>
        <w:trPr>
          <w:trHeight w:val="256"/>
        </w:trPr>
        <w:tc>
          <w:tcPr>
            <w:tcW w:w="2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20"/>
                <w:szCs w:val="20"/>
                <w:b w:val="1"/>
                <w:bCs w:val="1"/>
                <w:color w:val="auto"/>
                <w:w w:val="82"/>
              </w:rPr>
              <w:t>basis</w:t>
            </w:r>
          </w:p>
        </w:tc>
        <w:tc>
          <w:tcPr>
            <w:tcW w:w="140" w:type="dxa"/>
            <w:vAlign w:val="bottom"/>
          </w:tcPr>
          <w:p>
            <w:pPr>
              <w:spacing w:after="0"/>
              <w:rPr>
                <w:sz w:val="22"/>
                <w:szCs w:val="22"/>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20"/>
                <w:szCs w:val="20"/>
                <w:b w:val="1"/>
                <w:bCs w:val="1"/>
                <w:color w:val="auto"/>
                <w:w w:val="86"/>
              </w:rPr>
              <w:t>holding gains</w:t>
            </w:r>
          </w:p>
        </w:tc>
        <w:tc>
          <w:tcPr>
            <w:tcW w:w="140" w:type="dxa"/>
            <w:vAlign w:val="bottom"/>
          </w:tcPr>
          <w:p>
            <w:pPr>
              <w:spacing w:after="0"/>
              <w:rPr>
                <w:sz w:val="22"/>
                <w:szCs w:val="22"/>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20"/>
                <w:szCs w:val="20"/>
                <w:b w:val="1"/>
                <w:bCs w:val="1"/>
                <w:color w:val="auto"/>
                <w:w w:val="82"/>
              </w:rPr>
              <w:t>holding losses</w:t>
            </w:r>
          </w:p>
        </w:tc>
        <w:tc>
          <w:tcPr>
            <w:tcW w:w="200" w:type="dxa"/>
            <w:vAlign w:val="bottom"/>
          </w:tcPr>
          <w:p>
            <w:pPr>
              <w:spacing w:after="0"/>
              <w:rPr>
                <w:sz w:val="22"/>
                <w:szCs w:val="22"/>
                <w:color w:val="auto"/>
              </w:rPr>
            </w:pPr>
          </w:p>
        </w:tc>
        <w:tc>
          <w:tcPr>
            <w:tcW w:w="1540" w:type="dxa"/>
            <w:vAlign w:val="bottom"/>
          </w:tcPr>
          <w:p>
            <w:pPr>
              <w:jc w:val="right"/>
              <w:ind w:right="541"/>
              <w:spacing w:after="0"/>
              <w:rPr>
                <w:sz w:val="20"/>
                <w:szCs w:val="20"/>
                <w:color w:val="auto"/>
              </w:rPr>
            </w:pPr>
            <w:r>
              <w:rPr>
                <w:rFonts w:ascii="Arial" w:cs="Arial" w:eastAsia="Arial" w:hAnsi="Arial"/>
                <w:sz w:val="20"/>
                <w:szCs w:val="20"/>
                <w:b w:val="1"/>
                <w:bCs w:val="1"/>
                <w:color w:val="auto"/>
              </w:rPr>
              <w:t>value</w:t>
            </w:r>
          </w:p>
        </w:tc>
        <w:tc>
          <w:tcPr>
            <w:tcW w:w="0" w:type="dxa"/>
            <w:vAlign w:val="bottom"/>
          </w:tcPr>
          <w:p>
            <w:pPr>
              <w:spacing w:after="0"/>
              <w:rPr>
                <w:sz w:val="1"/>
                <w:szCs w:val="1"/>
                <w:color w:val="auto"/>
              </w:rPr>
            </w:pPr>
          </w:p>
        </w:tc>
      </w:tr>
      <w:tr>
        <w:trPr>
          <w:trHeight w:val="23"/>
        </w:trPr>
        <w:tc>
          <w:tcPr>
            <w:tcW w:w="2880" w:type="dxa"/>
            <w:vAlign w:val="bottom"/>
            <w:vMerge w:val="restart"/>
          </w:tcPr>
          <w:p>
            <w:pPr>
              <w:spacing w:after="0"/>
              <w:rPr>
                <w:sz w:val="20"/>
                <w:szCs w:val="20"/>
                <w:color w:val="auto"/>
              </w:rPr>
            </w:pPr>
            <w:r>
              <w:rPr>
                <w:rFonts w:ascii="Arial" w:cs="Arial" w:eastAsia="Arial" w:hAnsi="Arial"/>
                <w:sz w:val="20"/>
                <w:szCs w:val="20"/>
                <w:color w:val="auto"/>
              </w:rPr>
              <w:t>At February 28, 2013</w:t>
            </w: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28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tcPr>
          <w:p>
            <w:pPr>
              <w:ind w:left="160"/>
              <w:spacing w:after="0"/>
              <w:rPr>
                <w:sz w:val="20"/>
                <w:szCs w:val="20"/>
                <w:color w:val="auto"/>
              </w:rPr>
            </w:pPr>
            <w:r>
              <w:rPr>
                <w:rFonts w:ascii="Arial" w:cs="Arial" w:eastAsia="Arial" w:hAnsi="Arial"/>
                <w:sz w:val="20"/>
                <w:szCs w:val="20"/>
                <w:color w:val="auto"/>
              </w:rPr>
              <w:t>Available for sale:</w:t>
            </w: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880" w:type="dxa"/>
            <w:vAlign w:val="bottom"/>
          </w:tcPr>
          <w:p>
            <w:pPr>
              <w:ind w:left="320"/>
              <w:spacing w:after="0"/>
              <w:rPr>
                <w:sz w:val="20"/>
                <w:szCs w:val="20"/>
                <w:color w:val="auto"/>
              </w:rPr>
            </w:pPr>
            <w:r>
              <w:rPr>
                <w:rFonts w:ascii="Arial" w:cs="Arial" w:eastAsia="Arial" w:hAnsi="Arial"/>
                <w:sz w:val="20"/>
                <w:szCs w:val="20"/>
                <w:color w:val="auto"/>
              </w:rPr>
              <w:t>Equity securities</w:t>
            </w: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560" w:type="dxa"/>
            <w:vAlign w:val="bottom"/>
          </w:tcPr>
          <w:p>
            <w:pPr>
              <w:jc w:val="right"/>
              <w:ind w:right="1"/>
              <w:spacing w:after="0"/>
              <w:rPr>
                <w:sz w:val="20"/>
                <w:szCs w:val="20"/>
                <w:color w:val="auto"/>
              </w:rPr>
            </w:pPr>
            <w:r>
              <w:rPr>
                <w:rFonts w:ascii="Arial" w:cs="Arial" w:eastAsia="Arial" w:hAnsi="Arial"/>
                <w:sz w:val="20"/>
                <w:szCs w:val="20"/>
                <w:color w:val="auto"/>
              </w:rPr>
              <w:t>82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rPr>
              <w:t>¥</w:t>
            </w:r>
          </w:p>
        </w:tc>
        <w:tc>
          <w:tcPr>
            <w:tcW w:w="1720" w:type="dxa"/>
            <w:vAlign w:val="bottom"/>
            <w:gridSpan w:val="2"/>
          </w:tcPr>
          <w:p>
            <w:pPr>
              <w:ind w:left="1320"/>
              <w:spacing w:after="0"/>
              <w:rPr>
                <w:sz w:val="20"/>
                <w:szCs w:val="20"/>
                <w:color w:val="auto"/>
              </w:rPr>
            </w:pPr>
            <w:r>
              <w:rPr>
                <w:rFonts w:ascii="Arial" w:cs="Arial" w:eastAsia="Arial" w:hAnsi="Arial"/>
                <w:sz w:val="20"/>
                <w:szCs w:val="20"/>
                <w:color w:val="auto"/>
              </w:rPr>
              <w:t>—</w:t>
            </w: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700" w:type="dxa"/>
            <w:vAlign w:val="bottom"/>
            <w:gridSpan w:val="2"/>
          </w:tcPr>
          <w:p>
            <w:pPr>
              <w:ind w:left="1300"/>
              <w:spacing w:after="0"/>
              <w:rPr>
                <w:sz w:val="20"/>
                <w:szCs w:val="20"/>
                <w:color w:val="auto"/>
              </w:rPr>
            </w:pPr>
            <w:r>
              <w:rPr>
                <w:rFonts w:ascii="Arial" w:cs="Arial" w:eastAsia="Arial" w:hAnsi="Arial"/>
                <w:sz w:val="20"/>
                <w:szCs w:val="20"/>
                <w:color w:val="auto"/>
              </w:rPr>
              <w:t>—</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540" w:type="dxa"/>
            <w:vAlign w:val="bottom"/>
          </w:tcPr>
          <w:p>
            <w:pPr>
              <w:jc w:val="right"/>
              <w:spacing w:after="0"/>
              <w:rPr>
                <w:sz w:val="20"/>
                <w:szCs w:val="20"/>
                <w:color w:val="auto"/>
              </w:rPr>
            </w:pPr>
            <w:r>
              <w:rPr>
                <w:rFonts w:ascii="Arial" w:cs="Arial" w:eastAsia="Arial" w:hAnsi="Arial"/>
                <w:sz w:val="20"/>
                <w:szCs w:val="20"/>
                <w:color w:val="auto"/>
              </w:rPr>
              <w:t>82</w:t>
            </w:r>
          </w:p>
        </w:tc>
        <w:tc>
          <w:tcPr>
            <w:tcW w:w="0" w:type="dxa"/>
            <w:vAlign w:val="bottom"/>
          </w:tcPr>
          <w:p>
            <w:pPr>
              <w:spacing w:after="0"/>
              <w:rPr>
                <w:sz w:val="1"/>
                <w:szCs w:val="1"/>
                <w:color w:val="auto"/>
              </w:rPr>
            </w:pPr>
          </w:p>
        </w:tc>
      </w:tr>
      <w:tr>
        <w:trPr>
          <w:trHeight w:val="263"/>
        </w:trPr>
        <w:tc>
          <w:tcPr>
            <w:tcW w:w="2880" w:type="dxa"/>
            <w:vAlign w:val="bottom"/>
          </w:tcPr>
          <w:p>
            <w:pPr>
              <w:spacing w:after="0"/>
              <w:rPr>
                <w:sz w:val="20"/>
                <w:szCs w:val="20"/>
                <w:color w:val="auto"/>
              </w:rPr>
            </w:pPr>
            <w:r>
              <w:rPr>
                <w:rFonts w:ascii="Arial" w:cs="Arial" w:eastAsia="Arial" w:hAnsi="Arial"/>
                <w:sz w:val="20"/>
                <w:szCs w:val="20"/>
                <w:color w:val="auto"/>
              </w:rPr>
              <w:t>At March 31, 2012</w:t>
            </w:r>
          </w:p>
        </w:tc>
        <w:tc>
          <w:tcPr>
            <w:tcW w:w="1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880" w:type="dxa"/>
            <w:vAlign w:val="bottom"/>
          </w:tcPr>
          <w:p>
            <w:pPr>
              <w:ind w:left="160"/>
              <w:spacing w:after="0"/>
              <w:rPr>
                <w:sz w:val="20"/>
                <w:szCs w:val="20"/>
                <w:color w:val="auto"/>
              </w:rPr>
            </w:pPr>
            <w:r>
              <w:rPr>
                <w:rFonts w:ascii="Arial" w:cs="Arial" w:eastAsia="Arial" w:hAnsi="Arial"/>
                <w:sz w:val="20"/>
                <w:szCs w:val="20"/>
                <w:color w:val="auto"/>
              </w:rPr>
              <w:t>Available for sale:</w:t>
            </w: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880" w:type="dxa"/>
            <w:vAlign w:val="bottom"/>
          </w:tcPr>
          <w:p>
            <w:pPr>
              <w:ind w:left="320"/>
              <w:spacing w:after="0"/>
              <w:rPr>
                <w:sz w:val="20"/>
                <w:szCs w:val="20"/>
                <w:color w:val="auto"/>
              </w:rPr>
            </w:pPr>
            <w:r>
              <w:rPr>
                <w:rFonts w:ascii="Arial" w:cs="Arial" w:eastAsia="Arial" w:hAnsi="Arial"/>
                <w:sz w:val="20"/>
                <w:szCs w:val="20"/>
                <w:color w:val="auto"/>
              </w:rPr>
              <w:t>Equity securities</w:t>
            </w: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560" w:type="dxa"/>
            <w:vAlign w:val="bottom"/>
          </w:tcPr>
          <w:p>
            <w:pPr>
              <w:jc w:val="right"/>
              <w:ind w:right="1"/>
              <w:spacing w:after="0"/>
              <w:rPr>
                <w:sz w:val="20"/>
                <w:szCs w:val="20"/>
                <w:color w:val="auto"/>
              </w:rPr>
            </w:pPr>
            <w:r>
              <w:rPr>
                <w:rFonts w:ascii="Arial" w:cs="Arial" w:eastAsia="Arial" w:hAnsi="Arial"/>
                <w:sz w:val="20"/>
                <w:szCs w:val="20"/>
                <w:color w:val="auto"/>
              </w:rPr>
              <w:t>2,113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rPr>
              <w:t>¥</w:t>
            </w:r>
          </w:p>
        </w:tc>
        <w:tc>
          <w:tcPr>
            <w:tcW w:w="1720" w:type="dxa"/>
            <w:vAlign w:val="bottom"/>
            <w:gridSpan w:val="2"/>
          </w:tcPr>
          <w:p>
            <w:pPr>
              <w:ind w:left="1320"/>
              <w:spacing w:after="0"/>
              <w:rPr>
                <w:sz w:val="20"/>
                <w:szCs w:val="20"/>
                <w:color w:val="auto"/>
              </w:rPr>
            </w:pPr>
            <w:r>
              <w:rPr>
                <w:rFonts w:ascii="Arial" w:cs="Arial" w:eastAsia="Arial" w:hAnsi="Arial"/>
                <w:sz w:val="20"/>
                <w:szCs w:val="20"/>
                <w:color w:val="auto"/>
              </w:rPr>
              <w:t>—</w:t>
            </w: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700" w:type="dxa"/>
            <w:vAlign w:val="bottom"/>
            <w:gridSpan w:val="2"/>
          </w:tcPr>
          <w:p>
            <w:pPr>
              <w:ind w:left="1300"/>
              <w:spacing w:after="0"/>
              <w:rPr>
                <w:sz w:val="20"/>
                <w:szCs w:val="20"/>
                <w:color w:val="auto"/>
              </w:rPr>
            </w:pPr>
            <w:r>
              <w:rPr>
                <w:rFonts w:ascii="Arial" w:cs="Arial" w:eastAsia="Arial" w:hAnsi="Arial"/>
                <w:sz w:val="20"/>
                <w:szCs w:val="20"/>
                <w:color w:val="auto"/>
              </w:rPr>
              <w:t>—</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540" w:type="dxa"/>
            <w:vAlign w:val="bottom"/>
          </w:tcPr>
          <w:p>
            <w:pPr>
              <w:jc w:val="right"/>
              <w:spacing w:after="0"/>
              <w:rPr>
                <w:sz w:val="20"/>
                <w:szCs w:val="20"/>
                <w:color w:val="auto"/>
              </w:rPr>
            </w:pPr>
            <w:r>
              <w:rPr>
                <w:rFonts w:ascii="Arial" w:cs="Arial" w:eastAsia="Arial" w:hAnsi="Arial"/>
                <w:sz w:val="20"/>
                <w:szCs w:val="20"/>
                <w:color w:val="auto"/>
              </w:rPr>
              <w:t>2,113</w:t>
            </w:r>
          </w:p>
        </w:tc>
        <w:tc>
          <w:tcPr>
            <w:tcW w:w="0" w:type="dxa"/>
            <w:vAlign w:val="bottom"/>
          </w:tcPr>
          <w:p>
            <w:pPr>
              <w:spacing w:after="0"/>
              <w:rPr>
                <w:sz w:val="1"/>
                <w:szCs w:val="1"/>
                <w:color w:val="auto"/>
              </w:rPr>
            </w:pPr>
          </w:p>
        </w:tc>
      </w:tr>
    </w:tbl>
    <w:p>
      <w:pPr>
        <w:spacing w:after="0" w:line="222" w:lineRule="exact"/>
        <w:rPr>
          <w:sz w:val="20"/>
          <w:szCs w:val="20"/>
          <w:color w:val="auto"/>
        </w:rPr>
      </w:pPr>
    </w:p>
    <w:p>
      <w:pPr>
        <w:jc w:val="both"/>
        <w:ind w:left="320"/>
        <w:spacing w:after="0" w:line="250" w:lineRule="auto"/>
        <w:rPr>
          <w:sz w:val="20"/>
          <w:szCs w:val="20"/>
          <w:color w:val="auto"/>
        </w:rPr>
      </w:pPr>
      <w:r>
        <w:rPr>
          <w:rFonts w:ascii="Arial" w:cs="Arial" w:eastAsia="Arial" w:hAnsi="Arial"/>
          <w:sz w:val="20"/>
          <w:szCs w:val="20"/>
          <w:color w:val="auto"/>
        </w:rPr>
        <w:t xml:space="preserve">For equity securities, management considers the various factors described in Note (3) </w:t>
      </w:r>
      <w:r>
        <w:rPr>
          <w:rFonts w:ascii="Arial" w:cs="Arial" w:eastAsia="Arial" w:hAnsi="Arial"/>
          <w:sz w:val="20"/>
          <w:szCs w:val="20"/>
          <w:i w:val="1"/>
          <w:iCs w:val="1"/>
          <w:color w:val="auto"/>
        </w:rPr>
        <w:t>(i)</w:t>
      </w:r>
      <w:r>
        <w:rPr>
          <w:rFonts w:ascii="Arial" w:cs="Arial" w:eastAsia="Arial" w:hAnsi="Arial"/>
          <w:sz w:val="20"/>
          <w:szCs w:val="20"/>
          <w:color w:val="auto"/>
        </w:rPr>
        <w:t>, including its intent and ability to hold the equity security for a period of time sufficient for recovery in market value. Where management lacks that intent or ability, the security’s decline in fair value is deemed to be other-than-temporary and is recorded in earnings.</w:t>
      </w:r>
    </w:p>
    <w:p>
      <w:pPr>
        <w:spacing w:after="0" w:line="200" w:lineRule="exact"/>
        <w:rPr>
          <w:sz w:val="20"/>
          <w:szCs w:val="20"/>
          <w:color w:val="auto"/>
        </w:rPr>
      </w:pPr>
    </w:p>
    <w:p>
      <w:pPr>
        <w:spacing w:after="0" w:line="3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60" w:top="553" w:right="239" w:bottom="1440" w:gutter="0" w:footer="0" w:header="0"/>
        </w:sectPr>
      </w:pPr>
    </w:p>
    <w:bookmarkStart w:id="29" w:name="page30"/>
    <w:bookmarkEnd w:id="29"/>
    <w:p>
      <w:pPr>
        <w:jc w:val="center"/>
        <w:ind w:right="20"/>
        <w:spacing w:after="0"/>
        <w:rPr>
          <w:sz w:val="20"/>
          <w:szCs w:val="20"/>
          <w:color w:val="auto"/>
        </w:rPr>
      </w:pPr>
      <w:r>
        <w:rPr>
          <w:rFonts w:ascii="Arial" w:cs="Arial" w:eastAsia="Arial" w:hAnsi="Arial"/>
          <w:sz w:val="18"/>
          <w:szCs w:val="18"/>
          <w:b w:val="1"/>
          <w:bCs w:val="1"/>
          <w:color w:val="auto"/>
        </w:rPr>
        <w:t>ELPIDA MEMORY,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(DEBTORS-IN-POSSESSION)</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5" w:lineRule="exact"/>
        <w:rPr>
          <w:sz w:val="20"/>
          <w:szCs w:val="20"/>
          <w:color w:val="auto"/>
        </w:rPr>
      </w:pPr>
    </w:p>
    <w:p>
      <w:pPr>
        <w:ind w:left="340" w:hanging="338"/>
        <w:spacing w:after="0"/>
        <w:tabs>
          <w:tab w:leader="none" w:pos="340" w:val="left"/>
        </w:tabs>
        <w:numPr>
          <w:ilvl w:val="0"/>
          <w:numId w:val="19"/>
        </w:numPr>
        <w:rPr>
          <w:rFonts w:ascii="Arial" w:cs="Arial" w:eastAsia="Arial" w:hAnsi="Arial"/>
          <w:sz w:val="20"/>
          <w:szCs w:val="20"/>
          <w:b w:val="1"/>
          <w:bCs w:val="1"/>
          <w:color w:val="auto"/>
        </w:rPr>
      </w:pPr>
      <w:r>
        <w:rPr>
          <w:rFonts w:ascii="Arial" w:cs="Arial" w:eastAsia="Arial" w:hAnsi="Arial"/>
          <w:sz w:val="20"/>
          <w:szCs w:val="20"/>
          <w:b w:val="1"/>
          <w:bCs w:val="1"/>
          <w:color w:val="auto"/>
        </w:rPr>
        <w:t>Intangible Assets</w:t>
      </w:r>
    </w:p>
    <w:p>
      <w:pPr>
        <w:spacing w:after="0" w:line="127" w:lineRule="exact"/>
        <w:rPr>
          <w:rFonts w:ascii="Arial" w:cs="Arial" w:eastAsia="Arial" w:hAnsi="Arial"/>
          <w:sz w:val="20"/>
          <w:szCs w:val="20"/>
          <w:b w:val="1"/>
          <w:bCs w:val="1"/>
          <w:color w:val="auto"/>
        </w:rPr>
      </w:pPr>
    </w:p>
    <w:p>
      <w:pPr>
        <w:ind w:left="320"/>
        <w:spacing w:after="0"/>
        <w:rPr>
          <w:rFonts w:ascii="Arial" w:cs="Arial" w:eastAsia="Arial" w:hAnsi="Arial"/>
          <w:sz w:val="20"/>
          <w:szCs w:val="20"/>
          <w:b w:val="1"/>
          <w:bCs w:val="1"/>
          <w:color w:val="auto"/>
        </w:rPr>
      </w:pPr>
      <w:r>
        <w:rPr>
          <w:rFonts w:ascii="Arial" w:cs="Arial" w:eastAsia="Arial" w:hAnsi="Arial"/>
          <w:sz w:val="20"/>
          <w:szCs w:val="20"/>
          <w:color w:val="auto"/>
        </w:rPr>
        <w:t>Intangible assets subject to amortization at February 28, 2013 and March 31, 2012 consisted of the following:</w:t>
      </w:r>
    </w:p>
    <w:p>
      <w:pPr>
        <w:spacing w:after="0" w:line="291" w:lineRule="exact"/>
        <w:rPr>
          <w:sz w:val="20"/>
          <w:szCs w:val="20"/>
          <w:color w:val="auto"/>
        </w:rPr>
      </w:pPr>
    </w:p>
    <w:tbl>
      <w:tblPr>
        <w:tblLayout w:type="fixed"/>
        <w:tblInd w:w="340" w:type="dxa"/>
        <w:tblCellMar>
          <w:top w:w="0" w:type="dxa"/>
          <w:left w:w="0" w:type="dxa"/>
          <w:bottom w:w="0" w:type="dxa"/>
          <w:right w:w="0" w:type="dxa"/>
        </w:tblCellMar>
      </w:tblPr>
      <w:tr>
        <w:trPr>
          <w:trHeight w:val="256"/>
        </w:trPr>
        <w:tc>
          <w:tcPr>
            <w:tcW w:w="4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60" w:type="dxa"/>
            <w:vAlign w:val="bottom"/>
            <w:gridSpan w:val="3"/>
          </w:tcPr>
          <w:p>
            <w:pPr>
              <w:ind w:left="120"/>
              <w:spacing w:after="0"/>
              <w:rPr>
                <w:sz w:val="20"/>
                <w:szCs w:val="20"/>
                <w:color w:val="auto"/>
              </w:rPr>
            </w:pPr>
            <w:r>
              <w:rPr>
                <w:rFonts w:ascii="Arial" w:cs="Arial" w:eastAsia="Arial" w:hAnsi="Arial"/>
                <w:sz w:val="20"/>
                <w:szCs w:val="20"/>
                <w:b w:val="1"/>
                <w:bCs w:val="1"/>
                <w:color w:val="auto"/>
              </w:rPr>
              <w:t>February 28, 2013</w:t>
            </w:r>
          </w:p>
        </w:tc>
        <w:tc>
          <w:tcPr>
            <w:tcW w:w="22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3"/>
        </w:trPr>
        <w:tc>
          <w:tcPr>
            <w:tcW w:w="46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7"/>
        </w:trPr>
        <w:tc>
          <w:tcPr>
            <w:tcW w:w="4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2"/>
          </w:tcPr>
          <w:p>
            <w:pPr>
              <w:jc w:val="center"/>
              <w:ind w:right="280"/>
              <w:spacing w:after="0" w:line="228" w:lineRule="exact"/>
              <w:rPr>
                <w:sz w:val="20"/>
                <w:szCs w:val="20"/>
                <w:color w:val="auto"/>
              </w:rPr>
            </w:pPr>
            <w:r>
              <w:rPr>
                <w:rFonts w:ascii="Arial" w:cs="Arial" w:eastAsia="Arial" w:hAnsi="Arial"/>
                <w:sz w:val="20"/>
                <w:szCs w:val="20"/>
                <w:b w:val="1"/>
                <w:bCs w:val="1"/>
                <w:color w:val="auto"/>
                <w:w w:val="88"/>
              </w:rPr>
              <w:t>Gross carrying</w:t>
            </w:r>
          </w:p>
        </w:tc>
        <w:tc>
          <w:tcPr>
            <w:tcW w:w="1220" w:type="dxa"/>
            <w:vAlign w:val="bottom"/>
          </w:tcPr>
          <w:p>
            <w:pPr>
              <w:ind w:left="20"/>
              <w:spacing w:after="0" w:line="228" w:lineRule="exact"/>
              <w:rPr>
                <w:sz w:val="20"/>
                <w:szCs w:val="20"/>
                <w:color w:val="auto"/>
              </w:rPr>
            </w:pPr>
            <w:r>
              <w:rPr>
                <w:rFonts w:ascii="Arial" w:cs="Arial" w:eastAsia="Arial" w:hAnsi="Arial"/>
                <w:sz w:val="20"/>
                <w:szCs w:val="20"/>
                <w:b w:val="1"/>
                <w:bCs w:val="1"/>
                <w:color w:val="auto"/>
                <w:w w:val="93"/>
              </w:rPr>
              <w:t>Accumulated</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ind w:right="241"/>
              <w:spacing w:after="0" w:line="228" w:lineRule="exact"/>
              <w:rPr>
                <w:sz w:val="20"/>
                <w:szCs w:val="20"/>
                <w:color w:val="auto"/>
              </w:rPr>
            </w:pPr>
            <w:r>
              <w:rPr>
                <w:rFonts w:ascii="Arial" w:cs="Arial" w:eastAsia="Arial" w:hAnsi="Arial"/>
                <w:sz w:val="20"/>
                <w:szCs w:val="20"/>
                <w:b w:val="1"/>
                <w:bCs w:val="1"/>
                <w:color w:val="auto"/>
                <w:w w:val="99"/>
              </w:rPr>
              <w:t>Net carrying</w:t>
            </w:r>
          </w:p>
        </w:tc>
      </w:tr>
      <w:tr>
        <w:trPr>
          <w:trHeight w:val="256"/>
        </w:trPr>
        <w:tc>
          <w:tcPr>
            <w:tcW w:w="4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20"/>
                <w:szCs w:val="20"/>
                <w:b w:val="1"/>
                <w:bCs w:val="1"/>
                <w:color w:val="auto"/>
                <w:w w:val="91"/>
              </w:rPr>
              <w:t>amount</w:t>
            </w:r>
          </w:p>
        </w:tc>
        <w:tc>
          <w:tcPr>
            <w:tcW w:w="1220" w:type="dxa"/>
            <w:vAlign w:val="bottom"/>
          </w:tcPr>
          <w:p>
            <w:pPr>
              <w:ind w:left="20"/>
              <w:spacing w:after="0"/>
              <w:rPr>
                <w:sz w:val="20"/>
                <w:szCs w:val="20"/>
                <w:color w:val="auto"/>
              </w:rPr>
            </w:pPr>
            <w:r>
              <w:rPr>
                <w:rFonts w:ascii="Arial" w:cs="Arial" w:eastAsia="Arial" w:hAnsi="Arial"/>
                <w:sz w:val="20"/>
                <w:szCs w:val="20"/>
                <w:b w:val="1"/>
                <w:bCs w:val="1"/>
                <w:color w:val="auto"/>
                <w:w w:val="99"/>
              </w:rPr>
              <w:t>amortization</w:t>
            </w: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20" w:type="dxa"/>
            <w:vAlign w:val="bottom"/>
          </w:tcPr>
          <w:p>
            <w:pPr>
              <w:jc w:val="right"/>
              <w:ind w:right="461"/>
              <w:spacing w:after="0"/>
              <w:rPr>
                <w:sz w:val="20"/>
                <w:szCs w:val="20"/>
                <w:color w:val="auto"/>
              </w:rPr>
            </w:pPr>
            <w:r>
              <w:rPr>
                <w:rFonts w:ascii="Arial" w:cs="Arial" w:eastAsia="Arial" w:hAnsi="Arial"/>
                <w:sz w:val="20"/>
                <w:szCs w:val="20"/>
                <w:b w:val="1"/>
                <w:bCs w:val="1"/>
                <w:color w:val="auto"/>
              </w:rPr>
              <w:t>amount</w:t>
            </w:r>
          </w:p>
        </w:tc>
      </w:tr>
      <w:tr>
        <w:trPr>
          <w:trHeight w:val="23"/>
        </w:trPr>
        <w:tc>
          <w:tcPr>
            <w:tcW w:w="46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54"/>
        </w:trPr>
        <w:tc>
          <w:tcPr>
            <w:tcW w:w="4640" w:type="dxa"/>
            <w:vAlign w:val="bottom"/>
          </w:tcPr>
          <w:p>
            <w:pPr>
              <w:spacing w:after="0"/>
              <w:rPr>
                <w:sz w:val="20"/>
                <w:szCs w:val="20"/>
                <w:color w:val="auto"/>
              </w:rPr>
            </w:pPr>
            <w:r>
              <w:rPr>
                <w:rFonts w:ascii="Arial" w:cs="Arial" w:eastAsia="Arial" w:hAnsi="Arial"/>
                <w:sz w:val="20"/>
                <w:szCs w:val="20"/>
                <w:color w:val="auto"/>
              </w:rPr>
              <w:t>Software</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1560" w:type="dxa"/>
            <w:vAlign w:val="bottom"/>
          </w:tcPr>
          <w:p>
            <w:pPr>
              <w:jc w:val="right"/>
              <w:ind w:right="1"/>
              <w:spacing w:after="0"/>
              <w:rPr>
                <w:sz w:val="20"/>
                <w:szCs w:val="20"/>
                <w:color w:val="auto"/>
              </w:rPr>
            </w:pPr>
            <w:r>
              <w:rPr>
                <w:rFonts w:ascii="Arial" w:cs="Arial" w:eastAsia="Arial" w:hAnsi="Arial"/>
                <w:sz w:val="20"/>
                <w:szCs w:val="20"/>
                <w:color w:val="auto"/>
              </w:rPr>
              <w:t>2,374</w:t>
            </w:r>
          </w:p>
        </w:tc>
        <w:tc>
          <w:tcPr>
            <w:tcW w:w="100" w:type="dxa"/>
            <w:vAlign w:val="bottom"/>
          </w:tcPr>
          <w:p>
            <w:pPr>
              <w:spacing w:after="0"/>
              <w:rPr>
                <w:sz w:val="22"/>
                <w:szCs w:val="22"/>
                <w:color w:val="auto"/>
              </w:rPr>
            </w:pPr>
          </w:p>
        </w:tc>
        <w:tc>
          <w:tcPr>
            <w:tcW w:w="1220" w:type="dxa"/>
            <w:vAlign w:val="bottom"/>
          </w:tcPr>
          <w:p>
            <w:pPr>
              <w:ind w:left="20"/>
              <w:spacing w:after="0"/>
              <w:rPr>
                <w:sz w:val="20"/>
                <w:szCs w:val="20"/>
                <w:color w:val="auto"/>
              </w:rPr>
            </w:pPr>
            <w:r>
              <w:rPr>
                <w:rFonts w:ascii="Arial" w:cs="Arial" w:eastAsia="Arial" w:hAnsi="Arial"/>
                <w:sz w:val="20"/>
                <w:szCs w:val="20"/>
                <w:color w:val="auto"/>
              </w:rPr>
              <w:t>¥</w:t>
            </w:r>
          </w:p>
        </w:tc>
        <w:tc>
          <w:tcPr>
            <w:tcW w:w="520" w:type="dxa"/>
            <w:vAlign w:val="bottom"/>
          </w:tcPr>
          <w:p>
            <w:pPr>
              <w:jc w:val="right"/>
              <w:spacing w:after="0"/>
              <w:rPr>
                <w:sz w:val="20"/>
                <w:szCs w:val="20"/>
                <w:color w:val="auto"/>
              </w:rPr>
            </w:pPr>
            <w:r>
              <w:rPr>
                <w:rFonts w:ascii="Arial" w:cs="Arial" w:eastAsia="Arial" w:hAnsi="Arial"/>
                <w:sz w:val="20"/>
                <w:szCs w:val="20"/>
                <w:color w:val="auto"/>
              </w:rPr>
              <w:t>(797)</w:t>
            </w:r>
          </w:p>
        </w:tc>
        <w:tc>
          <w:tcPr>
            <w:tcW w:w="120" w:type="dxa"/>
            <w:vAlign w:val="bottom"/>
          </w:tcPr>
          <w:p>
            <w:pPr>
              <w:spacing w:after="0"/>
              <w:rPr>
                <w:sz w:val="22"/>
                <w:szCs w:val="22"/>
                <w:color w:val="auto"/>
              </w:rPr>
            </w:pPr>
          </w:p>
        </w:tc>
        <w:tc>
          <w:tcPr>
            <w:tcW w:w="220" w:type="dxa"/>
            <w:vAlign w:val="bottom"/>
          </w:tcPr>
          <w:p>
            <w:pPr>
              <w:jc w:val="right"/>
              <w:ind w:right="1"/>
              <w:spacing w:after="0"/>
              <w:rPr>
                <w:sz w:val="20"/>
                <w:szCs w:val="20"/>
                <w:color w:val="auto"/>
              </w:rPr>
            </w:pPr>
            <w:r>
              <w:rPr>
                <w:rFonts w:ascii="Arial" w:cs="Arial" w:eastAsia="Arial" w:hAnsi="Arial"/>
                <w:sz w:val="20"/>
                <w:szCs w:val="20"/>
                <w:color w:val="auto"/>
                <w:w w:val="89"/>
              </w:rPr>
              <w:t>¥</w:t>
            </w:r>
          </w:p>
        </w:tc>
        <w:tc>
          <w:tcPr>
            <w:tcW w:w="1520" w:type="dxa"/>
            <w:vAlign w:val="bottom"/>
          </w:tcPr>
          <w:p>
            <w:pPr>
              <w:jc w:val="right"/>
              <w:ind w:right="1"/>
              <w:spacing w:after="0"/>
              <w:rPr>
                <w:sz w:val="20"/>
                <w:szCs w:val="20"/>
                <w:color w:val="auto"/>
              </w:rPr>
            </w:pPr>
            <w:r>
              <w:rPr>
                <w:rFonts w:ascii="Arial" w:cs="Arial" w:eastAsia="Arial" w:hAnsi="Arial"/>
                <w:sz w:val="20"/>
                <w:szCs w:val="20"/>
                <w:color w:val="auto"/>
              </w:rPr>
              <w:t>1,577</w:t>
            </w:r>
          </w:p>
        </w:tc>
      </w:tr>
      <w:tr>
        <w:trPr>
          <w:trHeight w:val="284"/>
        </w:trPr>
        <w:tc>
          <w:tcPr>
            <w:tcW w:w="4640" w:type="dxa"/>
            <w:vAlign w:val="bottom"/>
          </w:tcPr>
          <w:p>
            <w:pPr>
              <w:spacing w:after="0"/>
              <w:rPr>
                <w:sz w:val="20"/>
                <w:szCs w:val="20"/>
                <w:color w:val="auto"/>
              </w:rPr>
            </w:pPr>
            <w:r>
              <w:rPr>
                <w:rFonts w:ascii="Arial" w:cs="Arial" w:eastAsia="Arial" w:hAnsi="Arial"/>
                <w:sz w:val="20"/>
                <w:szCs w:val="20"/>
                <w:color w:val="auto"/>
              </w:rPr>
              <w:t>License fees</w:t>
            </w:r>
          </w:p>
        </w:tc>
        <w:tc>
          <w:tcPr>
            <w:tcW w:w="180" w:type="dxa"/>
            <w:vAlign w:val="bottom"/>
          </w:tcPr>
          <w:p>
            <w:pPr>
              <w:spacing w:after="0"/>
              <w:rPr>
                <w:sz w:val="24"/>
                <w:szCs w:val="24"/>
                <w:color w:val="auto"/>
              </w:rPr>
            </w:pPr>
          </w:p>
        </w:tc>
        <w:tc>
          <w:tcPr>
            <w:tcW w:w="1560" w:type="dxa"/>
            <w:vAlign w:val="bottom"/>
          </w:tcPr>
          <w:p>
            <w:pPr>
              <w:jc w:val="right"/>
              <w:ind w:right="1"/>
              <w:spacing w:after="0"/>
              <w:rPr>
                <w:sz w:val="20"/>
                <w:szCs w:val="20"/>
                <w:color w:val="auto"/>
              </w:rPr>
            </w:pPr>
            <w:r>
              <w:rPr>
                <w:rFonts w:ascii="Arial" w:cs="Arial" w:eastAsia="Arial" w:hAnsi="Arial"/>
                <w:sz w:val="20"/>
                <w:szCs w:val="20"/>
                <w:color w:val="auto"/>
              </w:rPr>
              <w:t>2,005</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20"/>
                <w:szCs w:val="20"/>
                <w:color w:val="auto"/>
              </w:rPr>
              <w:t>(96)</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jc w:val="right"/>
              <w:ind w:right="1"/>
              <w:spacing w:after="0"/>
              <w:rPr>
                <w:sz w:val="20"/>
                <w:szCs w:val="20"/>
                <w:color w:val="auto"/>
              </w:rPr>
            </w:pPr>
            <w:r>
              <w:rPr>
                <w:rFonts w:ascii="Arial" w:cs="Arial" w:eastAsia="Arial" w:hAnsi="Arial"/>
                <w:sz w:val="20"/>
                <w:szCs w:val="20"/>
                <w:color w:val="auto"/>
              </w:rPr>
              <w:t>1,909</w:t>
            </w:r>
          </w:p>
        </w:tc>
      </w:tr>
      <w:tr>
        <w:trPr>
          <w:trHeight w:val="23"/>
        </w:trPr>
        <w:tc>
          <w:tcPr>
            <w:tcW w:w="46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72"/>
        </w:trPr>
        <w:tc>
          <w:tcPr>
            <w:tcW w:w="4640" w:type="dxa"/>
            <w:vAlign w:val="bottom"/>
          </w:tcPr>
          <w:p>
            <w:pPr>
              <w:ind w:left="560"/>
              <w:spacing w:after="0"/>
              <w:rPr>
                <w:sz w:val="20"/>
                <w:szCs w:val="20"/>
                <w:color w:val="auto"/>
              </w:rPr>
            </w:pPr>
            <w:r>
              <w:rPr>
                <w:rFonts w:ascii="Arial" w:cs="Arial" w:eastAsia="Arial" w:hAnsi="Arial"/>
                <w:sz w:val="20"/>
                <w:szCs w:val="20"/>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5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4,379</w:t>
            </w:r>
          </w:p>
        </w:tc>
        <w:tc>
          <w:tcPr>
            <w:tcW w:w="100" w:type="dxa"/>
            <w:vAlign w:val="bottom"/>
          </w:tcPr>
          <w:p>
            <w:pPr>
              <w:spacing w:after="0"/>
              <w:rPr>
                <w:sz w:val="23"/>
                <w:szCs w:val="23"/>
                <w:color w:val="auto"/>
              </w:rPr>
            </w:pPr>
          </w:p>
        </w:tc>
        <w:tc>
          <w:tcPr>
            <w:tcW w:w="122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(893)</w:t>
            </w:r>
          </w:p>
        </w:tc>
        <w:tc>
          <w:tcPr>
            <w:tcW w:w="120" w:type="dxa"/>
            <w:vAlign w:val="bottom"/>
          </w:tcPr>
          <w:p>
            <w:pPr>
              <w:spacing w:after="0"/>
              <w:rPr>
                <w:sz w:val="23"/>
                <w:szCs w:val="23"/>
                <w:color w:val="auto"/>
              </w:rPr>
            </w:pPr>
          </w:p>
        </w:tc>
        <w:tc>
          <w:tcPr>
            <w:tcW w:w="2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w w:val="89"/>
              </w:rPr>
              <w:t>¥</w:t>
            </w:r>
          </w:p>
        </w:tc>
        <w:tc>
          <w:tcPr>
            <w:tcW w:w="15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3,486</w:t>
            </w:r>
          </w:p>
        </w:tc>
      </w:tr>
      <w:tr>
        <w:trPr>
          <w:trHeight w:val="20"/>
        </w:trPr>
        <w:tc>
          <w:tcPr>
            <w:tcW w:w="4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tbl>
      <w:tblPr>
        <w:tblLayout w:type="fixed"/>
        <w:tblInd w:w="340" w:type="dxa"/>
        <w:tblCellMar>
          <w:top w:w="0" w:type="dxa"/>
          <w:left w:w="0" w:type="dxa"/>
          <w:bottom w:w="0" w:type="dxa"/>
          <w:right w:w="0" w:type="dxa"/>
        </w:tblCellMar>
      </w:tblPr>
      <w:tr>
        <w:trPr>
          <w:trHeight w:val="256"/>
        </w:trPr>
        <w:tc>
          <w:tcPr>
            <w:tcW w:w="4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60" w:type="dxa"/>
            <w:vAlign w:val="bottom"/>
            <w:gridSpan w:val="3"/>
          </w:tcPr>
          <w:p>
            <w:pPr>
              <w:ind w:left="240"/>
              <w:spacing w:after="0"/>
              <w:rPr>
                <w:sz w:val="20"/>
                <w:szCs w:val="20"/>
                <w:color w:val="auto"/>
              </w:rPr>
            </w:pPr>
            <w:r>
              <w:rPr>
                <w:rFonts w:ascii="Arial" w:cs="Arial" w:eastAsia="Arial" w:hAnsi="Arial"/>
                <w:sz w:val="20"/>
                <w:szCs w:val="20"/>
                <w:b w:val="1"/>
                <w:bCs w:val="1"/>
                <w:color w:val="auto"/>
              </w:rPr>
              <w:t>March 31, 2012</w:t>
            </w:r>
          </w:p>
        </w:tc>
        <w:tc>
          <w:tcPr>
            <w:tcW w:w="22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3"/>
        </w:trPr>
        <w:tc>
          <w:tcPr>
            <w:tcW w:w="46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7"/>
        </w:trPr>
        <w:tc>
          <w:tcPr>
            <w:tcW w:w="4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2"/>
          </w:tcPr>
          <w:p>
            <w:pPr>
              <w:jc w:val="center"/>
              <w:ind w:right="280"/>
              <w:spacing w:after="0" w:line="228" w:lineRule="exact"/>
              <w:rPr>
                <w:sz w:val="20"/>
                <w:szCs w:val="20"/>
                <w:color w:val="auto"/>
              </w:rPr>
            </w:pPr>
            <w:r>
              <w:rPr>
                <w:rFonts w:ascii="Arial" w:cs="Arial" w:eastAsia="Arial" w:hAnsi="Arial"/>
                <w:sz w:val="20"/>
                <w:szCs w:val="20"/>
                <w:b w:val="1"/>
                <w:bCs w:val="1"/>
                <w:color w:val="auto"/>
                <w:w w:val="88"/>
              </w:rPr>
              <w:t>Gross carrying</w:t>
            </w:r>
          </w:p>
        </w:tc>
        <w:tc>
          <w:tcPr>
            <w:tcW w:w="1260" w:type="dxa"/>
            <w:vAlign w:val="bottom"/>
          </w:tcPr>
          <w:p>
            <w:pPr>
              <w:ind w:left="20"/>
              <w:spacing w:after="0" w:line="228" w:lineRule="exact"/>
              <w:rPr>
                <w:sz w:val="20"/>
                <w:szCs w:val="20"/>
                <w:color w:val="auto"/>
              </w:rPr>
            </w:pPr>
            <w:r>
              <w:rPr>
                <w:rFonts w:ascii="Arial" w:cs="Arial" w:eastAsia="Arial" w:hAnsi="Arial"/>
                <w:sz w:val="20"/>
                <w:szCs w:val="20"/>
                <w:b w:val="1"/>
                <w:bCs w:val="1"/>
                <w:color w:val="auto"/>
                <w:w w:val="97"/>
              </w:rPr>
              <w:t>Accumulated</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ind w:right="241"/>
              <w:spacing w:after="0" w:line="228" w:lineRule="exact"/>
              <w:rPr>
                <w:sz w:val="20"/>
                <w:szCs w:val="20"/>
                <w:color w:val="auto"/>
              </w:rPr>
            </w:pPr>
            <w:r>
              <w:rPr>
                <w:rFonts w:ascii="Arial" w:cs="Arial" w:eastAsia="Arial" w:hAnsi="Arial"/>
                <w:sz w:val="20"/>
                <w:szCs w:val="20"/>
                <w:b w:val="1"/>
                <w:bCs w:val="1"/>
                <w:color w:val="auto"/>
                <w:w w:val="99"/>
              </w:rPr>
              <w:t>Net carrying</w:t>
            </w:r>
          </w:p>
        </w:tc>
      </w:tr>
      <w:tr>
        <w:trPr>
          <w:trHeight w:val="256"/>
        </w:trPr>
        <w:tc>
          <w:tcPr>
            <w:tcW w:w="4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20"/>
                <w:szCs w:val="20"/>
                <w:b w:val="1"/>
                <w:bCs w:val="1"/>
                <w:color w:val="auto"/>
                <w:w w:val="91"/>
              </w:rPr>
              <w:t>amount</w:t>
            </w:r>
          </w:p>
        </w:tc>
        <w:tc>
          <w:tcPr>
            <w:tcW w:w="1260" w:type="dxa"/>
            <w:vAlign w:val="bottom"/>
          </w:tcPr>
          <w:p>
            <w:pPr>
              <w:ind w:left="20"/>
              <w:spacing w:after="0"/>
              <w:rPr>
                <w:sz w:val="20"/>
                <w:szCs w:val="20"/>
                <w:color w:val="auto"/>
              </w:rPr>
            </w:pPr>
            <w:r>
              <w:rPr>
                <w:rFonts w:ascii="Arial" w:cs="Arial" w:eastAsia="Arial" w:hAnsi="Arial"/>
                <w:sz w:val="20"/>
                <w:szCs w:val="20"/>
                <w:b w:val="1"/>
                <w:bCs w:val="1"/>
                <w:color w:val="auto"/>
              </w:rPr>
              <w:t>amortization</w:t>
            </w: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20" w:type="dxa"/>
            <w:vAlign w:val="bottom"/>
          </w:tcPr>
          <w:p>
            <w:pPr>
              <w:jc w:val="right"/>
              <w:ind w:right="461"/>
              <w:spacing w:after="0"/>
              <w:rPr>
                <w:sz w:val="20"/>
                <w:szCs w:val="20"/>
                <w:color w:val="auto"/>
              </w:rPr>
            </w:pPr>
            <w:r>
              <w:rPr>
                <w:rFonts w:ascii="Arial" w:cs="Arial" w:eastAsia="Arial" w:hAnsi="Arial"/>
                <w:sz w:val="20"/>
                <w:szCs w:val="20"/>
                <w:b w:val="1"/>
                <w:bCs w:val="1"/>
                <w:color w:val="auto"/>
              </w:rPr>
              <w:t>amount</w:t>
            </w:r>
          </w:p>
        </w:tc>
      </w:tr>
      <w:tr>
        <w:trPr>
          <w:trHeight w:val="23"/>
        </w:trPr>
        <w:tc>
          <w:tcPr>
            <w:tcW w:w="46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54"/>
        </w:trPr>
        <w:tc>
          <w:tcPr>
            <w:tcW w:w="4640" w:type="dxa"/>
            <w:vAlign w:val="bottom"/>
          </w:tcPr>
          <w:p>
            <w:pPr>
              <w:spacing w:after="0"/>
              <w:rPr>
                <w:sz w:val="20"/>
                <w:szCs w:val="20"/>
                <w:color w:val="auto"/>
              </w:rPr>
            </w:pPr>
            <w:r>
              <w:rPr>
                <w:rFonts w:ascii="Arial" w:cs="Arial" w:eastAsia="Arial" w:hAnsi="Arial"/>
                <w:sz w:val="20"/>
                <w:szCs w:val="20"/>
                <w:color w:val="auto"/>
              </w:rPr>
              <w:t>Software</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1560" w:type="dxa"/>
            <w:vAlign w:val="bottom"/>
          </w:tcPr>
          <w:p>
            <w:pPr>
              <w:jc w:val="right"/>
              <w:ind w:right="1"/>
              <w:spacing w:after="0"/>
              <w:rPr>
                <w:sz w:val="20"/>
                <w:szCs w:val="20"/>
                <w:color w:val="auto"/>
              </w:rPr>
            </w:pPr>
            <w:r>
              <w:rPr>
                <w:rFonts w:ascii="Arial" w:cs="Arial" w:eastAsia="Arial" w:hAnsi="Arial"/>
                <w:sz w:val="20"/>
                <w:szCs w:val="20"/>
                <w:color w:val="auto"/>
              </w:rPr>
              <w:t>1,547</w:t>
            </w:r>
          </w:p>
        </w:tc>
        <w:tc>
          <w:tcPr>
            <w:tcW w:w="100" w:type="dxa"/>
            <w:vAlign w:val="bottom"/>
          </w:tcPr>
          <w:p>
            <w:pPr>
              <w:spacing w:after="0"/>
              <w:rPr>
                <w:sz w:val="22"/>
                <w:szCs w:val="22"/>
                <w:color w:val="auto"/>
              </w:rPr>
            </w:pPr>
          </w:p>
        </w:tc>
        <w:tc>
          <w:tcPr>
            <w:tcW w:w="1260" w:type="dxa"/>
            <w:vAlign w:val="bottom"/>
          </w:tcPr>
          <w:p>
            <w:pPr>
              <w:ind w:left="20"/>
              <w:spacing w:after="0"/>
              <w:rPr>
                <w:sz w:val="20"/>
                <w:szCs w:val="20"/>
                <w:color w:val="auto"/>
              </w:rPr>
            </w:pPr>
            <w:r>
              <w:rPr>
                <w:rFonts w:ascii="Arial" w:cs="Arial" w:eastAsia="Arial" w:hAnsi="Arial"/>
                <w:sz w:val="20"/>
                <w:szCs w:val="20"/>
                <w:color w:val="auto"/>
              </w:rPr>
              <w:t>¥</w:t>
            </w:r>
          </w:p>
        </w:tc>
        <w:tc>
          <w:tcPr>
            <w:tcW w:w="480" w:type="dxa"/>
            <w:vAlign w:val="bottom"/>
          </w:tcPr>
          <w:p>
            <w:pPr>
              <w:jc w:val="right"/>
              <w:spacing w:after="0"/>
              <w:rPr>
                <w:sz w:val="20"/>
                <w:szCs w:val="20"/>
                <w:color w:val="auto"/>
              </w:rPr>
            </w:pPr>
            <w:r>
              <w:rPr>
                <w:rFonts w:ascii="Arial" w:cs="Arial" w:eastAsia="Arial" w:hAnsi="Arial"/>
                <w:sz w:val="20"/>
                <w:szCs w:val="20"/>
                <w:color w:val="auto"/>
              </w:rPr>
              <w:t>(19)</w:t>
            </w:r>
          </w:p>
        </w:tc>
        <w:tc>
          <w:tcPr>
            <w:tcW w:w="120" w:type="dxa"/>
            <w:vAlign w:val="bottom"/>
          </w:tcPr>
          <w:p>
            <w:pPr>
              <w:spacing w:after="0"/>
              <w:rPr>
                <w:sz w:val="22"/>
                <w:szCs w:val="22"/>
                <w:color w:val="auto"/>
              </w:rPr>
            </w:pPr>
          </w:p>
        </w:tc>
        <w:tc>
          <w:tcPr>
            <w:tcW w:w="220" w:type="dxa"/>
            <w:vAlign w:val="bottom"/>
          </w:tcPr>
          <w:p>
            <w:pPr>
              <w:jc w:val="right"/>
              <w:ind w:right="1"/>
              <w:spacing w:after="0"/>
              <w:rPr>
                <w:sz w:val="20"/>
                <w:szCs w:val="20"/>
                <w:color w:val="auto"/>
              </w:rPr>
            </w:pPr>
            <w:r>
              <w:rPr>
                <w:rFonts w:ascii="Arial" w:cs="Arial" w:eastAsia="Arial" w:hAnsi="Arial"/>
                <w:sz w:val="20"/>
                <w:szCs w:val="20"/>
                <w:color w:val="auto"/>
                <w:w w:val="89"/>
              </w:rPr>
              <w:t>¥</w:t>
            </w:r>
          </w:p>
        </w:tc>
        <w:tc>
          <w:tcPr>
            <w:tcW w:w="1520" w:type="dxa"/>
            <w:vAlign w:val="bottom"/>
          </w:tcPr>
          <w:p>
            <w:pPr>
              <w:jc w:val="right"/>
              <w:ind w:right="1"/>
              <w:spacing w:after="0"/>
              <w:rPr>
                <w:sz w:val="20"/>
                <w:szCs w:val="20"/>
                <w:color w:val="auto"/>
              </w:rPr>
            </w:pPr>
            <w:r>
              <w:rPr>
                <w:rFonts w:ascii="Arial" w:cs="Arial" w:eastAsia="Arial" w:hAnsi="Arial"/>
                <w:sz w:val="20"/>
                <w:szCs w:val="20"/>
                <w:color w:val="auto"/>
              </w:rPr>
              <w:t>1,528</w:t>
            </w:r>
          </w:p>
        </w:tc>
      </w:tr>
      <w:tr>
        <w:trPr>
          <w:trHeight w:val="284"/>
        </w:trPr>
        <w:tc>
          <w:tcPr>
            <w:tcW w:w="4640" w:type="dxa"/>
            <w:vAlign w:val="bottom"/>
          </w:tcPr>
          <w:p>
            <w:pPr>
              <w:spacing w:after="0"/>
              <w:rPr>
                <w:sz w:val="20"/>
                <w:szCs w:val="20"/>
                <w:color w:val="auto"/>
              </w:rPr>
            </w:pPr>
            <w:r>
              <w:rPr>
                <w:rFonts w:ascii="Arial" w:cs="Arial" w:eastAsia="Arial" w:hAnsi="Arial"/>
                <w:sz w:val="20"/>
                <w:szCs w:val="20"/>
                <w:color w:val="auto"/>
              </w:rPr>
              <w:t>License fees</w:t>
            </w:r>
          </w:p>
        </w:tc>
        <w:tc>
          <w:tcPr>
            <w:tcW w:w="180" w:type="dxa"/>
            <w:vAlign w:val="bottom"/>
          </w:tcPr>
          <w:p>
            <w:pPr>
              <w:spacing w:after="0"/>
              <w:rPr>
                <w:sz w:val="24"/>
                <w:szCs w:val="24"/>
                <w:color w:val="auto"/>
              </w:rPr>
            </w:pPr>
          </w:p>
        </w:tc>
        <w:tc>
          <w:tcPr>
            <w:tcW w:w="1560" w:type="dxa"/>
            <w:vAlign w:val="bottom"/>
          </w:tcPr>
          <w:p>
            <w:pPr>
              <w:jc w:val="right"/>
              <w:ind w:right="1"/>
              <w:spacing w:after="0"/>
              <w:rPr>
                <w:sz w:val="20"/>
                <w:szCs w:val="20"/>
                <w:color w:val="auto"/>
              </w:rPr>
            </w:pPr>
            <w:r>
              <w:rPr>
                <w:rFonts w:ascii="Arial" w:cs="Arial" w:eastAsia="Arial" w:hAnsi="Arial"/>
                <w:sz w:val="20"/>
                <w:szCs w:val="20"/>
                <w:color w:val="auto"/>
              </w:rPr>
              <w:t>279</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4"/>
                <w:szCs w:val="24"/>
                <w:color w:val="auto"/>
              </w:rPr>
            </w:pPr>
          </w:p>
        </w:tc>
        <w:tc>
          <w:tcPr>
            <w:tcW w:w="1520" w:type="dxa"/>
            <w:vAlign w:val="bottom"/>
          </w:tcPr>
          <w:p>
            <w:pPr>
              <w:jc w:val="right"/>
              <w:ind w:right="1"/>
              <w:spacing w:after="0"/>
              <w:rPr>
                <w:sz w:val="20"/>
                <w:szCs w:val="20"/>
                <w:color w:val="auto"/>
              </w:rPr>
            </w:pPr>
            <w:r>
              <w:rPr>
                <w:rFonts w:ascii="Arial" w:cs="Arial" w:eastAsia="Arial" w:hAnsi="Arial"/>
                <w:sz w:val="20"/>
                <w:szCs w:val="20"/>
                <w:color w:val="auto"/>
              </w:rPr>
              <w:t>279</w:t>
            </w:r>
          </w:p>
        </w:tc>
      </w:tr>
      <w:tr>
        <w:trPr>
          <w:trHeight w:val="23"/>
        </w:trPr>
        <w:tc>
          <w:tcPr>
            <w:tcW w:w="46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72"/>
        </w:trPr>
        <w:tc>
          <w:tcPr>
            <w:tcW w:w="4640" w:type="dxa"/>
            <w:vAlign w:val="bottom"/>
          </w:tcPr>
          <w:p>
            <w:pPr>
              <w:ind w:left="560"/>
              <w:spacing w:after="0"/>
              <w:rPr>
                <w:sz w:val="20"/>
                <w:szCs w:val="20"/>
                <w:color w:val="auto"/>
              </w:rPr>
            </w:pPr>
            <w:r>
              <w:rPr>
                <w:rFonts w:ascii="Arial" w:cs="Arial" w:eastAsia="Arial" w:hAnsi="Arial"/>
                <w:sz w:val="20"/>
                <w:szCs w:val="20"/>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5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1,826</w:t>
            </w:r>
          </w:p>
        </w:tc>
        <w:tc>
          <w:tcPr>
            <w:tcW w:w="100" w:type="dxa"/>
            <w:vAlign w:val="bottom"/>
          </w:tcPr>
          <w:p>
            <w:pPr>
              <w:spacing w:after="0"/>
              <w:rPr>
                <w:sz w:val="23"/>
                <w:szCs w:val="23"/>
                <w:color w:val="auto"/>
              </w:rPr>
            </w:pPr>
          </w:p>
        </w:tc>
        <w:tc>
          <w:tcPr>
            <w:tcW w:w="126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w:t>
            </w:r>
          </w:p>
        </w:tc>
        <w:tc>
          <w:tcPr>
            <w:tcW w:w="120" w:type="dxa"/>
            <w:vAlign w:val="bottom"/>
          </w:tcPr>
          <w:p>
            <w:pPr>
              <w:spacing w:after="0"/>
              <w:rPr>
                <w:sz w:val="23"/>
                <w:szCs w:val="23"/>
                <w:color w:val="auto"/>
              </w:rPr>
            </w:pPr>
          </w:p>
        </w:tc>
        <w:tc>
          <w:tcPr>
            <w:tcW w:w="2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w w:val="89"/>
              </w:rPr>
              <w:t>¥</w:t>
            </w:r>
          </w:p>
        </w:tc>
        <w:tc>
          <w:tcPr>
            <w:tcW w:w="15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1,807</w:t>
            </w:r>
          </w:p>
        </w:tc>
      </w:tr>
      <w:tr>
        <w:trPr>
          <w:trHeight w:val="20"/>
        </w:trPr>
        <w:tc>
          <w:tcPr>
            <w:tcW w:w="4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ind w:left="320"/>
        <w:spacing w:after="0" w:line="260" w:lineRule="auto"/>
        <w:rPr>
          <w:sz w:val="20"/>
          <w:szCs w:val="20"/>
          <w:color w:val="auto"/>
        </w:rPr>
      </w:pPr>
      <w:r>
        <w:rPr>
          <w:rFonts w:ascii="Arial" w:cs="Arial" w:eastAsia="Arial" w:hAnsi="Arial"/>
          <w:sz w:val="20"/>
          <w:szCs w:val="20"/>
          <w:color w:val="auto"/>
        </w:rPr>
        <w:t>During the eleven months ended February 28, 2013 and the year ended March 31, 2012, impairment of intangible assets of nil and ¥11,924 were recorded, respectively.</w:t>
      </w:r>
    </w:p>
    <w:p>
      <w:pPr>
        <w:spacing w:after="0" w:line="204" w:lineRule="exact"/>
        <w:rPr>
          <w:sz w:val="20"/>
          <w:szCs w:val="20"/>
          <w:color w:val="auto"/>
        </w:rPr>
      </w:pPr>
    </w:p>
    <w:p>
      <w:pPr>
        <w:ind w:left="320"/>
        <w:spacing w:after="0" w:line="316" w:lineRule="auto"/>
        <w:rPr>
          <w:sz w:val="20"/>
          <w:szCs w:val="20"/>
          <w:color w:val="auto"/>
        </w:rPr>
      </w:pPr>
      <w:r>
        <w:rPr>
          <w:rFonts w:ascii="Arial" w:cs="Arial" w:eastAsia="Arial" w:hAnsi="Arial"/>
          <w:sz w:val="18"/>
          <w:szCs w:val="18"/>
          <w:color w:val="auto"/>
        </w:rPr>
        <w:t>Aggregate amortization expense for intangible assets subject to amortization was ¥805 and ¥7,245 for the eleven months ended February 28, 2013 and the year ended March 31, 2012, respectively. Estimated amortization expense for the next five fiscal years is as follows:</w:t>
      </w:r>
    </w:p>
    <w:p>
      <w:pPr>
        <w:spacing w:after="0" w:line="211" w:lineRule="exact"/>
        <w:rPr>
          <w:sz w:val="20"/>
          <w:szCs w:val="20"/>
          <w:color w:val="auto"/>
        </w:rPr>
      </w:pPr>
    </w:p>
    <w:tbl>
      <w:tblPr>
        <w:tblLayout w:type="fixed"/>
        <w:tblInd w:w="820" w:type="dxa"/>
        <w:tblCellMar>
          <w:top w:w="0" w:type="dxa"/>
          <w:left w:w="0" w:type="dxa"/>
          <w:bottom w:w="0" w:type="dxa"/>
          <w:right w:w="0" w:type="dxa"/>
        </w:tblCellMar>
      </w:tblPr>
      <w:tr>
        <w:trPr>
          <w:trHeight w:val="250"/>
        </w:trPr>
        <w:tc>
          <w:tcPr>
            <w:tcW w:w="4300" w:type="dxa"/>
            <w:vAlign w:val="bottom"/>
          </w:tcPr>
          <w:p>
            <w:pPr>
              <w:jc w:val="right"/>
              <w:ind w:right="1821"/>
              <w:spacing w:after="0"/>
              <w:rPr>
                <w:sz w:val="20"/>
                <w:szCs w:val="20"/>
                <w:color w:val="auto"/>
              </w:rPr>
            </w:pPr>
            <w:r>
              <w:rPr>
                <w:rFonts w:ascii="Arial" w:cs="Arial" w:eastAsia="Arial" w:hAnsi="Arial"/>
                <w:sz w:val="20"/>
                <w:szCs w:val="20"/>
                <w:color w:val="auto"/>
                <w:w w:val="89"/>
              </w:rPr>
              <w:t>Fiscal year ending August 31:</w:t>
            </w:r>
          </w:p>
        </w:tc>
        <w:tc>
          <w:tcPr>
            <w:tcW w:w="26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84"/>
        </w:trPr>
        <w:tc>
          <w:tcPr>
            <w:tcW w:w="4300" w:type="dxa"/>
            <w:vAlign w:val="bottom"/>
          </w:tcPr>
          <w:p>
            <w:pPr>
              <w:jc w:val="right"/>
              <w:ind w:right="3441"/>
              <w:spacing w:after="0"/>
              <w:rPr>
                <w:sz w:val="20"/>
                <w:szCs w:val="20"/>
                <w:color w:val="auto"/>
              </w:rPr>
            </w:pPr>
            <w:r>
              <w:rPr>
                <w:rFonts w:ascii="Arial" w:cs="Arial" w:eastAsia="Arial" w:hAnsi="Arial"/>
                <w:sz w:val="20"/>
                <w:szCs w:val="20"/>
                <w:color w:val="auto"/>
              </w:rPr>
              <w:t>2013</w:t>
            </w:r>
          </w:p>
        </w:tc>
        <w:tc>
          <w:tcPr>
            <w:tcW w:w="2600" w:type="dxa"/>
            <w:vAlign w:val="bottom"/>
          </w:tcPr>
          <w:p>
            <w:pPr>
              <w:jc w:val="right"/>
              <w:ind w:right="501"/>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637</w:t>
            </w:r>
          </w:p>
        </w:tc>
      </w:tr>
      <w:tr>
        <w:trPr>
          <w:trHeight w:val="284"/>
        </w:trPr>
        <w:tc>
          <w:tcPr>
            <w:tcW w:w="4300" w:type="dxa"/>
            <w:vAlign w:val="bottom"/>
          </w:tcPr>
          <w:p>
            <w:pPr>
              <w:jc w:val="right"/>
              <w:ind w:right="3441"/>
              <w:spacing w:after="0"/>
              <w:rPr>
                <w:sz w:val="20"/>
                <w:szCs w:val="20"/>
                <w:color w:val="auto"/>
              </w:rPr>
            </w:pPr>
            <w:r>
              <w:rPr>
                <w:rFonts w:ascii="Arial" w:cs="Arial" w:eastAsia="Arial" w:hAnsi="Arial"/>
                <w:sz w:val="20"/>
                <w:szCs w:val="20"/>
                <w:color w:val="auto"/>
              </w:rPr>
              <w:t>2014</w:t>
            </w:r>
          </w:p>
        </w:tc>
        <w:tc>
          <w:tcPr>
            <w:tcW w:w="26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977</w:t>
            </w:r>
          </w:p>
        </w:tc>
      </w:tr>
      <w:tr>
        <w:trPr>
          <w:trHeight w:val="284"/>
        </w:trPr>
        <w:tc>
          <w:tcPr>
            <w:tcW w:w="4300" w:type="dxa"/>
            <w:vAlign w:val="bottom"/>
          </w:tcPr>
          <w:p>
            <w:pPr>
              <w:jc w:val="right"/>
              <w:ind w:right="3441"/>
              <w:spacing w:after="0"/>
              <w:rPr>
                <w:sz w:val="20"/>
                <w:szCs w:val="20"/>
                <w:color w:val="auto"/>
              </w:rPr>
            </w:pPr>
            <w:r>
              <w:rPr>
                <w:rFonts w:ascii="Arial" w:cs="Arial" w:eastAsia="Arial" w:hAnsi="Arial"/>
                <w:sz w:val="20"/>
                <w:szCs w:val="20"/>
                <w:color w:val="auto"/>
              </w:rPr>
              <w:t>2015</w:t>
            </w:r>
          </w:p>
        </w:tc>
        <w:tc>
          <w:tcPr>
            <w:tcW w:w="26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645</w:t>
            </w:r>
          </w:p>
        </w:tc>
      </w:tr>
      <w:tr>
        <w:trPr>
          <w:trHeight w:val="284"/>
        </w:trPr>
        <w:tc>
          <w:tcPr>
            <w:tcW w:w="4300" w:type="dxa"/>
            <w:vAlign w:val="bottom"/>
          </w:tcPr>
          <w:p>
            <w:pPr>
              <w:jc w:val="right"/>
              <w:ind w:right="3441"/>
              <w:spacing w:after="0"/>
              <w:rPr>
                <w:sz w:val="20"/>
                <w:szCs w:val="20"/>
                <w:color w:val="auto"/>
              </w:rPr>
            </w:pPr>
            <w:r>
              <w:rPr>
                <w:rFonts w:ascii="Arial" w:cs="Arial" w:eastAsia="Arial" w:hAnsi="Arial"/>
                <w:sz w:val="20"/>
                <w:szCs w:val="20"/>
                <w:color w:val="auto"/>
              </w:rPr>
              <w:t>2016</w:t>
            </w:r>
          </w:p>
        </w:tc>
        <w:tc>
          <w:tcPr>
            <w:tcW w:w="26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529</w:t>
            </w:r>
          </w:p>
        </w:tc>
      </w:tr>
      <w:tr>
        <w:trPr>
          <w:trHeight w:val="284"/>
        </w:trPr>
        <w:tc>
          <w:tcPr>
            <w:tcW w:w="4300" w:type="dxa"/>
            <w:vAlign w:val="bottom"/>
          </w:tcPr>
          <w:p>
            <w:pPr>
              <w:jc w:val="right"/>
              <w:ind w:right="3441"/>
              <w:spacing w:after="0"/>
              <w:rPr>
                <w:sz w:val="20"/>
                <w:szCs w:val="20"/>
                <w:color w:val="auto"/>
              </w:rPr>
            </w:pPr>
            <w:r>
              <w:rPr>
                <w:rFonts w:ascii="Arial" w:cs="Arial" w:eastAsia="Arial" w:hAnsi="Arial"/>
                <w:sz w:val="20"/>
                <w:szCs w:val="20"/>
                <w:color w:val="auto"/>
              </w:rPr>
              <w:t>2017</w:t>
            </w:r>
          </w:p>
        </w:tc>
        <w:tc>
          <w:tcPr>
            <w:tcW w:w="26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506</w:t>
            </w:r>
          </w:p>
        </w:tc>
      </w:tr>
    </w:tbl>
    <w:p>
      <w:pPr>
        <w:spacing w:after="0" w:line="162" w:lineRule="exact"/>
        <w:rPr>
          <w:sz w:val="20"/>
          <w:szCs w:val="20"/>
          <w:color w:val="auto"/>
        </w:rPr>
      </w:pPr>
    </w:p>
    <w:p>
      <w:pPr>
        <w:ind w:left="340" w:hanging="338"/>
        <w:spacing w:after="0"/>
        <w:tabs>
          <w:tab w:leader="none" w:pos="340" w:val="left"/>
        </w:tabs>
        <w:numPr>
          <w:ilvl w:val="0"/>
          <w:numId w:val="20"/>
        </w:numPr>
        <w:rPr>
          <w:rFonts w:ascii="Arial" w:cs="Arial" w:eastAsia="Arial" w:hAnsi="Arial"/>
          <w:sz w:val="20"/>
          <w:szCs w:val="20"/>
          <w:b w:val="1"/>
          <w:bCs w:val="1"/>
          <w:color w:val="auto"/>
        </w:rPr>
      </w:pPr>
      <w:r>
        <w:rPr>
          <w:rFonts w:ascii="Arial" w:cs="Arial" w:eastAsia="Arial" w:hAnsi="Arial"/>
          <w:sz w:val="20"/>
          <w:szCs w:val="20"/>
          <w:b w:val="1"/>
          <w:bCs w:val="1"/>
          <w:color w:val="auto"/>
        </w:rPr>
        <w:t>Derivative Instruments and Hedging Activities</w:t>
      </w:r>
    </w:p>
    <w:p>
      <w:pPr>
        <w:spacing w:after="0" w:line="113" w:lineRule="exact"/>
        <w:rPr>
          <w:rFonts w:ascii="Arial" w:cs="Arial" w:eastAsia="Arial" w:hAnsi="Arial"/>
          <w:sz w:val="20"/>
          <w:szCs w:val="20"/>
          <w:b w:val="1"/>
          <w:bCs w:val="1"/>
          <w:color w:val="auto"/>
        </w:rPr>
      </w:pPr>
    </w:p>
    <w:p>
      <w:pPr>
        <w:jc w:val="both"/>
        <w:ind w:left="320"/>
        <w:spacing w:after="0" w:line="259" w:lineRule="auto"/>
        <w:rPr>
          <w:rFonts w:ascii="Arial" w:cs="Arial" w:eastAsia="Arial" w:hAnsi="Arial"/>
          <w:sz w:val="20"/>
          <w:szCs w:val="20"/>
          <w:b w:val="1"/>
          <w:bCs w:val="1"/>
          <w:color w:val="auto"/>
        </w:rPr>
      </w:pPr>
      <w:r>
        <w:rPr>
          <w:rFonts w:ascii="Arial" w:cs="Arial" w:eastAsia="Arial" w:hAnsi="Arial"/>
          <w:sz w:val="19"/>
          <w:szCs w:val="19"/>
          <w:color w:val="auto"/>
        </w:rPr>
        <w:t>The Company has entered into interest rate swap agreements to manage the exposure to interest rate risk associated with its underlying debt and foreign exchange forward contracts to offset the adverse impact of fluctuations in foreign exchange rates on accounts receivable and accounts payable denominated in foreign currencies arising from the Company’s operating activities. Neither the interest rate swap agreements nor the foreign exchange forward contracts are designated as hedging instruments under ASC 815, and changes in fair value of both interest rate swap agreements and foreign exchange forward contracts are recognized in income. The related receivable or payable is included in other current assets or other current liabilities.</w:t>
      </w:r>
    </w:p>
    <w:p>
      <w:pPr>
        <w:spacing w:after="0" w:line="97" w:lineRule="exact"/>
        <w:rPr>
          <w:rFonts w:ascii="Arial" w:cs="Arial" w:eastAsia="Arial" w:hAnsi="Arial"/>
          <w:sz w:val="20"/>
          <w:szCs w:val="20"/>
          <w:b w:val="1"/>
          <w:bCs w:val="1"/>
          <w:color w:val="auto"/>
        </w:rPr>
      </w:pPr>
    </w:p>
    <w:p>
      <w:pPr>
        <w:jc w:val="both"/>
        <w:ind w:left="320"/>
        <w:spacing w:after="0" w:line="250" w:lineRule="auto"/>
        <w:rPr>
          <w:rFonts w:ascii="Arial" w:cs="Arial" w:eastAsia="Arial" w:hAnsi="Arial"/>
          <w:sz w:val="20"/>
          <w:szCs w:val="20"/>
          <w:b w:val="1"/>
          <w:bCs w:val="1"/>
          <w:color w:val="auto"/>
        </w:rPr>
      </w:pPr>
      <w:r>
        <w:rPr>
          <w:rFonts w:ascii="Arial" w:cs="Arial" w:eastAsia="Arial" w:hAnsi="Arial"/>
          <w:sz w:val="20"/>
          <w:szCs w:val="20"/>
          <w:color w:val="auto"/>
        </w:rPr>
        <w:t>The counterparties to the Company’s interest rate swap agreements and foreign exchange forward contracts are major financial institutions. As a normal business risk, the Company is exposed to credit loss in the event of nonperformance by the counterparties; however, the Company does not anticipate nonperformance</w:t>
      </w:r>
    </w:p>
    <w:p>
      <w:pPr>
        <w:spacing w:after="0" w:line="351" w:lineRule="exact"/>
        <w:rPr>
          <w:sz w:val="20"/>
          <w:szCs w:val="20"/>
          <w:color w:val="auto"/>
        </w:rPr>
      </w:pPr>
    </w:p>
    <w:p>
      <w:pPr>
        <w:ind w:left="11220"/>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00"/>
          </w:cols>
          <w:pgMar w:left="260" w:top="553" w:right="239" w:bottom="1440" w:gutter="0" w:footer="0" w:header="0"/>
        </w:sectPr>
      </w:pPr>
    </w:p>
    <w:bookmarkStart w:id="30" w:name="page31"/>
    <w:bookmarkEnd w:id="30"/>
    <w:p>
      <w:pPr>
        <w:jc w:val="center"/>
        <w:ind w:right="20"/>
        <w:spacing w:after="0"/>
        <w:rPr>
          <w:sz w:val="20"/>
          <w:szCs w:val="20"/>
          <w:color w:val="auto"/>
        </w:rPr>
      </w:pPr>
      <w:r>
        <w:rPr>
          <w:rFonts w:ascii="Arial" w:cs="Arial" w:eastAsia="Arial" w:hAnsi="Arial"/>
          <w:sz w:val="18"/>
          <w:szCs w:val="18"/>
          <w:b w:val="1"/>
          <w:bCs w:val="1"/>
          <w:color w:val="auto"/>
        </w:rPr>
        <w:t>ELPIDA MEMORY,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(DEBTORS-IN-POSSESSION)</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1" w:lineRule="exact"/>
        <w:rPr>
          <w:sz w:val="20"/>
          <w:szCs w:val="20"/>
          <w:color w:val="auto"/>
        </w:rPr>
      </w:pPr>
    </w:p>
    <w:p>
      <w:pPr>
        <w:ind w:left="320"/>
        <w:spacing w:after="0"/>
        <w:rPr>
          <w:sz w:val="20"/>
          <w:szCs w:val="20"/>
          <w:color w:val="auto"/>
        </w:rPr>
      </w:pPr>
      <w:r>
        <w:rPr>
          <w:rFonts w:ascii="Arial" w:cs="Arial" w:eastAsia="Arial" w:hAnsi="Arial"/>
          <w:sz w:val="20"/>
          <w:szCs w:val="20"/>
          <w:color w:val="auto"/>
        </w:rPr>
        <w:t>by the counterparties to these agreements, and no material losses are expected.</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20"/>
          <w:szCs w:val="20"/>
          <w:color w:val="auto"/>
        </w:rPr>
        <w:t>There were no derivative instruments held at February 28, 2013 and March 31, 2012.</w:t>
      </w:r>
    </w:p>
    <w:p>
      <w:pPr>
        <w:spacing w:after="0" w:line="135" w:lineRule="exact"/>
        <w:rPr>
          <w:sz w:val="20"/>
          <w:szCs w:val="20"/>
          <w:color w:val="auto"/>
        </w:rPr>
      </w:pPr>
    </w:p>
    <w:p>
      <w:pPr>
        <w:ind w:left="320" w:right="20"/>
        <w:spacing w:after="0" w:line="260" w:lineRule="auto"/>
        <w:rPr>
          <w:sz w:val="20"/>
          <w:szCs w:val="20"/>
          <w:color w:val="auto"/>
        </w:rPr>
      </w:pPr>
      <w:r>
        <w:rPr>
          <w:rFonts w:ascii="Arial" w:cs="Arial" w:eastAsia="Arial" w:hAnsi="Arial"/>
          <w:sz w:val="20"/>
          <w:szCs w:val="20"/>
          <w:color w:val="auto"/>
        </w:rPr>
        <w:t>The effect of derivative instruments on the consolidated statements of operations for the eleven months ended February 28, 2013 and the year ended March 31, 2012 was as follows:</w:t>
      </w:r>
    </w:p>
    <w:p>
      <w:pPr>
        <w:spacing w:after="0" w:line="252" w:lineRule="exact"/>
        <w:rPr>
          <w:sz w:val="20"/>
          <w:szCs w:val="20"/>
          <w:color w:val="auto"/>
        </w:rPr>
      </w:pPr>
    </w:p>
    <w:tbl>
      <w:tblPr>
        <w:tblLayout w:type="fixed"/>
        <w:tblInd w:w="340" w:type="dxa"/>
        <w:tblCellMar>
          <w:top w:w="0" w:type="dxa"/>
          <w:left w:w="0" w:type="dxa"/>
          <w:bottom w:w="0" w:type="dxa"/>
          <w:right w:w="0" w:type="dxa"/>
        </w:tblCellMar>
      </w:tblPr>
      <w:tr>
        <w:trPr>
          <w:trHeight w:val="256"/>
        </w:trPr>
        <w:tc>
          <w:tcPr>
            <w:tcW w:w="4120" w:type="dxa"/>
            <w:vAlign w:val="bottom"/>
          </w:tcPr>
          <w:p>
            <w:pPr>
              <w:spacing w:after="0"/>
              <w:rPr>
                <w:sz w:val="22"/>
                <w:szCs w:val="22"/>
                <w:color w:val="auto"/>
              </w:rPr>
            </w:pPr>
          </w:p>
        </w:tc>
        <w:tc>
          <w:tcPr>
            <w:tcW w:w="4820" w:type="dxa"/>
            <w:vAlign w:val="bottom"/>
            <w:gridSpan w:val="5"/>
          </w:tcPr>
          <w:p>
            <w:pPr>
              <w:ind w:left="1020"/>
              <w:spacing w:after="0"/>
              <w:rPr>
                <w:sz w:val="20"/>
                <w:szCs w:val="20"/>
                <w:color w:val="auto"/>
              </w:rPr>
            </w:pPr>
            <w:r>
              <w:rPr>
                <w:rFonts w:ascii="Arial" w:cs="Arial" w:eastAsia="Arial" w:hAnsi="Arial"/>
                <w:sz w:val="20"/>
                <w:szCs w:val="20"/>
                <w:b w:val="1"/>
                <w:bCs w:val="1"/>
                <w:color w:val="auto"/>
                <w:w w:val="86"/>
              </w:rPr>
              <w:t>Recognized as loss on derivative instruments</w:t>
            </w:r>
          </w:p>
        </w:tc>
        <w:tc>
          <w:tcPr>
            <w:tcW w:w="1000" w:type="dxa"/>
            <w:vAlign w:val="bottom"/>
          </w:tcPr>
          <w:p>
            <w:pPr>
              <w:spacing w:after="0"/>
              <w:rPr>
                <w:sz w:val="22"/>
                <w:szCs w:val="22"/>
                <w:color w:val="auto"/>
              </w:rPr>
            </w:pPr>
          </w:p>
        </w:tc>
      </w:tr>
      <w:tr>
        <w:trPr>
          <w:trHeight w:val="23"/>
        </w:trPr>
        <w:tc>
          <w:tcPr>
            <w:tcW w:w="4120" w:type="dxa"/>
            <w:vAlign w:val="bottom"/>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7"/>
        </w:trPr>
        <w:tc>
          <w:tcPr>
            <w:tcW w:w="41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gridSpan w:val="2"/>
          </w:tcPr>
          <w:p>
            <w:pPr>
              <w:jc w:val="center"/>
              <w:ind w:right="300"/>
              <w:spacing w:after="0" w:line="228" w:lineRule="exact"/>
              <w:rPr>
                <w:sz w:val="20"/>
                <w:szCs w:val="20"/>
                <w:color w:val="auto"/>
              </w:rPr>
            </w:pPr>
            <w:r>
              <w:rPr>
                <w:rFonts w:ascii="Arial" w:cs="Arial" w:eastAsia="Arial" w:hAnsi="Arial"/>
                <w:sz w:val="20"/>
                <w:szCs w:val="20"/>
                <w:b w:val="1"/>
                <w:bCs w:val="1"/>
                <w:color w:val="auto"/>
                <w:w w:val="88"/>
              </w:rPr>
              <w:t>Eleven months</w:t>
            </w:r>
          </w:p>
        </w:tc>
        <w:tc>
          <w:tcPr>
            <w:tcW w:w="520" w:type="dxa"/>
            <w:vAlign w:val="bottom"/>
          </w:tcPr>
          <w:p>
            <w:pPr>
              <w:spacing w:after="0"/>
              <w:rPr>
                <w:sz w:val="19"/>
                <w:szCs w:val="19"/>
                <w:color w:val="auto"/>
              </w:rPr>
            </w:pPr>
          </w:p>
        </w:tc>
        <w:tc>
          <w:tcPr>
            <w:tcW w:w="1000" w:type="dxa"/>
            <w:vAlign w:val="bottom"/>
          </w:tcPr>
          <w:p>
            <w:pPr>
              <w:jc w:val="right"/>
              <w:ind w:right="461"/>
              <w:spacing w:after="0" w:line="228" w:lineRule="exact"/>
              <w:rPr>
                <w:sz w:val="20"/>
                <w:szCs w:val="20"/>
                <w:color w:val="auto"/>
              </w:rPr>
            </w:pPr>
            <w:r>
              <w:rPr>
                <w:rFonts w:ascii="Arial" w:cs="Arial" w:eastAsia="Arial" w:hAnsi="Arial"/>
                <w:sz w:val="20"/>
                <w:szCs w:val="20"/>
                <w:b w:val="1"/>
                <w:bCs w:val="1"/>
                <w:color w:val="auto"/>
                <w:w w:val="96"/>
              </w:rPr>
              <w:t>Year</w:t>
            </w:r>
          </w:p>
        </w:tc>
      </w:tr>
      <w:tr>
        <w:trPr>
          <w:trHeight w:val="230"/>
        </w:trPr>
        <w:tc>
          <w:tcPr>
            <w:tcW w:w="41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920" w:type="dxa"/>
            <w:vAlign w:val="bottom"/>
            <w:gridSpan w:val="3"/>
          </w:tcPr>
          <w:p>
            <w:pPr>
              <w:jc w:val="center"/>
              <w:ind w:right="100"/>
              <w:spacing w:after="0"/>
              <w:rPr>
                <w:sz w:val="20"/>
                <w:szCs w:val="20"/>
                <w:color w:val="auto"/>
              </w:rPr>
            </w:pPr>
            <w:r>
              <w:rPr>
                <w:rFonts w:ascii="Arial" w:cs="Arial" w:eastAsia="Arial" w:hAnsi="Arial"/>
                <w:sz w:val="20"/>
                <w:szCs w:val="20"/>
                <w:b w:val="1"/>
                <w:bCs w:val="1"/>
                <w:color w:val="auto"/>
                <w:w w:val="90"/>
              </w:rPr>
              <w:t>ended February 28,</w:t>
            </w:r>
          </w:p>
        </w:tc>
        <w:tc>
          <w:tcPr>
            <w:tcW w:w="1520" w:type="dxa"/>
            <w:vAlign w:val="bottom"/>
            <w:gridSpan w:val="2"/>
          </w:tcPr>
          <w:p>
            <w:pPr>
              <w:ind w:left="60"/>
              <w:spacing w:after="0"/>
              <w:rPr>
                <w:sz w:val="20"/>
                <w:szCs w:val="20"/>
                <w:color w:val="auto"/>
              </w:rPr>
            </w:pPr>
            <w:r>
              <w:rPr>
                <w:rFonts w:ascii="Arial" w:cs="Arial" w:eastAsia="Arial" w:hAnsi="Arial"/>
                <w:sz w:val="20"/>
                <w:szCs w:val="20"/>
                <w:b w:val="1"/>
                <w:bCs w:val="1"/>
                <w:color w:val="auto"/>
                <w:w w:val="91"/>
              </w:rPr>
              <w:t>ended March 31,</w:t>
            </w:r>
          </w:p>
        </w:tc>
      </w:tr>
      <w:tr>
        <w:trPr>
          <w:trHeight w:val="256"/>
        </w:trPr>
        <w:tc>
          <w:tcPr>
            <w:tcW w:w="412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20" w:type="dxa"/>
            <w:vAlign w:val="bottom"/>
          </w:tcPr>
          <w:p>
            <w:pPr>
              <w:jc w:val="center"/>
              <w:ind w:right="121"/>
              <w:spacing w:after="0"/>
              <w:rPr>
                <w:sz w:val="20"/>
                <w:szCs w:val="20"/>
                <w:color w:val="auto"/>
              </w:rPr>
            </w:pPr>
            <w:r>
              <w:rPr>
                <w:rFonts w:ascii="Arial" w:cs="Arial" w:eastAsia="Arial" w:hAnsi="Arial"/>
                <w:sz w:val="20"/>
                <w:szCs w:val="20"/>
                <w:b w:val="1"/>
                <w:bCs w:val="1"/>
                <w:color w:val="auto"/>
                <w:w w:val="89"/>
              </w:rPr>
              <w:t>2013</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0" w:type="dxa"/>
            <w:vAlign w:val="bottom"/>
          </w:tcPr>
          <w:p>
            <w:pPr>
              <w:jc w:val="right"/>
              <w:ind w:right="461"/>
              <w:spacing w:after="0"/>
              <w:rPr>
                <w:sz w:val="20"/>
                <w:szCs w:val="20"/>
                <w:color w:val="auto"/>
              </w:rPr>
            </w:pPr>
            <w:r>
              <w:rPr>
                <w:rFonts w:ascii="Arial" w:cs="Arial" w:eastAsia="Arial" w:hAnsi="Arial"/>
                <w:sz w:val="20"/>
                <w:szCs w:val="20"/>
                <w:b w:val="1"/>
                <w:bCs w:val="1"/>
                <w:color w:val="auto"/>
                <w:w w:val="94"/>
              </w:rPr>
              <w:t>2012</w:t>
            </w:r>
          </w:p>
        </w:tc>
      </w:tr>
      <w:tr>
        <w:trPr>
          <w:trHeight w:val="23"/>
        </w:trPr>
        <w:tc>
          <w:tcPr>
            <w:tcW w:w="4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4"/>
        </w:trPr>
        <w:tc>
          <w:tcPr>
            <w:tcW w:w="4120" w:type="dxa"/>
            <w:vAlign w:val="bottom"/>
          </w:tcPr>
          <w:p>
            <w:pPr>
              <w:spacing w:after="0"/>
              <w:rPr>
                <w:sz w:val="20"/>
                <w:szCs w:val="20"/>
                <w:color w:val="auto"/>
              </w:rPr>
            </w:pPr>
            <w:r>
              <w:rPr>
                <w:rFonts w:ascii="Arial" w:cs="Arial" w:eastAsia="Arial" w:hAnsi="Arial"/>
                <w:sz w:val="20"/>
                <w:szCs w:val="20"/>
                <w:color w:val="auto"/>
              </w:rPr>
              <w:t>Interest rate swap agreements</w:t>
            </w:r>
          </w:p>
        </w:tc>
        <w:tc>
          <w:tcPr>
            <w:tcW w:w="2380" w:type="dxa"/>
            <w:vAlign w:val="bottom"/>
          </w:tcPr>
          <w:p>
            <w:pPr>
              <w:ind w:left="20"/>
              <w:spacing w:after="0"/>
              <w:rPr>
                <w:sz w:val="20"/>
                <w:szCs w:val="20"/>
                <w:color w:val="auto"/>
              </w:rPr>
            </w:pPr>
            <w:r>
              <w:rPr>
                <w:rFonts w:ascii="Arial" w:cs="Arial" w:eastAsia="Arial" w:hAnsi="Arial"/>
                <w:sz w:val="20"/>
                <w:szCs w:val="20"/>
                <w:color w:val="auto"/>
              </w:rPr>
              <w:t>Other expense</w:t>
            </w:r>
          </w:p>
        </w:tc>
        <w:tc>
          <w:tcPr>
            <w:tcW w:w="20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720" w:type="dxa"/>
            <w:vAlign w:val="bottom"/>
            <w:gridSpan w:val="2"/>
          </w:tcPr>
          <w:p>
            <w:pPr>
              <w:ind w:left="1320"/>
              <w:spacing w:after="0"/>
              <w:rPr>
                <w:sz w:val="20"/>
                <w:szCs w:val="20"/>
                <w:color w:val="auto"/>
              </w:rPr>
            </w:pPr>
            <w:r>
              <w:rPr>
                <w:rFonts w:ascii="Arial" w:cs="Arial" w:eastAsia="Arial" w:hAnsi="Arial"/>
                <w:sz w:val="20"/>
                <w:szCs w:val="20"/>
                <w:color w:val="auto"/>
              </w:rPr>
              <w:t>—</w:t>
            </w:r>
          </w:p>
        </w:tc>
        <w:tc>
          <w:tcPr>
            <w:tcW w:w="520" w:type="dxa"/>
            <w:vAlign w:val="bottom"/>
          </w:tcPr>
          <w:p>
            <w:pPr>
              <w:ind w:left="40"/>
              <w:spacing w:after="0"/>
              <w:rPr>
                <w:sz w:val="20"/>
                <w:szCs w:val="20"/>
                <w:color w:val="auto"/>
              </w:rPr>
            </w:pPr>
            <w:r>
              <w:rPr>
                <w:rFonts w:ascii="Arial" w:cs="Arial" w:eastAsia="Arial" w:hAnsi="Arial"/>
                <w:sz w:val="20"/>
                <w:szCs w:val="20"/>
                <w:color w:val="auto"/>
              </w:rPr>
              <w:t>¥</w:t>
            </w: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69</w:t>
            </w:r>
          </w:p>
        </w:tc>
      </w:tr>
      <w:tr>
        <w:trPr>
          <w:trHeight w:val="284"/>
        </w:trPr>
        <w:tc>
          <w:tcPr>
            <w:tcW w:w="4120" w:type="dxa"/>
            <w:vAlign w:val="bottom"/>
          </w:tcPr>
          <w:p>
            <w:pPr>
              <w:spacing w:after="0"/>
              <w:rPr>
                <w:sz w:val="20"/>
                <w:szCs w:val="20"/>
                <w:color w:val="auto"/>
              </w:rPr>
            </w:pPr>
            <w:r>
              <w:rPr>
                <w:rFonts w:ascii="Arial" w:cs="Arial" w:eastAsia="Arial" w:hAnsi="Arial"/>
                <w:sz w:val="20"/>
                <w:szCs w:val="20"/>
                <w:color w:val="auto"/>
              </w:rPr>
              <w:t>Foreign exchange forward contracts</w:t>
            </w:r>
          </w:p>
        </w:tc>
        <w:tc>
          <w:tcPr>
            <w:tcW w:w="2380" w:type="dxa"/>
            <w:vAlign w:val="bottom"/>
          </w:tcPr>
          <w:p>
            <w:pPr>
              <w:ind w:left="20"/>
              <w:spacing w:after="0"/>
              <w:rPr>
                <w:sz w:val="20"/>
                <w:szCs w:val="20"/>
                <w:color w:val="auto"/>
              </w:rPr>
            </w:pPr>
            <w:r>
              <w:rPr>
                <w:rFonts w:ascii="Arial" w:cs="Arial" w:eastAsia="Arial" w:hAnsi="Arial"/>
                <w:sz w:val="20"/>
                <w:szCs w:val="20"/>
                <w:color w:val="auto"/>
              </w:rPr>
              <w:t>Other expense</w:t>
            </w:r>
          </w:p>
        </w:tc>
        <w:tc>
          <w:tcPr>
            <w:tcW w:w="200" w:type="dxa"/>
            <w:vAlign w:val="bottom"/>
          </w:tcPr>
          <w:p>
            <w:pPr>
              <w:spacing w:after="0"/>
              <w:rPr>
                <w:sz w:val="24"/>
                <w:szCs w:val="24"/>
                <w:color w:val="auto"/>
              </w:rPr>
            </w:pPr>
          </w:p>
        </w:tc>
        <w:tc>
          <w:tcPr>
            <w:tcW w:w="1720" w:type="dxa"/>
            <w:vAlign w:val="bottom"/>
            <w:gridSpan w:val="2"/>
          </w:tcPr>
          <w:p>
            <w:pPr>
              <w:ind w:left="1320"/>
              <w:spacing w:after="0"/>
              <w:rPr>
                <w:sz w:val="20"/>
                <w:szCs w:val="20"/>
                <w:color w:val="auto"/>
              </w:rPr>
            </w:pPr>
            <w:r>
              <w:rPr>
                <w:rFonts w:ascii="Arial" w:cs="Arial" w:eastAsia="Arial" w:hAnsi="Arial"/>
                <w:sz w:val="20"/>
                <w:szCs w:val="20"/>
                <w:color w:val="auto"/>
              </w:rPr>
              <w:t>—</w:t>
            </w:r>
          </w:p>
        </w:tc>
        <w:tc>
          <w:tcPr>
            <w:tcW w:w="52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206</w:t>
            </w:r>
          </w:p>
        </w:tc>
      </w:tr>
    </w:tbl>
    <w:p>
      <w:pPr>
        <w:spacing w:after="0" w:line="324" w:lineRule="exact"/>
        <w:rPr>
          <w:sz w:val="20"/>
          <w:szCs w:val="20"/>
          <w:color w:val="auto"/>
        </w:rPr>
      </w:pPr>
    </w:p>
    <w:p>
      <w:pPr>
        <w:ind w:left="440" w:hanging="438"/>
        <w:spacing w:after="0"/>
        <w:tabs>
          <w:tab w:leader="none" w:pos="440" w:val="left"/>
        </w:tabs>
        <w:numPr>
          <w:ilvl w:val="0"/>
          <w:numId w:val="21"/>
        </w:numPr>
        <w:rPr>
          <w:rFonts w:ascii="Arial" w:cs="Arial" w:eastAsia="Arial" w:hAnsi="Arial"/>
          <w:sz w:val="20"/>
          <w:szCs w:val="20"/>
          <w:b w:val="1"/>
          <w:bCs w:val="1"/>
          <w:color w:val="auto"/>
        </w:rPr>
      </w:pPr>
      <w:r>
        <w:rPr>
          <w:rFonts w:ascii="Arial" w:cs="Arial" w:eastAsia="Arial" w:hAnsi="Arial"/>
          <w:sz w:val="20"/>
          <w:szCs w:val="20"/>
          <w:b w:val="1"/>
          <w:bCs w:val="1"/>
          <w:color w:val="auto"/>
        </w:rPr>
        <w:t>Fair Value Measurements</w:t>
      </w:r>
    </w:p>
    <w:p>
      <w:pPr>
        <w:spacing w:after="0" w:line="140" w:lineRule="exact"/>
        <w:rPr>
          <w:rFonts w:ascii="Arial" w:cs="Arial" w:eastAsia="Arial" w:hAnsi="Arial"/>
          <w:sz w:val="20"/>
          <w:szCs w:val="20"/>
          <w:b w:val="1"/>
          <w:bCs w:val="1"/>
          <w:color w:val="auto"/>
        </w:rPr>
      </w:pPr>
    </w:p>
    <w:p>
      <w:pPr>
        <w:ind w:left="780" w:hanging="360"/>
        <w:spacing w:after="0"/>
        <w:tabs>
          <w:tab w:leader="none" w:pos="780" w:val="left"/>
        </w:tabs>
        <w:numPr>
          <w:ilvl w:val="1"/>
          <w:numId w:val="21"/>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Fair Value of Financial Instruments</w:t>
      </w:r>
    </w:p>
    <w:p>
      <w:pPr>
        <w:spacing w:after="0" w:line="67" w:lineRule="exact"/>
        <w:rPr>
          <w:rFonts w:ascii="Arial" w:cs="Arial" w:eastAsia="Arial" w:hAnsi="Arial"/>
          <w:sz w:val="20"/>
          <w:szCs w:val="20"/>
          <w:b w:val="1"/>
          <w:bCs w:val="1"/>
          <w:i w:val="1"/>
          <w:iCs w:val="1"/>
          <w:color w:val="auto"/>
        </w:rPr>
      </w:pPr>
    </w:p>
    <w:p>
      <w:pPr>
        <w:jc w:val="both"/>
        <w:ind w:left="780"/>
        <w:spacing w:after="0" w:line="250" w:lineRule="auto"/>
        <w:rPr>
          <w:rFonts w:ascii="Arial" w:cs="Arial" w:eastAsia="Arial" w:hAnsi="Arial"/>
          <w:sz w:val="20"/>
          <w:szCs w:val="20"/>
          <w:b w:val="1"/>
          <w:bCs w:val="1"/>
          <w:i w:val="1"/>
          <w:iCs w:val="1"/>
          <w:color w:val="auto"/>
        </w:rPr>
      </w:pPr>
      <w:r>
        <w:rPr>
          <w:rFonts w:ascii="Arial" w:cs="Arial" w:eastAsia="Arial" w:hAnsi="Arial"/>
          <w:sz w:val="20"/>
          <w:szCs w:val="20"/>
          <w:color w:val="auto"/>
        </w:rPr>
        <w:t>The following table presents the carrying amounts and estimated fair values of the Company’s financial instruments at February 28, 2013 and March 31, 2012. Fair value is defined as the amount that would be received to sell an asset or paid to transfer a liability in an orderly transaction between market participants at the measurement date.</w:t>
      </w:r>
    </w:p>
    <w:p>
      <w:pPr>
        <w:spacing w:after="0" w:line="261"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3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00" w:type="dxa"/>
            <w:vAlign w:val="bottom"/>
            <w:gridSpan w:val="3"/>
          </w:tcPr>
          <w:p>
            <w:pPr>
              <w:jc w:val="right"/>
              <w:spacing w:after="0"/>
              <w:rPr>
                <w:sz w:val="20"/>
                <w:szCs w:val="20"/>
                <w:color w:val="auto"/>
              </w:rPr>
            </w:pPr>
            <w:r>
              <w:rPr>
                <w:rFonts w:ascii="Arial" w:cs="Arial" w:eastAsia="Arial" w:hAnsi="Arial"/>
                <w:sz w:val="20"/>
                <w:szCs w:val="20"/>
                <w:b w:val="1"/>
                <w:bCs w:val="1"/>
                <w:color w:val="auto"/>
              </w:rPr>
              <w:t>February 28,</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60" w:type="dxa"/>
            <w:vAlign w:val="bottom"/>
            <w:gridSpan w:val="3"/>
          </w:tcPr>
          <w:p>
            <w:pPr>
              <w:jc w:val="right"/>
              <w:spacing w:after="0"/>
              <w:rPr>
                <w:sz w:val="20"/>
                <w:szCs w:val="20"/>
                <w:color w:val="auto"/>
              </w:rPr>
            </w:pPr>
            <w:r>
              <w:rPr>
                <w:rFonts w:ascii="Arial" w:cs="Arial" w:eastAsia="Arial" w:hAnsi="Arial"/>
                <w:sz w:val="20"/>
                <w:szCs w:val="20"/>
                <w:b w:val="1"/>
                <w:bCs w:val="1"/>
                <w:color w:val="auto"/>
              </w:rPr>
              <w:t>March 31,</w:t>
            </w: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36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900" w:type="dxa"/>
            <w:vAlign w:val="bottom"/>
            <w:gridSpan w:val="3"/>
          </w:tcPr>
          <w:p>
            <w:pPr>
              <w:jc w:val="right"/>
              <w:ind w:right="261"/>
              <w:spacing w:after="0"/>
              <w:rPr>
                <w:sz w:val="20"/>
                <w:szCs w:val="20"/>
                <w:color w:val="auto"/>
              </w:rPr>
            </w:pPr>
            <w:r>
              <w:rPr>
                <w:rFonts w:ascii="Arial" w:cs="Arial" w:eastAsia="Arial" w:hAnsi="Arial"/>
                <w:sz w:val="20"/>
                <w:szCs w:val="20"/>
                <w:b w:val="1"/>
                <w:bCs w:val="1"/>
                <w:color w:val="auto"/>
              </w:rPr>
              <w:t>2013</w:t>
            </w: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660" w:type="dxa"/>
            <w:vAlign w:val="bottom"/>
            <w:gridSpan w:val="3"/>
          </w:tcPr>
          <w:p>
            <w:pPr>
              <w:jc w:val="right"/>
              <w:ind w:right="221"/>
              <w:spacing w:after="0"/>
              <w:rPr>
                <w:sz w:val="20"/>
                <w:szCs w:val="20"/>
                <w:color w:val="auto"/>
              </w:rPr>
            </w:pPr>
            <w:r>
              <w:rPr>
                <w:rFonts w:ascii="Arial" w:cs="Arial" w:eastAsia="Arial" w:hAnsi="Arial"/>
                <w:sz w:val="20"/>
                <w:szCs w:val="20"/>
                <w:b w:val="1"/>
                <w:bCs w:val="1"/>
                <w:color w:val="auto"/>
              </w:rPr>
              <w:t>2012</w:t>
            </w: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3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3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gridSpan w:val="2"/>
          </w:tcPr>
          <w:p>
            <w:pPr>
              <w:jc w:val="center"/>
              <w:ind w:right="360"/>
              <w:spacing w:after="0" w:line="228" w:lineRule="exact"/>
              <w:rPr>
                <w:sz w:val="20"/>
                <w:szCs w:val="20"/>
                <w:color w:val="auto"/>
              </w:rPr>
            </w:pPr>
            <w:r>
              <w:rPr>
                <w:rFonts w:ascii="Arial" w:cs="Arial" w:eastAsia="Arial" w:hAnsi="Arial"/>
                <w:sz w:val="20"/>
                <w:szCs w:val="20"/>
                <w:b w:val="1"/>
                <w:bCs w:val="1"/>
                <w:color w:val="auto"/>
                <w:w w:val="94"/>
              </w:rPr>
              <w:t>Carrying</w:t>
            </w:r>
          </w:p>
        </w:tc>
        <w:tc>
          <w:tcPr>
            <w:tcW w:w="520" w:type="dxa"/>
            <w:vAlign w:val="bottom"/>
          </w:tcPr>
          <w:p>
            <w:pPr>
              <w:spacing w:after="0"/>
              <w:rPr>
                <w:sz w:val="19"/>
                <w:szCs w:val="19"/>
                <w:color w:val="auto"/>
              </w:rPr>
            </w:pPr>
          </w:p>
        </w:tc>
        <w:tc>
          <w:tcPr>
            <w:tcW w:w="1120" w:type="dxa"/>
            <w:vAlign w:val="bottom"/>
            <w:gridSpan w:val="2"/>
          </w:tcPr>
          <w:p>
            <w:pPr>
              <w:ind w:left="60"/>
              <w:spacing w:after="0" w:line="228" w:lineRule="exact"/>
              <w:rPr>
                <w:sz w:val="20"/>
                <w:szCs w:val="20"/>
                <w:color w:val="auto"/>
              </w:rPr>
            </w:pPr>
            <w:r>
              <w:rPr>
                <w:rFonts w:ascii="Arial" w:cs="Arial" w:eastAsia="Arial" w:hAnsi="Arial"/>
                <w:sz w:val="20"/>
                <w:szCs w:val="20"/>
                <w:b w:val="1"/>
                <w:bCs w:val="1"/>
                <w:color w:val="auto"/>
              </w:rPr>
              <w:t>Fair</w:t>
            </w:r>
          </w:p>
        </w:tc>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ind w:right="481"/>
              <w:spacing w:after="0" w:line="228" w:lineRule="exact"/>
              <w:rPr>
                <w:sz w:val="20"/>
                <w:szCs w:val="20"/>
                <w:color w:val="auto"/>
              </w:rPr>
            </w:pPr>
            <w:r>
              <w:rPr>
                <w:rFonts w:ascii="Arial" w:cs="Arial" w:eastAsia="Arial" w:hAnsi="Arial"/>
                <w:sz w:val="20"/>
                <w:szCs w:val="20"/>
                <w:b w:val="1"/>
                <w:bCs w:val="1"/>
                <w:color w:val="auto"/>
              </w:rPr>
              <w:t>Fair</w:t>
            </w:r>
          </w:p>
        </w:tc>
        <w:tc>
          <w:tcPr>
            <w:tcW w:w="0" w:type="dxa"/>
            <w:vAlign w:val="bottom"/>
          </w:tcPr>
          <w:p>
            <w:pPr>
              <w:spacing w:after="0"/>
              <w:rPr>
                <w:sz w:val="1"/>
                <w:szCs w:val="1"/>
                <w:color w:val="auto"/>
              </w:rPr>
            </w:pPr>
          </w:p>
        </w:tc>
      </w:tr>
      <w:tr>
        <w:trPr>
          <w:trHeight w:val="256"/>
        </w:trPr>
        <w:tc>
          <w:tcPr>
            <w:tcW w:w="36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20"/>
                <w:szCs w:val="20"/>
                <w:b w:val="1"/>
                <w:bCs w:val="1"/>
                <w:color w:val="auto"/>
                <w:w w:val="91"/>
              </w:rPr>
              <w:t>amount</w:t>
            </w:r>
          </w:p>
        </w:tc>
        <w:tc>
          <w:tcPr>
            <w:tcW w:w="520" w:type="dxa"/>
            <w:vAlign w:val="bottom"/>
          </w:tcPr>
          <w:p>
            <w:pPr>
              <w:spacing w:after="0"/>
              <w:rPr>
                <w:sz w:val="22"/>
                <w:szCs w:val="22"/>
                <w:color w:val="auto"/>
              </w:rPr>
            </w:pPr>
          </w:p>
        </w:tc>
        <w:tc>
          <w:tcPr>
            <w:tcW w:w="1120" w:type="dxa"/>
            <w:vAlign w:val="bottom"/>
            <w:gridSpan w:val="2"/>
          </w:tcPr>
          <w:p>
            <w:pPr>
              <w:ind w:left="20"/>
              <w:spacing w:after="0"/>
              <w:rPr>
                <w:sz w:val="20"/>
                <w:szCs w:val="20"/>
                <w:color w:val="auto"/>
              </w:rPr>
            </w:pPr>
            <w:r>
              <w:rPr>
                <w:rFonts w:ascii="Arial" w:cs="Arial" w:eastAsia="Arial" w:hAnsi="Arial"/>
                <w:sz w:val="20"/>
                <w:szCs w:val="20"/>
                <w:b w:val="1"/>
                <w:bCs w:val="1"/>
                <w:color w:val="auto"/>
              </w:rPr>
              <w:t>value</w:t>
            </w:r>
          </w:p>
        </w:tc>
        <w:tc>
          <w:tcPr>
            <w:tcW w:w="1660" w:type="dxa"/>
            <w:vAlign w:val="bottom"/>
            <w:gridSpan w:val="3"/>
          </w:tcPr>
          <w:p>
            <w:pPr>
              <w:ind w:left="40"/>
              <w:spacing w:after="0"/>
              <w:rPr>
                <w:sz w:val="20"/>
                <w:szCs w:val="20"/>
                <w:color w:val="auto"/>
              </w:rPr>
            </w:pPr>
            <w:r>
              <w:rPr>
                <w:rFonts w:ascii="Arial" w:cs="Arial" w:eastAsia="Arial" w:hAnsi="Arial"/>
                <w:sz w:val="20"/>
                <w:szCs w:val="20"/>
                <w:b w:val="1"/>
                <w:bCs w:val="1"/>
                <w:color w:val="auto"/>
                <w:w w:val="99"/>
              </w:rPr>
              <w:t>Carrying amount</w:t>
            </w:r>
          </w:p>
        </w:tc>
        <w:tc>
          <w:tcPr>
            <w:tcW w:w="460" w:type="dxa"/>
            <w:vAlign w:val="bottom"/>
          </w:tcPr>
          <w:p>
            <w:pPr>
              <w:spacing w:after="0"/>
              <w:rPr>
                <w:sz w:val="22"/>
                <w:szCs w:val="22"/>
                <w:color w:val="auto"/>
              </w:rPr>
            </w:pPr>
          </w:p>
        </w:tc>
        <w:tc>
          <w:tcPr>
            <w:tcW w:w="1060" w:type="dxa"/>
            <w:vAlign w:val="bottom"/>
          </w:tcPr>
          <w:p>
            <w:pPr>
              <w:jc w:val="right"/>
              <w:ind w:right="441"/>
              <w:spacing w:after="0"/>
              <w:rPr>
                <w:sz w:val="20"/>
                <w:szCs w:val="20"/>
                <w:color w:val="auto"/>
              </w:rPr>
            </w:pPr>
            <w:r>
              <w:rPr>
                <w:rFonts w:ascii="Arial" w:cs="Arial" w:eastAsia="Arial" w:hAnsi="Arial"/>
                <w:sz w:val="20"/>
                <w:szCs w:val="20"/>
                <w:b w:val="1"/>
                <w:bCs w:val="1"/>
                <w:color w:val="auto"/>
                <w:w w:val="97"/>
              </w:rPr>
              <w:t>value</w:t>
            </w:r>
          </w:p>
        </w:tc>
        <w:tc>
          <w:tcPr>
            <w:tcW w:w="0" w:type="dxa"/>
            <w:vAlign w:val="bottom"/>
          </w:tcPr>
          <w:p>
            <w:pPr>
              <w:spacing w:after="0"/>
              <w:rPr>
                <w:sz w:val="1"/>
                <w:szCs w:val="1"/>
                <w:color w:val="auto"/>
              </w:rPr>
            </w:pPr>
          </w:p>
        </w:tc>
      </w:tr>
      <w:tr>
        <w:trPr>
          <w:trHeight w:val="23"/>
        </w:trPr>
        <w:tc>
          <w:tcPr>
            <w:tcW w:w="3620" w:type="dxa"/>
            <w:vAlign w:val="bottom"/>
            <w:vMerge w:val="restart"/>
          </w:tcPr>
          <w:p>
            <w:pPr>
              <w:spacing w:after="0"/>
              <w:rPr>
                <w:sz w:val="20"/>
                <w:szCs w:val="20"/>
                <w:color w:val="auto"/>
              </w:rPr>
            </w:pPr>
            <w:r>
              <w:rPr>
                <w:rFonts w:ascii="Arial" w:cs="Arial" w:eastAsia="Arial" w:hAnsi="Arial"/>
                <w:sz w:val="20"/>
                <w:szCs w:val="20"/>
                <w:color w:val="auto"/>
              </w:rPr>
              <w:t>Financial assets:</w:t>
            </w: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362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3620" w:type="dxa"/>
            <w:vAlign w:val="bottom"/>
          </w:tcPr>
          <w:p>
            <w:pPr>
              <w:ind w:left="240"/>
              <w:spacing w:after="0"/>
              <w:rPr>
                <w:sz w:val="20"/>
                <w:szCs w:val="20"/>
                <w:color w:val="auto"/>
              </w:rPr>
            </w:pPr>
            <w:r>
              <w:rPr>
                <w:rFonts w:ascii="Arial" w:cs="Arial" w:eastAsia="Arial" w:hAnsi="Arial"/>
                <w:sz w:val="20"/>
                <w:szCs w:val="20"/>
                <w:color w:val="auto"/>
              </w:rPr>
              <w:t>Cash and cash equivalents</w:t>
            </w:r>
          </w:p>
        </w:tc>
        <w:tc>
          <w:tcPr>
            <w:tcW w:w="2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280" w:type="dxa"/>
            <w:vAlign w:val="bottom"/>
          </w:tcPr>
          <w:p>
            <w:pPr>
              <w:jc w:val="right"/>
              <w:ind w:right="1"/>
              <w:spacing w:after="0"/>
              <w:rPr>
                <w:sz w:val="20"/>
                <w:szCs w:val="20"/>
                <w:color w:val="auto"/>
              </w:rPr>
            </w:pPr>
            <w:r>
              <w:rPr>
                <w:rFonts w:ascii="Arial" w:cs="Arial" w:eastAsia="Arial" w:hAnsi="Arial"/>
                <w:sz w:val="20"/>
                <w:szCs w:val="20"/>
                <w:color w:val="auto"/>
              </w:rPr>
              <w:t>45,422</w:t>
            </w:r>
          </w:p>
        </w:tc>
        <w:tc>
          <w:tcPr>
            <w:tcW w:w="100" w:type="dxa"/>
            <w:vAlign w:val="bottom"/>
          </w:tcPr>
          <w:p>
            <w:pPr>
              <w:spacing w:after="0"/>
              <w:rPr>
                <w:sz w:val="24"/>
                <w:szCs w:val="24"/>
                <w:color w:val="auto"/>
              </w:rPr>
            </w:pPr>
          </w:p>
        </w:tc>
        <w:tc>
          <w:tcPr>
            <w:tcW w:w="520" w:type="dxa"/>
            <w:vAlign w:val="bottom"/>
          </w:tcPr>
          <w:p>
            <w:pPr>
              <w:jc w:val="right"/>
              <w:ind w:right="301"/>
              <w:spacing w:after="0"/>
              <w:rPr>
                <w:sz w:val="20"/>
                <w:szCs w:val="20"/>
                <w:color w:val="auto"/>
              </w:rPr>
            </w:pPr>
            <w:r>
              <w:rPr>
                <w:rFonts w:ascii="Arial" w:cs="Arial" w:eastAsia="Arial" w:hAnsi="Arial"/>
                <w:sz w:val="20"/>
                <w:szCs w:val="20"/>
                <w:color w:val="auto"/>
                <w:w w:val="89"/>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45,422</w:t>
            </w:r>
          </w:p>
        </w:tc>
        <w:tc>
          <w:tcPr>
            <w:tcW w:w="120" w:type="dxa"/>
            <w:vAlign w:val="bottom"/>
          </w:tcPr>
          <w:p>
            <w:pPr>
              <w:spacing w:after="0"/>
              <w:rPr>
                <w:sz w:val="24"/>
                <w:szCs w:val="24"/>
                <w:color w:val="auto"/>
              </w:rPr>
            </w:pPr>
          </w:p>
        </w:tc>
        <w:tc>
          <w:tcPr>
            <w:tcW w:w="460" w:type="dxa"/>
            <w:vAlign w:val="bottom"/>
          </w:tcPr>
          <w:p>
            <w:pPr>
              <w:ind w:left="20"/>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51,428</w:t>
            </w:r>
          </w:p>
        </w:tc>
        <w:tc>
          <w:tcPr>
            <w:tcW w:w="120" w:type="dxa"/>
            <w:vAlign w:val="bottom"/>
          </w:tcPr>
          <w:p>
            <w:pPr>
              <w:spacing w:after="0"/>
              <w:rPr>
                <w:sz w:val="24"/>
                <w:szCs w:val="24"/>
                <w:color w:val="auto"/>
              </w:rPr>
            </w:pPr>
          </w:p>
        </w:tc>
        <w:tc>
          <w:tcPr>
            <w:tcW w:w="460" w:type="dxa"/>
            <w:vAlign w:val="bottom"/>
          </w:tcPr>
          <w:p>
            <w:pPr>
              <w:jc w:val="right"/>
              <w:ind w:right="241"/>
              <w:spacing w:after="0"/>
              <w:rPr>
                <w:sz w:val="20"/>
                <w:szCs w:val="20"/>
                <w:color w:val="auto"/>
              </w:rPr>
            </w:pPr>
            <w:r>
              <w:rPr>
                <w:rFonts w:ascii="Arial" w:cs="Arial" w:eastAsia="Arial" w:hAnsi="Arial"/>
                <w:sz w:val="20"/>
                <w:szCs w:val="20"/>
                <w:color w:val="auto"/>
                <w:w w:val="89"/>
              </w:rPr>
              <w:t>¥</w:t>
            </w:r>
          </w:p>
        </w:tc>
        <w:tc>
          <w:tcPr>
            <w:tcW w:w="1060" w:type="dxa"/>
            <w:vAlign w:val="bottom"/>
          </w:tcPr>
          <w:p>
            <w:pPr>
              <w:jc w:val="right"/>
              <w:ind w:right="1"/>
              <w:spacing w:after="0"/>
              <w:rPr>
                <w:sz w:val="20"/>
                <w:szCs w:val="20"/>
                <w:color w:val="auto"/>
              </w:rPr>
            </w:pPr>
            <w:r>
              <w:rPr>
                <w:rFonts w:ascii="Arial" w:cs="Arial" w:eastAsia="Arial" w:hAnsi="Arial"/>
                <w:sz w:val="20"/>
                <w:szCs w:val="20"/>
                <w:color w:val="auto"/>
              </w:rPr>
              <w:t>51,428</w:t>
            </w:r>
          </w:p>
        </w:tc>
        <w:tc>
          <w:tcPr>
            <w:tcW w:w="0" w:type="dxa"/>
            <w:vAlign w:val="bottom"/>
          </w:tcPr>
          <w:p>
            <w:pPr>
              <w:spacing w:after="0"/>
              <w:rPr>
                <w:sz w:val="1"/>
                <w:szCs w:val="1"/>
                <w:color w:val="auto"/>
              </w:rPr>
            </w:pPr>
          </w:p>
        </w:tc>
      </w:tr>
      <w:tr>
        <w:trPr>
          <w:trHeight w:val="284"/>
        </w:trPr>
        <w:tc>
          <w:tcPr>
            <w:tcW w:w="3620" w:type="dxa"/>
            <w:vAlign w:val="bottom"/>
          </w:tcPr>
          <w:p>
            <w:pPr>
              <w:ind w:left="240"/>
              <w:spacing w:after="0"/>
              <w:rPr>
                <w:sz w:val="20"/>
                <w:szCs w:val="20"/>
                <w:color w:val="auto"/>
              </w:rPr>
            </w:pPr>
            <w:r>
              <w:rPr>
                <w:rFonts w:ascii="Arial" w:cs="Arial" w:eastAsia="Arial" w:hAnsi="Arial"/>
                <w:sz w:val="20"/>
                <w:szCs w:val="20"/>
                <w:color w:val="auto"/>
              </w:rPr>
              <w:t>Accounts receivable, trade</w:t>
            </w:r>
          </w:p>
        </w:tc>
        <w:tc>
          <w:tcPr>
            <w:tcW w:w="260" w:type="dxa"/>
            <w:vAlign w:val="bottom"/>
          </w:tcPr>
          <w:p>
            <w:pPr>
              <w:spacing w:after="0"/>
              <w:rPr>
                <w:sz w:val="24"/>
                <w:szCs w:val="24"/>
                <w:color w:val="auto"/>
              </w:rPr>
            </w:pPr>
          </w:p>
        </w:tc>
        <w:tc>
          <w:tcPr>
            <w:tcW w:w="1280" w:type="dxa"/>
            <w:vAlign w:val="bottom"/>
          </w:tcPr>
          <w:p>
            <w:pPr>
              <w:jc w:val="right"/>
              <w:ind w:right="1"/>
              <w:spacing w:after="0"/>
              <w:rPr>
                <w:sz w:val="20"/>
                <w:szCs w:val="20"/>
                <w:color w:val="auto"/>
              </w:rPr>
            </w:pPr>
            <w:r>
              <w:rPr>
                <w:rFonts w:ascii="Arial" w:cs="Arial" w:eastAsia="Arial" w:hAnsi="Arial"/>
                <w:sz w:val="20"/>
                <w:szCs w:val="20"/>
                <w:color w:val="auto"/>
              </w:rPr>
              <w:t>42,151</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42,151</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28,794</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jc w:val="right"/>
              <w:ind w:right="1"/>
              <w:spacing w:after="0"/>
              <w:rPr>
                <w:sz w:val="20"/>
                <w:szCs w:val="20"/>
                <w:color w:val="auto"/>
              </w:rPr>
            </w:pPr>
            <w:r>
              <w:rPr>
                <w:rFonts w:ascii="Arial" w:cs="Arial" w:eastAsia="Arial" w:hAnsi="Arial"/>
                <w:sz w:val="20"/>
                <w:szCs w:val="20"/>
                <w:color w:val="auto"/>
              </w:rPr>
              <w:t>28,794</w:t>
            </w:r>
          </w:p>
        </w:tc>
        <w:tc>
          <w:tcPr>
            <w:tcW w:w="0" w:type="dxa"/>
            <w:vAlign w:val="bottom"/>
          </w:tcPr>
          <w:p>
            <w:pPr>
              <w:spacing w:after="0"/>
              <w:rPr>
                <w:sz w:val="1"/>
                <w:szCs w:val="1"/>
                <w:color w:val="auto"/>
              </w:rPr>
            </w:pPr>
          </w:p>
        </w:tc>
      </w:tr>
      <w:tr>
        <w:trPr>
          <w:trHeight w:val="284"/>
        </w:trPr>
        <w:tc>
          <w:tcPr>
            <w:tcW w:w="3620" w:type="dxa"/>
            <w:vAlign w:val="bottom"/>
          </w:tcPr>
          <w:p>
            <w:pPr>
              <w:ind w:left="240"/>
              <w:spacing w:after="0"/>
              <w:rPr>
                <w:sz w:val="20"/>
                <w:szCs w:val="20"/>
                <w:color w:val="auto"/>
              </w:rPr>
            </w:pPr>
            <w:r>
              <w:rPr>
                <w:rFonts w:ascii="Arial" w:cs="Arial" w:eastAsia="Arial" w:hAnsi="Arial"/>
                <w:sz w:val="20"/>
                <w:szCs w:val="20"/>
                <w:color w:val="auto"/>
              </w:rPr>
              <w:t>Accounts receivable, other</w:t>
            </w:r>
          </w:p>
        </w:tc>
        <w:tc>
          <w:tcPr>
            <w:tcW w:w="260" w:type="dxa"/>
            <w:vAlign w:val="bottom"/>
          </w:tcPr>
          <w:p>
            <w:pPr>
              <w:spacing w:after="0"/>
              <w:rPr>
                <w:sz w:val="24"/>
                <w:szCs w:val="24"/>
                <w:color w:val="auto"/>
              </w:rPr>
            </w:pPr>
          </w:p>
        </w:tc>
        <w:tc>
          <w:tcPr>
            <w:tcW w:w="1280" w:type="dxa"/>
            <w:vAlign w:val="bottom"/>
          </w:tcPr>
          <w:p>
            <w:pPr>
              <w:jc w:val="right"/>
              <w:ind w:right="1"/>
              <w:spacing w:after="0"/>
              <w:rPr>
                <w:sz w:val="20"/>
                <w:szCs w:val="20"/>
                <w:color w:val="auto"/>
              </w:rPr>
            </w:pPr>
            <w:r>
              <w:rPr>
                <w:rFonts w:ascii="Arial" w:cs="Arial" w:eastAsia="Arial" w:hAnsi="Arial"/>
                <w:sz w:val="20"/>
                <w:szCs w:val="20"/>
                <w:color w:val="auto"/>
              </w:rPr>
              <w:t>16,402</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16,402</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11,499</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jc w:val="right"/>
              <w:ind w:right="1"/>
              <w:spacing w:after="0"/>
              <w:rPr>
                <w:sz w:val="20"/>
                <w:szCs w:val="20"/>
                <w:color w:val="auto"/>
              </w:rPr>
            </w:pPr>
            <w:r>
              <w:rPr>
                <w:rFonts w:ascii="Arial" w:cs="Arial" w:eastAsia="Arial" w:hAnsi="Arial"/>
                <w:sz w:val="20"/>
                <w:szCs w:val="20"/>
                <w:color w:val="auto"/>
              </w:rPr>
              <w:t>11,499</w:t>
            </w:r>
          </w:p>
        </w:tc>
        <w:tc>
          <w:tcPr>
            <w:tcW w:w="0" w:type="dxa"/>
            <w:vAlign w:val="bottom"/>
          </w:tcPr>
          <w:p>
            <w:pPr>
              <w:spacing w:after="0"/>
              <w:rPr>
                <w:sz w:val="1"/>
                <w:szCs w:val="1"/>
                <w:color w:val="auto"/>
              </w:rPr>
            </w:pPr>
          </w:p>
        </w:tc>
      </w:tr>
      <w:tr>
        <w:trPr>
          <w:trHeight w:val="284"/>
        </w:trPr>
        <w:tc>
          <w:tcPr>
            <w:tcW w:w="3620" w:type="dxa"/>
            <w:vAlign w:val="bottom"/>
          </w:tcPr>
          <w:p>
            <w:pPr>
              <w:ind w:left="240"/>
              <w:spacing w:after="0"/>
              <w:rPr>
                <w:sz w:val="20"/>
                <w:szCs w:val="20"/>
                <w:color w:val="auto"/>
              </w:rPr>
            </w:pPr>
            <w:r>
              <w:rPr>
                <w:rFonts w:ascii="Arial" w:cs="Arial" w:eastAsia="Arial" w:hAnsi="Arial"/>
                <w:sz w:val="20"/>
                <w:szCs w:val="20"/>
                <w:color w:val="auto"/>
              </w:rPr>
              <w:t>Investment securities</w:t>
            </w:r>
          </w:p>
        </w:tc>
        <w:tc>
          <w:tcPr>
            <w:tcW w:w="260" w:type="dxa"/>
            <w:vAlign w:val="bottom"/>
          </w:tcPr>
          <w:p>
            <w:pPr>
              <w:spacing w:after="0"/>
              <w:rPr>
                <w:sz w:val="24"/>
                <w:szCs w:val="24"/>
                <w:color w:val="auto"/>
              </w:rPr>
            </w:pPr>
          </w:p>
        </w:tc>
        <w:tc>
          <w:tcPr>
            <w:tcW w:w="1280" w:type="dxa"/>
            <w:vAlign w:val="bottom"/>
          </w:tcPr>
          <w:p>
            <w:pPr>
              <w:jc w:val="right"/>
              <w:ind w:right="1"/>
              <w:spacing w:after="0"/>
              <w:rPr>
                <w:sz w:val="20"/>
                <w:szCs w:val="20"/>
                <w:color w:val="auto"/>
              </w:rPr>
            </w:pPr>
            <w:r>
              <w:rPr>
                <w:rFonts w:ascii="Arial" w:cs="Arial" w:eastAsia="Arial" w:hAnsi="Arial"/>
                <w:sz w:val="20"/>
                <w:szCs w:val="20"/>
                <w:color w:val="auto"/>
              </w:rPr>
              <w:t>82</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82</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2,113</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jc w:val="right"/>
              <w:ind w:right="1"/>
              <w:spacing w:after="0"/>
              <w:rPr>
                <w:sz w:val="20"/>
                <w:szCs w:val="20"/>
                <w:color w:val="auto"/>
              </w:rPr>
            </w:pPr>
            <w:r>
              <w:rPr>
                <w:rFonts w:ascii="Arial" w:cs="Arial" w:eastAsia="Arial" w:hAnsi="Arial"/>
                <w:sz w:val="20"/>
                <w:szCs w:val="20"/>
                <w:color w:val="auto"/>
              </w:rPr>
              <w:t>2,113</w:t>
            </w:r>
          </w:p>
        </w:tc>
        <w:tc>
          <w:tcPr>
            <w:tcW w:w="0" w:type="dxa"/>
            <w:vAlign w:val="bottom"/>
          </w:tcPr>
          <w:p>
            <w:pPr>
              <w:spacing w:after="0"/>
              <w:rPr>
                <w:sz w:val="1"/>
                <w:szCs w:val="1"/>
                <w:color w:val="auto"/>
              </w:rPr>
            </w:pPr>
          </w:p>
        </w:tc>
      </w:tr>
      <w:tr>
        <w:trPr>
          <w:trHeight w:val="284"/>
        </w:trPr>
        <w:tc>
          <w:tcPr>
            <w:tcW w:w="3620" w:type="dxa"/>
            <w:vAlign w:val="bottom"/>
          </w:tcPr>
          <w:p>
            <w:pPr>
              <w:spacing w:after="0"/>
              <w:rPr>
                <w:sz w:val="20"/>
                <w:szCs w:val="20"/>
                <w:color w:val="auto"/>
              </w:rPr>
            </w:pPr>
            <w:r>
              <w:rPr>
                <w:rFonts w:ascii="Arial" w:cs="Arial" w:eastAsia="Arial" w:hAnsi="Arial"/>
                <w:sz w:val="20"/>
                <w:szCs w:val="20"/>
                <w:color w:val="auto"/>
              </w:rPr>
              <w:t>Financial liabilities:</w:t>
            </w: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620" w:type="dxa"/>
            <w:vAlign w:val="bottom"/>
          </w:tcPr>
          <w:p>
            <w:pPr>
              <w:ind w:left="240"/>
              <w:spacing w:after="0"/>
              <w:rPr>
                <w:sz w:val="20"/>
                <w:szCs w:val="20"/>
                <w:color w:val="auto"/>
              </w:rPr>
            </w:pPr>
            <w:r>
              <w:rPr>
                <w:rFonts w:ascii="Arial" w:cs="Arial" w:eastAsia="Arial" w:hAnsi="Arial"/>
                <w:sz w:val="20"/>
                <w:szCs w:val="20"/>
                <w:color w:val="auto"/>
              </w:rPr>
              <w:t>Short-term borrowings</w:t>
            </w:r>
          </w:p>
        </w:tc>
        <w:tc>
          <w:tcPr>
            <w:tcW w:w="2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280" w:type="dxa"/>
            <w:vAlign w:val="bottom"/>
          </w:tcPr>
          <w:p>
            <w:pPr>
              <w:jc w:val="right"/>
              <w:ind w:right="1"/>
              <w:spacing w:after="0"/>
              <w:rPr>
                <w:sz w:val="20"/>
                <w:szCs w:val="20"/>
                <w:color w:val="auto"/>
              </w:rPr>
            </w:pPr>
            <w:r>
              <w:rPr>
                <w:rFonts w:ascii="Arial" w:cs="Arial" w:eastAsia="Arial" w:hAnsi="Arial"/>
                <w:sz w:val="20"/>
                <w:szCs w:val="20"/>
                <w:color w:val="auto"/>
              </w:rPr>
              <w:t>8,000</w:t>
            </w:r>
          </w:p>
        </w:tc>
        <w:tc>
          <w:tcPr>
            <w:tcW w:w="100" w:type="dxa"/>
            <w:vAlign w:val="bottom"/>
          </w:tcPr>
          <w:p>
            <w:pPr>
              <w:spacing w:after="0"/>
              <w:rPr>
                <w:sz w:val="24"/>
                <w:szCs w:val="24"/>
                <w:color w:val="auto"/>
              </w:rPr>
            </w:pPr>
          </w:p>
        </w:tc>
        <w:tc>
          <w:tcPr>
            <w:tcW w:w="520" w:type="dxa"/>
            <w:vAlign w:val="bottom"/>
          </w:tcPr>
          <w:p>
            <w:pPr>
              <w:jc w:val="right"/>
              <w:ind w:right="301"/>
              <w:spacing w:after="0"/>
              <w:rPr>
                <w:sz w:val="20"/>
                <w:szCs w:val="20"/>
                <w:color w:val="auto"/>
              </w:rPr>
            </w:pPr>
            <w:r>
              <w:rPr>
                <w:rFonts w:ascii="Arial" w:cs="Arial" w:eastAsia="Arial" w:hAnsi="Arial"/>
                <w:sz w:val="20"/>
                <w:szCs w:val="20"/>
                <w:color w:val="auto"/>
                <w:w w:val="89"/>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8,000</w:t>
            </w:r>
          </w:p>
        </w:tc>
        <w:tc>
          <w:tcPr>
            <w:tcW w:w="120" w:type="dxa"/>
            <w:vAlign w:val="bottom"/>
          </w:tcPr>
          <w:p>
            <w:pPr>
              <w:spacing w:after="0"/>
              <w:rPr>
                <w:sz w:val="24"/>
                <w:szCs w:val="24"/>
                <w:color w:val="auto"/>
              </w:rPr>
            </w:pPr>
          </w:p>
        </w:tc>
        <w:tc>
          <w:tcPr>
            <w:tcW w:w="460" w:type="dxa"/>
            <w:vAlign w:val="bottom"/>
          </w:tcPr>
          <w:p>
            <w:pPr>
              <w:ind w:left="20"/>
              <w:spacing w:after="0"/>
              <w:rPr>
                <w:sz w:val="20"/>
                <w:szCs w:val="20"/>
                <w:color w:val="auto"/>
              </w:rPr>
            </w:pPr>
            <w:r>
              <w:rPr>
                <w:rFonts w:ascii="Arial" w:cs="Arial" w:eastAsia="Arial" w:hAnsi="Arial"/>
                <w:sz w:val="20"/>
                <w:szCs w:val="20"/>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460" w:type="dxa"/>
            <w:vAlign w:val="bottom"/>
          </w:tcPr>
          <w:p>
            <w:pPr>
              <w:jc w:val="right"/>
              <w:ind w:right="241"/>
              <w:spacing w:after="0"/>
              <w:rPr>
                <w:sz w:val="20"/>
                <w:szCs w:val="20"/>
                <w:color w:val="auto"/>
              </w:rPr>
            </w:pPr>
            <w:r>
              <w:rPr>
                <w:rFonts w:ascii="Arial" w:cs="Arial" w:eastAsia="Arial" w:hAnsi="Arial"/>
                <w:sz w:val="20"/>
                <w:szCs w:val="20"/>
                <w:color w:val="auto"/>
                <w:w w:val="89"/>
              </w:rPr>
              <w:t>¥</w:t>
            </w:r>
          </w:p>
        </w:tc>
        <w:tc>
          <w:tcPr>
            <w:tcW w:w="106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84"/>
        </w:trPr>
        <w:tc>
          <w:tcPr>
            <w:tcW w:w="3620" w:type="dxa"/>
            <w:vAlign w:val="bottom"/>
          </w:tcPr>
          <w:p>
            <w:pPr>
              <w:ind w:left="240"/>
              <w:spacing w:after="0"/>
              <w:rPr>
                <w:sz w:val="20"/>
                <w:szCs w:val="20"/>
                <w:color w:val="auto"/>
              </w:rPr>
            </w:pPr>
            <w:r>
              <w:rPr>
                <w:rFonts w:ascii="Arial" w:cs="Arial" w:eastAsia="Arial" w:hAnsi="Arial"/>
                <w:sz w:val="20"/>
                <w:szCs w:val="20"/>
                <w:color w:val="auto"/>
              </w:rPr>
              <w:t>Accounts payable, trade</w:t>
            </w:r>
          </w:p>
        </w:tc>
        <w:tc>
          <w:tcPr>
            <w:tcW w:w="260" w:type="dxa"/>
            <w:vAlign w:val="bottom"/>
          </w:tcPr>
          <w:p>
            <w:pPr>
              <w:spacing w:after="0"/>
              <w:rPr>
                <w:sz w:val="24"/>
                <w:szCs w:val="24"/>
                <w:color w:val="auto"/>
              </w:rPr>
            </w:pPr>
          </w:p>
        </w:tc>
        <w:tc>
          <w:tcPr>
            <w:tcW w:w="1280" w:type="dxa"/>
            <w:vAlign w:val="bottom"/>
          </w:tcPr>
          <w:p>
            <w:pPr>
              <w:jc w:val="right"/>
              <w:ind w:right="1"/>
              <w:spacing w:after="0"/>
              <w:rPr>
                <w:sz w:val="20"/>
                <w:szCs w:val="20"/>
                <w:color w:val="auto"/>
              </w:rPr>
            </w:pPr>
            <w:r>
              <w:rPr>
                <w:rFonts w:ascii="Arial" w:cs="Arial" w:eastAsia="Arial" w:hAnsi="Arial"/>
                <w:sz w:val="20"/>
                <w:szCs w:val="20"/>
                <w:color w:val="auto"/>
              </w:rPr>
              <w:t>18,481</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18,481</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19,912</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jc w:val="right"/>
              <w:ind w:right="1"/>
              <w:spacing w:after="0"/>
              <w:rPr>
                <w:sz w:val="20"/>
                <w:szCs w:val="20"/>
                <w:color w:val="auto"/>
              </w:rPr>
            </w:pPr>
            <w:r>
              <w:rPr>
                <w:rFonts w:ascii="Arial" w:cs="Arial" w:eastAsia="Arial" w:hAnsi="Arial"/>
                <w:sz w:val="20"/>
                <w:szCs w:val="20"/>
                <w:color w:val="auto"/>
              </w:rPr>
              <w:t>19,912</w:t>
            </w:r>
          </w:p>
        </w:tc>
        <w:tc>
          <w:tcPr>
            <w:tcW w:w="0" w:type="dxa"/>
            <w:vAlign w:val="bottom"/>
          </w:tcPr>
          <w:p>
            <w:pPr>
              <w:spacing w:after="0"/>
              <w:rPr>
                <w:sz w:val="1"/>
                <w:szCs w:val="1"/>
                <w:color w:val="auto"/>
              </w:rPr>
            </w:pPr>
          </w:p>
        </w:tc>
      </w:tr>
      <w:tr>
        <w:trPr>
          <w:trHeight w:val="284"/>
        </w:trPr>
        <w:tc>
          <w:tcPr>
            <w:tcW w:w="3620" w:type="dxa"/>
            <w:vAlign w:val="bottom"/>
          </w:tcPr>
          <w:p>
            <w:pPr>
              <w:ind w:left="240"/>
              <w:spacing w:after="0"/>
              <w:rPr>
                <w:sz w:val="20"/>
                <w:szCs w:val="20"/>
                <w:color w:val="auto"/>
              </w:rPr>
            </w:pPr>
            <w:r>
              <w:rPr>
                <w:rFonts w:ascii="Arial" w:cs="Arial" w:eastAsia="Arial" w:hAnsi="Arial"/>
                <w:sz w:val="20"/>
                <w:szCs w:val="20"/>
                <w:color w:val="auto"/>
              </w:rPr>
              <w:t>Accounts payable, other</w:t>
            </w:r>
          </w:p>
        </w:tc>
        <w:tc>
          <w:tcPr>
            <w:tcW w:w="260" w:type="dxa"/>
            <w:vAlign w:val="bottom"/>
          </w:tcPr>
          <w:p>
            <w:pPr>
              <w:spacing w:after="0"/>
              <w:rPr>
                <w:sz w:val="24"/>
                <w:szCs w:val="24"/>
                <w:color w:val="auto"/>
              </w:rPr>
            </w:pPr>
          </w:p>
        </w:tc>
        <w:tc>
          <w:tcPr>
            <w:tcW w:w="1280" w:type="dxa"/>
            <w:vAlign w:val="bottom"/>
          </w:tcPr>
          <w:p>
            <w:pPr>
              <w:jc w:val="right"/>
              <w:ind w:right="1"/>
              <w:spacing w:after="0"/>
              <w:rPr>
                <w:sz w:val="20"/>
                <w:szCs w:val="20"/>
                <w:color w:val="auto"/>
              </w:rPr>
            </w:pPr>
            <w:r>
              <w:rPr>
                <w:rFonts w:ascii="Arial" w:cs="Arial" w:eastAsia="Arial" w:hAnsi="Arial"/>
                <w:sz w:val="20"/>
                <w:szCs w:val="20"/>
                <w:color w:val="auto"/>
              </w:rPr>
              <w:t>7,767</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7,767</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4,726</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jc w:val="right"/>
              <w:ind w:right="1"/>
              <w:spacing w:after="0"/>
              <w:rPr>
                <w:sz w:val="20"/>
                <w:szCs w:val="20"/>
                <w:color w:val="auto"/>
              </w:rPr>
            </w:pPr>
            <w:r>
              <w:rPr>
                <w:rFonts w:ascii="Arial" w:cs="Arial" w:eastAsia="Arial" w:hAnsi="Arial"/>
                <w:sz w:val="20"/>
                <w:szCs w:val="20"/>
                <w:color w:val="auto"/>
              </w:rPr>
              <w:t>4,726</w:t>
            </w:r>
          </w:p>
        </w:tc>
        <w:tc>
          <w:tcPr>
            <w:tcW w:w="0" w:type="dxa"/>
            <w:vAlign w:val="bottom"/>
          </w:tcPr>
          <w:p>
            <w:pPr>
              <w:spacing w:after="0"/>
              <w:rPr>
                <w:sz w:val="1"/>
                <w:szCs w:val="1"/>
                <w:color w:val="auto"/>
              </w:rPr>
            </w:pPr>
          </w:p>
        </w:tc>
      </w:tr>
      <w:tr>
        <w:trPr>
          <w:trHeight w:val="284"/>
        </w:trPr>
        <w:tc>
          <w:tcPr>
            <w:tcW w:w="3620" w:type="dxa"/>
            <w:vAlign w:val="bottom"/>
          </w:tcPr>
          <w:p>
            <w:pPr>
              <w:ind w:left="240"/>
              <w:spacing w:after="0"/>
              <w:rPr>
                <w:sz w:val="20"/>
                <w:szCs w:val="20"/>
                <w:color w:val="auto"/>
              </w:rPr>
            </w:pPr>
            <w:r>
              <w:rPr>
                <w:rFonts w:ascii="Arial" w:cs="Arial" w:eastAsia="Arial" w:hAnsi="Arial"/>
                <w:sz w:val="20"/>
                <w:szCs w:val="20"/>
                <w:color w:val="auto"/>
              </w:rPr>
              <w:t>Accrued income taxes</w:t>
            </w:r>
          </w:p>
        </w:tc>
        <w:tc>
          <w:tcPr>
            <w:tcW w:w="260" w:type="dxa"/>
            <w:vAlign w:val="bottom"/>
          </w:tcPr>
          <w:p>
            <w:pPr>
              <w:spacing w:after="0"/>
              <w:rPr>
                <w:sz w:val="24"/>
                <w:szCs w:val="24"/>
                <w:color w:val="auto"/>
              </w:rPr>
            </w:pPr>
          </w:p>
        </w:tc>
        <w:tc>
          <w:tcPr>
            <w:tcW w:w="1280" w:type="dxa"/>
            <w:vAlign w:val="bottom"/>
          </w:tcPr>
          <w:p>
            <w:pPr>
              <w:jc w:val="right"/>
              <w:ind w:right="1"/>
              <w:spacing w:after="0"/>
              <w:rPr>
                <w:sz w:val="20"/>
                <w:szCs w:val="20"/>
                <w:color w:val="auto"/>
              </w:rPr>
            </w:pPr>
            <w:r>
              <w:rPr>
                <w:rFonts w:ascii="Arial" w:cs="Arial" w:eastAsia="Arial" w:hAnsi="Arial"/>
                <w:sz w:val="20"/>
                <w:szCs w:val="20"/>
                <w:color w:val="auto"/>
              </w:rPr>
              <w:t>820</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820</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1,016</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jc w:val="right"/>
              <w:ind w:right="1"/>
              <w:spacing w:after="0"/>
              <w:rPr>
                <w:sz w:val="20"/>
                <w:szCs w:val="20"/>
                <w:color w:val="auto"/>
              </w:rPr>
            </w:pPr>
            <w:r>
              <w:rPr>
                <w:rFonts w:ascii="Arial" w:cs="Arial" w:eastAsia="Arial" w:hAnsi="Arial"/>
                <w:sz w:val="20"/>
                <w:szCs w:val="20"/>
                <w:color w:val="auto"/>
              </w:rPr>
              <w:t>1,016</w:t>
            </w:r>
          </w:p>
        </w:tc>
        <w:tc>
          <w:tcPr>
            <w:tcW w:w="0" w:type="dxa"/>
            <w:vAlign w:val="bottom"/>
          </w:tcPr>
          <w:p>
            <w:pPr>
              <w:spacing w:after="0"/>
              <w:rPr>
                <w:sz w:val="1"/>
                <w:szCs w:val="1"/>
                <w:color w:val="auto"/>
              </w:rPr>
            </w:pPr>
          </w:p>
        </w:tc>
      </w:tr>
      <w:tr>
        <w:trPr>
          <w:trHeight w:val="284"/>
        </w:trPr>
        <w:tc>
          <w:tcPr>
            <w:tcW w:w="3620" w:type="dxa"/>
            <w:vAlign w:val="bottom"/>
          </w:tcPr>
          <w:p>
            <w:pPr>
              <w:ind w:left="240"/>
              <w:spacing w:after="0"/>
              <w:rPr>
                <w:sz w:val="20"/>
                <w:szCs w:val="20"/>
                <w:color w:val="auto"/>
              </w:rPr>
            </w:pPr>
            <w:r>
              <w:rPr>
                <w:rFonts w:ascii="Arial" w:cs="Arial" w:eastAsia="Arial" w:hAnsi="Arial"/>
                <w:sz w:val="20"/>
                <w:szCs w:val="20"/>
                <w:color w:val="auto"/>
              </w:rPr>
              <w:t>Long-term debts</w:t>
            </w:r>
          </w:p>
        </w:tc>
        <w:tc>
          <w:tcPr>
            <w:tcW w:w="260" w:type="dxa"/>
            <w:vAlign w:val="bottom"/>
          </w:tcPr>
          <w:p>
            <w:pPr>
              <w:spacing w:after="0"/>
              <w:rPr>
                <w:sz w:val="24"/>
                <w:szCs w:val="24"/>
                <w:color w:val="auto"/>
              </w:rPr>
            </w:pPr>
          </w:p>
        </w:tc>
        <w:tc>
          <w:tcPr>
            <w:tcW w:w="1280" w:type="dxa"/>
            <w:vAlign w:val="bottom"/>
          </w:tcPr>
          <w:p>
            <w:pPr>
              <w:jc w:val="right"/>
              <w:ind w:right="1"/>
              <w:spacing w:after="0"/>
              <w:rPr>
                <w:sz w:val="20"/>
                <w:szCs w:val="20"/>
                <w:color w:val="auto"/>
              </w:rPr>
            </w:pPr>
            <w:r>
              <w:rPr>
                <w:rFonts w:ascii="Arial" w:cs="Arial" w:eastAsia="Arial" w:hAnsi="Arial"/>
                <w:sz w:val="20"/>
                <w:szCs w:val="20"/>
                <w:color w:val="auto"/>
              </w:rPr>
              <w:t>93,067</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gridSpan w:val="2"/>
          </w:tcPr>
          <w:p>
            <w:pPr>
              <w:ind w:left="100"/>
              <w:spacing w:after="0"/>
              <w:rPr>
                <w:sz w:val="20"/>
                <w:szCs w:val="20"/>
                <w:color w:val="auto"/>
              </w:rPr>
            </w:pPr>
            <w:r>
              <w:rPr>
                <w:rFonts w:ascii="Arial" w:cs="Arial" w:eastAsia="Arial" w:hAnsi="Arial"/>
                <w:sz w:val="20"/>
                <w:szCs w:val="20"/>
                <w:color w:val="auto"/>
              </w:rPr>
              <w:t>See below</w:t>
            </w:r>
          </w:p>
        </w:tc>
        <w:tc>
          <w:tcPr>
            <w:tcW w:w="4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140,206</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jc w:val="right"/>
              <w:ind w:right="1"/>
              <w:spacing w:after="0"/>
              <w:rPr>
                <w:sz w:val="20"/>
                <w:szCs w:val="20"/>
                <w:color w:val="auto"/>
              </w:rPr>
            </w:pPr>
            <w:r>
              <w:rPr>
                <w:rFonts w:ascii="Arial" w:cs="Arial" w:eastAsia="Arial" w:hAnsi="Arial"/>
                <w:sz w:val="20"/>
                <w:szCs w:val="20"/>
                <w:color w:val="auto"/>
              </w:rPr>
              <w:t>See below</w:t>
            </w:r>
          </w:p>
        </w:tc>
        <w:tc>
          <w:tcPr>
            <w:tcW w:w="0" w:type="dxa"/>
            <w:vAlign w:val="bottom"/>
          </w:tcPr>
          <w:p>
            <w:pPr>
              <w:spacing w:after="0"/>
              <w:rPr>
                <w:sz w:val="1"/>
                <w:szCs w:val="1"/>
                <w:color w:val="auto"/>
              </w:rPr>
            </w:pPr>
          </w:p>
        </w:tc>
      </w:tr>
      <w:tr>
        <w:trPr>
          <w:trHeight w:val="284"/>
        </w:trPr>
        <w:tc>
          <w:tcPr>
            <w:tcW w:w="3620" w:type="dxa"/>
            <w:vAlign w:val="bottom"/>
          </w:tcPr>
          <w:p>
            <w:pPr>
              <w:ind w:left="240"/>
              <w:spacing w:after="0"/>
              <w:rPr>
                <w:sz w:val="20"/>
                <w:szCs w:val="20"/>
                <w:color w:val="auto"/>
              </w:rPr>
            </w:pPr>
            <w:r>
              <w:rPr>
                <w:rFonts w:ascii="Arial" w:cs="Arial" w:eastAsia="Arial" w:hAnsi="Arial"/>
                <w:sz w:val="18"/>
                <w:szCs w:val="18"/>
                <w:color w:val="auto"/>
              </w:rPr>
              <w:t>Obligations under capital leases</w:t>
            </w:r>
          </w:p>
        </w:tc>
        <w:tc>
          <w:tcPr>
            <w:tcW w:w="260" w:type="dxa"/>
            <w:vAlign w:val="bottom"/>
          </w:tcPr>
          <w:p>
            <w:pPr>
              <w:spacing w:after="0"/>
              <w:rPr>
                <w:sz w:val="24"/>
                <w:szCs w:val="24"/>
                <w:color w:val="auto"/>
              </w:rPr>
            </w:pPr>
          </w:p>
        </w:tc>
        <w:tc>
          <w:tcPr>
            <w:tcW w:w="1280" w:type="dxa"/>
            <w:vAlign w:val="bottom"/>
          </w:tcPr>
          <w:p>
            <w:pPr>
              <w:jc w:val="right"/>
              <w:ind w:right="1"/>
              <w:spacing w:after="0"/>
              <w:rPr>
                <w:sz w:val="20"/>
                <w:szCs w:val="20"/>
                <w:color w:val="auto"/>
              </w:rPr>
            </w:pPr>
            <w:r>
              <w:rPr>
                <w:rFonts w:ascii="Arial" w:cs="Arial" w:eastAsia="Arial" w:hAnsi="Arial"/>
                <w:sz w:val="20"/>
                <w:szCs w:val="20"/>
                <w:color w:val="auto"/>
              </w:rPr>
              <w:t>95,662</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gridSpan w:val="2"/>
          </w:tcPr>
          <w:p>
            <w:pPr>
              <w:ind w:left="100"/>
              <w:spacing w:after="0"/>
              <w:rPr>
                <w:sz w:val="20"/>
                <w:szCs w:val="20"/>
                <w:color w:val="auto"/>
              </w:rPr>
            </w:pPr>
            <w:r>
              <w:rPr>
                <w:rFonts w:ascii="Arial" w:cs="Arial" w:eastAsia="Arial" w:hAnsi="Arial"/>
                <w:sz w:val="20"/>
                <w:szCs w:val="20"/>
                <w:color w:val="auto"/>
              </w:rPr>
              <w:t>See below</w:t>
            </w:r>
          </w:p>
        </w:tc>
        <w:tc>
          <w:tcPr>
            <w:tcW w:w="4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100,892</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jc w:val="right"/>
              <w:ind w:right="1"/>
              <w:spacing w:after="0"/>
              <w:rPr>
                <w:sz w:val="20"/>
                <w:szCs w:val="20"/>
                <w:color w:val="auto"/>
              </w:rPr>
            </w:pPr>
            <w:r>
              <w:rPr>
                <w:rFonts w:ascii="Arial" w:cs="Arial" w:eastAsia="Arial" w:hAnsi="Arial"/>
                <w:sz w:val="20"/>
                <w:szCs w:val="20"/>
                <w:color w:val="auto"/>
              </w:rPr>
              <w:t>See below</w:t>
            </w:r>
          </w:p>
        </w:tc>
        <w:tc>
          <w:tcPr>
            <w:tcW w:w="0" w:type="dxa"/>
            <w:vAlign w:val="bottom"/>
          </w:tcPr>
          <w:p>
            <w:pPr>
              <w:spacing w:after="0"/>
              <w:rPr>
                <w:sz w:val="1"/>
                <w:szCs w:val="1"/>
                <w:color w:val="auto"/>
              </w:rPr>
            </w:pPr>
          </w:p>
        </w:tc>
      </w:tr>
      <w:tr>
        <w:trPr>
          <w:trHeight w:val="284"/>
        </w:trPr>
        <w:tc>
          <w:tcPr>
            <w:tcW w:w="3620" w:type="dxa"/>
            <w:vAlign w:val="bottom"/>
          </w:tcPr>
          <w:p>
            <w:pPr>
              <w:ind w:left="240"/>
              <w:spacing w:after="0"/>
              <w:rPr>
                <w:sz w:val="20"/>
                <w:szCs w:val="20"/>
                <w:color w:val="auto"/>
              </w:rPr>
            </w:pPr>
            <w:r>
              <w:rPr>
                <w:rFonts w:ascii="Arial" w:cs="Arial" w:eastAsia="Arial" w:hAnsi="Arial"/>
                <w:sz w:val="20"/>
                <w:szCs w:val="20"/>
                <w:color w:val="auto"/>
              </w:rPr>
              <w:t>Straight bonds</w:t>
            </w:r>
          </w:p>
        </w:tc>
        <w:tc>
          <w:tcPr>
            <w:tcW w:w="260" w:type="dxa"/>
            <w:vAlign w:val="bottom"/>
          </w:tcPr>
          <w:p>
            <w:pPr>
              <w:spacing w:after="0"/>
              <w:rPr>
                <w:sz w:val="24"/>
                <w:szCs w:val="24"/>
                <w:color w:val="auto"/>
              </w:rPr>
            </w:pPr>
          </w:p>
        </w:tc>
        <w:tc>
          <w:tcPr>
            <w:tcW w:w="1280" w:type="dxa"/>
            <w:vAlign w:val="bottom"/>
          </w:tcPr>
          <w:p>
            <w:pPr>
              <w:jc w:val="right"/>
              <w:ind w:right="1"/>
              <w:spacing w:after="0"/>
              <w:rPr>
                <w:sz w:val="20"/>
                <w:szCs w:val="20"/>
                <w:color w:val="auto"/>
              </w:rPr>
            </w:pPr>
            <w:r>
              <w:rPr>
                <w:rFonts w:ascii="Arial" w:cs="Arial" w:eastAsia="Arial" w:hAnsi="Arial"/>
                <w:sz w:val="20"/>
                <w:szCs w:val="20"/>
                <w:color w:val="auto"/>
              </w:rPr>
              <w:t>15,187</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gridSpan w:val="2"/>
          </w:tcPr>
          <w:p>
            <w:pPr>
              <w:ind w:left="100"/>
              <w:spacing w:after="0"/>
              <w:rPr>
                <w:sz w:val="20"/>
                <w:szCs w:val="20"/>
                <w:color w:val="auto"/>
              </w:rPr>
            </w:pPr>
            <w:r>
              <w:rPr>
                <w:rFonts w:ascii="Arial" w:cs="Arial" w:eastAsia="Arial" w:hAnsi="Arial"/>
                <w:sz w:val="20"/>
                <w:szCs w:val="20"/>
                <w:color w:val="auto"/>
              </w:rPr>
              <w:t>See below</w:t>
            </w:r>
          </w:p>
        </w:tc>
        <w:tc>
          <w:tcPr>
            <w:tcW w:w="4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44,799</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jc w:val="right"/>
              <w:ind w:right="1"/>
              <w:spacing w:after="0"/>
              <w:rPr>
                <w:sz w:val="20"/>
                <w:szCs w:val="20"/>
                <w:color w:val="auto"/>
              </w:rPr>
            </w:pPr>
            <w:r>
              <w:rPr>
                <w:rFonts w:ascii="Arial" w:cs="Arial" w:eastAsia="Arial" w:hAnsi="Arial"/>
                <w:sz w:val="20"/>
                <w:szCs w:val="20"/>
                <w:color w:val="auto"/>
              </w:rPr>
              <w:t>See below</w:t>
            </w:r>
          </w:p>
        </w:tc>
        <w:tc>
          <w:tcPr>
            <w:tcW w:w="0" w:type="dxa"/>
            <w:vAlign w:val="bottom"/>
          </w:tcPr>
          <w:p>
            <w:pPr>
              <w:spacing w:after="0"/>
              <w:rPr>
                <w:sz w:val="1"/>
                <w:szCs w:val="1"/>
                <w:color w:val="auto"/>
              </w:rPr>
            </w:pPr>
          </w:p>
        </w:tc>
      </w:tr>
      <w:tr>
        <w:trPr>
          <w:trHeight w:val="284"/>
        </w:trPr>
        <w:tc>
          <w:tcPr>
            <w:tcW w:w="3620" w:type="dxa"/>
            <w:vAlign w:val="bottom"/>
          </w:tcPr>
          <w:p>
            <w:pPr>
              <w:ind w:left="240"/>
              <w:spacing w:after="0"/>
              <w:rPr>
                <w:sz w:val="20"/>
                <w:szCs w:val="20"/>
                <w:color w:val="auto"/>
              </w:rPr>
            </w:pPr>
            <w:r>
              <w:rPr>
                <w:rFonts w:ascii="Arial" w:cs="Arial" w:eastAsia="Arial" w:hAnsi="Arial"/>
                <w:sz w:val="20"/>
                <w:szCs w:val="20"/>
                <w:color w:val="auto"/>
              </w:rPr>
              <w:t>Convertible bonds</w:t>
            </w:r>
          </w:p>
        </w:tc>
        <w:tc>
          <w:tcPr>
            <w:tcW w:w="260" w:type="dxa"/>
            <w:vAlign w:val="bottom"/>
          </w:tcPr>
          <w:p>
            <w:pPr>
              <w:spacing w:after="0"/>
              <w:rPr>
                <w:sz w:val="24"/>
                <w:szCs w:val="24"/>
                <w:color w:val="auto"/>
              </w:rPr>
            </w:pPr>
          </w:p>
        </w:tc>
        <w:tc>
          <w:tcPr>
            <w:tcW w:w="1280" w:type="dxa"/>
            <w:vAlign w:val="bottom"/>
          </w:tcPr>
          <w:p>
            <w:pPr>
              <w:jc w:val="right"/>
              <w:ind w:right="1"/>
              <w:spacing w:after="0"/>
              <w:rPr>
                <w:sz w:val="20"/>
                <w:szCs w:val="20"/>
                <w:color w:val="auto"/>
              </w:rPr>
            </w:pPr>
            <w:r>
              <w:rPr>
                <w:rFonts w:ascii="Arial" w:cs="Arial" w:eastAsia="Arial" w:hAnsi="Arial"/>
                <w:sz w:val="20"/>
                <w:szCs w:val="20"/>
                <w:color w:val="auto"/>
              </w:rPr>
              <w:t>31,766</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gridSpan w:val="2"/>
          </w:tcPr>
          <w:p>
            <w:pPr>
              <w:ind w:left="100"/>
              <w:spacing w:after="0"/>
              <w:rPr>
                <w:sz w:val="20"/>
                <w:szCs w:val="20"/>
                <w:color w:val="auto"/>
              </w:rPr>
            </w:pPr>
            <w:r>
              <w:rPr>
                <w:rFonts w:ascii="Arial" w:cs="Arial" w:eastAsia="Arial" w:hAnsi="Arial"/>
                <w:sz w:val="20"/>
                <w:szCs w:val="20"/>
                <w:color w:val="auto"/>
              </w:rPr>
              <w:t>See below</w:t>
            </w:r>
          </w:p>
        </w:tc>
        <w:tc>
          <w:tcPr>
            <w:tcW w:w="4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93,705</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jc w:val="right"/>
              <w:ind w:right="1"/>
              <w:spacing w:after="0"/>
              <w:rPr>
                <w:sz w:val="20"/>
                <w:szCs w:val="20"/>
                <w:color w:val="auto"/>
              </w:rPr>
            </w:pPr>
            <w:r>
              <w:rPr>
                <w:rFonts w:ascii="Arial" w:cs="Arial" w:eastAsia="Arial" w:hAnsi="Arial"/>
                <w:sz w:val="20"/>
                <w:szCs w:val="20"/>
                <w:color w:val="auto"/>
              </w:rPr>
              <w:t>See below</w:t>
            </w:r>
          </w:p>
        </w:tc>
        <w:tc>
          <w:tcPr>
            <w:tcW w:w="0" w:type="dxa"/>
            <w:vAlign w:val="bottom"/>
          </w:tcPr>
          <w:p>
            <w:pPr>
              <w:spacing w:after="0"/>
              <w:rPr>
                <w:sz w:val="1"/>
                <w:szCs w:val="1"/>
                <w:color w:val="auto"/>
              </w:rPr>
            </w:pPr>
          </w:p>
        </w:tc>
      </w:tr>
      <w:tr>
        <w:trPr>
          <w:trHeight w:val="284"/>
        </w:trPr>
        <w:tc>
          <w:tcPr>
            <w:tcW w:w="3620" w:type="dxa"/>
            <w:vAlign w:val="bottom"/>
          </w:tcPr>
          <w:p>
            <w:pPr>
              <w:ind w:left="240"/>
              <w:spacing w:after="0"/>
              <w:rPr>
                <w:sz w:val="20"/>
                <w:szCs w:val="20"/>
                <w:color w:val="auto"/>
              </w:rPr>
            </w:pPr>
            <w:r>
              <w:rPr>
                <w:rFonts w:ascii="Arial" w:cs="Arial" w:eastAsia="Arial" w:hAnsi="Arial"/>
                <w:sz w:val="20"/>
                <w:szCs w:val="20"/>
                <w:color w:val="auto"/>
              </w:rPr>
              <w:t>Long-term other payables</w:t>
            </w:r>
          </w:p>
        </w:tc>
        <w:tc>
          <w:tcPr>
            <w:tcW w:w="260" w:type="dxa"/>
            <w:vAlign w:val="bottom"/>
          </w:tcPr>
          <w:p>
            <w:pPr>
              <w:spacing w:after="0"/>
              <w:rPr>
                <w:sz w:val="24"/>
                <w:szCs w:val="24"/>
                <w:color w:val="auto"/>
              </w:rPr>
            </w:pPr>
          </w:p>
        </w:tc>
        <w:tc>
          <w:tcPr>
            <w:tcW w:w="1280" w:type="dxa"/>
            <w:vAlign w:val="bottom"/>
          </w:tcPr>
          <w:p>
            <w:pPr>
              <w:jc w:val="right"/>
              <w:ind w:right="1"/>
              <w:spacing w:after="0"/>
              <w:rPr>
                <w:sz w:val="20"/>
                <w:szCs w:val="20"/>
                <w:color w:val="auto"/>
              </w:rPr>
            </w:pPr>
            <w:r>
              <w:rPr>
                <w:rFonts w:ascii="Arial" w:cs="Arial" w:eastAsia="Arial" w:hAnsi="Arial"/>
                <w:sz w:val="20"/>
                <w:szCs w:val="20"/>
                <w:color w:val="auto"/>
              </w:rPr>
              <w:t>2,399</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gridSpan w:val="2"/>
          </w:tcPr>
          <w:p>
            <w:pPr>
              <w:ind w:left="100"/>
              <w:spacing w:after="0"/>
              <w:rPr>
                <w:sz w:val="20"/>
                <w:szCs w:val="20"/>
                <w:color w:val="auto"/>
              </w:rPr>
            </w:pPr>
            <w:r>
              <w:rPr>
                <w:rFonts w:ascii="Arial" w:cs="Arial" w:eastAsia="Arial" w:hAnsi="Arial"/>
                <w:sz w:val="20"/>
                <w:szCs w:val="20"/>
                <w:color w:val="auto"/>
              </w:rPr>
              <w:t>See below</w:t>
            </w:r>
          </w:p>
        </w:tc>
        <w:tc>
          <w:tcPr>
            <w:tcW w:w="4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3,856</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jc w:val="right"/>
              <w:ind w:right="1"/>
              <w:spacing w:after="0"/>
              <w:rPr>
                <w:sz w:val="20"/>
                <w:szCs w:val="20"/>
                <w:color w:val="auto"/>
              </w:rPr>
            </w:pPr>
            <w:r>
              <w:rPr>
                <w:rFonts w:ascii="Arial" w:cs="Arial" w:eastAsia="Arial" w:hAnsi="Arial"/>
                <w:sz w:val="20"/>
                <w:szCs w:val="20"/>
                <w:color w:val="auto"/>
              </w:rPr>
              <w:t>See below</w:t>
            </w: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carrying amounts shown in the table are included in the consolidated balance sheets under the indicated captions, except for (i)</w:t>
      </w:r>
    </w:p>
    <w:p>
      <w:pPr>
        <w:spacing w:after="0" w:line="3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long-term debts, straight bonds and convertible bonds, which are included in long-term debt and liabilities subject to compromise, (ii)</w:t>
      </w:r>
    </w:p>
    <w:p>
      <w:pPr>
        <w:spacing w:after="0" w:line="2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obligations under capital leases, which is included in obligations under capital leases and liabilities subject to compromise, and (iii)</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60" w:top="553" w:right="239" w:bottom="1440" w:gutter="0" w:footer="0" w:header="0"/>
        </w:sectPr>
      </w:pPr>
    </w:p>
    <w:bookmarkStart w:id="31" w:name="page32"/>
    <w:bookmarkEnd w:id="31"/>
    <w:p>
      <w:pPr>
        <w:jc w:val="center"/>
        <w:ind w:right="440"/>
        <w:spacing w:after="0"/>
        <w:rPr>
          <w:sz w:val="20"/>
          <w:szCs w:val="20"/>
          <w:color w:val="auto"/>
        </w:rPr>
      </w:pPr>
      <w:r>
        <w:rPr>
          <w:rFonts w:ascii="Arial" w:cs="Arial" w:eastAsia="Arial" w:hAnsi="Arial"/>
          <w:sz w:val="18"/>
          <w:szCs w:val="18"/>
          <w:b w:val="1"/>
          <w:bCs w:val="1"/>
          <w:color w:val="auto"/>
        </w:rPr>
        <w:t>ELPIDA MEMORY, INC. AND SUBSIDIARIES</w:t>
      </w:r>
    </w:p>
    <w:p>
      <w:pPr>
        <w:spacing w:after="0" w:line="27"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(DEBTORS-IN-POSSESSION)</w:t>
      </w:r>
    </w:p>
    <w:p>
      <w:pPr>
        <w:spacing w:after="0" w:line="9"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1" w:lineRule="exact"/>
        <w:rPr>
          <w:sz w:val="20"/>
          <w:szCs w:val="20"/>
          <w:color w:val="auto"/>
        </w:rPr>
      </w:pPr>
    </w:p>
    <w:p>
      <w:pPr>
        <w:ind w:left="360"/>
        <w:spacing w:after="0"/>
        <w:rPr>
          <w:sz w:val="20"/>
          <w:szCs w:val="20"/>
          <w:color w:val="auto"/>
        </w:rPr>
      </w:pPr>
      <w:r>
        <w:rPr>
          <w:rFonts w:ascii="Arial" w:cs="Arial" w:eastAsia="Arial" w:hAnsi="Arial"/>
          <w:sz w:val="20"/>
          <w:szCs w:val="20"/>
          <w:color w:val="auto"/>
        </w:rPr>
        <w:t>long-term other payables, which are included in other liabilities.</w:t>
      </w:r>
    </w:p>
    <w:p>
      <w:pPr>
        <w:spacing w:after="0" w:line="351" w:lineRule="exact"/>
        <w:rPr>
          <w:sz w:val="20"/>
          <w:szCs w:val="20"/>
          <w:color w:val="auto"/>
        </w:rPr>
      </w:pPr>
    </w:p>
    <w:p>
      <w:pPr>
        <w:jc w:val="both"/>
        <w:ind w:left="360"/>
        <w:spacing w:after="0" w:line="274" w:lineRule="auto"/>
        <w:rPr>
          <w:sz w:val="20"/>
          <w:szCs w:val="20"/>
          <w:color w:val="auto"/>
        </w:rPr>
      </w:pPr>
      <w:r>
        <w:rPr>
          <w:rFonts w:ascii="Arial" w:cs="Arial" w:eastAsia="Arial" w:hAnsi="Arial"/>
          <w:sz w:val="18"/>
          <w:szCs w:val="18"/>
          <w:color w:val="auto"/>
        </w:rPr>
        <w:t>The estimated fair values of the financial instruments shown in the above table at February 28, 2013 and March 31, 2012 represent the amounts that would be received to sell those assets or that would be paid to transfer those liabilities in an orderly transaction between market participants at that date. Those fair value measurements maximize the use of observable inputs. However, in situations where there is little, if any, market activity for the asset or liability at the measurement date, the fair value measurement reflects the Company’s own judgments about the assumptions that market participants would use in pricing the asset or liability. Those judgments are developed by the Company based on the best information available in the circumstances, including expected cash flows and appropriately risk-adjusted discount rates, available observable and unobservable inputs.</w:t>
      </w:r>
    </w:p>
    <w:p>
      <w:pPr>
        <w:spacing w:after="0" w:line="88"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following methods and assumptions were used to estimate the fair value of each class of financial instruments:</w:t>
      </w:r>
    </w:p>
    <w:p>
      <w:pPr>
        <w:spacing w:after="0" w:line="135" w:lineRule="exact"/>
        <w:rPr>
          <w:sz w:val="20"/>
          <w:szCs w:val="20"/>
          <w:color w:val="auto"/>
        </w:rPr>
      </w:pPr>
    </w:p>
    <w:p>
      <w:pPr>
        <w:jc w:val="both"/>
        <w:ind w:left="620" w:hanging="323"/>
        <w:spacing w:after="0" w:line="250" w:lineRule="auto"/>
        <w:tabs>
          <w:tab w:leader="none" w:pos="620" w:val="left"/>
        </w:tabs>
        <w:numPr>
          <w:ilvl w:val="1"/>
          <w:numId w:val="22"/>
        </w:numPr>
        <w:rPr>
          <w:rFonts w:ascii="Arial" w:cs="Arial" w:eastAsia="Arial" w:hAnsi="Arial"/>
          <w:sz w:val="18"/>
          <w:szCs w:val="18"/>
          <w:color w:val="auto"/>
        </w:rPr>
      </w:pPr>
      <w:r>
        <w:rPr>
          <w:rFonts w:ascii="Arial" w:cs="Arial" w:eastAsia="Arial" w:hAnsi="Arial"/>
          <w:sz w:val="20"/>
          <w:szCs w:val="20"/>
          <w:color w:val="auto"/>
        </w:rPr>
        <w:t>Cash and cash equivalents, trade accounts receivable, other accounts receivables, short-term borrowings, trade accounts payable, other accounts payables, and accrued income taxes: The carrying amounts, at face value or cost plus accrued interest, approximate fair value because of the short maturity of these instruments.</w:t>
      </w:r>
    </w:p>
    <w:p>
      <w:pPr>
        <w:spacing w:after="0" w:line="91" w:lineRule="exact"/>
        <w:rPr>
          <w:rFonts w:ascii="Arial" w:cs="Arial" w:eastAsia="Arial" w:hAnsi="Arial"/>
          <w:sz w:val="18"/>
          <w:szCs w:val="18"/>
          <w:color w:val="auto"/>
        </w:rPr>
      </w:pPr>
    </w:p>
    <w:p>
      <w:pPr>
        <w:jc w:val="both"/>
        <w:ind w:left="640" w:hanging="302"/>
        <w:spacing w:after="0" w:line="243" w:lineRule="auto"/>
        <w:tabs>
          <w:tab w:leader="none" w:pos="640" w:val="left"/>
        </w:tabs>
        <w:numPr>
          <w:ilvl w:val="2"/>
          <w:numId w:val="22"/>
        </w:numPr>
        <w:rPr>
          <w:rFonts w:ascii="Arial" w:cs="Arial" w:eastAsia="Arial" w:hAnsi="Arial"/>
          <w:sz w:val="18"/>
          <w:szCs w:val="18"/>
          <w:color w:val="auto"/>
        </w:rPr>
      </w:pPr>
      <w:r>
        <w:rPr>
          <w:rFonts w:ascii="Arial" w:cs="Arial" w:eastAsia="Arial" w:hAnsi="Arial"/>
          <w:sz w:val="20"/>
          <w:szCs w:val="20"/>
          <w:color w:val="auto"/>
        </w:rPr>
        <w:t>Investment securities: Equity securities classified as available for sale are measured using quoted market prices at the reporting date multiplied by the quantity held. The fair values of equity securities accounted for under the cost method (nonmarketable equity securities) are determined using methodologies that give consideration to a range of factors, including but not limited to the price at which investments were acquired, the nature of the investments, market conditions, trading values on comparable public securities, current and projected operating performance, and financing transactions subsequent to the acquisition of the investments.</w:t>
      </w:r>
    </w:p>
    <w:p>
      <w:pPr>
        <w:spacing w:after="0" w:line="101" w:lineRule="exact"/>
        <w:rPr>
          <w:rFonts w:ascii="Arial" w:cs="Arial" w:eastAsia="Arial" w:hAnsi="Arial"/>
          <w:sz w:val="18"/>
          <w:szCs w:val="18"/>
          <w:color w:val="auto"/>
        </w:rPr>
      </w:pPr>
    </w:p>
    <w:p>
      <w:pPr>
        <w:jc w:val="both"/>
        <w:ind w:left="640" w:hanging="302"/>
        <w:spacing w:after="0" w:line="244" w:lineRule="auto"/>
        <w:tabs>
          <w:tab w:leader="none" w:pos="640" w:val="left"/>
        </w:tabs>
        <w:numPr>
          <w:ilvl w:val="2"/>
          <w:numId w:val="22"/>
        </w:numPr>
        <w:rPr>
          <w:rFonts w:ascii="Arial" w:cs="Arial" w:eastAsia="Arial" w:hAnsi="Arial"/>
          <w:sz w:val="18"/>
          <w:szCs w:val="18"/>
          <w:color w:val="auto"/>
        </w:rPr>
      </w:pPr>
      <w:r>
        <w:rPr>
          <w:rFonts w:ascii="Arial" w:cs="Arial" w:eastAsia="Arial" w:hAnsi="Arial"/>
          <w:sz w:val="20"/>
          <w:szCs w:val="20"/>
          <w:color w:val="auto"/>
        </w:rPr>
        <w:t>Long-term debts, obligations under capital leases, long-term other payables, straight bonds, and convertible bonds: With respect to the fair value at February 28, 2013 and March 31 2012, since the Company was under the reorganization process, the Company could not enter into similar financing at February 28, 2013 and March 31 2012. As such, it is impractical to obtain a fair value for the long-term borrowings, obligations under capital leases, long-term other payables, straight bonds, and convertible bonds at February 28, 2013 and March 31, 2012.</w:t>
      </w:r>
    </w:p>
    <w:p>
      <w:pPr>
        <w:spacing w:after="0" w:line="316" w:lineRule="exact"/>
        <w:rPr>
          <w:rFonts w:ascii="Arial" w:cs="Arial" w:eastAsia="Arial" w:hAnsi="Arial"/>
          <w:sz w:val="18"/>
          <w:szCs w:val="18"/>
          <w:color w:val="auto"/>
        </w:rPr>
      </w:pPr>
    </w:p>
    <w:p>
      <w:pPr>
        <w:ind w:left="360" w:hanging="360"/>
        <w:spacing w:after="0"/>
        <w:tabs>
          <w:tab w:leader="none" w:pos="360" w:val="left"/>
        </w:tabs>
        <w:numPr>
          <w:ilvl w:val="0"/>
          <w:numId w:val="22"/>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Fair Value Hierarchy</w:t>
      </w:r>
    </w:p>
    <w:p>
      <w:pPr>
        <w:spacing w:after="0" w:line="67" w:lineRule="exact"/>
        <w:rPr>
          <w:rFonts w:ascii="Arial" w:cs="Arial" w:eastAsia="Arial" w:hAnsi="Arial"/>
          <w:sz w:val="20"/>
          <w:szCs w:val="20"/>
          <w:b w:val="1"/>
          <w:bCs w:val="1"/>
          <w:i w:val="1"/>
          <w:iCs w:val="1"/>
          <w:color w:val="auto"/>
        </w:rPr>
      </w:pPr>
    </w:p>
    <w:p>
      <w:pPr>
        <w:ind w:left="360"/>
        <w:spacing w:after="0" w:line="260" w:lineRule="auto"/>
        <w:rPr>
          <w:rFonts w:ascii="Arial" w:cs="Arial" w:eastAsia="Arial" w:hAnsi="Arial"/>
          <w:sz w:val="20"/>
          <w:szCs w:val="20"/>
          <w:b w:val="1"/>
          <w:bCs w:val="1"/>
          <w:i w:val="1"/>
          <w:iCs w:val="1"/>
          <w:color w:val="auto"/>
        </w:rPr>
      </w:pPr>
      <w:r>
        <w:rPr>
          <w:rFonts w:ascii="Arial" w:cs="Arial" w:eastAsia="Arial" w:hAnsi="Arial"/>
          <w:sz w:val="20"/>
          <w:szCs w:val="20"/>
          <w:color w:val="auto"/>
        </w:rPr>
        <w:t>The following table presents the placement in the fair value hierarchy of assets and liabilities that are measured at fair value on a recurring basis at February 28, 2013 and March 31, 2012:</w:t>
      </w:r>
    </w:p>
    <w:p>
      <w:pPr>
        <w:spacing w:after="0" w:line="34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80"/>
          </w:cols>
          <w:pgMar w:left="680" w:top="553" w:right="239" w:bottom="1440" w:gutter="0" w:footer="0" w:header="0"/>
        </w:sectPr>
      </w:pPr>
    </w:p>
    <w:bookmarkStart w:id="32" w:name="page33"/>
    <w:bookmarkEnd w:id="32"/>
    <w:p>
      <w:pPr>
        <w:jc w:val="center"/>
        <w:ind w:right="780"/>
        <w:spacing w:after="0"/>
        <w:rPr>
          <w:sz w:val="20"/>
          <w:szCs w:val="20"/>
          <w:color w:val="auto"/>
        </w:rPr>
      </w:pPr>
      <w:r>
        <w:rPr>
          <w:rFonts w:ascii="Arial" w:cs="Arial" w:eastAsia="Arial" w:hAnsi="Arial"/>
          <w:sz w:val="18"/>
          <w:szCs w:val="18"/>
          <w:b w:val="1"/>
          <w:bCs w:val="1"/>
          <w:color w:val="auto"/>
        </w:rPr>
        <w:t>ELPIDA MEMORY, INC. AND SUBSIDIARIES</w:t>
      </w:r>
    </w:p>
    <w:p>
      <w:pPr>
        <w:spacing w:after="0" w:line="27"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(DEBTORS-IN-POSSESSION)</w:t>
      </w:r>
    </w:p>
    <w:p>
      <w:pPr>
        <w:spacing w:after="0" w:line="9"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0" w:type="dxa"/>
            <w:vAlign w:val="bottom"/>
            <w:gridSpan w:val="5"/>
          </w:tcPr>
          <w:p>
            <w:pPr>
              <w:jc w:val="center"/>
              <w:ind w:right="130"/>
              <w:spacing w:after="0"/>
              <w:rPr>
                <w:sz w:val="20"/>
                <w:szCs w:val="20"/>
                <w:color w:val="auto"/>
              </w:rPr>
            </w:pPr>
            <w:r>
              <w:rPr>
                <w:rFonts w:ascii="Arial" w:cs="Arial" w:eastAsia="Arial" w:hAnsi="Arial"/>
                <w:sz w:val="18"/>
                <w:szCs w:val="18"/>
                <w:b w:val="1"/>
                <w:bCs w:val="1"/>
                <w:color w:val="auto"/>
                <w:w w:val="89"/>
              </w:rPr>
              <w:t>Fair value measurements</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9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at reporting date using</w:t>
            </w:r>
          </w:p>
        </w:tc>
        <w:tc>
          <w:tcPr>
            <w:tcW w:w="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Quoted prices in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vMerge w:val="restart"/>
          </w:tcPr>
          <w:p>
            <w:pPr>
              <w:jc w:val="center"/>
              <w:ind w:right="190"/>
              <w:spacing w:after="0"/>
              <w:rPr>
                <w:sz w:val="20"/>
                <w:szCs w:val="20"/>
                <w:color w:val="auto"/>
              </w:rPr>
            </w:pPr>
            <w:r>
              <w:rPr>
                <w:rFonts w:ascii="Arial" w:cs="Arial" w:eastAsia="Arial" w:hAnsi="Arial"/>
                <w:sz w:val="18"/>
                <w:szCs w:val="18"/>
                <w:b w:val="1"/>
                <w:bCs w:val="1"/>
                <w:color w:val="auto"/>
                <w:w w:val="89"/>
              </w:rPr>
              <w:t>Significant</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active markets for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Significant other</w:t>
            </w:r>
          </w:p>
        </w:tc>
        <w:tc>
          <w:tcPr>
            <w:tcW w:w="28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center"/>
              <w:ind w:right="30"/>
              <w:spacing w:after="0"/>
              <w:rPr>
                <w:sz w:val="20"/>
                <w:szCs w:val="20"/>
                <w:color w:val="auto"/>
              </w:rPr>
            </w:pPr>
            <w:r>
              <w:rPr>
                <w:rFonts w:ascii="Arial" w:cs="Arial" w:eastAsia="Arial" w:hAnsi="Arial"/>
                <w:sz w:val="18"/>
                <w:szCs w:val="18"/>
                <w:b w:val="1"/>
                <w:bCs w:val="1"/>
                <w:color w:val="auto"/>
                <w:w w:val="86"/>
              </w:rPr>
              <w:t>identical assets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observable inputs</w:t>
            </w:r>
          </w:p>
        </w:tc>
        <w:tc>
          <w:tcPr>
            <w:tcW w:w="17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unobservable inputs</w:t>
            </w:r>
          </w:p>
        </w:tc>
        <w:tc>
          <w:tcPr>
            <w:tcW w:w="0" w:type="dxa"/>
            <w:vAlign w:val="bottom"/>
          </w:tcPr>
          <w:p>
            <w:pPr>
              <w:spacing w:after="0"/>
              <w:rPr>
                <w:sz w:val="1"/>
                <w:szCs w:val="1"/>
                <w:color w:val="auto"/>
              </w:rPr>
            </w:pPr>
          </w:p>
        </w:tc>
      </w:tr>
      <w:tr>
        <w:trPr>
          <w:trHeight w:val="234"/>
        </w:trPr>
        <w:tc>
          <w:tcPr>
            <w:tcW w:w="2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February 28, 2013</w:t>
            </w:r>
          </w:p>
        </w:tc>
        <w:tc>
          <w:tcPr>
            <w:tcW w:w="120" w:type="dxa"/>
            <w:vAlign w:val="bottom"/>
          </w:tcPr>
          <w:p>
            <w:pPr>
              <w:spacing w:after="0"/>
              <w:rPr>
                <w:sz w:val="20"/>
                <w:szCs w:val="20"/>
                <w:color w:val="auto"/>
              </w:rPr>
            </w:pPr>
          </w:p>
        </w:tc>
        <w:tc>
          <w:tcPr>
            <w:tcW w:w="156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(Level 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(Level 2)</w:t>
            </w:r>
          </w:p>
        </w:tc>
        <w:tc>
          <w:tcPr>
            <w:tcW w:w="280" w:type="dxa"/>
            <w:vAlign w:val="bottom"/>
          </w:tcPr>
          <w:p>
            <w:pPr>
              <w:spacing w:after="0"/>
              <w:rPr>
                <w:sz w:val="20"/>
                <w:szCs w:val="20"/>
                <w:color w:val="auto"/>
              </w:rPr>
            </w:pPr>
          </w:p>
        </w:tc>
        <w:tc>
          <w:tcPr>
            <w:tcW w:w="1420" w:type="dxa"/>
            <w:vAlign w:val="bottom"/>
          </w:tcPr>
          <w:p>
            <w:pPr>
              <w:jc w:val="center"/>
              <w:ind w:right="170"/>
              <w:spacing w:after="0"/>
              <w:rPr>
                <w:sz w:val="20"/>
                <w:szCs w:val="20"/>
                <w:color w:val="auto"/>
              </w:rPr>
            </w:pPr>
            <w:r>
              <w:rPr>
                <w:rFonts w:ascii="Arial" w:cs="Arial" w:eastAsia="Arial" w:hAnsi="Arial"/>
                <w:sz w:val="18"/>
                <w:szCs w:val="18"/>
                <w:b w:val="1"/>
                <w:bCs w:val="1"/>
                <w:color w:val="auto"/>
                <w:w w:val="93"/>
              </w:rPr>
              <w:t>(Level 3)</w:t>
            </w:r>
          </w:p>
        </w:tc>
        <w:tc>
          <w:tcPr>
            <w:tcW w:w="0" w:type="dxa"/>
            <w:vAlign w:val="bottom"/>
          </w:tcPr>
          <w:p>
            <w:pPr>
              <w:spacing w:after="0"/>
              <w:rPr>
                <w:sz w:val="1"/>
                <w:szCs w:val="1"/>
                <w:color w:val="auto"/>
              </w:rPr>
            </w:pPr>
          </w:p>
        </w:tc>
      </w:tr>
      <w:tr>
        <w:trPr>
          <w:trHeight w:val="27"/>
        </w:trPr>
        <w:tc>
          <w:tcPr>
            <w:tcW w:w="2800" w:type="dxa"/>
            <w:vAlign w:val="bottom"/>
            <w:vMerge w:val="restart"/>
          </w:tcPr>
          <w:p>
            <w:pPr>
              <w:spacing w:after="0"/>
              <w:rPr>
                <w:sz w:val="20"/>
                <w:szCs w:val="20"/>
                <w:color w:val="auto"/>
              </w:rPr>
            </w:pPr>
            <w:r>
              <w:rPr>
                <w:rFonts w:ascii="Arial" w:cs="Arial" w:eastAsia="Arial" w:hAnsi="Arial"/>
                <w:sz w:val="18"/>
                <w:szCs w:val="18"/>
                <w:color w:val="auto"/>
              </w:rPr>
              <w:t>Assets:</w:t>
            </w: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800" w:type="dxa"/>
            <w:vAlign w:val="bottom"/>
          </w:tcPr>
          <w:p>
            <w:pPr>
              <w:ind w:left="140"/>
              <w:spacing w:after="0"/>
              <w:rPr>
                <w:sz w:val="20"/>
                <w:szCs w:val="20"/>
                <w:color w:val="auto"/>
              </w:rPr>
            </w:pPr>
            <w:r>
              <w:rPr>
                <w:rFonts w:ascii="Arial" w:cs="Arial" w:eastAsia="Arial" w:hAnsi="Arial"/>
                <w:sz w:val="18"/>
                <w:szCs w:val="18"/>
                <w:color w:val="auto"/>
              </w:rPr>
              <w:t>Available-for-sale securities</w:t>
            </w:r>
          </w:p>
        </w:tc>
        <w:tc>
          <w:tcPr>
            <w:tcW w:w="1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800" w:type="dxa"/>
            <w:vAlign w:val="bottom"/>
          </w:tcPr>
          <w:p>
            <w:pPr>
              <w:ind w:left="240"/>
              <w:spacing w:after="0"/>
              <w:rPr>
                <w:sz w:val="20"/>
                <w:szCs w:val="20"/>
                <w:color w:val="auto"/>
              </w:rPr>
            </w:pPr>
            <w:r>
              <w:rPr>
                <w:rFonts w:ascii="Arial" w:cs="Arial" w:eastAsia="Arial" w:hAnsi="Arial"/>
                <w:sz w:val="18"/>
                <w:szCs w:val="18"/>
                <w:color w:val="auto"/>
              </w:rPr>
              <w:t>Equity securities (foreign)</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800" w:type="dxa"/>
            <w:vAlign w:val="bottom"/>
          </w:tcPr>
          <w:p>
            <w:pPr>
              <w:ind w:left="58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3"/>
        </w:trPr>
        <w:tc>
          <w:tcPr>
            <w:tcW w:w="2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0" w:type="dxa"/>
            <w:vAlign w:val="bottom"/>
            <w:gridSpan w:val="5"/>
          </w:tcPr>
          <w:p>
            <w:pPr>
              <w:jc w:val="center"/>
              <w:ind w:right="130"/>
              <w:spacing w:after="0"/>
              <w:rPr>
                <w:sz w:val="20"/>
                <w:szCs w:val="20"/>
                <w:color w:val="auto"/>
              </w:rPr>
            </w:pPr>
            <w:r>
              <w:rPr>
                <w:rFonts w:ascii="Arial" w:cs="Arial" w:eastAsia="Arial" w:hAnsi="Arial"/>
                <w:sz w:val="18"/>
                <w:szCs w:val="18"/>
                <w:b w:val="1"/>
                <w:bCs w:val="1"/>
                <w:color w:val="auto"/>
                <w:w w:val="89"/>
              </w:rPr>
              <w:t>Fair value measurements</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9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at reporting date using</w:t>
            </w:r>
          </w:p>
        </w:tc>
        <w:tc>
          <w:tcPr>
            <w:tcW w:w="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Quoted prices in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active markets for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Significant other</w:t>
            </w:r>
          </w:p>
        </w:tc>
        <w:tc>
          <w:tcPr>
            <w:tcW w:w="280" w:type="dxa"/>
            <w:vAlign w:val="bottom"/>
          </w:tcPr>
          <w:p>
            <w:pPr>
              <w:spacing w:after="0"/>
              <w:rPr>
                <w:sz w:val="18"/>
                <w:szCs w:val="18"/>
                <w:color w:val="auto"/>
              </w:rPr>
            </w:pPr>
          </w:p>
        </w:tc>
        <w:tc>
          <w:tcPr>
            <w:tcW w:w="1420" w:type="dxa"/>
            <w:vAlign w:val="bottom"/>
          </w:tcPr>
          <w:p>
            <w:pPr>
              <w:jc w:val="center"/>
              <w:ind w:right="190"/>
              <w:spacing w:after="0"/>
              <w:rPr>
                <w:sz w:val="20"/>
                <w:szCs w:val="20"/>
                <w:color w:val="auto"/>
              </w:rPr>
            </w:pPr>
            <w:r>
              <w:rPr>
                <w:rFonts w:ascii="Arial" w:cs="Arial" w:eastAsia="Arial" w:hAnsi="Arial"/>
                <w:sz w:val="18"/>
                <w:szCs w:val="18"/>
                <w:b w:val="1"/>
                <w:bCs w:val="1"/>
                <w:color w:val="auto"/>
                <w:w w:val="89"/>
              </w:rPr>
              <w:t>Significant</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center"/>
              <w:ind w:right="30"/>
              <w:spacing w:after="0"/>
              <w:rPr>
                <w:sz w:val="20"/>
                <w:szCs w:val="20"/>
                <w:color w:val="auto"/>
              </w:rPr>
            </w:pPr>
            <w:r>
              <w:rPr>
                <w:rFonts w:ascii="Arial" w:cs="Arial" w:eastAsia="Arial" w:hAnsi="Arial"/>
                <w:sz w:val="18"/>
                <w:szCs w:val="18"/>
                <w:b w:val="1"/>
                <w:bCs w:val="1"/>
                <w:color w:val="auto"/>
                <w:w w:val="86"/>
              </w:rPr>
              <w:t>identical assets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observable inputs</w:t>
            </w:r>
          </w:p>
        </w:tc>
        <w:tc>
          <w:tcPr>
            <w:tcW w:w="17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unobservable inputs</w:t>
            </w:r>
          </w:p>
        </w:tc>
        <w:tc>
          <w:tcPr>
            <w:tcW w:w="0" w:type="dxa"/>
            <w:vAlign w:val="bottom"/>
          </w:tcPr>
          <w:p>
            <w:pPr>
              <w:spacing w:after="0"/>
              <w:rPr>
                <w:sz w:val="1"/>
                <w:szCs w:val="1"/>
                <w:color w:val="auto"/>
              </w:rPr>
            </w:pPr>
          </w:p>
        </w:tc>
      </w:tr>
      <w:tr>
        <w:trPr>
          <w:trHeight w:val="234"/>
        </w:trPr>
        <w:tc>
          <w:tcPr>
            <w:tcW w:w="2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March 31, 2012</w:t>
            </w:r>
          </w:p>
        </w:tc>
        <w:tc>
          <w:tcPr>
            <w:tcW w:w="120" w:type="dxa"/>
            <w:vAlign w:val="bottom"/>
          </w:tcPr>
          <w:p>
            <w:pPr>
              <w:spacing w:after="0"/>
              <w:rPr>
                <w:sz w:val="20"/>
                <w:szCs w:val="20"/>
                <w:color w:val="auto"/>
              </w:rPr>
            </w:pPr>
          </w:p>
        </w:tc>
        <w:tc>
          <w:tcPr>
            <w:tcW w:w="156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(Level 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(Level 2)</w:t>
            </w:r>
          </w:p>
        </w:tc>
        <w:tc>
          <w:tcPr>
            <w:tcW w:w="280" w:type="dxa"/>
            <w:vAlign w:val="bottom"/>
          </w:tcPr>
          <w:p>
            <w:pPr>
              <w:spacing w:after="0"/>
              <w:rPr>
                <w:sz w:val="20"/>
                <w:szCs w:val="20"/>
                <w:color w:val="auto"/>
              </w:rPr>
            </w:pPr>
          </w:p>
        </w:tc>
        <w:tc>
          <w:tcPr>
            <w:tcW w:w="1420" w:type="dxa"/>
            <w:vAlign w:val="bottom"/>
          </w:tcPr>
          <w:p>
            <w:pPr>
              <w:jc w:val="center"/>
              <w:ind w:right="170"/>
              <w:spacing w:after="0"/>
              <w:rPr>
                <w:sz w:val="20"/>
                <w:szCs w:val="20"/>
                <w:color w:val="auto"/>
              </w:rPr>
            </w:pPr>
            <w:r>
              <w:rPr>
                <w:rFonts w:ascii="Arial" w:cs="Arial" w:eastAsia="Arial" w:hAnsi="Arial"/>
                <w:sz w:val="18"/>
                <w:szCs w:val="18"/>
                <w:b w:val="1"/>
                <w:bCs w:val="1"/>
                <w:color w:val="auto"/>
                <w:w w:val="93"/>
              </w:rPr>
              <w:t>(Level 3)</w:t>
            </w:r>
          </w:p>
        </w:tc>
        <w:tc>
          <w:tcPr>
            <w:tcW w:w="0" w:type="dxa"/>
            <w:vAlign w:val="bottom"/>
          </w:tcPr>
          <w:p>
            <w:pPr>
              <w:spacing w:after="0"/>
              <w:rPr>
                <w:sz w:val="1"/>
                <w:szCs w:val="1"/>
                <w:color w:val="auto"/>
              </w:rPr>
            </w:pPr>
          </w:p>
        </w:tc>
      </w:tr>
      <w:tr>
        <w:trPr>
          <w:trHeight w:val="27"/>
        </w:trPr>
        <w:tc>
          <w:tcPr>
            <w:tcW w:w="2800" w:type="dxa"/>
            <w:vAlign w:val="bottom"/>
            <w:vMerge w:val="restart"/>
          </w:tcPr>
          <w:p>
            <w:pPr>
              <w:spacing w:after="0"/>
              <w:rPr>
                <w:sz w:val="20"/>
                <w:szCs w:val="20"/>
                <w:color w:val="auto"/>
              </w:rPr>
            </w:pPr>
            <w:r>
              <w:rPr>
                <w:rFonts w:ascii="Arial" w:cs="Arial" w:eastAsia="Arial" w:hAnsi="Arial"/>
                <w:sz w:val="18"/>
                <w:szCs w:val="18"/>
                <w:color w:val="auto"/>
              </w:rPr>
              <w:t>Assets:</w:t>
            </w: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800" w:type="dxa"/>
            <w:vAlign w:val="bottom"/>
          </w:tcPr>
          <w:p>
            <w:pPr>
              <w:ind w:left="140"/>
              <w:spacing w:after="0"/>
              <w:rPr>
                <w:sz w:val="20"/>
                <w:szCs w:val="20"/>
                <w:color w:val="auto"/>
              </w:rPr>
            </w:pPr>
            <w:r>
              <w:rPr>
                <w:rFonts w:ascii="Arial" w:cs="Arial" w:eastAsia="Arial" w:hAnsi="Arial"/>
                <w:sz w:val="18"/>
                <w:szCs w:val="18"/>
                <w:color w:val="auto"/>
              </w:rPr>
              <w:t>Available-for-sale securities</w:t>
            </w:r>
          </w:p>
        </w:tc>
        <w:tc>
          <w:tcPr>
            <w:tcW w:w="1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800" w:type="dxa"/>
            <w:vAlign w:val="bottom"/>
          </w:tcPr>
          <w:p>
            <w:pPr>
              <w:ind w:left="240"/>
              <w:spacing w:after="0"/>
              <w:rPr>
                <w:sz w:val="20"/>
                <w:szCs w:val="20"/>
                <w:color w:val="auto"/>
              </w:rPr>
            </w:pPr>
            <w:r>
              <w:rPr>
                <w:rFonts w:ascii="Arial" w:cs="Arial" w:eastAsia="Arial" w:hAnsi="Arial"/>
                <w:sz w:val="18"/>
                <w:szCs w:val="18"/>
                <w:color w:val="auto"/>
              </w:rPr>
              <w:t>Equity securities (foreign)</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2,113</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2,031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800" w:type="dxa"/>
            <w:vAlign w:val="bottom"/>
          </w:tcPr>
          <w:p>
            <w:pPr>
              <w:ind w:left="580"/>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2,113</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2,031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Company’s accounting policy is to recognize transfers between levels of the fair value hierarchy on the date of the event or change in circumstances that caused the transfer. There were no significant transfers into or out of Level 1 and Level 2 for the eleven months ended February 28, 2013 and the year ended March 31, 2012.</w:t>
      </w:r>
    </w:p>
    <w:p>
      <w:pPr>
        <w:spacing w:after="0" w:line="10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There were no assets and liabilities that were measured at fair value on a nonrecurring basis for the eleven months ended February 28, 2013.</w:t>
      </w:r>
    </w:p>
    <w:p>
      <w:pPr>
        <w:spacing w:after="0" w:line="9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following table presents fair value measurements of assets and liabilities that are measured at fair value on a nonrecurring basis for the year ended March 31, 2012.</w:t>
      </w:r>
    </w:p>
    <w:p>
      <w:pPr>
        <w:spacing w:after="0" w:line="261"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91"/>
              </w:rPr>
              <w:t>Quoted prices in</w:t>
            </w: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gridSpan w:val="4"/>
          </w:tcPr>
          <w:p>
            <w:pPr>
              <w:jc w:val="center"/>
              <w:ind w:right="220"/>
              <w:spacing w:after="0"/>
              <w:rPr>
                <w:sz w:val="20"/>
                <w:szCs w:val="20"/>
                <w:color w:val="auto"/>
              </w:rPr>
            </w:pPr>
            <w:r>
              <w:rPr>
                <w:rFonts w:ascii="Arial" w:cs="Arial" w:eastAsia="Arial" w:hAnsi="Arial"/>
                <w:sz w:val="16"/>
                <w:szCs w:val="16"/>
                <w:b w:val="1"/>
                <w:bCs w:val="1"/>
                <w:color w:val="auto"/>
                <w:w w:val="91"/>
              </w:rPr>
              <w:t>active markets for</w:t>
            </w:r>
          </w:p>
        </w:tc>
        <w:tc>
          <w:tcPr>
            <w:tcW w:w="14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Significant other</w:t>
            </w:r>
          </w:p>
        </w:tc>
        <w:tc>
          <w:tcPr>
            <w:tcW w:w="240" w:type="dxa"/>
            <w:vAlign w:val="bottom"/>
          </w:tcPr>
          <w:p>
            <w:pPr>
              <w:spacing w:after="0"/>
              <w:rPr>
                <w:sz w:val="17"/>
                <w:szCs w:val="17"/>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0"/>
              </w:rPr>
              <w:t>Significant</w:t>
            </w: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3"/>
          </w:tcPr>
          <w:p>
            <w:pPr>
              <w:ind w:left="100"/>
              <w:spacing w:after="0"/>
              <w:rPr>
                <w:sz w:val="20"/>
                <w:szCs w:val="20"/>
                <w:color w:val="auto"/>
              </w:rPr>
            </w:pPr>
            <w:r>
              <w:rPr>
                <w:rFonts w:ascii="Arial" w:cs="Arial" w:eastAsia="Arial" w:hAnsi="Arial"/>
                <w:sz w:val="16"/>
                <w:szCs w:val="16"/>
                <w:b w:val="1"/>
                <w:bCs w:val="1"/>
                <w:color w:val="auto"/>
              </w:rPr>
              <w:t>Year ended March</w:t>
            </w:r>
          </w:p>
        </w:tc>
        <w:tc>
          <w:tcPr>
            <w:tcW w:w="120" w:type="dxa"/>
            <w:vAlign w:val="bottom"/>
          </w:tcPr>
          <w:p>
            <w:pPr>
              <w:spacing w:after="0"/>
              <w:rPr>
                <w:sz w:val="17"/>
                <w:szCs w:val="17"/>
                <w:color w:val="auto"/>
              </w:rPr>
            </w:pPr>
          </w:p>
        </w:tc>
        <w:tc>
          <w:tcPr>
            <w:tcW w:w="156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87"/>
              </w:rPr>
              <w:t>identical assets</w:t>
            </w:r>
          </w:p>
        </w:tc>
        <w:tc>
          <w:tcPr>
            <w:tcW w:w="14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observable inputs</w:t>
            </w:r>
          </w:p>
        </w:tc>
        <w:tc>
          <w:tcPr>
            <w:tcW w:w="15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unobservable inputs</w:t>
            </w: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0"/>
        </w:trPr>
        <w:tc>
          <w:tcPr>
            <w:tcW w:w="2020" w:type="dxa"/>
            <w:vAlign w:val="bottom"/>
            <w:gridSpan w:val="2"/>
          </w:tcPr>
          <w:p>
            <w:pPr>
              <w:ind w:left="560"/>
              <w:spacing w:after="0"/>
              <w:rPr>
                <w:sz w:val="20"/>
                <w:szCs w:val="20"/>
                <w:color w:val="auto"/>
              </w:rPr>
            </w:pPr>
            <w:r>
              <w:rPr>
                <w:rFonts w:ascii="Arial" w:cs="Arial" w:eastAsia="Arial" w:hAnsi="Arial"/>
                <w:sz w:val="16"/>
                <w:szCs w:val="16"/>
                <w:b w:val="1"/>
                <w:bCs w:val="1"/>
                <w:color w:val="auto"/>
              </w:rPr>
              <w:t>Description</w:t>
            </w:r>
          </w:p>
        </w:tc>
        <w:tc>
          <w:tcPr>
            <w:tcW w:w="280" w:type="dxa"/>
            <w:vAlign w:val="bottom"/>
          </w:tcPr>
          <w:p>
            <w:pPr>
              <w:spacing w:after="0"/>
              <w:rPr>
                <w:sz w:val="18"/>
                <w:szCs w:val="18"/>
                <w:color w:val="auto"/>
              </w:rPr>
            </w:pPr>
          </w:p>
        </w:tc>
        <w:tc>
          <w:tcPr>
            <w:tcW w:w="1180" w:type="dxa"/>
            <w:vAlign w:val="bottom"/>
          </w:tcPr>
          <w:p>
            <w:pPr>
              <w:jc w:val="right"/>
              <w:ind w:right="359"/>
              <w:spacing w:after="0"/>
              <w:rPr>
                <w:sz w:val="20"/>
                <w:szCs w:val="20"/>
                <w:color w:val="auto"/>
              </w:rPr>
            </w:pPr>
            <w:r>
              <w:rPr>
                <w:rFonts w:ascii="Arial" w:cs="Arial" w:eastAsia="Arial" w:hAnsi="Arial"/>
                <w:sz w:val="16"/>
                <w:szCs w:val="16"/>
                <w:b w:val="1"/>
                <w:bCs w:val="1"/>
                <w:color w:val="auto"/>
              </w:rPr>
              <w:t>31, 2012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92"/>
              </w:rPr>
              <w:t>(Level 1)</w:t>
            </w:r>
          </w:p>
        </w:tc>
        <w:tc>
          <w:tcPr>
            <w:tcW w:w="14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5"/>
              </w:rPr>
              <w:t>(Level 2)</w:t>
            </w:r>
          </w:p>
        </w:tc>
        <w:tc>
          <w:tcPr>
            <w:tcW w:w="24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5"/>
              </w:rPr>
              <w:t>(Level 3)</w:t>
            </w:r>
          </w:p>
        </w:tc>
        <w:tc>
          <w:tcPr>
            <w:tcW w:w="1440" w:type="dxa"/>
            <w:vAlign w:val="bottom"/>
            <w:gridSpan w:val="2"/>
          </w:tcPr>
          <w:p>
            <w:pPr>
              <w:jc w:val="right"/>
              <w:spacing w:after="0"/>
              <w:rPr>
                <w:sz w:val="20"/>
                <w:szCs w:val="20"/>
                <w:color w:val="auto"/>
              </w:rPr>
            </w:pPr>
            <w:r>
              <w:rPr>
                <w:rFonts w:ascii="Arial" w:cs="Arial" w:eastAsia="Arial" w:hAnsi="Arial"/>
                <w:sz w:val="16"/>
                <w:szCs w:val="16"/>
                <w:b w:val="1"/>
                <w:bCs w:val="1"/>
                <w:color w:val="auto"/>
                <w:w w:val="89"/>
              </w:rPr>
              <w:t>Total gains (losses)</w:t>
            </w:r>
          </w:p>
        </w:tc>
      </w:tr>
      <w:tr>
        <w:trPr>
          <w:trHeight w:val="33"/>
        </w:trPr>
        <w:tc>
          <w:tcPr>
            <w:tcW w:w="1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3"/>
        </w:trPr>
        <w:tc>
          <w:tcPr>
            <w:tcW w:w="2020" w:type="dxa"/>
            <w:vAlign w:val="bottom"/>
            <w:gridSpan w:val="2"/>
          </w:tcPr>
          <w:p>
            <w:pPr>
              <w:ind w:left="20"/>
              <w:spacing w:after="0"/>
              <w:rPr>
                <w:sz w:val="20"/>
                <w:szCs w:val="20"/>
                <w:color w:val="auto"/>
              </w:rPr>
            </w:pPr>
            <w:r>
              <w:rPr>
                <w:rFonts w:ascii="Arial" w:cs="Arial" w:eastAsia="Arial" w:hAnsi="Arial"/>
                <w:sz w:val="16"/>
                <w:szCs w:val="16"/>
                <w:color w:val="auto"/>
              </w:rPr>
              <w:t>Investment in an affiliated</w:t>
            </w: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6"/>
        </w:trPr>
        <w:tc>
          <w:tcPr>
            <w:tcW w:w="2020" w:type="dxa"/>
            <w:vAlign w:val="bottom"/>
            <w:gridSpan w:val="2"/>
          </w:tcPr>
          <w:p>
            <w:pPr>
              <w:ind w:left="180"/>
              <w:spacing w:after="0"/>
              <w:rPr>
                <w:sz w:val="20"/>
                <w:szCs w:val="20"/>
                <w:color w:val="auto"/>
              </w:rPr>
            </w:pPr>
            <w:r>
              <w:rPr>
                <w:rFonts w:ascii="Arial" w:cs="Arial" w:eastAsia="Arial" w:hAnsi="Arial"/>
                <w:sz w:val="16"/>
                <w:szCs w:val="16"/>
                <w:color w:val="auto"/>
              </w:rPr>
              <w:t>company</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3,172</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gridSpan w:val="3"/>
          </w:tcPr>
          <w:p>
            <w:pPr>
              <w:jc w:val="right"/>
              <w:ind w:right="20"/>
              <w:spacing w:after="0"/>
              <w:rPr>
                <w:sz w:val="20"/>
                <w:szCs w:val="20"/>
                <w:color w:val="auto"/>
              </w:rPr>
            </w:pPr>
            <w:r>
              <w:rPr>
                <w:rFonts w:ascii="Arial" w:cs="Arial" w:eastAsia="Arial" w:hAnsi="Arial"/>
                <w:sz w:val="16"/>
                <w:szCs w:val="16"/>
                <w:color w:val="auto"/>
              </w:rPr>
              <w:t>3,172   ¥</w:t>
            </w:r>
          </w:p>
        </w:tc>
        <w:tc>
          <w:tcPr>
            <w:tcW w:w="1440" w:type="dxa"/>
            <w:vAlign w:val="bottom"/>
            <w:gridSpan w:val="2"/>
          </w:tcPr>
          <w:p>
            <w:pPr>
              <w:ind w:left="108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(4,029)</w:t>
            </w:r>
          </w:p>
        </w:tc>
      </w:tr>
      <w:tr>
        <w:trPr>
          <w:trHeight w:val="270"/>
        </w:trPr>
        <w:tc>
          <w:tcPr>
            <w:tcW w:w="2020" w:type="dxa"/>
            <w:vAlign w:val="bottom"/>
            <w:gridSpan w:val="2"/>
          </w:tcPr>
          <w:p>
            <w:pPr>
              <w:ind w:left="20"/>
              <w:spacing w:after="0"/>
              <w:rPr>
                <w:sz w:val="20"/>
                <w:szCs w:val="20"/>
                <w:color w:val="auto"/>
              </w:rPr>
            </w:pPr>
            <w:r>
              <w:rPr>
                <w:rFonts w:ascii="Arial" w:cs="Arial" w:eastAsia="Arial" w:hAnsi="Arial"/>
                <w:sz w:val="16"/>
                <w:szCs w:val="16"/>
                <w:color w:val="auto"/>
              </w:rPr>
              <w:t>Long-lived assets</w:t>
            </w:r>
          </w:p>
        </w:tc>
        <w:tc>
          <w:tcPr>
            <w:tcW w:w="28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136,907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6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1440" w:type="dxa"/>
            <w:vAlign w:val="bottom"/>
            <w:gridSpan w:val="2"/>
          </w:tcPr>
          <w:p>
            <w:pPr>
              <w:ind w:left="10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136,907</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(229,560)</w:t>
            </w:r>
          </w:p>
        </w:tc>
      </w:tr>
    </w:tbl>
    <w:p>
      <w:pPr>
        <w:spacing w:after="0" w:line="2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620"/>
          </w:cols>
          <w:pgMar w:left="1040" w:top="553" w:right="239" w:bottom="1440" w:gutter="0" w:footer="0" w:header="0"/>
        </w:sectPr>
      </w:pPr>
    </w:p>
    <w:bookmarkStart w:id="33" w:name="page34"/>
    <w:bookmarkEnd w:id="33"/>
    <w:p>
      <w:pPr>
        <w:jc w:val="center"/>
        <w:ind w:right="20"/>
        <w:spacing w:after="0"/>
        <w:rPr>
          <w:sz w:val="20"/>
          <w:szCs w:val="20"/>
          <w:color w:val="auto"/>
        </w:rPr>
      </w:pPr>
      <w:r>
        <w:rPr>
          <w:rFonts w:ascii="Arial" w:cs="Arial" w:eastAsia="Arial" w:hAnsi="Arial"/>
          <w:sz w:val="18"/>
          <w:szCs w:val="18"/>
          <w:b w:val="1"/>
          <w:bCs w:val="1"/>
          <w:color w:val="auto"/>
        </w:rPr>
        <w:t>ELPIDA MEMORY,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(DEBTORS-IN-POSSESSION)</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87" w:lineRule="exact"/>
        <w:rPr>
          <w:sz w:val="20"/>
          <w:szCs w:val="20"/>
          <w:color w:val="auto"/>
        </w:rPr>
      </w:pPr>
    </w:p>
    <w:p>
      <w:pPr>
        <w:jc w:val="both"/>
        <w:ind w:left="780"/>
        <w:spacing w:after="0" w:line="244" w:lineRule="auto"/>
        <w:rPr>
          <w:sz w:val="20"/>
          <w:szCs w:val="20"/>
          <w:color w:val="auto"/>
        </w:rPr>
      </w:pPr>
      <w:r>
        <w:rPr>
          <w:rFonts w:ascii="Arial" w:cs="Arial" w:eastAsia="Arial" w:hAnsi="Arial"/>
          <w:sz w:val="20"/>
          <w:szCs w:val="20"/>
          <w:color w:val="auto"/>
        </w:rPr>
        <w:t>For the year ended March 31, 2012, the Company classified certain investments in Level 1 as the Company used an unadjusted quoted market price in active markets to value the investment. In addition, the Company classified the assets described above in Level 3 as the Company used unobservable inputs to value the assets when recognizing impairment losses related to the assets. The fair value for the major assets was measured through the replacement cost method and discounted cash flow method. See Note (24) for further details of impairment of long-lived assets.</w:t>
      </w:r>
    </w:p>
    <w:p>
      <w:pPr>
        <w:spacing w:after="0" w:line="297" w:lineRule="exact"/>
        <w:rPr>
          <w:sz w:val="20"/>
          <w:szCs w:val="20"/>
          <w:color w:val="auto"/>
        </w:rPr>
      </w:pPr>
    </w:p>
    <w:p>
      <w:pPr>
        <w:ind w:left="440" w:hanging="438"/>
        <w:spacing w:after="0"/>
        <w:tabs>
          <w:tab w:leader="none" w:pos="440" w:val="left"/>
        </w:tabs>
        <w:numPr>
          <w:ilvl w:val="0"/>
          <w:numId w:val="23"/>
        </w:numPr>
        <w:rPr>
          <w:rFonts w:ascii="Arial" w:cs="Arial" w:eastAsia="Arial" w:hAnsi="Arial"/>
          <w:sz w:val="20"/>
          <w:szCs w:val="20"/>
          <w:b w:val="1"/>
          <w:bCs w:val="1"/>
          <w:color w:val="auto"/>
        </w:rPr>
      </w:pPr>
      <w:r>
        <w:rPr>
          <w:rFonts w:ascii="Arial" w:cs="Arial" w:eastAsia="Arial" w:hAnsi="Arial"/>
          <w:sz w:val="20"/>
          <w:szCs w:val="20"/>
          <w:b w:val="1"/>
          <w:bCs w:val="1"/>
          <w:color w:val="auto"/>
        </w:rPr>
        <w:t>Equity Method Investments</w:t>
      </w:r>
    </w:p>
    <w:p>
      <w:pPr>
        <w:spacing w:after="0" w:line="68" w:lineRule="exact"/>
        <w:rPr>
          <w:rFonts w:ascii="Arial" w:cs="Arial" w:eastAsia="Arial" w:hAnsi="Arial"/>
          <w:sz w:val="20"/>
          <w:szCs w:val="20"/>
          <w:b w:val="1"/>
          <w:bCs w:val="1"/>
          <w:color w:val="auto"/>
        </w:rPr>
      </w:pPr>
    </w:p>
    <w:p>
      <w:pPr>
        <w:jc w:val="both"/>
        <w:ind w:left="420"/>
        <w:spacing w:after="0" w:line="280" w:lineRule="auto"/>
        <w:rPr>
          <w:rFonts w:ascii="Arial" w:cs="Arial" w:eastAsia="Arial" w:hAnsi="Arial"/>
          <w:sz w:val="20"/>
          <w:szCs w:val="20"/>
          <w:b w:val="1"/>
          <w:bCs w:val="1"/>
          <w:color w:val="auto"/>
        </w:rPr>
      </w:pPr>
      <w:r>
        <w:rPr>
          <w:rFonts w:ascii="Arial" w:cs="Arial" w:eastAsia="Arial" w:hAnsi="Arial"/>
          <w:sz w:val="20"/>
          <w:szCs w:val="20"/>
          <w:color w:val="auto"/>
        </w:rPr>
        <w:t xml:space="preserve">Investments in an affiliate accounted for under the equity method consist of </w:t>
      </w:r>
      <w:r>
        <w:rPr>
          <w:rFonts w:ascii="Arial" w:cs="Arial" w:eastAsia="Arial" w:hAnsi="Arial"/>
          <w:sz w:val="21"/>
          <w:szCs w:val="21"/>
          <w:color w:val="auto"/>
        </w:rPr>
        <w:t>39.64%</w:t>
      </w:r>
      <w:r>
        <w:rPr>
          <w:rFonts w:ascii="Arial" w:cs="Arial" w:eastAsia="Arial" w:hAnsi="Arial"/>
          <w:sz w:val="20"/>
          <w:szCs w:val="20"/>
          <w:color w:val="auto"/>
        </w:rPr>
        <w:t xml:space="preserve"> of the common stock of Tera Probe, Inc. (“Tera Probe”), a semiconductor test house. Tera Probe was a consolidated subsidiary until December 16, 2010, on which date Tera Probe became a public company and the Company lost control.</w:t>
      </w:r>
    </w:p>
    <w:p>
      <w:pPr>
        <w:spacing w:after="0" w:line="91" w:lineRule="exact"/>
        <w:rPr>
          <w:rFonts w:ascii="Arial" w:cs="Arial" w:eastAsia="Arial" w:hAnsi="Arial"/>
          <w:sz w:val="20"/>
          <w:szCs w:val="20"/>
          <w:b w:val="1"/>
          <w:bCs w:val="1"/>
          <w:color w:val="auto"/>
        </w:rPr>
      </w:pPr>
    </w:p>
    <w:p>
      <w:pPr>
        <w:ind w:left="420"/>
        <w:spacing w:after="0" w:line="260" w:lineRule="auto"/>
        <w:rPr>
          <w:rFonts w:ascii="Arial" w:cs="Arial" w:eastAsia="Arial" w:hAnsi="Arial"/>
          <w:sz w:val="20"/>
          <w:szCs w:val="20"/>
          <w:b w:val="1"/>
          <w:bCs w:val="1"/>
          <w:color w:val="auto"/>
        </w:rPr>
      </w:pPr>
      <w:r>
        <w:rPr>
          <w:rFonts w:ascii="Arial" w:cs="Arial" w:eastAsia="Arial" w:hAnsi="Arial"/>
          <w:sz w:val="20"/>
          <w:szCs w:val="20"/>
          <w:color w:val="auto"/>
        </w:rPr>
        <w:t>At February 28, 2013, the carrying amount of the investment in Tera Probe was ¥3,226 and the fair value of the investment based on its market price was ¥3,919.</w:t>
      </w:r>
    </w:p>
    <w:p>
      <w:pPr>
        <w:spacing w:after="0" w:line="95" w:lineRule="exact"/>
        <w:rPr>
          <w:rFonts w:ascii="Arial" w:cs="Arial" w:eastAsia="Arial" w:hAnsi="Arial"/>
          <w:sz w:val="20"/>
          <w:szCs w:val="20"/>
          <w:b w:val="1"/>
          <w:bCs w:val="1"/>
          <w:color w:val="auto"/>
        </w:rPr>
      </w:pPr>
    </w:p>
    <w:p>
      <w:pPr>
        <w:jc w:val="both"/>
        <w:ind w:left="420"/>
        <w:spacing w:after="0" w:line="250" w:lineRule="auto"/>
        <w:rPr>
          <w:rFonts w:ascii="Arial" w:cs="Arial" w:eastAsia="Arial" w:hAnsi="Arial"/>
          <w:sz w:val="20"/>
          <w:szCs w:val="20"/>
          <w:b w:val="1"/>
          <w:bCs w:val="1"/>
          <w:color w:val="auto"/>
        </w:rPr>
      </w:pPr>
      <w:r>
        <w:rPr>
          <w:rFonts w:ascii="Arial" w:cs="Arial" w:eastAsia="Arial" w:hAnsi="Arial"/>
          <w:sz w:val="20"/>
          <w:szCs w:val="20"/>
          <w:color w:val="auto"/>
        </w:rPr>
        <w:t>At March 31, 2012, the fair value of the investment decreased to ¥3,172 and the Company evaluated the recoverability of the carrying value of the investment. As a result, the Company determined that there was an other-than-temporary decline in the value of the investment in Tera Probe and recorded an impairment loss of ¥4,029 at March 31, 2012.</w:t>
      </w:r>
    </w:p>
    <w:p>
      <w:pPr>
        <w:spacing w:after="0" w:line="288" w:lineRule="exact"/>
        <w:rPr>
          <w:rFonts w:ascii="Arial" w:cs="Arial" w:eastAsia="Arial" w:hAnsi="Arial"/>
          <w:sz w:val="20"/>
          <w:szCs w:val="20"/>
          <w:b w:val="1"/>
          <w:bCs w:val="1"/>
          <w:color w:val="auto"/>
        </w:rPr>
      </w:pPr>
    </w:p>
    <w:p>
      <w:pPr>
        <w:ind w:left="440" w:hanging="438"/>
        <w:spacing w:after="0"/>
        <w:tabs>
          <w:tab w:leader="none" w:pos="440" w:val="left"/>
        </w:tabs>
        <w:numPr>
          <w:ilvl w:val="0"/>
          <w:numId w:val="23"/>
        </w:numPr>
        <w:rPr>
          <w:rFonts w:ascii="Arial" w:cs="Arial" w:eastAsia="Arial" w:hAnsi="Arial"/>
          <w:sz w:val="20"/>
          <w:szCs w:val="20"/>
          <w:b w:val="1"/>
          <w:bCs w:val="1"/>
          <w:color w:val="auto"/>
        </w:rPr>
      </w:pPr>
      <w:r>
        <w:rPr>
          <w:rFonts w:ascii="Arial" w:cs="Arial" w:eastAsia="Arial" w:hAnsi="Arial"/>
          <w:sz w:val="20"/>
          <w:szCs w:val="20"/>
          <w:b w:val="1"/>
          <w:bCs w:val="1"/>
          <w:color w:val="auto"/>
        </w:rPr>
        <w:t>Leases</w:t>
      </w:r>
    </w:p>
    <w:p>
      <w:pPr>
        <w:spacing w:after="0" w:line="113" w:lineRule="exact"/>
        <w:rPr>
          <w:rFonts w:ascii="Arial" w:cs="Arial" w:eastAsia="Arial" w:hAnsi="Arial"/>
          <w:sz w:val="20"/>
          <w:szCs w:val="20"/>
          <w:b w:val="1"/>
          <w:bCs w:val="1"/>
          <w:color w:val="auto"/>
        </w:rPr>
      </w:pPr>
    </w:p>
    <w:p>
      <w:pPr>
        <w:jc w:val="both"/>
        <w:ind w:left="420"/>
        <w:spacing w:after="0" w:line="246" w:lineRule="auto"/>
        <w:rPr>
          <w:rFonts w:ascii="Arial" w:cs="Arial" w:eastAsia="Arial" w:hAnsi="Arial"/>
          <w:sz w:val="20"/>
          <w:szCs w:val="20"/>
          <w:b w:val="1"/>
          <w:bCs w:val="1"/>
          <w:color w:val="auto"/>
        </w:rPr>
      </w:pPr>
      <w:r>
        <w:rPr>
          <w:rFonts w:ascii="Arial" w:cs="Arial" w:eastAsia="Arial" w:hAnsi="Arial"/>
          <w:sz w:val="20"/>
          <w:szCs w:val="20"/>
          <w:color w:val="auto"/>
        </w:rPr>
        <w:t>The Company is obligated under long-term capital lease agreements covering certain facilities and equipment that expire at various dates during the next 11 years. Certain leases contain renewal options for varying periods, and certain leases include options to purchase the leased property at the end of the lease term. Leases generally require the Company to pay for insurance, taxes and maintenance of the property.</w:t>
      </w:r>
    </w:p>
    <w:p>
      <w:pPr>
        <w:spacing w:after="0" w:line="110" w:lineRule="exact"/>
        <w:rPr>
          <w:rFonts w:ascii="Arial" w:cs="Arial" w:eastAsia="Arial" w:hAnsi="Arial"/>
          <w:sz w:val="20"/>
          <w:szCs w:val="20"/>
          <w:b w:val="1"/>
          <w:bCs w:val="1"/>
          <w:color w:val="auto"/>
        </w:rPr>
      </w:pPr>
    </w:p>
    <w:p>
      <w:pPr>
        <w:jc w:val="both"/>
        <w:ind w:left="420"/>
        <w:spacing w:after="0" w:line="282" w:lineRule="auto"/>
        <w:rPr>
          <w:rFonts w:ascii="Arial" w:cs="Arial" w:eastAsia="Arial" w:hAnsi="Arial"/>
          <w:sz w:val="20"/>
          <w:szCs w:val="20"/>
          <w:b w:val="1"/>
          <w:bCs w:val="1"/>
          <w:color w:val="auto"/>
        </w:rPr>
      </w:pPr>
      <w:r>
        <w:rPr>
          <w:rFonts w:ascii="Arial" w:cs="Arial" w:eastAsia="Arial" w:hAnsi="Arial"/>
          <w:sz w:val="18"/>
          <w:szCs w:val="18"/>
          <w:color w:val="auto"/>
        </w:rPr>
        <w:t>The Company entered into long-term agreements to purchase electricity and gas with certain suppliers (see Note (23)). The electricity and gas are generated by co-generation systems and nitrogen gas supply systems owned by the energy suppliers and these systems are built on the Company’s premises to provide the electricity and gas exclusively for the Company. The arrangements are treated as leases, and based on the terms of agreements, the arrangements are accounted for as capital leases.</w:t>
      </w:r>
    </w:p>
    <w:p>
      <w:pPr>
        <w:spacing w:after="0" w:line="80" w:lineRule="exact"/>
        <w:rPr>
          <w:rFonts w:ascii="Arial" w:cs="Arial" w:eastAsia="Arial" w:hAnsi="Arial"/>
          <w:sz w:val="20"/>
          <w:szCs w:val="20"/>
          <w:b w:val="1"/>
          <w:bCs w:val="1"/>
          <w:color w:val="auto"/>
        </w:rPr>
      </w:pPr>
    </w:p>
    <w:p>
      <w:pPr>
        <w:ind w:left="420"/>
        <w:spacing w:after="0" w:line="260" w:lineRule="auto"/>
        <w:rPr>
          <w:rFonts w:ascii="Arial" w:cs="Arial" w:eastAsia="Arial" w:hAnsi="Arial"/>
          <w:sz w:val="20"/>
          <w:szCs w:val="20"/>
          <w:b w:val="1"/>
          <w:bCs w:val="1"/>
          <w:color w:val="auto"/>
        </w:rPr>
      </w:pPr>
      <w:r>
        <w:rPr>
          <w:rFonts w:ascii="Arial" w:cs="Arial" w:eastAsia="Arial" w:hAnsi="Arial"/>
          <w:sz w:val="20"/>
          <w:szCs w:val="20"/>
          <w:color w:val="auto"/>
        </w:rPr>
        <w:t>At February 28, 2013 and March 31, 2012, the gross amount of leased assets and related accumulated amortization recorded under capital leases were as follows:</w:t>
      </w:r>
    </w:p>
    <w:p>
      <w:pPr>
        <w:spacing w:after="0" w:line="225"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6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gridSpan w:val="2"/>
          </w:tcPr>
          <w:p>
            <w:pPr>
              <w:ind w:left="100"/>
              <w:spacing w:after="0"/>
              <w:rPr>
                <w:sz w:val="20"/>
                <w:szCs w:val="20"/>
                <w:color w:val="auto"/>
              </w:rPr>
            </w:pPr>
            <w:r>
              <w:rPr>
                <w:rFonts w:ascii="Arial" w:cs="Arial" w:eastAsia="Arial" w:hAnsi="Arial"/>
                <w:sz w:val="20"/>
                <w:szCs w:val="20"/>
                <w:b w:val="1"/>
                <w:bCs w:val="1"/>
                <w:color w:val="auto"/>
              </w:rPr>
              <w:t>February 28,</w:t>
            </w:r>
          </w:p>
        </w:tc>
        <w:tc>
          <w:tcPr>
            <w:tcW w:w="280" w:type="dxa"/>
            <w:vAlign w:val="bottom"/>
          </w:tcPr>
          <w:p>
            <w:pPr>
              <w:spacing w:after="0"/>
              <w:rPr>
                <w:sz w:val="19"/>
                <w:szCs w:val="19"/>
                <w:color w:val="auto"/>
              </w:rPr>
            </w:pPr>
          </w:p>
        </w:tc>
        <w:tc>
          <w:tcPr>
            <w:tcW w:w="1440" w:type="dxa"/>
            <w:vAlign w:val="bottom"/>
          </w:tcPr>
          <w:p>
            <w:pPr>
              <w:jc w:val="right"/>
              <w:ind w:right="341"/>
              <w:spacing w:after="0"/>
              <w:rPr>
                <w:sz w:val="20"/>
                <w:szCs w:val="20"/>
                <w:color w:val="auto"/>
              </w:rPr>
            </w:pPr>
            <w:r>
              <w:rPr>
                <w:rFonts w:ascii="Arial" w:cs="Arial" w:eastAsia="Arial" w:hAnsi="Arial"/>
                <w:sz w:val="20"/>
                <w:szCs w:val="20"/>
                <w:b w:val="1"/>
                <w:bCs w:val="1"/>
                <w:color w:val="auto"/>
              </w:rPr>
              <w:t>March 31,</w:t>
            </w:r>
          </w:p>
        </w:tc>
      </w:tr>
      <w:tr>
        <w:trPr>
          <w:trHeight w:val="256"/>
        </w:trPr>
        <w:tc>
          <w:tcPr>
            <w:tcW w:w="6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00" w:type="dxa"/>
            <w:vAlign w:val="bottom"/>
          </w:tcPr>
          <w:p>
            <w:pPr>
              <w:jc w:val="right"/>
              <w:ind w:right="561"/>
              <w:spacing w:after="0"/>
              <w:rPr>
                <w:sz w:val="20"/>
                <w:szCs w:val="20"/>
                <w:color w:val="auto"/>
              </w:rPr>
            </w:pPr>
            <w:r>
              <w:rPr>
                <w:rFonts w:ascii="Arial" w:cs="Arial" w:eastAsia="Arial" w:hAnsi="Arial"/>
                <w:sz w:val="20"/>
                <w:szCs w:val="20"/>
                <w:b w:val="1"/>
                <w:bCs w:val="1"/>
                <w:color w:val="auto"/>
              </w:rPr>
              <w:t>2013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40" w:type="dxa"/>
            <w:vAlign w:val="bottom"/>
          </w:tcPr>
          <w:p>
            <w:pPr>
              <w:jc w:val="right"/>
              <w:ind w:right="561"/>
              <w:spacing w:after="0"/>
              <w:rPr>
                <w:sz w:val="20"/>
                <w:szCs w:val="20"/>
                <w:color w:val="auto"/>
              </w:rPr>
            </w:pPr>
            <w:r>
              <w:rPr>
                <w:rFonts w:ascii="Arial" w:cs="Arial" w:eastAsia="Arial" w:hAnsi="Arial"/>
                <w:sz w:val="20"/>
                <w:szCs w:val="20"/>
                <w:b w:val="1"/>
                <w:bCs w:val="1"/>
                <w:color w:val="auto"/>
              </w:rPr>
              <w:t>2012</w:t>
            </w:r>
          </w:p>
        </w:tc>
      </w:tr>
      <w:tr>
        <w:trPr>
          <w:trHeight w:val="23"/>
        </w:trPr>
        <w:tc>
          <w:tcPr>
            <w:tcW w:w="64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4"/>
        </w:trPr>
        <w:tc>
          <w:tcPr>
            <w:tcW w:w="6420" w:type="dxa"/>
            <w:vAlign w:val="bottom"/>
          </w:tcPr>
          <w:p>
            <w:pPr>
              <w:spacing w:after="0"/>
              <w:rPr>
                <w:sz w:val="20"/>
                <w:szCs w:val="20"/>
                <w:color w:val="auto"/>
              </w:rPr>
            </w:pPr>
            <w:r>
              <w:rPr>
                <w:rFonts w:ascii="Arial" w:cs="Arial" w:eastAsia="Arial" w:hAnsi="Arial"/>
                <w:sz w:val="20"/>
                <w:szCs w:val="20"/>
                <w:color w:val="auto"/>
              </w:rPr>
              <w:t>Machinery and equipment</w:t>
            </w:r>
          </w:p>
        </w:tc>
        <w:tc>
          <w:tcPr>
            <w:tcW w:w="220" w:type="dxa"/>
            <w:vAlign w:val="bottom"/>
          </w:tcPr>
          <w:p>
            <w:pPr>
              <w:jc w:val="right"/>
              <w:ind w:right="1"/>
              <w:spacing w:after="0"/>
              <w:rPr>
                <w:sz w:val="20"/>
                <w:szCs w:val="20"/>
                <w:color w:val="auto"/>
              </w:rPr>
            </w:pPr>
            <w:r>
              <w:rPr>
                <w:rFonts w:ascii="Arial" w:cs="Arial" w:eastAsia="Arial" w:hAnsi="Arial"/>
                <w:sz w:val="20"/>
                <w:szCs w:val="20"/>
                <w:color w:val="auto"/>
                <w:w w:val="89"/>
              </w:rPr>
              <w:t>¥</w:t>
            </w:r>
          </w:p>
        </w:tc>
        <w:tc>
          <w:tcPr>
            <w:tcW w:w="1500" w:type="dxa"/>
            <w:vAlign w:val="bottom"/>
          </w:tcPr>
          <w:p>
            <w:pPr>
              <w:jc w:val="right"/>
              <w:spacing w:after="0"/>
              <w:rPr>
                <w:sz w:val="20"/>
                <w:szCs w:val="20"/>
                <w:color w:val="auto"/>
              </w:rPr>
            </w:pPr>
            <w:r>
              <w:rPr>
                <w:rFonts w:ascii="Arial" w:cs="Arial" w:eastAsia="Arial" w:hAnsi="Arial"/>
                <w:sz w:val="20"/>
                <w:szCs w:val="20"/>
                <w:color w:val="auto"/>
              </w:rPr>
              <w:t>136,789</w:t>
            </w:r>
          </w:p>
        </w:tc>
        <w:tc>
          <w:tcPr>
            <w:tcW w:w="120" w:type="dxa"/>
            <w:vAlign w:val="bottom"/>
          </w:tcPr>
          <w:p>
            <w:pPr>
              <w:spacing w:after="0"/>
              <w:rPr>
                <w:sz w:val="22"/>
                <w:szCs w:val="22"/>
                <w:color w:val="auto"/>
              </w:rPr>
            </w:pPr>
          </w:p>
        </w:tc>
        <w:tc>
          <w:tcPr>
            <w:tcW w:w="280" w:type="dxa"/>
            <w:vAlign w:val="bottom"/>
          </w:tcPr>
          <w:p>
            <w:pPr>
              <w:jc w:val="right"/>
              <w:ind w:right="61"/>
              <w:spacing w:after="0"/>
              <w:rPr>
                <w:sz w:val="20"/>
                <w:szCs w:val="20"/>
                <w:color w:val="auto"/>
              </w:rPr>
            </w:pPr>
            <w:r>
              <w:rPr>
                <w:rFonts w:ascii="Arial" w:cs="Arial" w:eastAsia="Arial" w:hAnsi="Arial"/>
                <w:sz w:val="20"/>
                <w:szCs w:val="20"/>
                <w:color w:val="auto"/>
                <w:w w:val="89"/>
              </w:rPr>
              <w:t>¥</w:t>
            </w:r>
          </w:p>
        </w:tc>
        <w:tc>
          <w:tcPr>
            <w:tcW w:w="1440" w:type="dxa"/>
            <w:vAlign w:val="bottom"/>
          </w:tcPr>
          <w:p>
            <w:pPr>
              <w:jc w:val="right"/>
              <w:ind w:right="1"/>
              <w:spacing w:after="0"/>
              <w:rPr>
                <w:sz w:val="20"/>
                <w:szCs w:val="20"/>
                <w:color w:val="auto"/>
              </w:rPr>
            </w:pPr>
            <w:r>
              <w:rPr>
                <w:rFonts w:ascii="Arial" w:cs="Arial" w:eastAsia="Arial" w:hAnsi="Arial"/>
                <w:sz w:val="20"/>
                <w:szCs w:val="20"/>
                <w:color w:val="auto"/>
              </w:rPr>
              <w:t>121,056</w:t>
            </w:r>
          </w:p>
        </w:tc>
      </w:tr>
      <w:tr>
        <w:trPr>
          <w:trHeight w:val="284"/>
        </w:trPr>
        <w:tc>
          <w:tcPr>
            <w:tcW w:w="6420" w:type="dxa"/>
            <w:vAlign w:val="bottom"/>
          </w:tcPr>
          <w:p>
            <w:pPr>
              <w:spacing w:after="0"/>
              <w:rPr>
                <w:sz w:val="20"/>
                <w:szCs w:val="20"/>
                <w:color w:val="auto"/>
              </w:rPr>
            </w:pPr>
            <w:r>
              <w:rPr>
                <w:rFonts w:ascii="Arial" w:cs="Arial" w:eastAsia="Arial" w:hAnsi="Arial"/>
                <w:sz w:val="20"/>
                <w:szCs w:val="20"/>
                <w:color w:val="auto"/>
              </w:rPr>
              <w:t>Others</w:t>
            </w:r>
          </w:p>
        </w:tc>
        <w:tc>
          <w:tcPr>
            <w:tcW w:w="22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20"/>
                <w:szCs w:val="20"/>
                <w:color w:val="auto"/>
              </w:rPr>
              <w:t>95</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jc w:val="right"/>
              <w:ind w:right="1"/>
              <w:spacing w:after="0"/>
              <w:rPr>
                <w:sz w:val="20"/>
                <w:szCs w:val="20"/>
                <w:color w:val="auto"/>
              </w:rPr>
            </w:pPr>
            <w:r>
              <w:rPr>
                <w:rFonts w:ascii="Arial" w:cs="Arial" w:eastAsia="Arial" w:hAnsi="Arial"/>
                <w:sz w:val="20"/>
                <w:szCs w:val="20"/>
                <w:color w:val="auto"/>
              </w:rPr>
              <w:t>121</w:t>
            </w:r>
          </w:p>
        </w:tc>
      </w:tr>
      <w:tr>
        <w:trPr>
          <w:trHeight w:val="23"/>
        </w:trPr>
        <w:tc>
          <w:tcPr>
            <w:tcW w:w="64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4"/>
        </w:trPr>
        <w:tc>
          <w:tcPr>
            <w:tcW w:w="6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20"/>
                <w:szCs w:val="20"/>
                <w:color w:val="auto"/>
              </w:rPr>
              <w:t>136,884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40" w:type="dxa"/>
            <w:vAlign w:val="bottom"/>
          </w:tcPr>
          <w:p>
            <w:pPr>
              <w:jc w:val="right"/>
              <w:ind w:right="1"/>
              <w:spacing w:after="0"/>
              <w:rPr>
                <w:sz w:val="20"/>
                <w:szCs w:val="20"/>
                <w:color w:val="auto"/>
              </w:rPr>
            </w:pPr>
            <w:r>
              <w:rPr>
                <w:rFonts w:ascii="Arial" w:cs="Arial" w:eastAsia="Arial" w:hAnsi="Arial"/>
                <w:sz w:val="20"/>
                <w:szCs w:val="20"/>
                <w:color w:val="auto"/>
              </w:rPr>
              <w:t>121,177</w:t>
            </w:r>
          </w:p>
        </w:tc>
      </w:tr>
      <w:tr>
        <w:trPr>
          <w:trHeight w:val="284"/>
        </w:trPr>
        <w:tc>
          <w:tcPr>
            <w:tcW w:w="6420" w:type="dxa"/>
            <w:vAlign w:val="bottom"/>
          </w:tcPr>
          <w:p>
            <w:pPr>
              <w:spacing w:after="0"/>
              <w:rPr>
                <w:sz w:val="20"/>
                <w:szCs w:val="20"/>
                <w:color w:val="auto"/>
              </w:rPr>
            </w:pPr>
            <w:r>
              <w:rPr>
                <w:rFonts w:ascii="Arial" w:cs="Arial" w:eastAsia="Arial" w:hAnsi="Arial"/>
                <w:sz w:val="20"/>
                <w:szCs w:val="20"/>
                <w:color w:val="auto"/>
              </w:rPr>
              <w:t>Less accumulated amortization</w:t>
            </w:r>
          </w:p>
        </w:tc>
        <w:tc>
          <w:tcPr>
            <w:tcW w:w="22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20"/>
                <w:szCs w:val="20"/>
                <w:color w:val="auto"/>
              </w:rPr>
              <w:t>59,188</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jc w:val="right"/>
              <w:ind w:right="1"/>
              <w:spacing w:after="0"/>
              <w:rPr>
                <w:sz w:val="20"/>
                <w:szCs w:val="20"/>
                <w:color w:val="auto"/>
              </w:rPr>
            </w:pPr>
            <w:r>
              <w:rPr>
                <w:rFonts w:ascii="Arial" w:cs="Arial" w:eastAsia="Arial" w:hAnsi="Arial"/>
                <w:sz w:val="20"/>
                <w:szCs w:val="20"/>
                <w:color w:val="auto"/>
              </w:rPr>
              <w:t>39,607</w:t>
            </w:r>
          </w:p>
        </w:tc>
      </w:tr>
      <w:tr>
        <w:trPr>
          <w:trHeight w:val="23"/>
        </w:trPr>
        <w:tc>
          <w:tcPr>
            <w:tcW w:w="64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4"/>
        </w:trPr>
        <w:tc>
          <w:tcPr>
            <w:tcW w:w="6420" w:type="dxa"/>
            <w:vAlign w:val="bottom"/>
          </w:tcPr>
          <w:p>
            <w:pPr>
              <w:spacing w:after="0"/>
              <w:rPr>
                <w:sz w:val="22"/>
                <w:szCs w:val="22"/>
                <w:color w:val="auto"/>
              </w:rPr>
            </w:pPr>
          </w:p>
        </w:tc>
        <w:tc>
          <w:tcPr>
            <w:tcW w:w="220" w:type="dxa"/>
            <w:vAlign w:val="bottom"/>
          </w:tcPr>
          <w:p>
            <w:pPr>
              <w:jc w:val="right"/>
              <w:ind w:right="1"/>
              <w:spacing w:after="0"/>
              <w:rPr>
                <w:sz w:val="20"/>
                <w:szCs w:val="20"/>
                <w:color w:val="auto"/>
              </w:rPr>
            </w:pPr>
            <w:r>
              <w:rPr>
                <w:rFonts w:ascii="Arial" w:cs="Arial" w:eastAsia="Arial" w:hAnsi="Arial"/>
                <w:sz w:val="20"/>
                <w:szCs w:val="20"/>
                <w:color w:val="auto"/>
                <w:w w:val="89"/>
              </w:rPr>
              <w:t>¥</w:t>
            </w:r>
          </w:p>
        </w:tc>
        <w:tc>
          <w:tcPr>
            <w:tcW w:w="1500" w:type="dxa"/>
            <w:vAlign w:val="bottom"/>
          </w:tcPr>
          <w:p>
            <w:pPr>
              <w:jc w:val="right"/>
              <w:spacing w:after="0"/>
              <w:rPr>
                <w:sz w:val="20"/>
                <w:szCs w:val="20"/>
                <w:color w:val="auto"/>
              </w:rPr>
            </w:pPr>
            <w:r>
              <w:rPr>
                <w:rFonts w:ascii="Arial" w:cs="Arial" w:eastAsia="Arial" w:hAnsi="Arial"/>
                <w:sz w:val="20"/>
                <w:szCs w:val="20"/>
                <w:color w:val="auto"/>
              </w:rPr>
              <w:t>77,696</w:t>
            </w:r>
          </w:p>
        </w:tc>
        <w:tc>
          <w:tcPr>
            <w:tcW w:w="120" w:type="dxa"/>
            <w:vAlign w:val="bottom"/>
          </w:tcPr>
          <w:p>
            <w:pPr>
              <w:spacing w:after="0"/>
              <w:rPr>
                <w:sz w:val="22"/>
                <w:szCs w:val="22"/>
                <w:color w:val="auto"/>
              </w:rPr>
            </w:pPr>
          </w:p>
        </w:tc>
        <w:tc>
          <w:tcPr>
            <w:tcW w:w="280" w:type="dxa"/>
            <w:vAlign w:val="bottom"/>
          </w:tcPr>
          <w:p>
            <w:pPr>
              <w:jc w:val="right"/>
              <w:ind w:right="61"/>
              <w:spacing w:after="0"/>
              <w:rPr>
                <w:sz w:val="20"/>
                <w:szCs w:val="20"/>
                <w:color w:val="auto"/>
              </w:rPr>
            </w:pPr>
            <w:r>
              <w:rPr>
                <w:rFonts w:ascii="Arial" w:cs="Arial" w:eastAsia="Arial" w:hAnsi="Arial"/>
                <w:sz w:val="20"/>
                <w:szCs w:val="20"/>
                <w:color w:val="auto"/>
                <w:w w:val="89"/>
              </w:rPr>
              <w:t>¥</w:t>
            </w:r>
          </w:p>
        </w:tc>
        <w:tc>
          <w:tcPr>
            <w:tcW w:w="1440" w:type="dxa"/>
            <w:vAlign w:val="bottom"/>
          </w:tcPr>
          <w:p>
            <w:pPr>
              <w:jc w:val="right"/>
              <w:ind w:right="1"/>
              <w:spacing w:after="0"/>
              <w:rPr>
                <w:sz w:val="20"/>
                <w:szCs w:val="20"/>
                <w:color w:val="auto"/>
              </w:rPr>
            </w:pPr>
            <w:r>
              <w:rPr>
                <w:rFonts w:ascii="Arial" w:cs="Arial" w:eastAsia="Arial" w:hAnsi="Arial"/>
                <w:sz w:val="20"/>
                <w:szCs w:val="20"/>
                <w:color w:val="auto"/>
              </w:rPr>
              <w:t>81,570</w:t>
            </w:r>
          </w:p>
        </w:tc>
      </w:tr>
      <w:tr>
        <w:trPr>
          <w:trHeight w:val="23"/>
        </w:trPr>
        <w:tc>
          <w:tcPr>
            <w:tcW w:w="64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
        </w:trPr>
        <w:tc>
          <w:tcPr>
            <w:tcW w:w="6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18" w:lineRule="exact"/>
        <w:rPr>
          <w:sz w:val="20"/>
          <w:szCs w:val="20"/>
          <w:color w:val="auto"/>
        </w:rPr>
      </w:pPr>
    </w:p>
    <w:p>
      <w:pPr>
        <w:ind w:left="420"/>
        <w:spacing w:after="0"/>
        <w:rPr>
          <w:sz w:val="20"/>
          <w:szCs w:val="20"/>
          <w:color w:val="auto"/>
        </w:rPr>
      </w:pPr>
      <w:r>
        <w:rPr>
          <w:rFonts w:ascii="Arial" w:cs="Arial" w:eastAsia="Arial" w:hAnsi="Arial"/>
          <w:sz w:val="20"/>
          <w:szCs w:val="20"/>
          <w:color w:val="auto"/>
        </w:rPr>
        <w:t>Amortization of assets held under capital leases is included with depreciation expense.</w:t>
      </w:r>
    </w:p>
    <w:p>
      <w:pPr>
        <w:spacing w:after="0" w:line="270" w:lineRule="exact"/>
        <w:rPr>
          <w:sz w:val="20"/>
          <w:szCs w:val="20"/>
          <w:color w:val="auto"/>
        </w:rPr>
      </w:pPr>
    </w:p>
    <w:p>
      <w:pPr>
        <w:ind w:left="420"/>
        <w:spacing w:after="0" w:line="260" w:lineRule="auto"/>
        <w:rPr>
          <w:sz w:val="20"/>
          <w:szCs w:val="20"/>
          <w:color w:val="auto"/>
        </w:rPr>
      </w:pPr>
      <w:r>
        <w:rPr>
          <w:rFonts w:ascii="Arial" w:cs="Arial" w:eastAsia="Arial" w:hAnsi="Arial"/>
          <w:sz w:val="20"/>
          <w:szCs w:val="20"/>
          <w:color w:val="auto"/>
        </w:rPr>
        <w:t>Impairment losses were recognized on certain leased assets during the year ended March 31, 2012. See Note (24) for further details of impairment of long-lived assets.</w:t>
      </w:r>
    </w:p>
    <w:p>
      <w:pPr>
        <w:spacing w:after="0" w:line="34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60" w:top="553" w:right="239" w:bottom="1440" w:gutter="0" w:footer="0" w:header="0"/>
        </w:sectPr>
      </w:pPr>
    </w:p>
    <w:bookmarkStart w:id="34" w:name="page35"/>
    <w:bookmarkEnd w:id="34"/>
    <w:p>
      <w:pPr>
        <w:jc w:val="center"/>
        <w:ind w:right="20"/>
        <w:spacing w:after="0"/>
        <w:rPr>
          <w:sz w:val="20"/>
          <w:szCs w:val="20"/>
          <w:color w:val="auto"/>
        </w:rPr>
      </w:pPr>
      <w:r>
        <w:rPr>
          <w:rFonts w:ascii="Arial" w:cs="Arial" w:eastAsia="Arial" w:hAnsi="Arial"/>
          <w:sz w:val="18"/>
          <w:szCs w:val="18"/>
          <w:b w:val="1"/>
          <w:bCs w:val="1"/>
          <w:color w:val="auto"/>
        </w:rPr>
        <w:t>ELPIDA MEMORY,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(DEBTORS-IN-POSSESSION)</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420"/>
        <w:spacing w:after="0" w:line="269" w:lineRule="auto"/>
        <w:rPr>
          <w:sz w:val="20"/>
          <w:szCs w:val="20"/>
          <w:color w:val="auto"/>
        </w:rPr>
      </w:pPr>
      <w:r>
        <w:rPr>
          <w:rFonts w:ascii="Arial" w:cs="Arial" w:eastAsia="Arial" w:hAnsi="Arial"/>
          <w:sz w:val="19"/>
          <w:szCs w:val="19"/>
          <w:color w:val="auto"/>
        </w:rPr>
        <w:t>The Company also has non cancelable operating leases with minimum rental commitments. Minimum rental payments under operating leases are recognized on a straight-line basis over the term of the lease. Rental expense for operating leases for the eleven months ended February 28, 2013 and the year ended March 31, 2012 was ¥53 and ¥3,802, respectively.</w:t>
      </w:r>
    </w:p>
    <w:p>
      <w:pPr>
        <w:spacing w:after="0" w:line="89" w:lineRule="exact"/>
        <w:rPr>
          <w:sz w:val="20"/>
          <w:szCs w:val="20"/>
          <w:color w:val="auto"/>
        </w:rPr>
      </w:pPr>
    </w:p>
    <w:p>
      <w:pPr>
        <w:jc w:val="both"/>
        <w:ind w:left="420"/>
        <w:spacing w:after="0" w:line="260" w:lineRule="auto"/>
        <w:rPr>
          <w:sz w:val="20"/>
          <w:szCs w:val="20"/>
          <w:color w:val="auto"/>
        </w:rPr>
      </w:pPr>
      <w:r>
        <w:rPr>
          <w:rFonts w:ascii="Arial" w:cs="Arial" w:eastAsia="Arial" w:hAnsi="Arial"/>
          <w:sz w:val="20"/>
          <w:szCs w:val="20"/>
          <w:color w:val="auto"/>
        </w:rPr>
        <w:t>Future minimum lease payments under non cancelable operating leases (with initial or remaining lease terms in excess of one year) and future minimum capital lease payments at February 28, 2013 are as follows:</w:t>
      </w:r>
    </w:p>
    <w:p>
      <w:pPr>
        <w:spacing w:after="0" w:line="252"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6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jc w:val="right"/>
              <w:ind w:right="441"/>
              <w:spacing w:after="0"/>
              <w:rPr>
                <w:sz w:val="20"/>
                <w:szCs w:val="20"/>
                <w:color w:val="auto"/>
              </w:rPr>
            </w:pPr>
            <w:r>
              <w:rPr>
                <w:rFonts w:ascii="Arial" w:cs="Arial" w:eastAsia="Arial" w:hAnsi="Arial"/>
                <w:sz w:val="20"/>
                <w:szCs w:val="20"/>
                <w:b w:val="1"/>
                <w:bCs w:val="1"/>
                <w:color w:val="auto"/>
              </w:rPr>
              <w:t>Capital</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ind w:right="321"/>
              <w:spacing w:after="0"/>
              <w:rPr>
                <w:sz w:val="20"/>
                <w:szCs w:val="20"/>
                <w:color w:val="auto"/>
              </w:rPr>
            </w:pPr>
            <w:r>
              <w:rPr>
                <w:rFonts w:ascii="Arial" w:cs="Arial" w:eastAsia="Arial" w:hAnsi="Arial"/>
                <w:sz w:val="20"/>
                <w:szCs w:val="20"/>
                <w:b w:val="1"/>
                <w:bCs w:val="1"/>
                <w:color w:val="auto"/>
              </w:rPr>
              <w:t>Operating</w:t>
            </w:r>
          </w:p>
        </w:tc>
        <w:tc>
          <w:tcPr>
            <w:tcW w:w="0" w:type="dxa"/>
            <w:vAlign w:val="bottom"/>
          </w:tcPr>
          <w:p>
            <w:pPr>
              <w:spacing w:after="0"/>
              <w:rPr>
                <w:sz w:val="1"/>
                <w:szCs w:val="1"/>
                <w:color w:val="auto"/>
              </w:rPr>
            </w:pPr>
          </w:p>
        </w:tc>
      </w:tr>
      <w:tr>
        <w:trPr>
          <w:trHeight w:val="256"/>
        </w:trPr>
        <w:tc>
          <w:tcPr>
            <w:tcW w:w="6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80" w:type="dxa"/>
            <w:vAlign w:val="bottom"/>
          </w:tcPr>
          <w:p>
            <w:pPr>
              <w:jc w:val="right"/>
              <w:ind w:right="521"/>
              <w:spacing w:after="0"/>
              <w:rPr>
                <w:sz w:val="20"/>
                <w:szCs w:val="20"/>
                <w:color w:val="auto"/>
              </w:rPr>
            </w:pPr>
            <w:r>
              <w:rPr>
                <w:rFonts w:ascii="Arial" w:cs="Arial" w:eastAsia="Arial" w:hAnsi="Arial"/>
                <w:sz w:val="20"/>
                <w:szCs w:val="20"/>
                <w:b w:val="1"/>
                <w:bCs w:val="1"/>
                <w:color w:val="auto"/>
              </w:rPr>
              <w:t>leases</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40" w:type="dxa"/>
            <w:vAlign w:val="bottom"/>
          </w:tcPr>
          <w:p>
            <w:pPr>
              <w:jc w:val="right"/>
              <w:ind w:right="521"/>
              <w:spacing w:after="0"/>
              <w:rPr>
                <w:sz w:val="20"/>
                <w:szCs w:val="20"/>
                <w:color w:val="auto"/>
              </w:rPr>
            </w:pPr>
            <w:r>
              <w:rPr>
                <w:rFonts w:ascii="Arial" w:cs="Arial" w:eastAsia="Arial" w:hAnsi="Arial"/>
                <w:sz w:val="20"/>
                <w:szCs w:val="20"/>
                <w:b w:val="1"/>
                <w:bCs w:val="1"/>
                <w:color w:val="auto"/>
              </w:rPr>
              <w:t>leases</w:t>
            </w:r>
          </w:p>
        </w:tc>
        <w:tc>
          <w:tcPr>
            <w:tcW w:w="0" w:type="dxa"/>
            <w:vAlign w:val="bottom"/>
          </w:tcPr>
          <w:p>
            <w:pPr>
              <w:spacing w:after="0"/>
              <w:rPr>
                <w:sz w:val="1"/>
                <w:szCs w:val="1"/>
                <w:color w:val="auto"/>
              </w:rPr>
            </w:pPr>
          </w:p>
        </w:tc>
      </w:tr>
      <w:tr>
        <w:trPr>
          <w:trHeight w:val="23"/>
        </w:trPr>
        <w:tc>
          <w:tcPr>
            <w:tcW w:w="6460" w:type="dxa"/>
            <w:vAlign w:val="bottom"/>
            <w:vMerge w:val="restart"/>
          </w:tcPr>
          <w:p>
            <w:pPr>
              <w:spacing w:after="0"/>
              <w:rPr>
                <w:sz w:val="20"/>
                <w:szCs w:val="20"/>
                <w:color w:val="auto"/>
              </w:rPr>
            </w:pPr>
            <w:r>
              <w:rPr>
                <w:rFonts w:ascii="Arial" w:cs="Arial" w:eastAsia="Arial" w:hAnsi="Arial"/>
                <w:sz w:val="20"/>
                <w:szCs w:val="20"/>
                <w:color w:val="auto"/>
              </w:rPr>
              <w:t>Fiscal year ending August 31:</w:t>
            </w: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646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6460" w:type="dxa"/>
            <w:vAlign w:val="bottom"/>
          </w:tcPr>
          <w:p>
            <w:pPr>
              <w:ind w:left="240"/>
              <w:spacing w:after="0"/>
              <w:rPr>
                <w:sz w:val="20"/>
                <w:szCs w:val="20"/>
                <w:color w:val="auto"/>
              </w:rPr>
            </w:pPr>
            <w:r>
              <w:rPr>
                <w:rFonts w:ascii="Arial" w:cs="Arial" w:eastAsia="Arial" w:hAnsi="Arial"/>
                <w:sz w:val="20"/>
                <w:szCs w:val="20"/>
                <w:color w:val="auto"/>
              </w:rPr>
              <w:t>2013</w:t>
            </w:r>
          </w:p>
        </w:tc>
        <w:tc>
          <w:tcPr>
            <w:tcW w:w="340" w:type="dxa"/>
            <w:vAlign w:val="bottom"/>
          </w:tcPr>
          <w:p>
            <w:pPr>
              <w:jc w:val="right"/>
              <w:ind w:right="121"/>
              <w:spacing w:after="0"/>
              <w:rPr>
                <w:sz w:val="20"/>
                <w:szCs w:val="20"/>
                <w:color w:val="auto"/>
              </w:rPr>
            </w:pPr>
            <w:r>
              <w:rPr>
                <w:rFonts w:ascii="Arial" w:cs="Arial" w:eastAsia="Arial" w:hAnsi="Arial"/>
                <w:sz w:val="20"/>
                <w:szCs w:val="20"/>
                <w:color w:val="auto"/>
                <w:w w:val="89"/>
              </w:rPr>
              <w:t>¥</w:t>
            </w:r>
          </w:p>
        </w:tc>
        <w:tc>
          <w:tcPr>
            <w:tcW w:w="1380" w:type="dxa"/>
            <w:vAlign w:val="bottom"/>
          </w:tcPr>
          <w:p>
            <w:pPr>
              <w:jc w:val="right"/>
              <w:spacing w:after="0"/>
              <w:rPr>
                <w:sz w:val="20"/>
                <w:szCs w:val="20"/>
                <w:color w:val="auto"/>
              </w:rPr>
            </w:pPr>
            <w:r>
              <w:rPr>
                <w:rFonts w:ascii="Arial" w:cs="Arial" w:eastAsia="Arial" w:hAnsi="Arial"/>
                <w:sz w:val="20"/>
                <w:szCs w:val="20"/>
                <w:color w:val="auto"/>
              </w:rPr>
              <w:t>11,388</w:t>
            </w:r>
          </w:p>
        </w:tc>
        <w:tc>
          <w:tcPr>
            <w:tcW w:w="40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440" w:type="dxa"/>
            <w:vAlign w:val="bottom"/>
          </w:tcPr>
          <w:p>
            <w:pPr>
              <w:jc w:val="right"/>
              <w:ind w:right="1"/>
              <w:spacing w:after="0"/>
              <w:rPr>
                <w:sz w:val="20"/>
                <w:szCs w:val="20"/>
                <w:color w:val="auto"/>
              </w:rPr>
            </w:pPr>
            <w:r>
              <w:rPr>
                <w:rFonts w:ascii="Arial" w:cs="Arial" w:eastAsia="Arial" w:hAnsi="Arial"/>
                <w:sz w:val="20"/>
                <w:szCs w:val="20"/>
                <w:color w:val="auto"/>
              </w:rPr>
              <w:t>33</w:t>
            </w:r>
          </w:p>
        </w:tc>
        <w:tc>
          <w:tcPr>
            <w:tcW w:w="0" w:type="dxa"/>
            <w:vAlign w:val="bottom"/>
          </w:tcPr>
          <w:p>
            <w:pPr>
              <w:spacing w:after="0"/>
              <w:rPr>
                <w:sz w:val="1"/>
                <w:szCs w:val="1"/>
                <w:color w:val="auto"/>
              </w:rPr>
            </w:pPr>
          </w:p>
        </w:tc>
      </w:tr>
      <w:tr>
        <w:trPr>
          <w:trHeight w:val="284"/>
        </w:trPr>
        <w:tc>
          <w:tcPr>
            <w:tcW w:w="6460" w:type="dxa"/>
            <w:vAlign w:val="bottom"/>
          </w:tcPr>
          <w:p>
            <w:pPr>
              <w:ind w:left="240"/>
              <w:spacing w:after="0"/>
              <w:rPr>
                <w:sz w:val="20"/>
                <w:szCs w:val="20"/>
                <w:color w:val="auto"/>
              </w:rPr>
            </w:pPr>
            <w:r>
              <w:rPr>
                <w:rFonts w:ascii="Arial" w:cs="Arial" w:eastAsia="Arial" w:hAnsi="Arial"/>
                <w:sz w:val="20"/>
                <w:szCs w:val="20"/>
                <w:color w:val="auto"/>
              </w:rPr>
              <w:t>2014</w:t>
            </w:r>
          </w:p>
        </w:tc>
        <w:tc>
          <w:tcPr>
            <w:tcW w:w="34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20,602</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jc w:val="right"/>
              <w:ind w:right="1"/>
              <w:spacing w:after="0"/>
              <w:rPr>
                <w:sz w:val="20"/>
                <w:szCs w:val="20"/>
                <w:color w:val="auto"/>
              </w:rPr>
            </w:pPr>
            <w:r>
              <w:rPr>
                <w:rFonts w:ascii="Arial" w:cs="Arial" w:eastAsia="Arial" w:hAnsi="Arial"/>
                <w:sz w:val="20"/>
                <w:szCs w:val="20"/>
                <w:color w:val="auto"/>
              </w:rPr>
              <w:t>60</w:t>
            </w:r>
          </w:p>
        </w:tc>
        <w:tc>
          <w:tcPr>
            <w:tcW w:w="0" w:type="dxa"/>
            <w:vAlign w:val="bottom"/>
          </w:tcPr>
          <w:p>
            <w:pPr>
              <w:spacing w:after="0"/>
              <w:rPr>
                <w:sz w:val="1"/>
                <w:szCs w:val="1"/>
                <w:color w:val="auto"/>
              </w:rPr>
            </w:pPr>
          </w:p>
        </w:tc>
      </w:tr>
      <w:tr>
        <w:trPr>
          <w:trHeight w:val="284"/>
        </w:trPr>
        <w:tc>
          <w:tcPr>
            <w:tcW w:w="6460" w:type="dxa"/>
            <w:vAlign w:val="bottom"/>
          </w:tcPr>
          <w:p>
            <w:pPr>
              <w:ind w:left="240"/>
              <w:spacing w:after="0"/>
              <w:rPr>
                <w:sz w:val="20"/>
                <w:szCs w:val="20"/>
                <w:color w:val="auto"/>
              </w:rPr>
            </w:pPr>
            <w:r>
              <w:rPr>
                <w:rFonts w:ascii="Arial" w:cs="Arial" w:eastAsia="Arial" w:hAnsi="Arial"/>
                <w:sz w:val="20"/>
                <w:szCs w:val="20"/>
                <w:color w:val="auto"/>
              </w:rPr>
              <w:t>2015</w:t>
            </w:r>
          </w:p>
        </w:tc>
        <w:tc>
          <w:tcPr>
            <w:tcW w:w="34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14,860</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jc w:val="right"/>
              <w:ind w:right="1"/>
              <w:spacing w:after="0"/>
              <w:rPr>
                <w:sz w:val="20"/>
                <w:szCs w:val="20"/>
                <w:color w:val="auto"/>
              </w:rPr>
            </w:pPr>
            <w:r>
              <w:rPr>
                <w:rFonts w:ascii="Arial" w:cs="Arial" w:eastAsia="Arial" w:hAnsi="Arial"/>
                <w:sz w:val="20"/>
                <w:szCs w:val="20"/>
                <w:color w:val="auto"/>
              </w:rPr>
              <w:t>35</w:t>
            </w:r>
          </w:p>
        </w:tc>
        <w:tc>
          <w:tcPr>
            <w:tcW w:w="0" w:type="dxa"/>
            <w:vAlign w:val="bottom"/>
          </w:tcPr>
          <w:p>
            <w:pPr>
              <w:spacing w:after="0"/>
              <w:rPr>
                <w:sz w:val="1"/>
                <w:szCs w:val="1"/>
                <w:color w:val="auto"/>
              </w:rPr>
            </w:pPr>
          </w:p>
        </w:tc>
      </w:tr>
      <w:tr>
        <w:trPr>
          <w:trHeight w:val="284"/>
        </w:trPr>
        <w:tc>
          <w:tcPr>
            <w:tcW w:w="6460" w:type="dxa"/>
            <w:vAlign w:val="bottom"/>
          </w:tcPr>
          <w:p>
            <w:pPr>
              <w:ind w:left="240"/>
              <w:spacing w:after="0"/>
              <w:rPr>
                <w:sz w:val="20"/>
                <w:szCs w:val="20"/>
                <w:color w:val="auto"/>
              </w:rPr>
            </w:pPr>
            <w:r>
              <w:rPr>
                <w:rFonts w:ascii="Arial" w:cs="Arial" w:eastAsia="Arial" w:hAnsi="Arial"/>
                <w:sz w:val="20"/>
                <w:szCs w:val="20"/>
                <w:color w:val="auto"/>
              </w:rPr>
              <w:t>2016</w:t>
            </w:r>
          </w:p>
        </w:tc>
        <w:tc>
          <w:tcPr>
            <w:tcW w:w="34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10,959</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jc w:val="right"/>
              <w:ind w:right="1"/>
              <w:spacing w:after="0"/>
              <w:rPr>
                <w:sz w:val="20"/>
                <w:szCs w:val="20"/>
                <w:color w:val="auto"/>
              </w:rPr>
            </w:pPr>
            <w:r>
              <w:rPr>
                <w:rFonts w:ascii="Arial" w:cs="Arial" w:eastAsia="Arial" w:hAnsi="Arial"/>
                <w:sz w:val="20"/>
                <w:szCs w:val="20"/>
                <w:color w:val="auto"/>
              </w:rPr>
              <w:t>8</w:t>
            </w:r>
          </w:p>
        </w:tc>
        <w:tc>
          <w:tcPr>
            <w:tcW w:w="0" w:type="dxa"/>
            <w:vAlign w:val="bottom"/>
          </w:tcPr>
          <w:p>
            <w:pPr>
              <w:spacing w:after="0"/>
              <w:rPr>
                <w:sz w:val="1"/>
                <w:szCs w:val="1"/>
                <w:color w:val="auto"/>
              </w:rPr>
            </w:pPr>
          </w:p>
        </w:tc>
      </w:tr>
      <w:tr>
        <w:trPr>
          <w:trHeight w:val="284"/>
        </w:trPr>
        <w:tc>
          <w:tcPr>
            <w:tcW w:w="6460" w:type="dxa"/>
            <w:vAlign w:val="bottom"/>
          </w:tcPr>
          <w:p>
            <w:pPr>
              <w:ind w:left="240"/>
              <w:spacing w:after="0"/>
              <w:rPr>
                <w:sz w:val="20"/>
                <w:szCs w:val="20"/>
                <w:color w:val="auto"/>
              </w:rPr>
            </w:pPr>
            <w:r>
              <w:rPr>
                <w:rFonts w:ascii="Arial" w:cs="Arial" w:eastAsia="Arial" w:hAnsi="Arial"/>
                <w:sz w:val="20"/>
                <w:szCs w:val="20"/>
                <w:color w:val="auto"/>
              </w:rPr>
              <w:t>2017</w:t>
            </w:r>
          </w:p>
        </w:tc>
        <w:tc>
          <w:tcPr>
            <w:tcW w:w="34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9,837</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84"/>
        </w:trPr>
        <w:tc>
          <w:tcPr>
            <w:tcW w:w="6460" w:type="dxa"/>
            <w:vAlign w:val="bottom"/>
          </w:tcPr>
          <w:p>
            <w:pPr>
              <w:ind w:left="240"/>
              <w:spacing w:after="0"/>
              <w:rPr>
                <w:sz w:val="20"/>
                <w:szCs w:val="20"/>
                <w:color w:val="auto"/>
              </w:rPr>
            </w:pPr>
            <w:r>
              <w:rPr>
                <w:rFonts w:ascii="Arial" w:cs="Arial" w:eastAsia="Arial" w:hAnsi="Arial"/>
                <w:sz w:val="20"/>
                <w:szCs w:val="20"/>
                <w:color w:val="auto"/>
              </w:rPr>
              <w:t>2018 and thereafter</w:t>
            </w:r>
          </w:p>
        </w:tc>
        <w:tc>
          <w:tcPr>
            <w:tcW w:w="34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26,793</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
        </w:trPr>
        <w:tc>
          <w:tcPr>
            <w:tcW w:w="64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1"/>
        </w:trPr>
        <w:tc>
          <w:tcPr>
            <w:tcW w:w="6460" w:type="dxa"/>
            <w:vAlign w:val="bottom"/>
          </w:tcPr>
          <w:p>
            <w:pPr>
              <w:ind w:left="560"/>
              <w:spacing w:after="0"/>
              <w:rPr>
                <w:sz w:val="20"/>
                <w:szCs w:val="20"/>
                <w:color w:val="auto"/>
              </w:rPr>
            </w:pPr>
            <w:r>
              <w:rPr>
                <w:rFonts w:ascii="Arial" w:cs="Arial" w:eastAsia="Arial" w:hAnsi="Arial"/>
                <w:sz w:val="20"/>
                <w:szCs w:val="20"/>
                <w:color w:val="auto"/>
              </w:rPr>
              <w:t>Total minimum lease payments</w:t>
            </w:r>
          </w:p>
        </w:tc>
        <w:tc>
          <w:tcPr>
            <w:tcW w:w="3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94,439</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136</w:t>
            </w:r>
          </w:p>
        </w:tc>
        <w:tc>
          <w:tcPr>
            <w:tcW w:w="0" w:type="dxa"/>
            <w:vAlign w:val="bottom"/>
          </w:tcPr>
          <w:p>
            <w:pPr>
              <w:spacing w:after="0"/>
              <w:rPr>
                <w:sz w:val="1"/>
                <w:szCs w:val="1"/>
                <w:color w:val="auto"/>
              </w:rPr>
            </w:pPr>
          </w:p>
        </w:tc>
      </w:tr>
      <w:tr>
        <w:trPr>
          <w:trHeight w:val="20"/>
        </w:trPr>
        <w:tc>
          <w:tcPr>
            <w:tcW w:w="6460" w:type="dxa"/>
            <w:vAlign w:val="bottom"/>
            <w:vMerge w:val="restart"/>
          </w:tcPr>
          <w:p>
            <w:pPr>
              <w:spacing w:after="0"/>
              <w:rPr>
                <w:sz w:val="20"/>
                <w:szCs w:val="20"/>
                <w:color w:val="auto"/>
              </w:rPr>
            </w:pPr>
            <w:r>
              <w:rPr>
                <w:rFonts w:ascii="Arial" w:cs="Arial" w:eastAsia="Arial" w:hAnsi="Arial"/>
                <w:sz w:val="20"/>
                <w:szCs w:val="20"/>
                <w:color w:val="auto"/>
              </w:rPr>
              <w:t>Less amount representing interest</w:t>
            </w:r>
          </w:p>
        </w:tc>
        <w:tc>
          <w:tcPr>
            <w:tcW w:w="340" w:type="dxa"/>
            <w:vAlign w:val="bottom"/>
          </w:tcPr>
          <w:p>
            <w:pPr>
              <w:spacing w:after="0" w:line="20" w:lineRule="exact"/>
              <w:rPr>
                <w:sz w:val="1"/>
                <w:szCs w:val="1"/>
                <w:color w:val="auto"/>
              </w:rPr>
            </w:pPr>
          </w:p>
        </w:tc>
        <w:tc>
          <w:tcPr>
            <w:tcW w:w="1380" w:type="dxa"/>
            <w:vAlign w:val="bottom"/>
            <w:vMerge w:val="restart"/>
          </w:tcPr>
          <w:p>
            <w:pPr>
              <w:jc w:val="right"/>
              <w:spacing w:after="0"/>
              <w:rPr>
                <w:sz w:val="20"/>
                <w:szCs w:val="20"/>
                <w:color w:val="auto"/>
              </w:rPr>
            </w:pPr>
            <w:r>
              <w:rPr>
                <w:rFonts w:ascii="Arial" w:cs="Arial" w:eastAsia="Arial" w:hAnsi="Arial"/>
                <w:sz w:val="20"/>
                <w:szCs w:val="20"/>
                <w:color w:val="auto"/>
              </w:rPr>
              <w:t>3,450</w:t>
            </w: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646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64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6460" w:type="dxa"/>
            <w:vAlign w:val="bottom"/>
          </w:tcPr>
          <w:p>
            <w:pPr>
              <w:ind w:left="560"/>
              <w:spacing w:after="0"/>
              <w:rPr>
                <w:sz w:val="20"/>
                <w:szCs w:val="20"/>
                <w:color w:val="auto"/>
              </w:rPr>
            </w:pPr>
            <w:r>
              <w:rPr>
                <w:rFonts w:ascii="Arial" w:cs="Arial" w:eastAsia="Arial" w:hAnsi="Arial"/>
                <w:sz w:val="20"/>
                <w:szCs w:val="20"/>
                <w:color w:val="auto"/>
              </w:rPr>
              <w:t>Present value of net minimum capital lease payments</w:t>
            </w:r>
          </w:p>
        </w:tc>
        <w:tc>
          <w:tcPr>
            <w:tcW w:w="34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90,989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6460" w:type="dxa"/>
            <w:vAlign w:val="bottom"/>
          </w:tcPr>
          <w:p>
            <w:pPr>
              <w:spacing w:after="0"/>
              <w:rPr>
                <w:sz w:val="20"/>
                <w:szCs w:val="20"/>
                <w:color w:val="auto"/>
              </w:rPr>
            </w:pPr>
            <w:r>
              <w:rPr>
                <w:rFonts w:ascii="Arial" w:cs="Arial" w:eastAsia="Arial" w:hAnsi="Arial"/>
                <w:sz w:val="20"/>
                <w:szCs w:val="20"/>
                <w:color w:val="auto"/>
              </w:rPr>
              <w:t>Less current portion of obligations under capital leases</w:t>
            </w:r>
          </w:p>
        </w:tc>
        <w:tc>
          <w:tcPr>
            <w:tcW w:w="34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25,597</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4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460" w:type="dxa"/>
            <w:vAlign w:val="bottom"/>
          </w:tcPr>
          <w:p>
            <w:pPr>
              <w:ind w:left="560"/>
              <w:spacing w:after="0"/>
              <w:rPr>
                <w:sz w:val="20"/>
                <w:szCs w:val="20"/>
                <w:color w:val="auto"/>
              </w:rPr>
            </w:pPr>
            <w:r>
              <w:rPr>
                <w:rFonts w:ascii="Arial" w:cs="Arial" w:eastAsia="Arial" w:hAnsi="Arial"/>
                <w:sz w:val="20"/>
                <w:szCs w:val="20"/>
                <w:color w:val="auto"/>
              </w:rPr>
              <w:t>Obligations under capital leases, excluding current portion</w:t>
            </w:r>
          </w:p>
        </w:tc>
        <w:tc>
          <w:tcPr>
            <w:tcW w:w="340" w:type="dxa"/>
            <w:vAlign w:val="bottom"/>
            <w:tcBorders>
              <w:bottom w:val="single" w:sz="8" w:color="auto"/>
            </w:tcBorders>
          </w:tcPr>
          <w:p>
            <w:pPr>
              <w:jc w:val="right"/>
              <w:ind w:right="121"/>
              <w:spacing w:after="0"/>
              <w:rPr>
                <w:sz w:val="20"/>
                <w:szCs w:val="20"/>
                <w:color w:val="auto"/>
              </w:rPr>
            </w:pPr>
            <w:r>
              <w:rPr>
                <w:rFonts w:ascii="Arial" w:cs="Arial" w:eastAsia="Arial" w:hAnsi="Arial"/>
                <w:sz w:val="20"/>
                <w:szCs w:val="20"/>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65,392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ind w:left="440" w:hanging="438"/>
        <w:spacing w:after="0"/>
        <w:tabs>
          <w:tab w:leader="none" w:pos="440" w:val="left"/>
        </w:tabs>
        <w:numPr>
          <w:ilvl w:val="0"/>
          <w:numId w:val="24"/>
        </w:numPr>
        <w:rPr>
          <w:rFonts w:ascii="Arial" w:cs="Arial" w:eastAsia="Arial" w:hAnsi="Arial"/>
          <w:sz w:val="20"/>
          <w:szCs w:val="20"/>
          <w:b w:val="1"/>
          <w:bCs w:val="1"/>
          <w:color w:val="auto"/>
        </w:rPr>
      </w:pPr>
      <w:r>
        <w:rPr>
          <w:rFonts w:ascii="Arial" w:cs="Arial" w:eastAsia="Arial" w:hAnsi="Arial"/>
          <w:sz w:val="20"/>
          <w:szCs w:val="20"/>
          <w:b w:val="1"/>
          <w:bCs w:val="1"/>
          <w:color w:val="auto"/>
        </w:rPr>
        <w:t>Asset Retirement Obligations</w:t>
      </w:r>
    </w:p>
    <w:p>
      <w:pPr>
        <w:spacing w:after="0" w:line="113" w:lineRule="exact"/>
        <w:rPr>
          <w:rFonts w:ascii="Arial" w:cs="Arial" w:eastAsia="Arial" w:hAnsi="Arial"/>
          <w:sz w:val="20"/>
          <w:szCs w:val="20"/>
          <w:b w:val="1"/>
          <w:bCs w:val="1"/>
          <w:color w:val="auto"/>
        </w:rPr>
      </w:pPr>
    </w:p>
    <w:p>
      <w:pPr>
        <w:jc w:val="both"/>
        <w:ind w:left="420"/>
        <w:spacing w:after="0" w:line="278" w:lineRule="auto"/>
        <w:rPr>
          <w:rFonts w:ascii="Arial" w:cs="Arial" w:eastAsia="Arial" w:hAnsi="Arial"/>
          <w:sz w:val="20"/>
          <w:szCs w:val="20"/>
          <w:b w:val="1"/>
          <w:bCs w:val="1"/>
          <w:color w:val="auto"/>
        </w:rPr>
      </w:pPr>
      <w:r>
        <w:rPr>
          <w:rFonts w:ascii="Arial" w:cs="Arial" w:eastAsia="Arial" w:hAnsi="Arial"/>
          <w:sz w:val="18"/>
          <w:szCs w:val="18"/>
          <w:color w:val="auto"/>
        </w:rPr>
        <w:t>The Company has asset retirement obligations (AROs) arising from regulatory requirements to perform certain asset retirement activities at the time that certain long-lived assets are disposed of. The liability was initially measured at fair value and subsequently is adjusted for accretion expense and changes in the amount or timing of the estimated cash flows. The corresponding asset retirement costs are capitalized as part of the carrying amount of the related long-lived asset and depreciated over the asset’s remaining useful life. The following table presents the activity for the AROs for the eleven months ended February 28, 2013 and the year ended March 31, 2012:</w:t>
      </w:r>
    </w:p>
    <w:p>
      <w:pPr>
        <w:spacing w:after="0" w:line="240"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6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center"/>
              <w:ind w:right="181"/>
              <w:spacing w:after="0"/>
              <w:rPr>
                <w:sz w:val="20"/>
                <w:szCs w:val="20"/>
                <w:color w:val="auto"/>
              </w:rPr>
            </w:pPr>
            <w:r>
              <w:rPr>
                <w:rFonts w:ascii="Arial" w:cs="Arial" w:eastAsia="Arial" w:hAnsi="Arial"/>
                <w:sz w:val="20"/>
                <w:szCs w:val="20"/>
                <w:b w:val="1"/>
                <w:bCs w:val="1"/>
                <w:color w:val="auto"/>
                <w:w w:val="92"/>
              </w:rPr>
              <w:t>Year</w:t>
            </w:r>
          </w:p>
        </w:tc>
      </w:tr>
      <w:tr>
        <w:trPr>
          <w:trHeight w:val="230"/>
        </w:trPr>
        <w:tc>
          <w:tcPr>
            <w:tcW w:w="6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gridSpan w:val="2"/>
          </w:tcPr>
          <w:p>
            <w:pPr>
              <w:ind w:left="40"/>
              <w:spacing w:after="0"/>
              <w:rPr>
                <w:sz w:val="20"/>
                <w:szCs w:val="20"/>
                <w:color w:val="auto"/>
              </w:rPr>
            </w:pPr>
            <w:r>
              <w:rPr>
                <w:rFonts w:ascii="Arial" w:cs="Arial" w:eastAsia="Arial" w:hAnsi="Arial"/>
                <w:sz w:val="20"/>
                <w:szCs w:val="20"/>
                <w:b w:val="1"/>
                <w:bCs w:val="1"/>
                <w:color w:val="auto"/>
              </w:rPr>
              <w:t>Eleven months</w:t>
            </w:r>
          </w:p>
        </w:tc>
        <w:tc>
          <w:tcPr>
            <w:tcW w:w="280" w:type="dxa"/>
            <w:vAlign w:val="bottom"/>
          </w:tcPr>
          <w:p>
            <w:pPr>
              <w:spacing w:after="0"/>
              <w:rPr>
                <w:sz w:val="19"/>
                <w:szCs w:val="19"/>
                <w:color w:val="auto"/>
              </w:rPr>
            </w:pPr>
          </w:p>
        </w:tc>
        <w:tc>
          <w:tcPr>
            <w:tcW w:w="1440" w:type="dxa"/>
            <w:vAlign w:val="bottom"/>
          </w:tcPr>
          <w:p>
            <w:pPr>
              <w:jc w:val="center"/>
              <w:ind w:right="181"/>
              <w:spacing w:after="0"/>
              <w:rPr>
                <w:sz w:val="20"/>
                <w:szCs w:val="20"/>
                <w:color w:val="auto"/>
              </w:rPr>
            </w:pPr>
            <w:r>
              <w:rPr>
                <w:rFonts w:ascii="Arial" w:cs="Arial" w:eastAsia="Arial" w:hAnsi="Arial"/>
                <w:sz w:val="20"/>
                <w:szCs w:val="20"/>
                <w:b w:val="1"/>
                <w:bCs w:val="1"/>
                <w:color w:val="auto"/>
                <w:w w:val="88"/>
              </w:rPr>
              <w:t>ended</w:t>
            </w:r>
          </w:p>
        </w:tc>
      </w:tr>
      <w:tr>
        <w:trPr>
          <w:trHeight w:val="230"/>
        </w:trPr>
        <w:tc>
          <w:tcPr>
            <w:tcW w:w="6420" w:type="dxa"/>
            <w:vAlign w:val="bottom"/>
          </w:tcPr>
          <w:p>
            <w:pPr>
              <w:spacing w:after="0"/>
              <w:rPr>
                <w:sz w:val="19"/>
                <w:szCs w:val="19"/>
                <w:color w:val="auto"/>
              </w:rPr>
            </w:pPr>
          </w:p>
        </w:tc>
        <w:tc>
          <w:tcPr>
            <w:tcW w:w="1820" w:type="dxa"/>
            <w:vAlign w:val="bottom"/>
            <w:gridSpan w:val="3"/>
          </w:tcPr>
          <w:p>
            <w:pPr>
              <w:ind w:left="20"/>
              <w:spacing w:after="0"/>
              <w:rPr>
                <w:sz w:val="20"/>
                <w:szCs w:val="20"/>
                <w:color w:val="auto"/>
              </w:rPr>
            </w:pPr>
            <w:r>
              <w:rPr>
                <w:rFonts w:ascii="Arial" w:cs="Arial" w:eastAsia="Arial" w:hAnsi="Arial"/>
                <w:sz w:val="20"/>
                <w:szCs w:val="20"/>
                <w:b w:val="1"/>
                <w:bCs w:val="1"/>
                <w:color w:val="auto"/>
                <w:w w:val="97"/>
              </w:rPr>
              <w:t>ended February 28,</w:t>
            </w:r>
          </w:p>
        </w:tc>
        <w:tc>
          <w:tcPr>
            <w:tcW w:w="280" w:type="dxa"/>
            <w:vAlign w:val="bottom"/>
          </w:tcPr>
          <w:p>
            <w:pPr>
              <w:spacing w:after="0"/>
              <w:rPr>
                <w:sz w:val="19"/>
                <w:szCs w:val="19"/>
                <w:color w:val="auto"/>
              </w:rPr>
            </w:pPr>
          </w:p>
        </w:tc>
        <w:tc>
          <w:tcPr>
            <w:tcW w:w="1440" w:type="dxa"/>
            <w:vAlign w:val="bottom"/>
          </w:tcPr>
          <w:p>
            <w:pPr>
              <w:jc w:val="center"/>
              <w:ind w:right="201"/>
              <w:spacing w:after="0"/>
              <w:rPr>
                <w:sz w:val="20"/>
                <w:szCs w:val="20"/>
                <w:color w:val="auto"/>
              </w:rPr>
            </w:pPr>
            <w:r>
              <w:rPr>
                <w:rFonts w:ascii="Arial" w:cs="Arial" w:eastAsia="Arial" w:hAnsi="Arial"/>
                <w:sz w:val="20"/>
                <w:szCs w:val="20"/>
                <w:b w:val="1"/>
                <w:bCs w:val="1"/>
                <w:color w:val="auto"/>
                <w:w w:val="93"/>
              </w:rPr>
              <w:t>March 31,</w:t>
            </w:r>
          </w:p>
        </w:tc>
      </w:tr>
      <w:tr>
        <w:trPr>
          <w:trHeight w:val="256"/>
        </w:trPr>
        <w:tc>
          <w:tcPr>
            <w:tcW w:w="64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40" w:type="dxa"/>
            <w:vAlign w:val="bottom"/>
          </w:tcPr>
          <w:p>
            <w:pPr>
              <w:jc w:val="right"/>
              <w:ind w:right="561"/>
              <w:spacing w:after="0"/>
              <w:rPr>
                <w:sz w:val="20"/>
                <w:szCs w:val="20"/>
                <w:color w:val="auto"/>
              </w:rPr>
            </w:pPr>
            <w:r>
              <w:rPr>
                <w:rFonts w:ascii="Arial" w:cs="Arial" w:eastAsia="Arial" w:hAnsi="Arial"/>
                <w:sz w:val="20"/>
                <w:szCs w:val="20"/>
                <w:b w:val="1"/>
                <w:bCs w:val="1"/>
                <w:color w:val="auto"/>
              </w:rPr>
              <w:t>2013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40" w:type="dxa"/>
            <w:vAlign w:val="bottom"/>
          </w:tcPr>
          <w:p>
            <w:pPr>
              <w:jc w:val="center"/>
              <w:ind w:right="181"/>
              <w:spacing w:after="0"/>
              <w:rPr>
                <w:sz w:val="20"/>
                <w:szCs w:val="20"/>
                <w:color w:val="auto"/>
              </w:rPr>
            </w:pPr>
            <w:r>
              <w:rPr>
                <w:rFonts w:ascii="Arial" w:cs="Arial" w:eastAsia="Arial" w:hAnsi="Arial"/>
                <w:sz w:val="20"/>
                <w:szCs w:val="20"/>
                <w:b w:val="1"/>
                <w:bCs w:val="1"/>
                <w:color w:val="auto"/>
                <w:w w:val="89"/>
              </w:rPr>
              <w:t>2012</w:t>
            </w:r>
          </w:p>
        </w:tc>
      </w:tr>
      <w:tr>
        <w:trPr>
          <w:trHeight w:val="23"/>
        </w:trPr>
        <w:tc>
          <w:tcPr>
            <w:tcW w:w="64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4"/>
        </w:trPr>
        <w:tc>
          <w:tcPr>
            <w:tcW w:w="6420" w:type="dxa"/>
            <w:vAlign w:val="bottom"/>
          </w:tcPr>
          <w:p>
            <w:pPr>
              <w:spacing w:after="0"/>
              <w:rPr>
                <w:sz w:val="20"/>
                <w:szCs w:val="20"/>
                <w:color w:val="auto"/>
              </w:rPr>
            </w:pPr>
            <w:r>
              <w:rPr>
                <w:rFonts w:ascii="Arial" w:cs="Arial" w:eastAsia="Arial" w:hAnsi="Arial"/>
                <w:sz w:val="20"/>
                <w:szCs w:val="20"/>
                <w:color w:val="auto"/>
              </w:rPr>
              <w:t>Balance at beginning of period</w:t>
            </w:r>
          </w:p>
        </w:tc>
        <w:tc>
          <w:tcPr>
            <w:tcW w:w="180" w:type="dxa"/>
            <w:vAlign w:val="bottom"/>
          </w:tcPr>
          <w:p>
            <w:pPr>
              <w:ind w:left="20"/>
              <w:spacing w:after="0"/>
              <w:rPr>
                <w:sz w:val="20"/>
                <w:szCs w:val="20"/>
                <w:color w:val="auto"/>
              </w:rPr>
            </w:pPr>
            <w:r>
              <w:rPr>
                <w:rFonts w:ascii="Arial" w:cs="Arial" w:eastAsia="Arial" w:hAnsi="Arial"/>
                <w:sz w:val="20"/>
                <w:szCs w:val="20"/>
                <w:color w:val="auto"/>
              </w:rPr>
              <w:t>¥</w:t>
            </w:r>
          </w:p>
        </w:tc>
        <w:tc>
          <w:tcPr>
            <w:tcW w:w="1540" w:type="dxa"/>
            <w:vAlign w:val="bottom"/>
          </w:tcPr>
          <w:p>
            <w:pPr>
              <w:jc w:val="right"/>
              <w:ind w:right="1"/>
              <w:spacing w:after="0"/>
              <w:rPr>
                <w:sz w:val="20"/>
                <w:szCs w:val="20"/>
                <w:color w:val="auto"/>
              </w:rPr>
            </w:pPr>
            <w:r>
              <w:rPr>
                <w:rFonts w:ascii="Arial" w:cs="Arial" w:eastAsia="Arial" w:hAnsi="Arial"/>
                <w:sz w:val="20"/>
                <w:szCs w:val="20"/>
                <w:color w:val="auto"/>
              </w:rPr>
              <w:t>905</w:t>
            </w:r>
          </w:p>
        </w:tc>
        <w:tc>
          <w:tcPr>
            <w:tcW w:w="100" w:type="dxa"/>
            <w:vAlign w:val="bottom"/>
          </w:tcPr>
          <w:p>
            <w:pPr>
              <w:spacing w:after="0"/>
              <w:rPr>
                <w:sz w:val="22"/>
                <w:szCs w:val="22"/>
                <w:color w:val="auto"/>
              </w:rPr>
            </w:pPr>
          </w:p>
        </w:tc>
        <w:tc>
          <w:tcPr>
            <w:tcW w:w="280" w:type="dxa"/>
            <w:vAlign w:val="bottom"/>
          </w:tcPr>
          <w:p>
            <w:pPr>
              <w:jc w:val="right"/>
              <w:ind w:right="61"/>
              <w:spacing w:after="0"/>
              <w:rPr>
                <w:sz w:val="20"/>
                <w:szCs w:val="20"/>
                <w:color w:val="auto"/>
              </w:rPr>
            </w:pPr>
            <w:r>
              <w:rPr>
                <w:rFonts w:ascii="Arial" w:cs="Arial" w:eastAsia="Arial" w:hAnsi="Arial"/>
                <w:sz w:val="20"/>
                <w:szCs w:val="20"/>
                <w:color w:val="auto"/>
                <w:w w:val="89"/>
              </w:rPr>
              <w:t>¥</w:t>
            </w:r>
          </w:p>
        </w:tc>
        <w:tc>
          <w:tcPr>
            <w:tcW w:w="1440" w:type="dxa"/>
            <w:vAlign w:val="bottom"/>
          </w:tcPr>
          <w:p>
            <w:pPr>
              <w:jc w:val="right"/>
              <w:ind w:right="1"/>
              <w:spacing w:after="0"/>
              <w:rPr>
                <w:sz w:val="20"/>
                <w:szCs w:val="20"/>
                <w:color w:val="auto"/>
              </w:rPr>
            </w:pPr>
            <w:r>
              <w:rPr>
                <w:rFonts w:ascii="Arial" w:cs="Arial" w:eastAsia="Arial" w:hAnsi="Arial"/>
                <w:sz w:val="20"/>
                <w:szCs w:val="20"/>
                <w:color w:val="auto"/>
              </w:rPr>
              <w:t>886</w:t>
            </w:r>
          </w:p>
        </w:tc>
      </w:tr>
      <w:tr>
        <w:trPr>
          <w:trHeight w:val="284"/>
        </w:trPr>
        <w:tc>
          <w:tcPr>
            <w:tcW w:w="6420" w:type="dxa"/>
            <w:vAlign w:val="bottom"/>
          </w:tcPr>
          <w:p>
            <w:pPr>
              <w:spacing w:after="0"/>
              <w:rPr>
                <w:sz w:val="20"/>
                <w:szCs w:val="20"/>
                <w:color w:val="auto"/>
              </w:rPr>
            </w:pPr>
            <w:r>
              <w:rPr>
                <w:rFonts w:ascii="Arial" w:cs="Arial" w:eastAsia="Arial" w:hAnsi="Arial"/>
                <w:sz w:val="20"/>
                <w:szCs w:val="20"/>
                <w:color w:val="auto"/>
              </w:rPr>
              <w:t>Changes in estimates, including timing</w:t>
            </w:r>
          </w:p>
        </w:tc>
        <w:tc>
          <w:tcPr>
            <w:tcW w:w="180" w:type="dxa"/>
            <w:vAlign w:val="bottom"/>
          </w:tcPr>
          <w:p>
            <w:pPr>
              <w:spacing w:after="0"/>
              <w:rPr>
                <w:sz w:val="24"/>
                <w:szCs w:val="24"/>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284"/>
        </w:trPr>
        <w:tc>
          <w:tcPr>
            <w:tcW w:w="6420" w:type="dxa"/>
            <w:vAlign w:val="bottom"/>
          </w:tcPr>
          <w:p>
            <w:pPr>
              <w:spacing w:after="0"/>
              <w:rPr>
                <w:sz w:val="20"/>
                <w:szCs w:val="20"/>
                <w:color w:val="auto"/>
              </w:rPr>
            </w:pPr>
            <w:r>
              <w:rPr>
                <w:rFonts w:ascii="Arial" w:cs="Arial" w:eastAsia="Arial" w:hAnsi="Arial"/>
                <w:sz w:val="20"/>
                <w:szCs w:val="20"/>
                <w:color w:val="auto"/>
              </w:rPr>
              <w:t>Accretion expense</w:t>
            </w:r>
          </w:p>
        </w:tc>
        <w:tc>
          <w:tcPr>
            <w:tcW w:w="180" w:type="dxa"/>
            <w:vAlign w:val="bottom"/>
          </w:tcPr>
          <w:p>
            <w:pPr>
              <w:spacing w:after="0"/>
              <w:rPr>
                <w:sz w:val="24"/>
                <w:szCs w:val="24"/>
                <w:color w:val="auto"/>
              </w:rPr>
            </w:pPr>
          </w:p>
        </w:tc>
        <w:tc>
          <w:tcPr>
            <w:tcW w:w="1540" w:type="dxa"/>
            <w:vAlign w:val="bottom"/>
          </w:tcPr>
          <w:p>
            <w:pPr>
              <w:jc w:val="right"/>
              <w:ind w:right="1"/>
              <w:spacing w:after="0"/>
              <w:rPr>
                <w:sz w:val="20"/>
                <w:szCs w:val="20"/>
                <w:color w:val="auto"/>
              </w:rPr>
            </w:pPr>
            <w:r>
              <w:rPr>
                <w:rFonts w:ascii="Arial" w:cs="Arial" w:eastAsia="Arial" w:hAnsi="Arial"/>
                <w:sz w:val="20"/>
                <w:szCs w:val="20"/>
                <w:color w:val="auto"/>
              </w:rPr>
              <w:t>18</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jc w:val="right"/>
              <w:ind w:right="1"/>
              <w:spacing w:after="0"/>
              <w:rPr>
                <w:sz w:val="20"/>
                <w:szCs w:val="20"/>
                <w:color w:val="auto"/>
              </w:rPr>
            </w:pPr>
            <w:r>
              <w:rPr>
                <w:rFonts w:ascii="Arial" w:cs="Arial" w:eastAsia="Arial" w:hAnsi="Arial"/>
                <w:sz w:val="20"/>
                <w:szCs w:val="20"/>
                <w:color w:val="auto"/>
              </w:rPr>
              <w:t>21</w:t>
            </w:r>
          </w:p>
        </w:tc>
      </w:tr>
      <w:tr>
        <w:trPr>
          <w:trHeight w:val="23"/>
        </w:trPr>
        <w:tc>
          <w:tcPr>
            <w:tcW w:w="64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72"/>
        </w:trPr>
        <w:tc>
          <w:tcPr>
            <w:tcW w:w="6420" w:type="dxa"/>
            <w:vAlign w:val="bottom"/>
          </w:tcPr>
          <w:p>
            <w:pPr>
              <w:spacing w:after="0"/>
              <w:rPr>
                <w:sz w:val="20"/>
                <w:szCs w:val="20"/>
                <w:color w:val="auto"/>
              </w:rPr>
            </w:pPr>
            <w:r>
              <w:rPr>
                <w:rFonts w:ascii="Arial" w:cs="Arial" w:eastAsia="Arial" w:hAnsi="Arial"/>
                <w:sz w:val="20"/>
                <w:szCs w:val="20"/>
                <w:color w:val="auto"/>
              </w:rPr>
              <w:t>Balance at end of period</w:t>
            </w: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923</w:t>
            </w:r>
          </w:p>
        </w:tc>
        <w:tc>
          <w:tcPr>
            <w:tcW w:w="100" w:type="dxa"/>
            <w:vAlign w:val="bottom"/>
          </w:tcPr>
          <w:p>
            <w:pPr>
              <w:spacing w:after="0"/>
              <w:rPr>
                <w:sz w:val="23"/>
                <w:szCs w:val="23"/>
                <w:color w:val="auto"/>
              </w:rPr>
            </w:pPr>
          </w:p>
        </w:tc>
        <w:tc>
          <w:tcPr>
            <w:tcW w:w="28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w w:val="89"/>
              </w:rPr>
              <w:t>¥</w:t>
            </w:r>
          </w:p>
        </w:tc>
        <w:tc>
          <w:tcPr>
            <w:tcW w:w="14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905</w:t>
            </w:r>
          </w:p>
        </w:tc>
      </w:tr>
      <w:tr>
        <w:trPr>
          <w:trHeight w:val="20"/>
        </w:trPr>
        <w:tc>
          <w:tcPr>
            <w:tcW w:w="6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60" w:top="553" w:right="239" w:bottom="1440" w:gutter="0" w:footer="0" w:header="0"/>
        </w:sectPr>
      </w:pPr>
    </w:p>
    <w:bookmarkStart w:id="35" w:name="page36"/>
    <w:bookmarkEnd w:id="35"/>
    <w:p>
      <w:pPr>
        <w:jc w:val="center"/>
        <w:ind w:right="20"/>
        <w:spacing w:after="0"/>
        <w:rPr>
          <w:sz w:val="20"/>
          <w:szCs w:val="20"/>
          <w:color w:val="auto"/>
        </w:rPr>
      </w:pPr>
      <w:r>
        <w:rPr>
          <w:rFonts w:ascii="Arial" w:cs="Arial" w:eastAsia="Arial" w:hAnsi="Arial"/>
          <w:sz w:val="18"/>
          <w:szCs w:val="18"/>
          <w:b w:val="1"/>
          <w:bCs w:val="1"/>
          <w:color w:val="auto"/>
        </w:rPr>
        <w:t>ELPIDA MEMORY,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(DEBTORS-IN-POSSESSION)</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(14) Long-Term Debt and Bonds</w:t>
      </w:r>
    </w:p>
    <w:p>
      <w:pPr>
        <w:spacing w:after="0" w:line="127" w:lineRule="exact"/>
        <w:rPr>
          <w:sz w:val="20"/>
          <w:szCs w:val="20"/>
          <w:color w:val="auto"/>
        </w:rPr>
      </w:pPr>
    </w:p>
    <w:p>
      <w:pPr>
        <w:ind w:left="480"/>
        <w:spacing w:after="0" w:line="260" w:lineRule="auto"/>
        <w:rPr>
          <w:sz w:val="20"/>
          <w:szCs w:val="20"/>
          <w:color w:val="auto"/>
        </w:rPr>
      </w:pPr>
      <w:r>
        <w:rPr>
          <w:rFonts w:ascii="Arial" w:cs="Arial" w:eastAsia="Arial" w:hAnsi="Arial"/>
          <w:sz w:val="20"/>
          <w:szCs w:val="20"/>
          <w:color w:val="auto"/>
        </w:rPr>
        <w:t xml:space="preserve">Long-term debt and bonds as of February 28, 2013 and March 31, 2013 are presented in the following tables. See Note (2) </w:t>
      </w:r>
      <w:r>
        <w:rPr>
          <w:rFonts w:ascii="Arial" w:cs="Arial" w:eastAsia="Arial" w:hAnsi="Arial"/>
          <w:sz w:val="20"/>
          <w:szCs w:val="20"/>
          <w:i w:val="1"/>
          <w:iCs w:val="1"/>
          <w:color w:val="auto"/>
        </w:rPr>
        <w:t>(c)</w:t>
      </w:r>
      <w:r>
        <w:rPr>
          <w:rFonts w:ascii="Arial" w:cs="Arial" w:eastAsia="Arial" w:hAnsi="Arial"/>
          <w:sz w:val="20"/>
          <w:szCs w:val="20"/>
          <w:color w:val="auto"/>
        </w:rPr>
        <w:t xml:space="preserve"> for discussion of the classification and settlement of a portion of the long-term debt and bonds.</w:t>
      </w:r>
    </w:p>
    <w:p>
      <w:pPr>
        <w:spacing w:after="0" w:line="257"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4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February 28, 2013</w:t>
            </w:r>
          </w:p>
        </w:tc>
        <w:tc>
          <w:tcPr>
            <w:tcW w:w="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Balance prior to</w:t>
            </w:r>
          </w:p>
        </w:tc>
        <w:tc>
          <w:tcPr>
            <w:tcW w:w="18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6"/>
              </w:rPr>
              <w:t>Amounts classified as</w:t>
            </w: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financial statement</w:t>
            </w:r>
          </w:p>
        </w:tc>
        <w:tc>
          <w:tcPr>
            <w:tcW w:w="140" w:type="dxa"/>
            <w:vAlign w:val="bottom"/>
          </w:tcPr>
          <w:p>
            <w:pPr>
              <w:spacing w:after="0"/>
              <w:rPr>
                <w:sz w:val="18"/>
                <w:szCs w:val="18"/>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subject to</w:t>
            </w:r>
          </w:p>
        </w:tc>
        <w:tc>
          <w:tcPr>
            <w:tcW w:w="174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Amounts not subject</w:t>
            </w:r>
          </w:p>
        </w:tc>
        <w:tc>
          <w:tcPr>
            <w:tcW w:w="0" w:type="dxa"/>
            <w:vAlign w:val="bottom"/>
          </w:tcPr>
          <w:p>
            <w:pPr>
              <w:spacing w:after="0"/>
              <w:rPr>
                <w:sz w:val="1"/>
                <w:szCs w:val="1"/>
                <w:color w:val="auto"/>
              </w:rPr>
            </w:pPr>
          </w:p>
        </w:tc>
      </w:tr>
      <w:tr>
        <w:trPr>
          <w:trHeight w:val="234"/>
        </w:trPr>
        <w:tc>
          <w:tcPr>
            <w:tcW w:w="4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reclassification</w:t>
            </w:r>
          </w:p>
        </w:tc>
        <w:tc>
          <w:tcPr>
            <w:tcW w:w="140" w:type="dxa"/>
            <w:vAlign w:val="bottom"/>
          </w:tcPr>
          <w:p>
            <w:pPr>
              <w:spacing w:after="0"/>
              <w:rPr>
                <w:sz w:val="20"/>
                <w:szCs w:val="20"/>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compromise</w:t>
            </w:r>
          </w:p>
        </w:tc>
        <w:tc>
          <w:tcPr>
            <w:tcW w:w="220" w:type="dxa"/>
            <w:vAlign w:val="bottom"/>
          </w:tcPr>
          <w:p>
            <w:pPr>
              <w:spacing w:after="0"/>
              <w:rPr>
                <w:sz w:val="20"/>
                <w:szCs w:val="20"/>
                <w:color w:val="auto"/>
              </w:rPr>
            </w:pPr>
          </w:p>
        </w:tc>
        <w:tc>
          <w:tcPr>
            <w:tcW w:w="1520" w:type="dxa"/>
            <w:vAlign w:val="bottom"/>
          </w:tcPr>
          <w:p>
            <w:pPr>
              <w:jc w:val="right"/>
              <w:ind w:right="210"/>
              <w:spacing w:after="0"/>
              <w:rPr>
                <w:sz w:val="20"/>
                <w:szCs w:val="20"/>
                <w:color w:val="auto"/>
              </w:rPr>
            </w:pPr>
            <w:r>
              <w:rPr>
                <w:rFonts w:ascii="Arial" w:cs="Arial" w:eastAsia="Arial" w:hAnsi="Arial"/>
                <w:sz w:val="18"/>
                <w:szCs w:val="18"/>
                <w:b w:val="1"/>
                <w:bCs w:val="1"/>
                <w:color w:val="auto"/>
                <w:w w:val="92"/>
              </w:rPr>
              <w:t>to compromise</w:t>
            </w:r>
          </w:p>
        </w:tc>
        <w:tc>
          <w:tcPr>
            <w:tcW w:w="0" w:type="dxa"/>
            <w:vAlign w:val="bottom"/>
          </w:tcPr>
          <w:p>
            <w:pPr>
              <w:spacing w:after="0"/>
              <w:rPr>
                <w:sz w:val="1"/>
                <w:szCs w:val="1"/>
                <w:color w:val="auto"/>
              </w:rPr>
            </w:pPr>
          </w:p>
        </w:tc>
      </w:tr>
      <w:tr>
        <w:trPr>
          <w:trHeight w:val="27"/>
        </w:trPr>
        <w:tc>
          <w:tcPr>
            <w:tcW w:w="4780" w:type="dxa"/>
            <w:vAlign w:val="bottom"/>
            <w:vMerge w:val="restart"/>
          </w:tcPr>
          <w:p>
            <w:pPr>
              <w:ind w:left="160"/>
              <w:spacing w:after="0"/>
              <w:rPr>
                <w:sz w:val="20"/>
                <w:szCs w:val="20"/>
                <w:color w:val="auto"/>
              </w:rPr>
            </w:pPr>
            <w:r>
              <w:rPr>
                <w:rFonts w:ascii="Arial" w:cs="Arial" w:eastAsia="Arial" w:hAnsi="Arial"/>
                <w:sz w:val="18"/>
                <w:szCs w:val="18"/>
                <w:color w:val="auto"/>
              </w:rPr>
              <w:t>Borrowings from banks and financial institutions,</w:t>
            </w: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160"/>
              <w:spacing w:after="0"/>
              <w:rPr>
                <w:sz w:val="20"/>
                <w:szCs w:val="20"/>
                <w:color w:val="auto"/>
              </w:rPr>
            </w:pPr>
            <w:r>
              <w:rPr>
                <w:rFonts w:ascii="Arial" w:cs="Arial" w:eastAsia="Arial" w:hAnsi="Arial"/>
                <w:sz w:val="18"/>
                <w:szCs w:val="18"/>
                <w:color w:val="auto"/>
              </w:rPr>
              <w:t>due 2012 to 2016 with an average interest rate of 2.6% at</w:t>
            </w: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160"/>
              <w:spacing w:after="0"/>
              <w:rPr>
                <w:sz w:val="20"/>
                <w:szCs w:val="20"/>
                <w:color w:val="auto"/>
              </w:rPr>
            </w:pPr>
            <w:r>
              <w:rPr>
                <w:rFonts w:ascii="Arial" w:cs="Arial" w:eastAsia="Arial" w:hAnsi="Arial"/>
                <w:sz w:val="18"/>
                <w:szCs w:val="18"/>
                <w:color w:val="auto"/>
              </w:rPr>
              <w:t>February 28, 2013</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93,067</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(12,321)</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80,746</w:t>
            </w:r>
          </w:p>
        </w:tc>
        <w:tc>
          <w:tcPr>
            <w:tcW w:w="0" w:type="dxa"/>
            <w:vAlign w:val="bottom"/>
          </w:tcPr>
          <w:p>
            <w:pPr>
              <w:spacing w:after="0"/>
              <w:rPr>
                <w:sz w:val="1"/>
                <w:szCs w:val="1"/>
                <w:color w:val="auto"/>
              </w:rPr>
            </w:pPr>
          </w:p>
        </w:tc>
      </w:tr>
      <w:tr>
        <w:trPr>
          <w:trHeight w:val="270"/>
        </w:trPr>
        <w:tc>
          <w:tcPr>
            <w:tcW w:w="4780" w:type="dxa"/>
            <w:vAlign w:val="bottom"/>
          </w:tcPr>
          <w:p>
            <w:pPr>
              <w:spacing w:after="0"/>
              <w:rPr>
                <w:sz w:val="20"/>
                <w:szCs w:val="20"/>
                <w:color w:val="auto"/>
              </w:rPr>
            </w:pPr>
            <w:r>
              <w:rPr>
                <w:rFonts w:ascii="Arial" w:cs="Arial" w:eastAsia="Arial" w:hAnsi="Arial"/>
                <w:sz w:val="18"/>
                <w:szCs w:val="18"/>
                <w:color w:val="auto"/>
              </w:rPr>
              <w:t>2.03% unsecured yen bonds due 2012</w:t>
            </w:r>
          </w:p>
        </w:tc>
        <w:tc>
          <w:tcPr>
            <w:tcW w:w="140" w:type="dxa"/>
            <w:vAlign w:val="bottom"/>
          </w:tcPr>
          <w:p>
            <w:pPr>
              <w:spacing w:after="0"/>
              <w:rPr>
                <w:sz w:val="23"/>
                <w:szCs w:val="23"/>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5,085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(5,085)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780" w:type="dxa"/>
            <w:vAlign w:val="bottom"/>
          </w:tcPr>
          <w:p>
            <w:pPr>
              <w:spacing w:after="0"/>
              <w:rPr>
                <w:sz w:val="20"/>
                <w:szCs w:val="20"/>
                <w:color w:val="auto"/>
              </w:rPr>
            </w:pPr>
            <w:r>
              <w:rPr>
                <w:rFonts w:ascii="Arial" w:cs="Arial" w:eastAsia="Arial" w:hAnsi="Arial"/>
                <w:sz w:val="18"/>
                <w:szCs w:val="18"/>
                <w:color w:val="auto"/>
              </w:rPr>
              <w:t>2.29% unsecured yen bonds due 2012</w:t>
            </w:r>
          </w:p>
        </w:tc>
        <w:tc>
          <w:tcPr>
            <w:tcW w:w="140" w:type="dxa"/>
            <w:vAlign w:val="bottom"/>
          </w:tcPr>
          <w:p>
            <w:pPr>
              <w:spacing w:after="0"/>
              <w:rPr>
                <w:sz w:val="23"/>
                <w:szCs w:val="23"/>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3,390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(3,390)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780" w:type="dxa"/>
            <w:vAlign w:val="bottom"/>
          </w:tcPr>
          <w:p>
            <w:pPr>
              <w:spacing w:after="0"/>
              <w:rPr>
                <w:sz w:val="20"/>
                <w:szCs w:val="20"/>
                <w:color w:val="auto"/>
              </w:rPr>
            </w:pPr>
            <w:r>
              <w:rPr>
                <w:rFonts w:ascii="Arial" w:cs="Arial" w:eastAsia="Arial" w:hAnsi="Arial"/>
                <w:sz w:val="18"/>
                <w:szCs w:val="18"/>
                <w:color w:val="auto"/>
              </w:rPr>
              <w:t>2.10% unsecured yen bonds due 2012</w:t>
            </w:r>
          </w:p>
        </w:tc>
        <w:tc>
          <w:tcPr>
            <w:tcW w:w="140" w:type="dxa"/>
            <w:vAlign w:val="bottom"/>
          </w:tcPr>
          <w:p>
            <w:pPr>
              <w:spacing w:after="0"/>
              <w:rPr>
                <w:sz w:val="23"/>
                <w:szCs w:val="23"/>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6,712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(6,712)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4780" w:type="dxa"/>
            <w:vAlign w:val="bottom"/>
          </w:tcPr>
          <w:p>
            <w:pPr>
              <w:spacing w:after="0"/>
              <w:rPr>
                <w:sz w:val="20"/>
                <w:szCs w:val="20"/>
                <w:color w:val="auto"/>
              </w:rPr>
            </w:pPr>
            <w:r>
              <w:rPr>
                <w:rFonts w:ascii="Arial" w:cs="Arial" w:eastAsia="Arial" w:hAnsi="Arial"/>
                <w:sz w:val="18"/>
                <w:szCs w:val="18"/>
                <w:color w:val="auto"/>
              </w:rPr>
              <w:t>U.S. dollar denominated convertible bonds with stock</w:t>
            </w:r>
          </w:p>
        </w:tc>
        <w:tc>
          <w:tcPr>
            <w:tcW w:w="1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160"/>
              <w:spacing w:after="0"/>
              <w:rPr>
                <w:sz w:val="20"/>
                <w:szCs w:val="20"/>
                <w:color w:val="auto"/>
              </w:rPr>
            </w:pPr>
            <w:r>
              <w:rPr>
                <w:rFonts w:ascii="Arial" w:cs="Arial" w:eastAsia="Arial" w:hAnsi="Arial"/>
                <w:sz w:val="18"/>
                <w:szCs w:val="18"/>
                <w:color w:val="auto"/>
              </w:rPr>
              <w:t>acquisition rights due 2013 (zero interest)</w:t>
            </w:r>
          </w:p>
        </w:tc>
        <w:tc>
          <w:tcPr>
            <w:tcW w:w="140" w:type="dxa"/>
            <w:vAlign w:val="bottom"/>
          </w:tcPr>
          <w:p>
            <w:pPr>
              <w:spacing w:after="0"/>
              <w:rPr>
                <w:sz w:val="20"/>
                <w:szCs w:val="20"/>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2,103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(2,103)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4780" w:type="dxa"/>
            <w:vAlign w:val="bottom"/>
          </w:tcPr>
          <w:p>
            <w:pPr>
              <w:spacing w:after="0"/>
              <w:rPr>
                <w:sz w:val="20"/>
                <w:szCs w:val="20"/>
                <w:color w:val="auto"/>
              </w:rPr>
            </w:pPr>
            <w:r>
              <w:rPr>
                <w:rFonts w:ascii="Arial" w:cs="Arial" w:eastAsia="Arial" w:hAnsi="Arial"/>
                <w:sz w:val="18"/>
                <w:szCs w:val="18"/>
                <w:color w:val="auto"/>
                <w:w w:val="99"/>
              </w:rPr>
              <w:t>2nd 130% call option attached unsecured convertible bonds</w:t>
            </w:r>
          </w:p>
        </w:tc>
        <w:tc>
          <w:tcPr>
            <w:tcW w:w="1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160"/>
              <w:spacing w:after="0"/>
              <w:rPr>
                <w:sz w:val="20"/>
                <w:szCs w:val="20"/>
                <w:color w:val="auto"/>
              </w:rPr>
            </w:pPr>
            <w:r>
              <w:rPr>
                <w:rFonts w:ascii="Arial" w:cs="Arial" w:eastAsia="Arial" w:hAnsi="Arial"/>
                <w:sz w:val="18"/>
                <w:szCs w:val="18"/>
                <w:color w:val="auto"/>
              </w:rPr>
              <w:t>with stock acquisition rights due 2015 (interest rate 0.5%)</w:t>
            </w:r>
          </w:p>
        </w:tc>
        <w:tc>
          <w:tcPr>
            <w:tcW w:w="140" w:type="dxa"/>
            <w:vAlign w:val="bottom"/>
          </w:tcPr>
          <w:p>
            <w:pPr>
              <w:spacing w:after="0"/>
              <w:rPr>
                <w:sz w:val="20"/>
                <w:szCs w:val="20"/>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20,340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(20,340)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4780" w:type="dxa"/>
            <w:vAlign w:val="bottom"/>
          </w:tcPr>
          <w:p>
            <w:pPr>
              <w:spacing w:after="0"/>
              <w:rPr>
                <w:sz w:val="20"/>
                <w:szCs w:val="20"/>
                <w:color w:val="auto"/>
              </w:rPr>
            </w:pPr>
            <w:r>
              <w:rPr>
                <w:rFonts w:ascii="Arial" w:cs="Arial" w:eastAsia="Arial" w:hAnsi="Arial"/>
                <w:sz w:val="18"/>
                <w:szCs w:val="18"/>
                <w:color w:val="auto"/>
                <w:w w:val="93"/>
              </w:rPr>
              <w:t>3rd 130% call option attached unsecured convertible bonds with</w:t>
            </w:r>
          </w:p>
        </w:tc>
        <w:tc>
          <w:tcPr>
            <w:tcW w:w="1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160"/>
              <w:spacing w:after="0"/>
              <w:rPr>
                <w:sz w:val="20"/>
                <w:szCs w:val="20"/>
                <w:color w:val="auto"/>
              </w:rPr>
            </w:pPr>
            <w:r>
              <w:rPr>
                <w:rFonts w:ascii="Arial" w:cs="Arial" w:eastAsia="Arial" w:hAnsi="Arial"/>
                <w:sz w:val="18"/>
                <w:szCs w:val="18"/>
                <w:color w:val="auto"/>
              </w:rPr>
              <w:t>stock acquisition rights due 2016 (interest rate 0.7%)</w:t>
            </w:r>
          </w:p>
        </w:tc>
        <w:tc>
          <w:tcPr>
            <w:tcW w:w="140" w:type="dxa"/>
            <w:vAlign w:val="bottom"/>
          </w:tcPr>
          <w:p>
            <w:pPr>
              <w:spacing w:after="0"/>
              <w:rPr>
                <w:sz w:val="20"/>
                <w:szCs w:val="20"/>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9,323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(9,323)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80" w:type="dxa"/>
            <w:vAlign w:val="bottom"/>
          </w:tcPr>
          <w:p>
            <w:pPr>
              <w:ind w:left="560"/>
              <w:spacing w:after="0"/>
              <w:rPr>
                <w:sz w:val="20"/>
                <w:szCs w:val="20"/>
                <w:color w:val="auto"/>
              </w:rPr>
            </w:pPr>
            <w:r>
              <w:rPr>
                <w:rFonts w:ascii="Arial" w:cs="Arial" w:eastAsia="Arial" w:hAnsi="Arial"/>
                <w:sz w:val="18"/>
                <w:szCs w:val="18"/>
                <w:color w:val="auto"/>
              </w:rPr>
              <w:t>Total long-term debt</w:t>
            </w:r>
          </w:p>
        </w:tc>
        <w:tc>
          <w:tcPr>
            <w:tcW w:w="140" w:type="dxa"/>
            <w:vAlign w:val="bottom"/>
          </w:tcPr>
          <w:p>
            <w:pPr>
              <w:spacing w:after="0"/>
              <w:rPr>
                <w:sz w:val="20"/>
                <w:szCs w:val="20"/>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140,020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(59,274)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80,746</w:t>
            </w:r>
          </w:p>
        </w:tc>
        <w:tc>
          <w:tcPr>
            <w:tcW w:w="0" w:type="dxa"/>
            <w:vAlign w:val="bottom"/>
          </w:tcPr>
          <w:p>
            <w:pPr>
              <w:spacing w:after="0"/>
              <w:rPr>
                <w:sz w:val="1"/>
                <w:szCs w:val="1"/>
                <w:color w:val="auto"/>
              </w:rPr>
            </w:pPr>
          </w:p>
        </w:tc>
      </w:tr>
      <w:tr>
        <w:trPr>
          <w:trHeight w:val="270"/>
        </w:trPr>
        <w:tc>
          <w:tcPr>
            <w:tcW w:w="4780" w:type="dxa"/>
            <w:vAlign w:val="bottom"/>
          </w:tcPr>
          <w:p>
            <w:pPr>
              <w:spacing w:after="0"/>
              <w:rPr>
                <w:sz w:val="20"/>
                <w:szCs w:val="20"/>
                <w:color w:val="auto"/>
              </w:rPr>
            </w:pPr>
            <w:r>
              <w:rPr>
                <w:rFonts w:ascii="Arial" w:cs="Arial" w:eastAsia="Arial" w:hAnsi="Arial"/>
                <w:sz w:val="18"/>
                <w:szCs w:val="18"/>
                <w:color w:val="auto"/>
              </w:rPr>
              <w:t>Less current portion</w:t>
            </w:r>
          </w:p>
        </w:tc>
        <w:tc>
          <w:tcPr>
            <w:tcW w:w="140" w:type="dxa"/>
            <w:vAlign w:val="bottom"/>
          </w:tcPr>
          <w:p>
            <w:pPr>
              <w:spacing w:after="0"/>
              <w:rPr>
                <w:sz w:val="23"/>
                <w:szCs w:val="23"/>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27,640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(6,120)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21,520</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80" w:type="dxa"/>
            <w:vAlign w:val="bottom"/>
          </w:tcPr>
          <w:p>
            <w:pPr>
              <w:ind w:left="560"/>
              <w:spacing w:after="0"/>
              <w:rPr>
                <w:sz w:val="20"/>
                <w:szCs w:val="20"/>
                <w:color w:val="auto"/>
              </w:rPr>
            </w:pPr>
            <w:r>
              <w:rPr>
                <w:rFonts w:ascii="Arial" w:cs="Arial" w:eastAsia="Arial" w:hAnsi="Arial"/>
                <w:sz w:val="18"/>
                <w:szCs w:val="18"/>
                <w:color w:val="auto"/>
              </w:rPr>
              <w:t>Long-term debt, excluding current portion</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112,380</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(53,154)</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59,226</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60" w:top="553" w:right="239" w:bottom="1440" w:gutter="0" w:footer="0" w:header="0"/>
        </w:sectPr>
      </w:pPr>
    </w:p>
    <w:bookmarkStart w:id="36" w:name="page37"/>
    <w:bookmarkEnd w:id="36"/>
    <w:p>
      <w:pPr>
        <w:jc w:val="center"/>
        <w:ind w:right="20"/>
        <w:spacing w:after="0"/>
        <w:rPr>
          <w:sz w:val="20"/>
          <w:szCs w:val="20"/>
          <w:color w:val="auto"/>
        </w:rPr>
      </w:pPr>
      <w:r>
        <w:rPr>
          <w:rFonts w:ascii="Arial" w:cs="Arial" w:eastAsia="Arial" w:hAnsi="Arial"/>
          <w:sz w:val="18"/>
          <w:szCs w:val="18"/>
          <w:b w:val="1"/>
          <w:bCs w:val="1"/>
          <w:color w:val="auto"/>
        </w:rPr>
        <w:t>ELPIDA MEMORY,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(DEBTORS-IN-POSSESSION)</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4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March 31, 2012</w:t>
            </w:r>
          </w:p>
        </w:tc>
        <w:tc>
          <w:tcPr>
            <w:tcW w:w="2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86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Balance prior to</w:t>
            </w:r>
          </w:p>
        </w:tc>
        <w:tc>
          <w:tcPr>
            <w:tcW w:w="18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Amounts classified as</w:t>
            </w: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financial statement</w:t>
            </w:r>
          </w:p>
        </w:tc>
        <w:tc>
          <w:tcPr>
            <w:tcW w:w="200" w:type="dxa"/>
            <w:vAlign w:val="bottom"/>
          </w:tcPr>
          <w:p>
            <w:pPr>
              <w:spacing w:after="0"/>
              <w:rPr>
                <w:sz w:val="18"/>
                <w:szCs w:val="18"/>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subject to</w:t>
            </w:r>
          </w:p>
        </w:tc>
        <w:tc>
          <w:tcPr>
            <w:tcW w:w="17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1"/>
              </w:rPr>
              <w:t>Amounts not subject</w:t>
            </w:r>
          </w:p>
        </w:tc>
        <w:tc>
          <w:tcPr>
            <w:tcW w:w="0" w:type="dxa"/>
            <w:vAlign w:val="bottom"/>
          </w:tcPr>
          <w:p>
            <w:pPr>
              <w:spacing w:after="0"/>
              <w:rPr>
                <w:sz w:val="1"/>
                <w:szCs w:val="1"/>
                <w:color w:val="auto"/>
              </w:rPr>
            </w:pPr>
          </w:p>
        </w:tc>
      </w:tr>
      <w:tr>
        <w:trPr>
          <w:trHeight w:val="234"/>
        </w:trPr>
        <w:tc>
          <w:tcPr>
            <w:tcW w:w="4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reclassification</w:t>
            </w:r>
          </w:p>
        </w:tc>
        <w:tc>
          <w:tcPr>
            <w:tcW w:w="200" w:type="dxa"/>
            <w:vAlign w:val="bottom"/>
          </w:tcPr>
          <w:p>
            <w:pPr>
              <w:spacing w:after="0"/>
              <w:rPr>
                <w:sz w:val="20"/>
                <w:szCs w:val="20"/>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compromise</w:t>
            </w:r>
          </w:p>
        </w:tc>
        <w:tc>
          <w:tcPr>
            <w:tcW w:w="220" w:type="dxa"/>
            <w:vAlign w:val="bottom"/>
          </w:tcPr>
          <w:p>
            <w:pPr>
              <w:spacing w:after="0"/>
              <w:rPr>
                <w:sz w:val="20"/>
                <w:szCs w:val="20"/>
                <w:color w:val="auto"/>
              </w:rPr>
            </w:pPr>
          </w:p>
        </w:tc>
        <w:tc>
          <w:tcPr>
            <w:tcW w:w="1540" w:type="dxa"/>
            <w:vAlign w:val="bottom"/>
          </w:tcPr>
          <w:p>
            <w:pPr>
              <w:jc w:val="right"/>
              <w:ind w:right="230"/>
              <w:spacing w:after="0"/>
              <w:rPr>
                <w:sz w:val="20"/>
                <w:szCs w:val="20"/>
                <w:color w:val="auto"/>
              </w:rPr>
            </w:pPr>
            <w:r>
              <w:rPr>
                <w:rFonts w:ascii="Arial" w:cs="Arial" w:eastAsia="Arial" w:hAnsi="Arial"/>
                <w:sz w:val="18"/>
                <w:szCs w:val="18"/>
                <w:b w:val="1"/>
                <w:bCs w:val="1"/>
                <w:color w:val="auto"/>
                <w:w w:val="92"/>
              </w:rPr>
              <w:t>to compromise</w:t>
            </w:r>
          </w:p>
        </w:tc>
        <w:tc>
          <w:tcPr>
            <w:tcW w:w="0" w:type="dxa"/>
            <w:vAlign w:val="bottom"/>
          </w:tcPr>
          <w:p>
            <w:pPr>
              <w:spacing w:after="0"/>
              <w:rPr>
                <w:sz w:val="1"/>
                <w:szCs w:val="1"/>
                <w:color w:val="auto"/>
              </w:rPr>
            </w:pPr>
          </w:p>
        </w:tc>
      </w:tr>
      <w:tr>
        <w:trPr>
          <w:trHeight w:val="27"/>
        </w:trPr>
        <w:tc>
          <w:tcPr>
            <w:tcW w:w="4800" w:type="dxa"/>
            <w:vAlign w:val="bottom"/>
            <w:vMerge w:val="restart"/>
          </w:tcPr>
          <w:p>
            <w:pPr>
              <w:spacing w:after="0"/>
              <w:rPr>
                <w:sz w:val="20"/>
                <w:szCs w:val="20"/>
                <w:color w:val="auto"/>
              </w:rPr>
            </w:pPr>
            <w:r>
              <w:rPr>
                <w:rFonts w:ascii="Arial" w:cs="Arial" w:eastAsia="Arial" w:hAnsi="Arial"/>
                <w:sz w:val="18"/>
                <w:szCs w:val="18"/>
                <w:color w:val="auto"/>
                <w:w w:val="98"/>
              </w:rPr>
              <w:t>Borrowings from banks and financial institutions, due 2012 to</w:t>
            </w:r>
          </w:p>
        </w:tc>
        <w:tc>
          <w:tcPr>
            <w:tcW w:w="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8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0" w:type="dxa"/>
            <w:vAlign w:val="bottom"/>
          </w:tcPr>
          <w:p>
            <w:pPr>
              <w:ind w:left="160"/>
              <w:spacing w:after="0"/>
              <w:rPr>
                <w:sz w:val="20"/>
                <w:szCs w:val="20"/>
                <w:color w:val="auto"/>
              </w:rPr>
            </w:pPr>
            <w:r>
              <w:rPr>
                <w:rFonts w:ascii="Arial" w:cs="Arial" w:eastAsia="Arial" w:hAnsi="Arial"/>
                <w:sz w:val="18"/>
                <w:szCs w:val="18"/>
                <w:color w:val="auto"/>
                <w:w w:val="94"/>
              </w:rPr>
              <w:t>2016 with an average interest rate of 2.6% at March 31, 2012</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140,206</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(101,517)</w:t>
            </w:r>
          </w:p>
        </w:tc>
        <w:tc>
          <w:tcPr>
            <w:tcW w:w="1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38,689</w:t>
            </w:r>
          </w:p>
        </w:tc>
        <w:tc>
          <w:tcPr>
            <w:tcW w:w="0" w:type="dxa"/>
            <w:vAlign w:val="bottom"/>
          </w:tcPr>
          <w:p>
            <w:pPr>
              <w:spacing w:after="0"/>
              <w:rPr>
                <w:sz w:val="1"/>
                <w:szCs w:val="1"/>
                <w:color w:val="auto"/>
              </w:rPr>
            </w:pPr>
          </w:p>
        </w:tc>
      </w:tr>
      <w:tr>
        <w:trPr>
          <w:trHeight w:val="270"/>
        </w:trPr>
        <w:tc>
          <w:tcPr>
            <w:tcW w:w="4800" w:type="dxa"/>
            <w:vAlign w:val="bottom"/>
          </w:tcPr>
          <w:p>
            <w:pPr>
              <w:spacing w:after="0"/>
              <w:rPr>
                <w:sz w:val="20"/>
                <w:szCs w:val="20"/>
                <w:color w:val="auto"/>
              </w:rPr>
            </w:pPr>
            <w:r>
              <w:rPr>
                <w:rFonts w:ascii="Arial" w:cs="Arial" w:eastAsia="Arial" w:hAnsi="Arial"/>
                <w:sz w:val="18"/>
                <w:szCs w:val="18"/>
                <w:color w:val="auto"/>
              </w:rPr>
              <w:t>2.03% unsecured yen bonds due 2012</w:t>
            </w:r>
          </w:p>
        </w:tc>
        <w:tc>
          <w:tcPr>
            <w:tcW w:w="14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14,999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(14,999)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800" w:type="dxa"/>
            <w:vAlign w:val="bottom"/>
          </w:tcPr>
          <w:p>
            <w:pPr>
              <w:spacing w:after="0"/>
              <w:rPr>
                <w:sz w:val="20"/>
                <w:szCs w:val="20"/>
                <w:color w:val="auto"/>
              </w:rPr>
            </w:pPr>
            <w:r>
              <w:rPr>
                <w:rFonts w:ascii="Arial" w:cs="Arial" w:eastAsia="Arial" w:hAnsi="Arial"/>
                <w:sz w:val="18"/>
                <w:szCs w:val="18"/>
                <w:color w:val="auto"/>
              </w:rPr>
              <w:t>2.29% unsecured yen bonds due 2012</w:t>
            </w:r>
          </w:p>
        </w:tc>
        <w:tc>
          <w:tcPr>
            <w:tcW w:w="14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800" w:type="dxa"/>
            <w:vAlign w:val="bottom"/>
          </w:tcPr>
          <w:p>
            <w:pPr>
              <w:spacing w:after="0"/>
              <w:rPr>
                <w:sz w:val="20"/>
                <w:szCs w:val="20"/>
                <w:color w:val="auto"/>
              </w:rPr>
            </w:pPr>
            <w:r>
              <w:rPr>
                <w:rFonts w:ascii="Arial" w:cs="Arial" w:eastAsia="Arial" w:hAnsi="Arial"/>
                <w:sz w:val="18"/>
                <w:szCs w:val="18"/>
                <w:color w:val="auto"/>
              </w:rPr>
              <w:t>2.10% unsecured yen bonds due 2012</w:t>
            </w:r>
          </w:p>
        </w:tc>
        <w:tc>
          <w:tcPr>
            <w:tcW w:w="14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19,800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(19,800)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4800" w:type="dxa"/>
            <w:vAlign w:val="bottom"/>
          </w:tcPr>
          <w:p>
            <w:pPr>
              <w:spacing w:after="0"/>
              <w:rPr>
                <w:sz w:val="20"/>
                <w:szCs w:val="20"/>
                <w:color w:val="auto"/>
              </w:rPr>
            </w:pPr>
            <w:r>
              <w:rPr>
                <w:rFonts w:ascii="Arial" w:cs="Arial" w:eastAsia="Arial" w:hAnsi="Arial"/>
                <w:sz w:val="18"/>
                <w:szCs w:val="18"/>
                <w:color w:val="auto"/>
              </w:rPr>
              <w:t>U.S. dollar denominated convertible bonds with stock</w:t>
            </w:r>
          </w:p>
        </w:tc>
        <w:tc>
          <w:tcPr>
            <w:tcW w:w="1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800" w:type="dxa"/>
            <w:vAlign w:val="bottom"/>
          </w:tcPr>
          <w:p>
            <w:pPr>
              <w:ind w:left="160"/>
              <w:spacing w:after="0"/>
              <w:rPr>
                <w:sz w:val="20"/>
                <w:szCs w:val="20"/>
                <w:color w:val="auto"/>
              </w:rPr>
            </w:pPr>
            <w:r>
              <w:rPr>
                <w:rFonts w:ascii="Arial" w:cs="Arial" w:eastAsia="Arial" w:hAnsi="Arial"/>
                <w:sz w:val="18"/>
                <w:szCs w:val="18"/>
                <w:color w:val="auto"/>
              </w:rPr>
              <w:t>acquisition rights due 2013 (zero interest)</w:t>
            </w:r>
          </w:p>
        </w:tc>
        <w:tc>
          <w:tcPr>
            <w:tcW w:w="1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6,205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(6,205)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4800" w:type="dxa"/>
            <w:vAlign w:val="bottom"/>
          </w:tcPr>
          <w:p>
            <w:pPr>
              <w:spacing w:after="0"/>
              <w:rPr>
                <w:sz w:val="20"/>
                <w:szCs w:val="20"/>
                <w:color w:val="auto"/>
              </w:rPr>
            </w:pPr>
            <w:r>
              <w:rPr>
                <w:rFonts w:ascii="Arial" w:cs="Arial" w:eastAsia="Arial" w:hAnsi="Arial"/>
                <w:sz w:val="18"/>
                <w:szCs w:val="18"/>
                <w:color w:val="auto"/>
                <w:w w:val="93"/>
              </w:rPr>
              <w:t>2nd 130% call option attached unsecured convertible bonds with</w:t>
            </w:r>
          </w:p>
        </w:tc>
        <w:tc>
          <w:tcPr>
            <w:tcW w:w="1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800" w:type="dxa"/>
            <w:vAlign w:val="bottom"/>
          </w:tcPr>
          <w:p>
            <w:pPr>
              <w:ind w:left="160"/>
              <w:spacing w:after="0"/>
              <w:rPr>
                <w:sz w:val="20"/>
                <w:szCs w:val="20"/>
                <w:color w:val="auto"/>
              </w:rPr>
            </w:pPr>
            <w:r>
              <w:rPr>
                <w:rFonts w:ascii="Arial" w:cs="Arial" w:eastAsia="Arial" w:hAnsi="Arial"/>
                <w:sz w:val="18"/>
                <w:szCs w:val="18"/>
                <w:color w:val="auto"/>
              </w:rPr>
              <w:t>stock acquisition rights due 2015 (interest rate 0.5%)</w:t>
            </w:r>
          </w:p>
        </w:tc>
        <w:tc>
          <w:tcPr>
            <w:tcW w:w="1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60,000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(60,000)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4800" w:type="dxa"/>
            <w:vAlign w:val="bottom"/>
          </w:tcPr>
          <w:p>
            <w:pPr>
              <w:spacing w:after="0"/>
              <w:rPr>
                <w:sz w:val="20"/>
                <w:szCs w:val="20"/>
                <w:color w:val="auto"/>
              </w:rPr>
            </w:pPr>
            <w:r>
              <w:rPr>
                <w:rFonts w:ascii="Arial" w:cs="Arial" w:eastAsia="Arial" w:hAnsi="Arial"/>
                <w:sz w:val="18"/>
                <w:szCs w:val="18"/>
                <w:color w:val="auto"/>
                <w:w w:val="93"/>
              </w:rPr>
              <w:t>3rd 130% call option attached unsecured convertible bonds with</w:t>
            </w:r>
          </w:p>
        </w:tc>
        <w:tc>
          <w:tcPr>
            <w:tcW w:w="1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800" w:type="dxa"/>
            <w:vAlign w:val="bottom"/>
          </w:tcPr>
          <w:p>
            <w:pPr>
              <w:ind w:left="160"/>
              <w:spacing w:after="0"/>
              <w:rPr>
                <w:sz w:val="20"/>
                <w:szCs w:val="20"/>
                <w:color w:val="auto"/>
              </w:rPr>
            </w:pPr>
            <w:r>
              <w:rPr>
                <w:rFonts w:ascii="Arial" w:cs="Arial" w:eastAsia="Arial" w:hAnsi="Arial"/>
                <w:sz w:val="18"/>
                <w:szCs w:val="18"/>
                <w:color w:val="auto"/>
              </w:rPr>
              <w:t>stock acquisition rights due 2016 (interest rate 0.7%)</w:t>
            </w:r>
          </w:p>
        </w:tc>
        <w:tc>
          <w:tcPr>
            <w:tcW w:w="1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27,500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(27,500)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00" w:type="dxa"/>
            <w:vAlign w:val="bottom"/>
          </w:tcPr>
          <w:p>
            <w:pPr>
              <w:ind w:left="560"/>
              <w:spacing w:after="0"/>
              <w:rPr>
                <w:sz w:val="20"/>
                <w:szCs w:val="20"/>
                <w:color w:val="auto"/>
              </w:rPr>
            </w:pPr>
            <w:r>
              <w:rPr>
                <w:rFonts w:ascii="Arial" w:cs="Arial" w:eastAsia="Arial" w:hAnsi="Arial"/>
                <w:sz w:val="18"/>
                <w:szCs w:val="18"/>
                <w:color w:val="auto"/>
              </w:rPr>
              <w:t>Total long-term debt</w:t>
            </w:r>
          </w:p>
        </w:tc>
        <w:tc>
          <w:tcPr>
            <w:tcW w:w="1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278,710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(240,021)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38,689</w:t>
            </w:r>
          </w:p>
        </w:tc>
        <w:tc>
          <w:tcPr>
            <w:tcW w:w="0" w:type="dxa"/>
            <w:vAlign w:val="bottom"/>
          </w:tcPr>
          <w:p>
            <w:pPr>
              <w:spacing w:after="0"/>
              <w:rPr>
                <w:sz w:val="1"/>
                <w:szCs w:val="1"/>
                <w:color w:val="auto"/>
              </w:rPr>
            </w:pPr>
          </w:p>
        </w:tc>
      </w:tr>
      <w:tr>
        <w:trPr>
          <w:trHeight w:val="270"/>
        </w:trPr>
        <w:tc>
          <w:tcPr>
            <w:tcW w:w="4800" w:type="dxa"/>
            <w:vAlign w:val="bottom"/>
          </w:tcPr>
          <w:p>
            <w:pPr>
              <w:spacing w:after="0"/>
              <w:rPr>
                <w:sz w:val="20"/>
                <w:szCs w:val="20"/>
                <w:color w:val="auto"/>
              </w:rPr>
            </w:pPr>
            <w:r>
              <w:rPr>
                <w:rFonts w:ascii="Arial" w:cs="Arial" w:eastAsia="Arial" w:hAnsi="Arial"/>
                <w:sz w:val="18"/>
                <w:szCs w:val="18"/>
                <w:color w:val="auto"/>
              </w:rPr>
              <w:t>Less current portion</w:t>
            </w:r>
          </w:p>
        </w:tc>
        <w:tc>
          <w:tcPr>
            <w:tcW w:w="14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72,639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(44,799)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27,840</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00" w:type="dxa"/>
            <w:vAlign w:val="bottom"/>
          </w:tcPr>
          <w:p>
            <w:pPr>
              <w:ind w:left="560"/>
              <w:spacing w:after="0"/>
              <w:rPr>
                <w:sz w:val="20"/>
                <w:szCs w:val="20"/>
                <w:color w:val="auto"/>
              </w:rPr>
            </w:pPr>
            <w:r>
              <w:rPr>
                <w:rFonts w:ascii="Arial" w:cs="Arial" w:eastAsia="Arial" w:hAnsi="Arial"/>
                <w:sz w:val="18"/>
                <w:szCs w:val="18"/>
                <w:color w:val="auto"/>
              </w:rPr>
              <w:t>Long-term debt, excluding current portion</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206,071</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(195,222)</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10,849</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left="420"/>
        <w:spacing w:after="0" w:line="244" w:lineRule="auto"/>
        <w:rPr>
          <w:sz w:val="20"/>
          <w:szCs w:val="20"/>
          <w:color w:val="auto"/>
        </w:rPr>
      </w:pPr>
      <w:r>
        <w:rPr>
          <w:rFonts w:ascii="Arial" w:cs="Arial" w:eastAsia="Arial" w:hAnsi="Arial"/>
          <w:sz w:val="20"/>
          <w:szCs w:val="20"/>
          <w:color w:val="auto"/>
        </w:rPr>
        <w:t>Under the terms of the convertible bonds, as a result of filing of the petition for commencement of reorganization proceedings all amounts outstanding under these convertible bonds were accelerated and became immediately due and payable. As a result, the Company classified the convertible bonds as liabilities subject to compromise at February 28, 2013 and March 31, 2012. Also upon the commencement of reorganization proceedings, conversion options and call options attached to these convertible bonds became unexercisable.</w:t>
      </w:r>
    </w:p>
    <w:p>
      <w:pPr>
        <w:spacing w:after="0" w:line="87" w:lineRule="exact"/>
        <w:rPr>
          <w:sz w:val="20"/>
          <w:szCs w:val="20"/>
          <w:color w:val="auto"/>
        </w:rPr>
      </w:pPr>
    </w:p>
    <w:p>
      <w:pPr>
        <w:jc w:val="both"/>
        <w:ind w:left="420" w:right="20"/>
        <w:spacing w:after="0" w:line="260" w:lineRule="auto"/>
        <w:rPr>
          <w:sz w:val="20"/>
          <w:szCs w:val="20"/>
          <w:color w:val="auto"/>
        </w:rPr>
      </w:pPr>
      <w:r>
        <w:rPr>
          <w:rFonts w:ascii="Arial" w:cs="Arial" w:eastAsia="Arial" w:hAnsi="Arial"/>
          <w:sz w:val="20"/>
          <w:szCs w:val="20"/>
          <w:color w:val="auto"/>
        </w:rPr>
        <w:t>The aggregate maturities of long-term debt not subject to compromise for each of the five years subsequent to February 28, 2013 are as follows:</w:t>
      </w:r>
    </w:p>
    <w:p>
      <w:pPr>
        <w:spacing w:after="0" w:line="233" w:lineRule="exact"/>
        <w:rPr>
          <w:sz w:val="20"/>
          <w:szCs w:val="20"/>
          <w:color w:val="auto"/>
        </w:rPr>
      </w:pPr>
    </w:p>
    <w:tbl>
      <w:tblPr>
        <w:tblLayout w:type="fixed"/>
        <w:tblInd w:w="900" w:type="dxa"/>
        <w:tblCellMar>
          <w:top w:w="0" w:type="dxa"/>
          <w:left w:w="0" w:type="dxa"/>
          <w:bottom w:w="0" w:type="dxa"/>
          <w:right w:w="0" w:type="dxa"/>
        </w:tblCellMar>
      </w:tblPr>
      <w:tr>
        <w:trPr>
          <w:trHeight w:val="230"/>
        </w:trPr>
        <w:tc>
          <w:tcPr>
            <w:tcW w:w="4140" w:type="dxa"/>
            <w:vAlign w:val="bottom"/>
          </w:tcPr>
          <w:p>
            <w:pPr>
              <w:jc w:val="right"/>
              <w:ind w:right="1883"/>
              <w:spacing w:after="0"/>
              <w:rPr>
                <w:sz w:val="20"/>
                <w:szCs w:val="20"/>
                <w:color w:val="auto"/>
              </w:rPr>
            </w:pPr>
            <w:r>
              <w:rPr>
                <w:rFonts w:ascii="Arial" w:cs="Arial" w:eastAsia="Arial" w:hAnsi="Arial"/>
                <w:sz w:val="18"/>
                <w:szCs w:val="18"/>
                <w:color w:val="auto"/>
                <w:w w:val="90"/>
              </w:rPr>
              <w:t>Fiscal year ending August 31:</w:t>
            </w:r>
          </w:p>
        </w:tc>
        <w:tc>
          <w:tcPr>
            <w:tcW w:w="25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88"/>
        </w:trPr>
        <w:tc>
          <w:tcPr>
            <w:tcW w:w="4140" w:type="dxa"/>
            <w:vAlign w:val="bottom"/>
          </w:tcPr>
          <w:p>
            <w:pPr>
              <w:jc w:val="right"/>
              <w:ind w:right="3403"/>
              <w:spacing w:after="0"/>
              <w:rPr>
                <w:sz w:val="20"/>
                <w:szCs w:val="20"/>
                <w:color w:val="auto"/>
              </w:rPr>
            </w:pPr>
            <w:r>
              <w:rPr>
                <w:rFonts w:ascii="Arial" w:cs="Arial" w:eastAsia="Arial" w:hAnsi="Arial"/>
                <w:sz w:val="20"/>
                <w:szCs w:val="20"/>
                <w:color w:val="auto"/>
              </w:rPr>
              <w:t>2013</w:t>
            </w:r>
          </w:p>
        </w:tc>
        <w:tc>
          <w:tcPr>
            <w:tcW w:w="2580" w:type="dxa"/>
            <w:vAlign w:val="bottom"/>
          </w:tcPr>
          <w:p>
            <w:pPr>
              <w:jc w:val="right"/>
              <w:ind w:right="421"/>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3,583</w:t>
            </w:r>
          </w:p>
        </w:tc>
      </w:tr>
      <w:tr>
        <w:trPr>
          <w:trHeight w:val="284"/>
        </w:trPr>
        <w:tc>
          <w:tcPr>
            <w:tcW w:w="4140" w:type="dxa"/>
            <w:vAlign w:val="bottom"/>
          </w:tcPr>
          <w:p>
            <w:pPr>
              <w:jc w:val="right"/>
              <w:ind w:right="3403"/>
              <w:spacing w:after="0"/>
              <w:rPr>
                <w:sz w:val="20"/>
                <w:szCs w:val="20"/>
                <w:color w:val="auto"/>
              </w:rPr>
            </w:pPr>
            <w:r>
              <w:rPr>
                <w:rFonts w:ascii="Arial" w:cs="Arial" w:eastAsia="Arial" w:hAnsi="Arial"/>
                <w:sz w:val="20"/>
                <w:szCs w:val="20"/>
                <w:color w:val="auto"/>
              </w:rPr>
              <w:t>2014</w:t>
            </w:r>
          </w:p>
        </w:tc>
        <w:tc>
          <w:tcPr>
            <w:tcW w:w="25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19,815</w:t>
            </w:r>
          </w:p>
        </w:tc>
      </w:tr>
      <w:tr>
        <w:trPr>
          <w:trHeight w:val="284"/>
        </w:trPr>
        <w:tc>
          <w:tcPr>
            <w:tcW w:w="4140" w:type="dxa"/>
            <w:vAlign w:val="bottom"/>
          </w:tcPr>
          <w:p>
            <w:pPr>
              <w:jc w:val="right"/>
              <w:ind w:right="3403"/>
              <w:spacing w:after="0"/>
              <w:rPr>
                <w:sz w:val="20"/>
                <w:szCs w:val="20"/>
                <w:color w:val="auto"/>
              </w:rPr>
            </w:pPr>
            <w:r>
              <w:rPr>
                <w:rFonts w:ascii="Arial" w:cs="Arial" w:eastAsia="Arial" w:hAnsi="Arial"/>
                <w:sz w:val="20"/>
                <w:szCs w:val="20"/>
                <w:color w:val="auto"/>
              </w:rPr>
              <w:t>2015</w:t>
            </w:r>
          </w:p>
        </w:tc>
        <w:tc>
          <w:tcPr>
            <w:tcW w:w="25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12,884</w:t>
            </w:r>
          </w:p>
        </w:tc>
      </w:tr>
      <w:tr>
        <w:trPr>
          <w:trHeight w:val="284"/>
        </w:trPr>
        <w:tc>
          <w:tcPr>
            <w:tcW w:w="4140" w:type="dxa"/>
            <w:vAlign w:val="bottom"/>
          </w:tcPr>
          <w:p>
            <w:pPr>
              <w:jc w:val="right"/>
              <w:ind w:right="3403"/>
              <w:spacing w:after="0"/>
              <w:rPr>
                <w:sz w:val="20"/>
                <w:szCs w:val="20"/>
                <w:color w:val="auto"/>
              </w:rPr>
            </w:pPr>
            <w:r>
              <w:rPr>
                <w:rFonts w:ascii="Arial" w:cs="Arial" w:eastAsia="Arial" w:hAnsi="Arial"/>
                <w:sz w:val="20"/>
                <w:szCs w:val="20"/>
                <w:color w:val="auto"/>
              </w:rPr>
              <w:t>2016</w:t>
            </w:r>
          </w:p>
        </w:tc>
        <w:tc>
          <w:tcPr>
            <w:tcW w:w="25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11,475</w:t>
            </w:r>
          </w:p>
        </w:tc>
      </w:tr>
      <w:tr>
        <w:trPr>
          <w:trHeight w:val="284"/>
        </w:trPr>
        <w:tc>
          <w:tcPr>
            <w:tcW w:w="4140" w:type="dxa"/>
            <w:vAlign w:val="bottom"/>
          </w:tcPr>
          <w:p>
            <w:pPr>
              <w:jc w:val="right"/>
              <w:ind w:right="3403"/>
              <w:spacing w:after="0"/>
              <w:rPr>
                <w:sz w:val="20"/>
                <w:szCs w:val="20"/>
                <w:color w:val="auto"/>
              </w:rPr>
            </w:pPr>
            <w:r>
              <w:rPr>
                <w:rFonts w:ascii="Arial" w:cs="Arial" w:eastAsia="Arial" w:hAnsi="Arial"/>
                <w:sz w:val="20"/>
                <w:szCs w:val="20"/>
                <w:color w:val="auto"/>
              </w:rPr>
              <w:t>2017</w:t>
            </w:r>
          </w:p>
        </w:tc>
        <w:tc>
          <w:tcPr>
            <w:tcW w:w="25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9,598</w:t>
            </w: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40" w:hanging="438"/>
        <w:spacing w:after="0"/>
        <w:tabs>
          <w:tab w:leader="none" w:pos="440" w:val="left"/>
        </w:tabs>
        <w:numPr>
          <w:ilvl w:val="0"/>
          <w:numId w:val="25"/>
        </w:numPr>
        <w:rPr>
          <w:rFonts w:ascii="Arial" w:cs="Arial" w:eastAsia="Arial" w:hAnsi="Arial"/>
          <w:sz w:val="20"/>
          <w:szCs w:val="20"/>
          <w:b w:val="1"/>
          <w:bCs w:val="1"/>
          <w:color w:val="auto"/>
        </w:rPr>
      </w:pPr>
      <w:r>
        <w:rPr>
          <w:rFonts w:ascii="Arial" w:cs="Arial" w:eastAsia="Arial" w:hAnsi="Arial"/>
          <w:sz w:val="20"/>
          <w:szCs w:val="20"/>
          <w:b w:val="1"/>
          <w:bCs w:val="1"/>
          <w:color w:val="auto"/>
        </w:rPr>
        <w:t>Income Taxes</w:t>
      </w:r>
    </w:p>
    <w:p>
      <w:pPr>
        <w:spacing w:after="0" w:line="113" w:lineRule="exact"/>
        <w:rPr>
          <w:rFonts w:ascii="Arial" w:cs="Arial" w:eastAsia="Arial" w:hAnsi="Arial"/>
          <w:sz w:val="20"/>
          <w:szCs w:val="20"/>
          <w:b w:val="1"/>
          <w:bCs w:val="1"/>
          <w:color w:val="auto"/>
        </w:rPr>
      </w:pPr>
    </w:p>
    <w:p>
      <w:pPr>
        <w:ind w:left="780" w:hanging="360"/>
        <w:spacing w:after="0"/>
        <w:tabs>
          <w:tab w:leader="none" w:pos="780" w:val="left"/>
        </w:tabs>
        <w:numPr>
          <w:ilvl w:val="1"/>
          <w:numId w:val="25"/>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Tax Rate Reconciliation</w:t>
      </w:r>
    </w:p>
    <w:p>
      <w:pPr>
        <w:spacing w:after="0" w:line="67" w:lineRule="exact"/>
        <w:rPr>
          <w:rFonts w:ascii="Arial" w:cs="Arial" w:eastAsia="Arial" w:hAnsi="Arial"/>
          <w:sz w:val="20"/>
          <w:szCs w:val="20"/>
          <w:b w:val="1"/>
          <w:bCs w:val="1"/>
          <w:i w:val="1"/>
          <w:iCs w:val="1"/>
          <w:color w:val="auto"/>
        </w:rPr>
      </w:pPr>
    </w:p>
    <w:p>
      <w:pPr>
        <w:jc w:val="both"/>
        <w:ind w:left="780"/>
        <w:spacing w:after="0" w:line="246" w:lineRule="auto"/>
        <w:rPr>
          <w:rFonts w:ascii="Arial" w:cs="Arial" w:eastAsia="Arial" w:hAnsi="Arial"/>
          <w:sz w:val="20"/>
          <w:szCs w:val="20"/>
          <w:b w:val="1"/>
          <w:bCs w:val="1"/>
          <w:i w:val="1"/>
          <w:iCs w:val="1"/>
          <w:color w:val="auto"/>
        </w:rPr>
      </w:pPr>
      <w:r>
        <w:rPr>
          <w:rFonts w:ascii="Arial" w:cs="Arial" w:eastAsia="Arial" w:hAnsi="Arial"/>
          <w:sz w:val="20"/>
          <w:szCs w:val="20"/>
          <w:color w:val="auto"/>
        </w:rPr>
        <w:t>Elpida and its domestic consolidated subsidiaries are subject to corporation tax, inhabitants’ taxes and enterprise tax in Japan, which, in the aggregate, resulted in a statutory tax rate of approximately 38.0% and 40.7% for the eleven months ended February 28, 2013 and year ended March 31, 2012, respectively. Income taxes of the foreign consolidated subsidiaries are based generally on the tax rates applicable in their countries of incorporation.</w:t>
      </w:r>
    </w:p>
    <w:p>
      <w:pPr>
        <w:spacing w:after="0" w:line="3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60" w:top="553" w:right="239" w:bottom="1440" w:gutter="0" w:footer="0" w:header="0"/>
        </w:sectPr>
      </w:pPr>
    </w:p>
    <w:bookmarkStart w:id="37" w:name="page38"/>
    <w:bookmarkEnd w:id="37"/>
    <w:p>
      <w:pPr>
        <w:jc w:val="center"/>
        <w:ind w:right="780"/>
        <w:spacing w:after="0"/>
        <w:rPr>
          <w:sz w:val="20"/>
          <w:szCs w:val="20"/>
          <w:color w:val="auto"/>
        </w:rPr>
      </w:pPr>
      <w:r>
        <w:rPr>
          <w:rFonts w:ascii="Arial" w:cs="Arial" w:eastAsia="Arial" w:hAnsi="Arial"/>
          <w:sz w:val="18"/>
          <w:szCs w:val="18"/>
          <w:b w:val="1"/>
          <w:bCs w:val="1"/>
          <w:color w:val="auto"/>
        </w:rPr>
        <w:t>ELPIDA MEMORY, INC. AND SUBSIDIARIES</w:t>
      </w:r>
    </w:p>
    <w:p>
      <w:pPr>
        <w:spacing w:after="0" w:line="27"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(DEBTORS-IN-POSSESSION)</w:t>
      </w:r>
    </w:p>
    <w:p>
      <w:pPr>
        <w:spacing w:after="0" w:line="9"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On November 30, 2011, the National Diet of Japan approved laws amending previous income tax laws. Upon the change in the laws, the statutory income tax rate in Japan was changed to approximately 38.0% for fiscal years beginning on or after April 1, 2012, and will be changed to approximately 35.6% for fiscal years beginning on or after April 1, 2015. Thus, the Company and its domestic subsidiaries remeasured deferred tax assets and liabilities as of the enactment date based on the new tax rates to be applied in the fiscal years in which temporary differences are expected to be recovered or settled. The effect of tax rate changes in Japan did not have a material impact on the Company’s consolidated financial statements.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Significant components of reconciling items between the statutory tax rate and the effective tax rate for the eleven months ended</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February 28, 2013 and the year ended March 31, 2012 were as follows:</w:t>
      </w:r>
    </w:p>
    <w:p>
      <w:pPr>
        <w:spacing w:after="0" w:line="200" w:lineRule="exact"/>
        <w:rPr>
          <w:sz w:val="20"/>
          <w:szCs w:val="20"/>
          <w:color w:val="auto"/>
        </w:rPr>
      </w:pPr>
    </w:p>
    <w:p>
      <w:pPr>
        <w:spacing w:after="0" w:line="29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0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Arial" w:cs="Arial" w:eastAsia="Arial" w:hAnsi="Arial"/>
                <w:sz w:val="20"/>
                <w:szCs w:val="20"/>
                <w:b w:val="1"/>
                <w:bCs w:val="1"/>
                <w:color w:val="auto"/>
                <w:w w:val="87"/>
              </w:rPr>
              <w:t>Year</w:t>
            </w:r>
          </w:p>
        </w:tc>
      </w:tr>
      <w:tr>
        <w:trPr>
          <w:trHeight w:val="230"/>
        </w:trPr>
        <w:tc>
          <w:tcPr>
            <w:tcW w:w="6040" w:type="dxa"/>
            <w:vAlign w:val="bottom"/>
          </w:tcPr>
          <w:p>
            <w:pPr>
              <w:spacing w:after="0"/>
              <w:rPr>
                <w:sz w:val="19"/>
                <w:szCs w:val="19"/>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20"/>
                <w:szCs w:val="20"/>
                <w:b w:val="1"/>
                <w:bCs w:val="1"/>
                <w:color w:val="auto"/>
                <w:w w:val="87"/>
              </w:rPr>
              <w:t>Eleven months</w:t>
            </w:r>
          </w:p>
        </w:tc>
        <w:tc>
          <w:tcPr>
            <w:tcW w:w="1780" w:type="dxa"/>
            <w:vAlign w:val="bottom"/>
          </w:tcPr>
          <w:p>
            <w:pPr>
              <w:jc w:val="center"/>
              <w:spacing w:after="0"/>
              <w:rPr>
                <w:sz w:val="20"/>
                <w:szCs w:val="20"/>
                <w:color w:val="auto"/>
              </w:rPr>
            </w:pPr>
            <w:r>
              <w:rPr>
                <w:rFonts w:ascii="Arial" w:cs="Arial" w:eastAsia="Arial" w:hAnsi="Arial"/>
                <w:sz w:val="20"/>
                <w:szCs w:val="20"/>
                <w:b w:val="1"/>
                <w:bCs w:val="1"/>
                <w:color w:val="auto"/>
                <w:w w:val="84"/>
              </w:rPr>
              <w:t>ended</w:t>
            </w:r>
          </w:p>
        </w:tc>
      </w:tr>
      <w:tr>
        <w:trPr>
          <w:trHeight w:val="230"/>
        </w:trPr>
        <w:tc>
          <w:tcPr>
            <w:tcW w:w="6040" w:type="dxa"/>
            <w:vAlign w:val="bottom"/>
          </w:tcPr>
          <w:p>
            <w:pPr>
              <w:spacing w:after="0"/>
              <w:rPr>
                <w:sz w:val="19"/>
                <w:szCs w:val="19"/>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20"/>
                <w:szCs w:val="20"/>
                <w:b w:val="1"/>
                <w:bCs w:val="1"/>
                <w:color w:val="auto"/>
                <w:w w:val="89"/>
              </w:rPr>
              <w:t>ended February 28,</w:t>
            </w:r>
          </w:p>
        </w:tc>
        <w:tc>
          <w:tcPr>
            <w:tcW w:w="1780" w:type="dxa"/>
            <w:vAlign w:val="bottom"/>
          </w:tcPr>
          <w:p>
            <w:pPr>
              <w:jc w:val="center"/>
              <w:spacing w:after="0"/>
              <w:rPr>
                <w:sz w:val="20"/>
                <w:szCs w:val="20"/>
                <w:color w:val="auto"/>
              </w:rPr>
            </w:pPr>
            <w:r>
              <w:rPr>
                <w:rFonts w:ascii="Arial" w:cs="Arial" w:eastAsia="Arial" w:hAnsi="Arial"/>
                <w:sz w:val="20"/>
                <w:szCs w:val="20"/>
                <w:b w:val="1"/>
                <w:bCs w:val="1"/>
                <w:color w:val="auto"/>
                <w:w w:val="93"/>
              </w:rPr>
              <w:t>March 31,</w:t>
            </w:r>
          </w:p>
        </w:tc>
      </w:tr>
      <w:tr>
        <w:trPr>
          <w:trHeight w:val="256"/>
        </w:trPr>
        <w:tc>
          <w:tcPr>
            <w:tcW w:w="6040" w:type="dxa"/>
            <w:vAlign w:val="bottom"/>
          </w:tcPr>
          <w:p>
            <w:pPr>
              <w:spacing w:after="0"/>
              <w:rPr>
                <w:sz w:val="22"/>
                <w:szCs w:val="22"/>
                <w:color w:val="auto"/>
              </w:rPr>
            </w:pPr>
          </w:p>
        </w:tc>
        <w:tc>
          <w:tcPr>
            <w:tcW w:w="1720" w:type="dxa"/>
            <w:vAlign w:val="bottom"/>
          </w:tcPr>
          <w:p>
            <w:pPr>
              <w:jc w:val="center"/>
              <w:spacing w:after="0"/>
              <w:rPr>
                <w:sz w:val="20"/>
                <w:szCs w:val="20"/>
                <w:color w:val="auto"/>
              </w:rPr>
            </w:pPr>
            <w:r>
              <w:rPr>
                <w:rFonts w:ascii="Arial" w:cs="Arial" w:eastAsia="Arial" w:hAnsi="Arial"/>
                <w:sz w:val="20"/>
                <w:szCs w:val="20"/>
                <w:b w:val="1"/>
                <w:bCs w:val="1"/>
                <w:color w:val="auto"/>
                <w:w w:val="89"/>
              </w:rPr>
              <w:t>2013</w:t>
            </w:r>
          </w:p>
        </w:tc>
        <w:tc>
          <w:tcPr>
            <w:tcW w:w="100" w:type="dxa"/>
            <w:vAlign w:val="bottom"/>
          </w:tcPr>
          <w:p>
            <w:pPr>
              <w:spacing w:after="0"/>
              <w:rPr>
                <w:sz w:val="22"/>
                <w:szCs w:val="22"/>
                <w:color w:val="auto"/>
              </w:rPr>
            </w:pPr>
          </w:p>
        </w:tc>
        <w:tc>
          <w:tcPr>
            <w:tcW w:w="1780" w:type="dxa"/>
            <w:vAlign w:val="bottom"/>
          </w:tcPr>
          <w:p>
            <w:pPr>
              <w:jc w:val="center"/>
              <w:spacing w:after="0"/>
              <w:rPr>
                <w:sz w:val="20"/>
                <w:szCs w:val="20"/>
                <w:color w:val="auto"/>
              </w:rPr>
            </w:pPr>
            <w:r>
              <w:rPr>
                <w:rFonts w:ascii="Arial" w:cs="Arial" w:eastAsia="Arial" w:hAnsi="Arial"/>
                <w:sz w:val="20"/>
                <w:szCs w:val="20"/>
                <w:b w:val="1"/>
                <w:bCs w:val="1"/>
                <w:color w:val="auto"/>
                <w:w w:val="85"/>
              </w:rPr>
              <w:t>2012</w:t>
            </w:r>
          </w:p>
        </w:tc>
      </w:tr>
      <w:tr>
        <w:trPr>
          <w:trHeight w:val="23"/>
        </w:trPr>
        <w:tc>
          <w:tcPr>
            <w:tcW w:w="604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54"/>
        </w:trPr>
        <w:tc>
          <w:tcPr>
            <w:tcW w:w="6040" w:type="dxa"/>
            <w:vAlign w:val="bottom"/>
          </w:tcPr>
          <w:p>
            <w:pPr>
              <w:spacing w:after="0"/>
              <w:rPr>
                <w:sz w:val="20"/>
                <w:szCs w:val="20"/>
                <w:color w:val="auto"/>
              </w:rPr>
            </w:pPr>
            <w:r>
              <w:rPr>
                <w:rFonts w:ascii="Arial" w:cs="Arial" w:eastAsia="Arial" w:hAnsi="Arial"/>
                <w:sz w:val="20"/>
                <w:szCs w:val="20"/>
                <w:color w:val="auto"/>
              </w:rPr>
              <w:t>Statutory tax rate</w:t>
            </w:r>
          </w:p>
        </w:tc>
        <w:tc>
          <w:tcPr>
            <w:tcW w:w="1720" w:type="dxa"/>
            <w:vAlign w:val="bottom"/>
          </w:tcPr>
          <w:p>
            <w:pPr>
              <w:jc w:val="right"/>
              <w:spacing w:after="0"/>
              <w:rPr>
                <w:sz w:val="20"/>
                <w:szCs w:val="20"/>
                <w:color w:val="auto"/>
              </w:rPr>
            </w:pPr>
            <w:r>
              <w:rPr>
                <w:rFonts w:ascii="Arial" w:cs="Arial" w:eastAsia="Arial" w:hAnsi="Arial"/>
                <w:sz w:val="20"/>
                <w:szCs w:val="20"/>
                <w:color w:val="auto"/>
              </w:rPr>
              <w:t>38.0%</w:t>
            </w:r>
          </w:p>
        </w:tc>
        <w:tc>
          <w:tcPr>
            <w:tcW w:w="100" w:type="dxa"/>
            <w:vAlign w:val="bottom"/>
          </w:tcPr>
          <w:p>
            <w:pPr>
              <w:spacing w:after="0"/>
              <w:rPr>
                <w:sz w:val="22"/>
                <w:szCs w:val="22"/>
                <w:color w:val="auto"/>
              </w:rPr>
            </w:pPr>
          </w:p>
        </w:tc>
        <w:tc>
          <w:tcPr>
            <w:tcW w:w="1780" w:type="dxa"/>
            <w:vAlign w:val="bottom"/>
          </w:tcPr>
          <w:p>
            <w:pPr>
              <w:jc w:val="right"/>
              <w:spacing w:after="0"/>
              <w:rPr>
                <w:sz w:val="20"/>
                <w:szCs w:val="20"/>
                <w:color w:val="auto"/>
              </w:rPr>
            </w:pPr>
            <w:r>
              <w:rPr>
                <w:rFonts w:ascii="Arial" w:cs="Arial" w:eastAsia="Arial" w:hAnsi="Arial"/>
                <w:sz w:val="20"/>
                <w:szCs w:val="20"/>
                <w:color w:val="auto"/>
              </w:rPr>
              <w:t>40.7 %</w:t>
            </w:r>
          </w:p>
        </w:tc>
      </w:tr>
      <w:tr>
        <w:trPr>
          <w:trHeight w:val="284"/>
        </w:trPr>
        <w:tc>
          <w:tcPr>
            <w:tcW w:w="6040" w:type="dxa"/>
            <w:vAlign w:val="bottom"/>
          </w:tcPr>
          <w:p>
            <w:pPr>
              <w:spacing w:after="0"/>
              <w:rPr>
                <w:sz w:val="20"/>
                <w:szCs w:val="20"/>
                <w:color w:val="auto"/>
              </w:rPr>
            </w:pPr>
            <w:r>
              <w:rPr>
                <w:rFonts w:ascii="Arial" w:cs="Arial" w:eastAsia="Arial" w:hAnsi="Arial"/>
                <w:sz w:val="20"/>
                <w:szCs w:val="20"/>
                <w:color w:val="auto"/>
              </w:rPr>
              <w:t>Adjustments:</w:t>
            </w: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84"/>
        </w:trPr>
        <w:tc>
          <w:tcPr>
            <w:tcW w:w="6040" w:type="dxa"/>
            <w:vAlign w:val="bottom"/>
          </w:tcPr>
          <w:p>
            <w:pPr>
              <w:ind w:left="140"/>
              <w:spacing w:after="0"/>
              <w:rPr>
                <w:sz w:val="20"/>
                <w:szCs w:val="20"/>
                <w:color w:val="auto"/>
              </w:rPr>
            </w:pPr>
            <w:r>
              <w:rPr>
                <w:rFonts w:ascii="Arial" w:cs="Arial" w:eastAsia="Arial" w:hAnsi="Arial"/>
                <w:sz w:val="20"/>
                <w:szCs w:val="20"/>
                <w:color w:val="auto"/>
              </w:rPr>
              <w:t>Expenses not deductible for tax purposes</w:t>
            </w:r>
          </w:p>
        </w:tc>
        <w:tc>
          <w:tcPr>
            <w:tcW w:w="1720" w:type="dxa"/>
            <w:vAlign w:val="bottom"/>
          </w:tcPr>
          <w:p>
            <w:pPr>
              <w:jc w:val="right"/>
              <w:ind w:right="101"/>
              <w:spacing w:after="0"/>
              <w:rPr>
                <w:sz w:val="20"/>
                <w:szCs w:val="20"/>
                <w:color w:val="auto"/>
              </w:rPr>
            </w:pPr>
            <w:r>
              <w:rPr>
                <w:rFonts w:ascii="Arial" w:cs="Arial" w:eastAsia="Arial" w:hAnsi="Arial"/>
                <w:sz w:val="20"/>
                <w:szCs w:val="20"/>
                <w:color w:val="auto"/>
              </w:rPr>
              <w:t>0.1</w:t>
            </w:r>
          </w:p>
        </w:tc>
        <w:tc>
          <w:tcPr>
            <w:tcW w:w="100" w:type="dxa"/>
            <w:vAlign w:val="bottom"/>
          </w:tcPr>
          <w:p>
            <w:pPr>
              <w:spacing w:after="0"/>
              <w:rPr>
                <w:sz w:val="24"/>
                <w:szCs w:val="24"/>
                <w:color w:val="auto"/>
              </w:rPr>
            </w:pPr>
          </w:p>
        </w:tc>
        <w:tc>
          <w:tcPr>
            <w:tcW w:w="1780" w:type="dxa"/>
            <w:vAlign w:val="bottom"/>
          </w:tcPr>
          <w:p>
            <w:pPr>
              <w:jc w:val="right"/>
              <w:ind w:right="101"/>
              <w:spacing w:after="0"/>
              <w:rPr>
                <w:sz w:val="20"/>
                <w:szCs w:val="20"/>
                <w:color w:val="auto"/>
              </w:rPr>
            </w:pPr>
            <w:r>
              <w:rPr>
                <w:rFonts w:ascii="Arial" w:cs="Arial" w:eastAsia="Arial" w:hAnsi="Arial"/>
                <w:sz w:val="20"/>
                <w:szCs w:val="20"/>
                <w:color w:val="auto"/>
              </w:rPr>
              <w:t>(0.1)</w:t>
            </w:r>
          </w:p>
        </w:tc>
      </w:tr>
      <w:tr>
        <w:trPr>
          <w:trHeight w:val="284"/>
        </w:trPr>
        <w:tc>
          <w:tcPr>
            <w:tcW w:w="6040" w:type="dxa"/>
            <w:vAlign w:val="bottom"/>
          </w:tcPr>
          <w:p>
            <w:pPr>
              <w:ind w:left="140"/>
              <w:spacing w:after="0"/>
              <w:rPr>
                <w:sz w:val="20"/>
                <w:szCs w:val="20"/>
                <w:color w:val="auto"/>
              </w:rPr>
            </w:pPr>
            <w:r>
              <w:rPr>
                <w:rFonts w:ascii="Arial" w:cs="Arial" w:eastAsia="Arial" w:hAnsi="Arial"/>
                <w:sz w:val="20"/>
                <w:szCs w:val="20"/>
                <w:color w:val="auto"/>
                <w:w w:val="98"/>
              </w:rPr>
              <w:t>Loss arising from bankruptcy procedure deductible for tax purposes</w:t>
            </w:r>
          </w:p>
        </w:tc>
        <w:tc>
          <w:tcPr>
            <w:tcW w:w="1720" w:type="dxa"/>
            <w:vAlign w:val="bottom"/>
          </w:tcPr>
          <w:p>
            <w:pPr>
              <w:jc w:val="right"/>
              <w:ind w:right="41"/>
              <w:spacing w:after="0"/>
              <w:rPr>
                <w:sz w:val="20"/>
                <w:szCs w:val="20"/>
                <w:color w:val="auto"/>
              </w:rPr>
            </w:pPr>
            <w:r>
              <w:rPr>
                <w:rFonts w:ascii="Arial" w:cs="Arial" w:eastAsia="Arial" w:hAnsi="Arial"/>
                <w:sz w:val="20"/>
                <w:szCs w:val="20"/>
                <w:color w:val="auto"/>
              </w:rPr>
              <w:t>(4.5)</w:t>
            </w:r>
          </w:p>
        </w:tc>
        <w:tc>
          <w:tcPr>
            <w:tcW w:w="100" w:type="dxa"/>
            <w:vAlign w:val="bottom"/>
          </w:tcPr>
          <w:p>
            <w:pPr>
              <w:spacing w:after="0"/>
              <w:rPr>
                <w:sz w:val="24"/>
                <w:szCs w:val="24"/>
                <w:color w:val="auto"/>
              </w:rPr>
            </w:pPr>
          </w:p>
        </w:tc>
        <w:tc>
          <w:tcPr>
            <w:tcW w:w="1780" w:type="dxa"/>
            <w:vAlign w:val="bottom"/>
          </w:tcPr>
          <w:p>
            <w:pPr>
              <w:jc w:val="right"/>
              <w:ind w:right="181"/>
              <w:spacing w:after="0"/>
              <w:rPr>
                <w:sz w:val="20"/>
                <w:szCs w:val="20"/>
                <w:color w:val="auto"/>
              </w:rPr>
            </w:pPr>
            <w:r>
              <w:rPr>
                <w:rFonts w:ascii="Arial" w:cs="Arial" w:eastAsia="Arial" w:hAnsi="Arial"/>
                <w:sz w:val="20"/>
                <w:szCs w:val="20"/>
                <w:color w:val="auto"/>
              </w:rPr>
              <w:t>—</w:t>
            </w:r>
          </w:p>
        </w:tc>
      </w:tr>
      <w:tr>
        <w:trPr>
          <w:trHeight w:val="284"/>
        </w:trPr>
        <w:tc>
          <w:tcPr>
            <w:tcW w:w="6040" w:type="dxa"/>
            <w:vAlign w:val="bottom"/>
          </w:tcPr>
          <w:p>
            <w:pPr>
              <w:ind w:left="140"/>
              <w:spacing w:after="0"/>
              <w:rPr>
                <w:sz w:val="20"/>
                <w:szCs w:val="20"/>
                <w:color w:val="auto"/>
              </w:rPr>
            </w:pPr>
            <w:r>
              <w:rPr>
                <w:rFonts w:ascii="Arial" w:cs="Arial" w:eastAsia="Arial" w:hAnsi="Arial"/>
                <w:sz w:val="20"/>
                <w:szCs w:val="20"/>
                <w:color w:val="auto"/>
              </w:rPr>
              <w:t>Difference in statutory tax rates of foreign subsidiaries</w:t>
            </w:r>
          </w:p>
        </w:tc>
        <w:tc>
          <w:tcPr>
            <w:tcW w:w="1720" w:type="dxa"/>
            <w:vAlign w:val="bottom"/>
          </w:tcPr>
          <w:p>
            <w:pPr>
              <w:jc w:val="right"/>
              <w:ind w:right="41"/>
              <w:spacing w:after="0"/>
              <w:rPr>
                <w:sz w:val="20"/>
                <w:szCs w:val="20"/>
                <w:color w:val="auto"/>
              </w:rPr>
            </w:pPr>
            <w:r>
              <w:rPr>
                <w:rFonts w:ascii="Arial" w:cs="Arial" w:eastAsia="Arial" w:hAnsi="Arial"/>
                <w:sz w:val="20"/>
                <w:szCs w:val="20"/>
                <w:color w:val="auto"/>
              </w:rPr>
              <w:t>(8.0)</w:t>
            </w:r>
          </w:p>
        </w:tc>
        <w:tc>
          <w:tcPr>
            <w:tcW w:w="100" w:type="dxa"/>
            <w:vAlign w:val="bottom"/>
          </w:tcPr>
          <w:p>
            <w:pPr>
              <w:spacing w:after="0"/>
              <w:rPr>
                <w:sz w:val="24"/>
                <w:szCs w:val="24"/>
                <w:color w:val="auto"/>
              </w:rPr>
            </w:pPr>
          </w:p>
        </w:tc>
        <w:tc>
          <w:tcPr>
            <w:tcW w:w="1780" w:type="dxa"/>
            <w:vAlign w:val="bottom"/>
          </w:tcPr>
          <w:p>
            <w:pPr>
              <w:jc w:val="right"/>
              <w:ind w:right="101"/>
              <w:spacing w:after="0"/>
              <w:rPr>
                <w:sz w:val="20"/>
                <w:szCs w:val="20"/>
                <w:color w:val="auto"/>
              </w:rPr>
            </w:pPr>
            <w:r>
              <w:rPr>
                <w:rFonts w:ascii="Arial" w:cs="Arial" w:eastAsia="Arial" w:hAnsi="Arial"/>
                <w:sz w:val="20"/>
                <w:szCs w:val="20"/>
                <w:color w:val="auto"/>
              </w:rPr>
              <w:t>(1.3)</w:t>
            </w:r>
          </w:p>
        </w:tc>
      </w:tr>
      <w:tr>
        <w:trPr>
          <w:trHeight w:val="284"/>
        </w:trPr>
        <w:tc>
          <w:tcPr>
            <w:tcW w:w="6040" w:type="dxa"/>
            <w:vAlign w:val="bottom"/>
          </w:tcPr>
          <w:p>
            <w:pPr>
              <w:ind w:left="140"/>
              <w:spacing w:after="0"/>
              <w:rPr>
                <w:sz w:val="20"/>
                <w:szCs w:val="20"/>
                <w:color w:val="auto"/>
              </w:rPr>
            </w:pPr>
            <w:r>
              <w:rPr>
                <w:rFonts w:ascii="Arial" w:cs="Arial" w:eastAsia="Arial" w:hAnsi="Arial"/>
                <w:sz w:val="20"/>
                <w:szCs w:val="20"/>
                <w:color w:val="auto"/>
              </w:rPr>
              <w:t>Change in valuation allowance</w:t>
            </w:r>
          </w:p>
        </w:tc>
        <w:tc>
          <w:tcPr>
            <w:tcW w:w="1720" w:type="dxa"/>
            <w:vAlign w:val="bottom"/>
          </w:tcPr>
          <w:p>
            <w:pPr>
              <w:jc w:val="right"/>
              <w:ind w:right="41"/>
              <w:spacing w:after="0"/>
              <w:rPr>
                <w:sz w:val="20"/>
                <w:szCs w:val="20"/>
                <w:color w:val="auto"/>
              </w:rPr>
            </w:pPr>
            <w:r>
              <w:rPr>
                <w:rFonts w:ascii="Arial" w:cs="Arial" w:eastAsia="Arial" w:hAnsi="Arial"/>
                <w:sz w:val="20"/>
                <w:szCs w:val="20"/>
                <w:color w:val="auto"/>
              </w:rPr>
              <w:t>(5.2)</w:t>
            </w:r>
          </w:p>
        </w:tc>
        <w:tc>
          <w:tcPr>
            <w:tcW w:w="100" w:type="dxa"/>
            <w:vAlign w:val="bottom"/>
          </w:tcPr>
          <w:p>
            <w:pPr>
              <w:spacing w:after="0"/>
              <w:rPr>
                <w:sz w:val="24"/>
                <w:szCs w:val="24"/>
                <w:color w:val="auto"/>
              </w:rPr>
            </w:pPr>
          </w:p>
        </w:tc>
        <w:tc>
          <w:tcPr>
            <w:tcW w:w="1780" w:type="dxa"/>
            <w:vAlign w:val="bottom"/>
          </w:tcPr>
          <w:p>
            <w:pPr>
              <w:jc w:val="right"/>
              <w:ind w:right="101"/>
              <w:spacing w:after="0"/>
              <w:rPr>
                <w:sz w:val="20"/>
                <w:szCs w:val="20"/>
                <w:color w:val="auto"/>
              </w:rPr>
            </w:pPr>
            <w:r>
              <w:rPr>
                <w:rFonts w:ascii="Arial" w:cs="Arial" w:eastAsia="Arial" w:hAnsi="Arial"/>
                <w:sz w:val="20"/>
                <w:szCs w:val="20"/>
                <w:color w:val="auto"/>
              </w:rPr>
              <w:t>(30.1)</w:t>
            </w:r>
          </w:p>
        </w:tc>
      </w:tr>
      <w:tr>
        <w:trPr>
          <w:trHeight w:val="284"/>
        </w:trPr>
        <w:tc>
          <w:tcPr>
            <w:tcW w:w="6040" w:type="dxa"/>
            <w:vAlign w:val="bottom"/>
          </w:tcPr>
          <w:p>
            <w:pPr>
              <w:ind w:left="140"/>
              <w:spacing w:after="0"/>
              <w:rPr>
                <w:sz w:val="20"/>
                <w:szCs w:val="20"/>
                <w:color w:val="auto"/>
              </w:rPr>
            </w:pPr>
            <w:r>
              <w:rPr>
                <w:rFonts w:ascii="Arial" w:cs="Arial" w:eastAsia="Arial" w:hAnsi="Arial"/>
                <w:sz w:val="20"/>
                <w:szCs w:val="20"/>
                <w:color w:val="auto"/>
              </w:rPr>
              <w:t>Investment credit expired</w:t>
            </w:r>
          </w:p>
        </w:tc>
        <w:tc>
          <w:tcPr>
            <w:tcW w:w="1720" w:type="dxa"/>
            <w:vAlign w:val="bottom"/>
          </w:tcPr>
          <w:p>
            <w:pPr>
              <w:jc w:val="right"/>
              <w:ind w:right="101"/>
              <w:spacing w:after="0"/>
              <w:rPr>
                <w:sz w:val="20"/>
                <w:szCs w:val="20"/>
                <w:color w:val="auto"/>
              </w:rPr>
            </w:pPr>
            <w:r>
              <w:rPr>
                <w:rFonts w:ascii="Arial" w:cs="Arial" w:eastAsia="Arial" w:hAnsi="Arial"/>
                <w:sz w:val="20"/>
                <w:szCs w:val="20"/>
                <w:color w:val="auto"/>
              </w:rPr>
              <w:t>2.4</w:t>
            </w:r>
          </w:p>
        </w:tc>
        <w:tc>
          <w:tcPr>
            <w:tcW w:w="100" w:type="dxa"/>
            <w:vAlign w:val="bottom"/>
          </w:tcPr>
          <w:p>
            <w:pPr>
              <w:spacing w:after="0"/>
              <w:rPr>
                <w:sz w:val="24"/>
                <w:szCs w:val="24"/>
                <w:color w:val="auto"/>
              </w:rPr>
            </w:pPr>
          </w:p>
        </w:tc>
        <w:tc>
          <w:tcPr>
            <w:tcW w:w="1780" w:type="dxa"/>
            <w:vAlign w:val="bottom"/>
          </w:tcPr>
          <w:p>
            <w:pPr>
              <w:jc w:val="right"/>
              <w:ind w:right="101"/>
              <w:spacing w:after="0"/>
              <w:rPr>
                <w:sz w:val="20"/>
                <w:szCs w:val="20"/>
                <w:color w:val="auto"/>
              </w:rPr>
            </w:pPr>
            <w:r>
              <w:rPr>
                <w:rFonts w:ascii="Arial" w:cs="Arial" w:eastAsia="Arial" w:hAnsi="Arial"/>
                <w:sz w:val="20"/>
                <w:szCs w:val="20"/>
                <w:color w:val="auto"/>
              </w:rPr>
              <w:t>(3.9)</w:t>
            </w:r>
          </w:p>
        </w:tc>
      </w:tr>
      <w:tr>
        <w:trPr>
          <w:trHeight w:val="263"/>
        </w:trPr>
        <w:tc>
          <w:tcPr>
            <w:tcW w:w="6040" w:type="dxa"/>
            <w:vAlign w:val="bottom"/>
          </w:tcPr>
          <w:p>
            <w:pPr>
              <w:ind w:left="140"/>
              <w:spacing w:after="0"/>
              <w:rPr>
                <w:sz w:val="20"/>
                <w:szCs w:val="20"/>
                <w:color w:val="auto"/>
              </w:rPr>
            </w:pPr>
            <w:r>
              <w:rPr>
                <w:rFonts w:ascii="Arial" w:cs="Arial" w:eastAsia="Arial" w:hAnsi="Arial"/>
                <w:sz w:val="20"/>
                <w:szCs w:val="20"/>
                <w:color w:val="auto"/>
              </w:rPr>
              <w:t>Difference in tax rates due to Special Corporation Tax for</w:t>
            </w:r>
          </w:p>
        </w:tc>
        <w:tc>
          <w:tcPr>
            <w:tcW w:w="1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80" w:type="dxa"/>
            <w:vAlign w:val="bottom"/>
          </w:tcPr>
          <w:p>
            <w:pPr>
              <w:spacing w:after="0"/>
              <w:rPr>
                <w:sz w:val="22"/>
                <w:szCs w:val="22"/>
                <w:color w:val="auto"/>
              </w:rPr>
            </w:pPr>
          </w:p>
        </w:tc>
      </w:tr>
      <w:tr>
        <w:trPr>
          <w:trHeight w:val="250"/>
        </w:trPr>
        <w:tc>
          <w:tcPr>
            <w:tcW w:w="6040" w:type="dxa"/>
            <w:vAlign w:val="bottom"/>
          </w:tcPr>
          <w:p>
            <w:pPr>
              <w:ind w:left="300"/>
              <w:spacing w:after="0"/>
              <w:rPr>
                <w:sz w:val="20"/>
                <w:szCs w:val="20"/>
                <w:color w:val="auto"/>
              </w:rPr>
            </w:pPr>
            <w:r>
              <w:rPr>
                <w:rFonts w:ascii="Arial" w:cs="Arial" w:eastAsia="Arial" w:hAnsi="Arial"/>
                <w:sz w:val="20"/>
                <w:szCs w:val="20"/>
                <w:color w:val="auto"/>
              </w:rPr>
              <w:t>Reconstruction</w:t>
            </w:r>
          </w:p>
        </w:tc>
        <w:tc>
          <w:tcPr>
            <w:tcW w:w="1720" w:type="dxa"/>
            <w:vAlign w:val="bottom"/>
          </w:tcPr>
          <w:p>
            <w:pPr>
              <w:jc w:val="right"/>
              <w:ind w:right="101"/>
              <w:spacing w:after="0"/>
              <w:rPr>
                <w:sz w:val="20"/>
                <w:szCs w:val="20"/>
                <w:color w:val="auto"/>
              </w:rPr>
            </w:pPr>
            <w:r>
              <w:rPr>
                <w:rFonts w:ascii="Arial" w:cs="Arial" w:eastAsia="Arial" w:hAnsi="Arial"/>
                <w:sz w:val="20"/>
                <w:szCs w:val="20"/>
                <w:color w:val="auto"/>
              </w:rPr>
              <w:t>4.3</w:t>
            </w:r>
          </w:p>
        </w:tc>
        <w:tc>
          <w:tcPr>
            <w:tcW w:w="100" w:type="dxa"/>
            <w:vAlign w:val="bottom"/>
          </w:tcPr>
          <w:p>
            <w:pPr>
              <w:spacing w:after="0"/>
              <w:rPr>
                <w:sz w:val="21"/>
                <w:szCs w:val="21"/>
                <w:color w:val="auto"/>
              </w:rPr>
            </w:pPr>
          </w:p>
        </w:tc>
        <w:tc>
          <w:tcPr>
            <w:tcW w:w="1780" w:type="dxa"/>
            <w:vAlign w:val="bottom"/>
          </w:tcPr>
          <w:p>
            <w:pPr>
              <w:jc w:val="right"/>
              <w:ind w:right="181"/>
              <w:spacing w:after="0"/>
              <w:rPr>
                <w:sz w:val="20"/>
                <w:szCs w:val="20"/>
                <w:color w:val="auto"/>
              </w:rPr>
            </w:pPr>
            <w:r>
              <w:rPr>
                <w:rFonts w:ascii="Arial" w:cs="Arial" w:eastAsia="Arial" w:hAnsi="Arial"/>
                <w:sz w:val="20"/>
                <w:szCs w:val="20"/>
                <w:color w:val="auto"/>
              </w:rPr>
              <w:t>—</w:t>
            </w:r>
          </w:p>
        </w:tc>
      </w:tr>
      <w:tr>
        <w:trPr>
          <w:trHeight w:val="263"/>
        </w:trPr>
        <w:tc>
          <w:tcPr>
            <w:tcW w:w="6040" w:type="dxa"/>
            <w:vAlign w:val="bottom"/>
          </w:tcPr>
          <w:p>
            <w:pPr>
              <w:ind w:left="140"/>
              <w:spacing w:after="0"/>
              <w:rPr>
                <w:sz w:val="20"/>
                <w:szCs w:val="20"/>
                <w:color w:val="auto"/>
              </w:rPr>
            </w:pPr>
            <w:r>
              <w:rPr>
                <w:rFonts w:ascii="Arial" w:cs="Arial" w:eastAsia="Arial" w:hAnsi="Arial"/>
                <w:sz w:val="20"/>
                <w:szCs w:val="20"/>
                <w:color w:val="auto"/>
              </w:rPr>
              <w:t>Revaluation of investments in subsidiaries arising from bankruptcy</w:t>
            </w:r>
          </w:p>
        </w:tc>
        <w:tc>
          <w:tcPr>
            <w:tcW w:w="1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80" w:type="dxa"/>
            <w:vAlign w:val="bottom"/>
          </w:tcPr>
          <w:p>
            <w:pPr>
              <w:spacing w:after="0"/>
              <w:rPr>
                <w:sz w:val="22"/>
                <w:szCs w:val="22"/>
                <w:color w:val="auto"/>
              </w:rPr>
            </w:pPr>
          </w:p>
        </w:tc>
      </w:tr>
      <w:tr>
        <w:trPr>
          <w:trHeight w:val="250"/>
        </w:trPr>
        <w:tc>
          <w:tcPr>
            <w:tcW w:w="6040" w:type="dxa"/>
            <w:vAlign w:val="bottom"/>
          </w:tcPr>
          <w:p>
            <w:pPr>
              <w:ind w:left="300"/>
              <w:spacing w:after="0"/>
              <w:rPr>
                <w:sz w:val="20"/>
                <w:szCs w:val="20"/>
                <w:color w:val="auto"/>
              </w:rPr>
            </w:pPr>
            <w:r>
              <w:rPr>
                <w:rFonts w:ascii="Arial" w:cs="Arial" w:eastAsia="Arial" w:hAnsi="Arial"/>
                <w:sz w:val="20"/>
                <w:szCs w:val="20"/>
                <w:color w:val="auto"/>
              </w:rPr>
              <w:t>procedure</w:t>
            </w:r>
          </w:p>
        </w:tc>
        <w:tc>
          <w:tcPr>
            <w:tcW w:w="1720" w:type="dxa"/>
            <w:vAlign w:val="bottom"/>
          </w:tcPr>
          <w:p>
            <w:pPr>
              <w:jc w:val="right"/>
              <w:ind w:right="41"/>
              <w:spacing w:after="0"/>
              <w:rPr>
                <w:sz w:val="20"/>
                <w:szCs w:val="20"/>
                <w:color w:val="auto"/>
              </w:rPr>
            </w:pPr>
            <w:r>
              <w:rPr>
                <w:rFonts w:ascii="Arial" w:cs="Arial" w:eastAsia="Arial" w:hAnsi="Arial"/>
                <w:sz w:val="20"/>
                <w:szCs w:val="20"/>
                <w:color w:val="auto"/>
              </w:rPr>
              <w:t>(21.4)</w:t>
            </w:r>
          </w:p>
        </w:tc>
        <w:tc>
          <w:tcPr>
            <w:tcW w:w="100" w:type="dxa"/>
            <w:vAlign w:val="bottom"/>
          </w:tcPr>
          <w:p>
            <w:pPr>
              <w:spacing w:after="0"/>
              <w:rPr>
                <w:sz w:val="21"/>
                <w:szCs w:val="21"/>
                <w:color w:val="auto"/>
              </w:rPr>
            </w:pPr>
          </w:p>
        </w:tc>
        <w:tc>
          <w:tcPr>
            <w:tcW w:w="1780" w:type="dxa"/>
            <w:vAlign w:val="bottom"/>
          </w:tcPr>
          <w:p>
            <w:pPr>
              <w:jc w:val="right"/>
              <w:ind w:right="181"/>
              <w:spacing w:after="0"/>
              <w:rPr>
                <w:sz w:val="20"/>
                <w:szCs w:val="20"/>
                <w:color w:val="auto"/>
              </w:rPr>
            </w:pPr>
            <w:r>
              <w:rPr>
                <w:rFonts w:ascii="Arial" w:cs="Arial" w:eastAsia="Arial" w:hAnsi="Arial"/>
                <w:sz w:val="20"/>
                <w:szCs w:val="20"/>
                <w:color w:val="auto"/>
              </w:rPr>
              <w:t>—</w:t>
            </w:r>
          </w:p>
        </w:tc>
      </w:tr>
      <w:tr>
        <w:trPr>
          <w:trHeight w:val="284"/>
        </w:trPr>
        <w:tc>
          <w:tcPr>
            <w:tcW w:w="6040" w:type="dxa"/>
            <w:vAlign w:val="bottom"/>
          </w:tcPr>
          <w:p>
            <w:pPr>
              <w:ind w:left="140"/>
              <w:spacing w:after="0"/>
              <w:rPr>
                <w:sz w:val="20"/>
                <w:szCs w:val="20"/>
                <w:color w:val="auto"/>
              </w:rPr>
            </w:pPr>
            <w:r>
              <w:rPr>
                <w:rFonts w:ascii="Arial" w:cs="Arial" w:eastAsia="Arial" w:hAnsi="Arial"/>
                <w:sz w:val="20"/>
                <w:szCs w:val="20"/>
                <w:color w:val="auto"/>
              </w:rPr>
              <w:t>Other</w:t>
            </w:r>
          </w:p>
        </w:tc>
        <w:tc>
          <w:tcPr>
            <w:tcW w:w="1720" w:type="dxa"/>
            <w:vAlign w:val="bottom"/>
          </w:tcPr>
          <w:p>
            <w:pPr>
              <w:jc w:val="right"/>
              <w:ind w:right="41"/>
              <w:spacing w:after="0"/>
              <w:rPr>
                <w:sz w:val="20"/>
                <w:szCs w:val="20"/>
                <w:color w:val="auto"/>
              </w:rPr>
            </w:pPr>
            <w:r>
              <w:rPr>
                <w:rFonts w:ascii="Arial" w:cs="Arial" w:eastAsia="Arial" w:hAnsi="Arial"/>
                <w:sz w:val="20"/>
                <w:szCs w:val="20"/>
                <w:color w:val="auto"/>
              </w:rPr>
              <w:t>(5.1)</w:t>
            </w:r>
          </w:p>
        </w:tc>
        <w:tc>
          <w:tcPr>
            <w:tcW w:w="100" w:type="dxa"/>
            <w:vAlign w:val="bottom"/>
          </w:tcPr>
          <w:p>
            <w:pPr>
              <w:spacing w:after="0"/>
              <w:rPr>
                <w:sz w:val="24"/>
                <w:szCs w:val="24"/>
                <w:color w:val="auto"/>
              </w:rPr>
            </w:pPr>
          </w:p>
        </w:tc>
        <w:tc>
          <w:tcPr>
            <w:tcW w:w="1780" w:type="dxa"/>
            <w:vAlign w:val="bottom"/>
          </w:tcPr>
          <w:p>
            <w:pPr>
              <w:jc w:val="right"/>
              <w:ind w:right="101"/>
              <w:spacing w:after="0"/>
              <w:rPr>
                <w:sz w:val="20"/>
                <w:szCs w:val="20"/>
                <w:color w:val="auto"/>
              </w:rPr>
            </w:pPr>
            <w:r>
              <w:rPr>
                <w:rFonts w:ascii="Arial" w:cs="Arial" w:eastAsia="Arial" w:hAnsi="Arial"/>
                <w:sz w:val="20"/>
                <w:szCs w:val="20"/>
                <w:color w:val="auto"/>
              </w:rPr>
              <w:t>(5.5)</w:t>
            </w:r>
          </w:p>
        </w:tc>
      </w:tr>
      <w:tr>
        <w:trPr>
          <w:trHeight w:val="23"/>
        </w:trPr>
        <w:tc>
          <w:tcPr>
            <w:tcW w:w="604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72"/>
        </w:trPr>
        <w:tc>
          <w:tcPr>
            <w:tcW w:w="6040" w:type="dxa"/>
            <w:vAlign w:val="bottom"/>
          </w:tcPr>
          <w:p>
            <w:pPr>
              <w:spacing w:after="0"/>
              <w:rPr>
                <w:sz w:val="20"/>
                <w:szCs w:val="20"/>
                <w:color w:val="auto"/>
              </w:rPr>
            </w:pPr>
            <w:r>
              <w:rPr>
                <w:rFonts w:ascii="Arial" w:cs="Arial" w:eastAsia="Arial" w:hAnsi="Arial"/>
                <w:sz w:val="20"/>
                <w:szCs w:val="20"/>
                <w:color w:val="auto"/>
              </w:rPr>
              <w:t>Effective tax rate</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0.6%</w:t>
            </w:r>
          </w:p>
        </w:tc>
        <w:tc>
          <w:tcPr>
            <w:tcW w:w="100" w:type="dxa"/>
            <w:vAlign w:val="bottom"/>
          </w:tcPr>
          <w:p>
            <w:pPr>
              <w:spacing w:after="0"/>
              <w:rPr>
                <w:sz w:val="23"/>
                <w:szCs w:val="23"/>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(0.2)%</w:t>
            </w:r>
          </w:p>
        </w:tc>
      </w:tr>
      <w:tr>
        <w:trPr>
          <w:trHeight w:val="20"/>
        </w:trPr>
        <w:tc>
          <w:tcPr>
            <w:tcW w:w="60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620"/>
          </w:cols>
          <w:pgMar w:left="1040" w:top="553" w:right="239" w:bottom="1440" w:gutter="0" w:footer="0" w:header="0"/>
        </w:sectPr>
      </w:pPr>
    </w:p>
    <w:bookmarkStart w:id="38" w:name="page39"/>
    <w:bookmarkEnd w:id="38"/>
    <w:p>
      <w:pPr>
        <w:jc w:val="center"/>
        <w:ind w:right="440"/>
        <w:spacing w:after="0"/>
        <w:rPr>
          <w:sz w:val="20"/>
          <w:szCs w:val="20"/>
          <w:color w:val="auto"/>
        </w:rPr>
      </w:pPr>
      <w:r>
        <w:rPr>
          <w:rFonts w:ascii="Arial" w:cs="Arial" w:eastAsia="Arial" w:hAnsi="Arial"/>
          <w:sz w:val="18"/>
          <w:szCs w:val="18"/>
          <w:b w:val="1"/>
          <w:bCs w:val="1"/>
          <w:color w:val="auto"/>
        </w:rPr>
        <w:t>ELPIDA MEMORY, INC. AND SUBSIDIARIES</w:t>
      </w:r>
    </w:p>
    <w:p>
      <w:pPr>
        <w:spacing w:after="0" w:line="27"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(DEBTORS-IN-POSSESSION)</w:t>
      </w:r>
    </w:p>
    <w:p>
      <w:pPr>
        <w:spacing w:after="0" w:line="9"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1" w:lineRule="exact"/>
        <w:rPr>
          <w:sz w:val="20"/>
          <w:szCs w:val="20"/>
          <w:color w:val="auto"/>
        </w:rPr>
      </w:pPr>
    </w:p>
    <w:p>
      <w:pPr>
        <w:ind w:left="360" w:hanging="360"/>
        <w:spacing w:after="0"/>
        <w:tabs>
          <w:tab w:leader="none" w:pos="360" w:val="left"/>
        </w:tabs>
        <w:numPr>
          <w:ilvl w:val="0"/>
          <w:numId w:val="26"/>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Significant Components of Deferred Taxes</w:t>
      </w:r>
    </w:p>
    <w:p>
      <w:pPr>
        <w:spacing w:after="0" w:line="67" w:lineRule="exact"/>
        <w:rPr>
          <w:rFonts w:ascii="Arial" w:cs="Arial" w:eastAsia="Arial" w:hAnsi="Arial"/>
          <w:sz w:val="20"/>
          <w:szCs w:val="20"/>
          <w:b w:val="1"/>
          <w:bCs w:val="1"/>
          <w:i w:val="1"/>
          <w:iCs w:val="1"/>
          <w:color w:val="auto"/>
        </w:rPr>
      </w:pPr>
    </w:p>
    <w:p>
      <w:pPr>
        <w:ind w:left="360"/>
        <w:spacing w:after="0" w:line="260" w:lineRule="auto"/>
        <w:rPr>
          <w:rFonts w:ascii="Arial" w:cs="Arial" w:eastAsia="Arial" w:hAnsi="Arial"/>
          <w:sz w:val="20"/>
          <w:szCs w:val="20"/>
          <w:b w:val="1"/>
          <w:bCs w:val="1"/>
          <w:i w:val="1"/>
          <w:iCs w:val="1"/>
          <w:color w:val="auto"/>
        </w:rPr>
      </w:pPr>
      <w:r>
        <w:rPr>
          <w:rFonts w:ascii="Arial" w:cs="Arial" w:eastAsia="Arial" w:hAnsi="Arial"/>
          <w:sz w:val="20"/>
          <w:szCs w:val="20"/>
          <w:color w:val="auto"/>
        </w:rPr>
        <w:t>The tax effects of temporary differences that give rise to significant portions of the deferred tax assets and deferred tax liabilities at February 28, 2013 and March 31, 2012 were as follows:</w:t>
      </w:r>
    </w:p>
    <w:p>
      <w:pPr>
        <w:spacing w:after="0" w:line="144" w:lineRule="exact"/>
        <w:rPr>
          <w:sz w:val="20"/>
          <w:szCs w:val="20"/>
          <w:color w:val="auto"/>
        </w:rPr>
      </w:pPr>
    </w:p>
    <w:tbl>
      <w:tblPr>
        <w:tblLayout w:type="fixed"/>
        <w:tblInd w:w="400" w:type="dxa"/>
        <w:tblCellMar>
          <w:top w:w="0" w:type="dxa"/>
          <w:left w:w="0" w:type="dxa"/>
          <w:bottom w:w="0" w:type="dxa"/>
          <w:right w:w="0" w:type="dxa"/>
        </w:tblCellMar>
      </w:tblPr>
      <w:tr>
        <w:trPr>
          <w:trHeight w:val="230"/>
        </w:trPr>
        <w:tc>
          <w:tcPr>
            <w:tcW w:w="6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gridSpan w:val="2"/>
          </w:tcPr>
          <w:p>
            <w:pPr>
              <w:ind w:left="80"/>
              <w:spacing w:after="0"/>
              <w:rPr>
                <w:sz w:val="20"/>
                <w:szCs w:val="20"/>
                <w:color w:val="auto"/>
              </w:rPr>
            </w:pPr>
            <w:r>
              <w:rPr>
                <w:rFonts w:ascii="Arial" w:cs="Arial" w:eastAsia="Arial" w:hAnsi="Arial"/>
                <w:sz w:val="20"/>
                <w:szCs w:val="20"/>
                <w:b w:val="1"/>
                <w:bCs w:val="1"/>
                <w:color w:val="auto"/>
              </w:rPr>
              <w:t>February 28,</w:t>
            </w:r>
          </w:p>
        </w:tc>
        <w:tc>
          <w:tcPr>
            <w:tcW w:w="280" w:type="dxa"/>
            <w:vAlign w:val="bottom"/>
          </w:tcPr>
          <w:p>
            <w:pPr>
              <w:spacing w:after="0"/>
              <w:rPr>
                <w:sz w:val="19"/>
                <w:szCs w:val="19"/>
                <w:color w:val="auto"/>
              </w:rPr>
            </w:pPr>
          </w:p>
        </w:tc>
        <w:tc>
          <w:tcPr>
            <w:tcW w:w="1400" w:type="dxa"/>
            <w:vAlign w:val="bottom"/>
          </w:tcPr>
          <w:p>
            <w:pPr>
              <w:jc w:val="right"/>
              <w:ind w:right="301"/>
              <w:spacing w:after="0"/>
              <w:rPr>
                <w:sz w:val="20"/>
                <w:szCs w:val="20"/>
                <w:color w:val="auto"/>
              </w:rPr>
            </w:pPr>
            <w:r>
              <w:rPr>
                <w:rFonts w:ascii="Arial" w:cs="Arial" w:eastAsia="Arial" w:hAnsi="Arial"/>
                <w:sz w:val="20"/>
                <w:szCs w:val="20"/>
                <w:b w:val="1"/>
                <w:bCs w:val="1"/>
                <w:color w:val="auto"/>
              </w:rPr>
              <w:t>March 31,</w:t>
            </w:r>
          </w:p>
        </w:tc>
        <w:tc>
          <w:tcPr>
            <w:tcW w:w="0" w:type="dxa"/>
            <w:vAlign w:val="bottom"/>
          </w:tcPr>
          <w:p>
            <w:pPr>
              <w:spacing w:after="0"/>
              <w:rPr>
                <w:sz w:val="1"/>
                <w:szCs w:val="1"/>
                <w:color w:val="auto"/>
              </w:rPr>
            </w:pPr>
          </w:p>
        </w:tc>
      </w:tr>
      <w:tr>
        <w:trPr>
          <w:trHeight w:val="256"/>
        </w:trPr>
        <w:tc>
          <w:tcPr>
            <w:tcW w:w="6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60" w:type="dxa"/>
            <w:vAlign w:val="bottom"/>
          </w:tcPr>
          <w:p>
            <w:pPr>
              <w:jc w:val="right"/>
              <w:ind w:right="541"/>
              <w:spacing w:after="0"/>
              <w:rPr>
                <w:sz w:val="20"/>
                <w:szCs w:val="20"/>
                <w:color w:val="auto"/>
              </w:rPr>
            </w:pPr>
            <w:r>
              <w:rPr>
                <w:rFonts w:ascii="Arial" w:cs="Arial" w:eastAsia="Arial" w:hAnsi="Arial"/>
                <w:sz w:val="20"/>
                <w:szCs w:val="20"/>
                <w:b w:val="1"/>
                <w:bCs w:val="1"/>
                <w:color w:val="auto"/>
              </w:rPr>
              <w:t>2013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0" w:type="dxa"/>
            <w:vAlign w:val="bottom"/>
          </w:tcPr>
          <w:p>
            <w:pPr>
              <w:jc w:val="right"/>
              <w:ind w:right="541"/>
              <w:spacing w:after="0"/>
              <w:rPr>
                <w:sz w:val="20"/>
                <w:szCs w:val="20"/>
                <w:color w:val="auto"/>
              </w:rPr>
            </w:pPr>
            <w:r>
              <w:rPr>
                <w:rFonts w:ascii="Arial" w:cs="Arial" w:eastAsia="Arial" w:hAnsi="Arial"/>
                <w:sz w:val="20"/>
                <w:szCs w:val="20"/>
                <w:b w:val="1"/>
                <w:bCs w:val="1"/>
                <w:color w:val="auto"/>
              </w:rPr>
              <w:t>2012</w:t>
            </w:r>
          </w:p>
        </w:tc>
        <w:tc>
          <w:tcPr>
            <w:tcW w:w="0" w:type="dxa"/>
            <w:vAlign w:val="bottom"/>
          </w:tcPr>
          <w:p>
            <w:pPr>
              <w:spacing w:after="0"/>
              <w:rPr>
                <w:sz w:val="1"/>
                <w:szCs w:val="1"/>
                <w:color w:val="auto"/>
              </w:rPr>
            </w:pPr>
          </w:p>
        </w:tc>
      </w:tr>
      <w:tr>
        <w:trPr>
          <w:trHeight w:val="23"/>
        </w:trPr>
        <w:tc>
          <w:tcPr>
            <w:tcW w:w="6200" w:type="dxa"/>
            <w:vAlign w:val="bottom"/>
            <w:vMerge w:val="restart"/>
          </w:tcPr>
          <w:p>
            <w:pPr>
              <w:spacing w:after="0"/>
              <w:rPr>
                <w:sz w:val="20"/>
                <w:szCs w:val="20"/>
                <w:color w:val="auto"/>
              </w:rPr>
            </w:pPr>
            <w:r>
              <w:rPr>
                <w:rFonts w:ascii="Arial" w:cs="Arial" w:eastAsia="Arial" w:hAnsi="Arial"/>
                <w:sz w:val="20"/>
                <w:szCs w:val="20"/>
                <w:color w:val="auto"/>
              </w:rPr>
              <w:t>Deferred tax assets:</w:t>
            </w: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62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6200" w:type="dxa"/>
            <w:vAlign w:val="bottom"/>
          </w:tcPr>
          <w:p>
            <w:pPr>
              <w:ind w:left="140"/>
              <w:spacing w:after="0"/>
              <w:rPr>
                <w:sz w:val="20"/>
                <w:szCs w:val="20"/>
                <w:color w:val="auto"/>
              </w:rPr>
            </w:pPr>
            <w:r>
              <w:rPr>
                <w:rFonts w:ascii="Arial" w:cs="Arial" w:eastAsia="Arial" w:hAnsi="Arial"/>
                <w:sz w:val="20"/>
                <w:szCs w:val="20"/>
                <w:color w:val="auto"/>
              </w:rPr>
              <w:t>Net operating loss carryforwards</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460" w:type="dxa"/>
            <w:vAlign w:val="bottom"/>
          </w:tcPr>
          <w:p>
            <w:pPr>
              <w:jc w:val="right"/>
              <w:ind w:right="1"/>
              <w:spacing w:after="0"/>
              <w:rPr>
                <w:sz w:val="20"/>
                <w:szCs w:val="20"/>
                <w:color w:val="auto"/>
              </w:rPr>
            </w:pPr>
            <w:r>
              <w:rPr>
                <w:rFonts w:ascii="Arial" w:cs="Arial" w:eastAsia="Arial" w:hAnsi="Arial"/>
                <w:sz w:val="20"/>
                <w:szCs w:val="20"/>
                <w:color w:val="auto"/>
              </w:rPr>
              <w:t>222,208</w:t>
            </w:r>
          </w:p>
        </w:tc>
        <w:tc>
          <w:tcPr>
            <w:tcW w:w="100" w:type="dxa"/>
            <w:vAlign w:val="bottom"/>
          </w:tcPr>
          <w:p>
            <w:pPr>
              <w:spacing w:after="0"/>
              <w:rPr>
                <w:sz w:val="24"/>
                <w:szCs w:val="24"/>
                <w:color w:val="auto"/>
              </w:rPr>
            </w:pPr>
          </w:p>
        </w:tc>
        <w:tc>
          <w:tcPr>
            <w:tcW w:w="2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400" w:type="dxa"/>
            <w:vAlign w:val="bottom"/>
          </w:tcPr>
          <w:p>
            <w:pPr>
              <w:jc w:val="right"/>
              <w:ind w:right="1"/>
              <w:spacing w:after="0"/>
              <w:rPr>
                <w:sz w:val="20"/>
                <w:szCs w:val="20"/>
                <w:color w:val="auto"/>
              </w:rPr>
            </w:pPr>
            <w:r>
              <w:rPr>
                <w:rFonts w:ascii="Arial" w:cs="Arial" w:eastAsia="Arial" w:hAnsi="Arial"/>
                <w:sz w:val="20"/>
                <w:szCs w:val="20"/>
                <w:color w:val="auto"/>
              </w:rPr>
              <w:t>138,353</w:t>
            </w:r>
          </w:p>
        </w:tc>
        <w:tc>
          <w:tcPr>
            <w:tcW w:w="0" w:type="dxa"/>
            <w:vAlign w:val="bottom"/>
          </w:tcPr>
          <w:p>
            <w:pPr>
              <w:spacing w:after="0"/>
              <w:rPr>
                <w:sz w:val="1"/>
                <w:szCs w:val="1"/>
                <w:color w:val="auto"/>
              </w:rPr>
            </w:pPr>
          </w:p>
        </w:tc>
      </w:tr>
      <w:tr>
        <w:trPr>
          <w:trHeight w:val="284"/>
        </w:trPr>
        <w:tc>
          <w:tcPr>
            <w:tcW w:w="6200" w:type="dxa"/>
            <w:vAlign w:val="bottom"/>
          </w:tcPr>
          <w:p>
            <w:pPr>
              <w:ind w:left="140"/>
              <w:spacing w:after="0"/>
              <w:rPr>
                <w:sz w:val="20"/>
                <w:szCs w:val="20"/>
                <w:color w:val="auto"/>
              </w:rPr>
            </w:pPr>
            <w:r>
              <w:rPr>
                <w:rFonts w:ascii="Arial" w:cs="Arial" w:eastAsia="Arial" w:hAnsi="Arial"/>
                <w:sz w:val="20"/>
                <w:szCs w:val="20"/>
                <w:color w:val="auto"/>
              </w:rPr>
              <w:t>Property, plant, and equipment and intangible assets</w:t>
            </w:r>
          </w:p>
        </w:tc>
        <w:tc>
          <w:tcPr>
            <w:tcW w:w="220" w:type="dxa"/>
            <w:vAlign w:val="bottom"/>
          </w:tcPr>
          <w:p>
            <w:pPr>
              <w:spacing w:after="0"/>
              <w:rPr>
                <w:sz w:val="24"/>
                <w:szCs w:val="24"/>
                <w:color w:val="auto"/>
              </w:rPr>
            </w:pPr>
          </w:p>
        </w:tc>
        <w:tc>
          <w:tcPr>
            <w:tcW w:w="1460" w:type="dxa"/>
            <w:vAlign w:val="bottom"/>
          </w:tcPr>
          <w:p>
            <w:pPr>
              <w:jc w:val="right"/>
              <w:ind w:right="1"/>
              <w:spacing w:after="0"/>
              <w:rPr>
                <w:sz w:val="20"/>
                <w:szCs w:val="20"/>
                <w:color w:val="auto"/>
              </w:rPr>
            </w:pPr>
            <w:r>
              <w:rPr>
                <w:rFonts w:ascii="Arial" w:cs="Arial" w:eastAsia="Arial" w:hAnsi="Arial"/>
                <w:sz w:val="20"/>
                <w:szCs w:val="20"/>
                <w:color w:val="auto"/>
              </w:rPr>
              <w:t>10,812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jc w:val="right"/>
              <w:ind w:right="1"/>
              <w:spacing w:after="0"/>
              <w:rPr>
                <w:sz w:val="20"/>
                <w:szCs w:val="20"/>
                <w:color w:val="auto"/>
              </w:rPr>
            </w:pPr>
            <w:r>
              <w:rPr>
                <w:rFonts w:ascii="Arial" w:cs="Arial" w:eastAsia="Arial" w:hAnsi="Arial"/>
                <w:sz w:val="20"/>
                <w:szCs w:val="20"/>
                <w:color w:val="auto"/>
              </w:rPr>
              <w:t>92,388</w:t>
            </w:r>
          </w:p>
        </w:tc>
        <w:tc>
          <w:tcPr>
            <w:tcW w:w="0" w:type="dxa"/>
            <w:vAlign w:val="bottom"/>
          </w:tcPr>
          <w:p>
            <w:pPr>
              <w:spacing w:after="0"/>
              <w:rPr>
                <w:sz w:val="1"/>
                <w:szCs w:val="1"/>
                <w:color w:val="auto"/>
              </w:rPr>
            </w:pPr>
          </w:p>
        </w:tc>
      </w:tr>
      <w:tr>
        <w:trPr>
          <w:trHeight w:val="284"/>
        </w:trPr>
        <w:tc>
          <w:tcPr>
            <w:tcW w:w="6200" w:type="dxa"/>
            <w:vAlign w:val="bottom"/>
          </w:tcPr>
          <w:p>
            <w:pPr>
              <w:ind w:left="140"/>
              <w:spacing w:after="0"/>
              <w:rPr>
                <w:sz w:val="20"/>
                <w:szCs w:val="20"/>
                <w:color w:val="auto"/>
              </w:rPr>
            </w:pPr>
            <w:r>
              <w:rPr>
                <w:rFonts w:ascii="Arial" w:cs="Arial" w:eastAsia="Arial" w:hAnsi="Arial"/>
                <w:sz w:val="20"/>
                <w:szCs w:val="20"/>
                <w:color w:val="auto"/>
              </w:rPr>
              <w:t>Accrued expenses and other current liabilities</w:t>
            </w:r>
          </w:p>
        </w:tc>
        <w:tc>
          <w:tcPr>
            <w:tcW w:w="220" w:type="dxa"/>
            <w:vAlign w:val="bottom"/>
          </w:tcPr>
          <w:p>
            <w:pPr>
              <w:spacing w:after="0"/>
              <w:rPr>
                <w:sz w:val="24"/>
                <w:szCs w:val="24"/>
                <w:color w:val="auto"/>
              </w:rPr>
            </w:pPr>
          </w:p>
        </w:tc>
        <w:tc>
          <w:tcPr>
            <w:tcW w:w="1460" w:type="dxa"/>
            <w:vAlign w:val="bottom"/>
          </w:tcPr>
          <w:p>
            <w:pPr>
              <w:jc w:val="right"/>
              <w:ind w:right="1"/>
              <w:spacing w:after="0"/>
              <w:rPr>
                <w:sz w:val="20"/>
                <w:szCs w:val="20"/>
                <w:color w:val="auto"/>
              </w:rPr>
            </w:pPr>
            <w:r>
              <w:rPr>
                <w:rFonts w:ascii="Arial" w:cs="Arial" w:eastAsia="Arial" w:hAnsi="Arial"/>
                <w:sz w:val="20"/>
                <w:szCs w:val="20"/>
                <w:color w:val="auto"/>
              </w:rPr>
              <w:t>2,101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jc w:val="right"/>
              <w:ind w:right="1"/>
              <w:spacing w:after="0"/>
              <w:rPr>
                <w:sz w:val="20"/>
                <w:szCs w:val="20"/>
                <w:color w:val="auto"/>
              </w:rPr>
            </w:pPr>
            <w:r>
              <w:rPr>
                <w:rFonts w:ascii="Arial" w:cs="Arial" w:eastAsia="Arial" w:hAnsi="Arial"/>
                <w:sz w:val="20"/>
                <w:szCs w:val="20"/>
                <w:color w:val="auto"/>
              </w:rPr>
              <w:t>2,043</w:t>
            </w:r>
          </w:p>
        </w:tc>
        <w:tc>
          <w:tcPr>
            <w:tcW w:w="0" w:type="dxa"/>
            <w:vAlign w:val="bottom"/>
          </w:tcPr>
          <w:p>
            <w:pPr>
              <w:spacing w:after="0"/>
              <w:rPr>
                <w:sz w:val="1"/>
                <w:szCs w:val="1"/>
                <w:color w:val="auto"/>
              </w:rPr>
            </w:pPr>
          </w:p>
        </w:tc>
      </w:tr>
      <w:tr>
        <w:trPr>
          <w:trHeight w:val="284"/>
        </w:trPr>
        <w:tc>
          <w:tcPr>
            <w:tcW w:w="6200" w:type="dxa"/>
            <w:vAlign w:val="bottom"/>
          </w:tcPr>
          <w:p>
            <w:pPr>
              <w:ind w:left="140"/>
              <w:spacing w:after="0"/>
              <w:rPr>
                <w:sz w:val="20"/>
                <w:szCs w:val="20"/>
                <w:color w:val="auto"/>
              </w:rPr>
            </w:pPr>
            <w:r>
              <w:rPr>
                <w:rFonts w:ascii="Arial" w:cs="Arial" w:eastAsia="Arial" w:hAnsi="Arial"/>
                <w:sz w:val="20"/>
                <w:szCs w:val="20"/>
                <w:color w:val="auto"/>
              </w:rPr>
              <w:t>Inventories</w:t>
            </w:r>
          </w:p>
        </w:tc>
        <w:tc>
          <w:tcPr>
            <w:tcW w:w="220" w:type="dxa"/>
            <w:vAlign w:val="bottom"/>
          </w:tcPr>
          <w:p>
            <w:pPr>
              <w:spacing w:after="0"/>
              <w:rPr>
                <w:sz w:val="24"/>
                <w:szCs w:val="24"/>
                <w:color w:val="auto"/>
              </w:rPr>
            </w:pPr>
          </w:p>
        </w:tc>
        <w:tc>
          <w:tcPr>
            <w:tcW w:w="1460" w:type="dxa"/>
            <w:vAlign w:val="bottom"/>
          </w:tcPr>
          <w:p>
            <w:pPr>
              <w:jc w:val="right"/>
              <w:ind w:right="1"/>
              <w:spacing w:after="0"/>
              <w:rPr>
                <w:sz w:val="20"/>
                <w:szCs w:val="20"/>
                <w:color w:val="auto"/>
              </w:rPr>
            </w:pPr>
            <w:r>
              <w:rPr>
                <w:rFonts w:ascii="Arial" w:cs="Arial" w:eastAsia="Arial" w:hAnsi="Arial"/>
                <w:sz w:val="20"/>
                <w:szCs w:val="20"/>
                <w:color w:val="auto"/>
              </w:rPr>
              <w:t>837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jc w:val="right"/>
              <w:ind w:right="1"/>
              <w:spacing w:after="0"/>
              <w:rPr>
                <w:sz w:val="20"/>
                <w:szCs w:val="20"/>
                <w:color w:val="auto"/>
              </w:rPr>
            </w:pPr>
            <w:r>
              <w:rPr>
                <w:rFonts w:ascii="Arial" w:cs="Arial" w:eastAsia="Arial" w:hAnsi="Arial"/>
                <w:sz w:val="20"/>
                <w:szCs w:val="20"/>
                <w:color w:val="auto"/>
              </w:rPr>
              <w:t>3,119</w:t>
            </w:r>
          </w:p>
        </w:tc>
        <w:tc>
          <w:tcPr>
            <w:tcW w:w="0" w:type="dxa"/>
            <w:vAlign w:val="bottom"/>
          </w:tcPr>
          <w:p>
            <w:pPr>
              <w:spacing w:after="0"/>
              <w:rPr>
                <w:sz w:val="1"/>
                <w:szCs w:val="1"/>
                <w:color w:val="auto"/>
              </w:rPr>
            </w:pPr>
          </w:p>
        </w:tc>
      </w:tr>
      <w:tr>
        <w:trPr>
          <w:trHeight w:val="284"/>
        </w:trPr>
        <w:tc>
          <w:tcPr>
            <w:tcW w:w="6200" w:type="dxa"/>
            <w:vAlign w:val="bottom"/>
          </w:tcPr>
          <w:p>
            <w:pPr>
              <w:ind w:left="140"/>
              <w:spacing w:after="0"/>
              <w:rPr>
                <w:sz w:val="20"/>
                <w:szCs w:val="20"/>
                <w:color w:val="auto"/>
              </w:rPr>
            </w:pPr>
            <w:r>
              <w:rPr>
                <w:rFonts w:ascii="Arial" w:cs="Arial" w:eastAsia="Arial" w:hAnsi="Arial"/>
                <w:sz w:val="20"/>
                <w:szCs w:val="20"/>
                <w:color w:val="auto"/>
              </w:rPr>
              <w:t>Allowance for doubtful accounts</w:t>
            </w:r>
          </w:p>
        </w:tc>
        <w:tc>
          <w:tcPr>
            <w:tcW w:w="220" w:type="dxa"/>
            <w:vAlign w:val="bottom"/>
          </w:tcPr>
          <w:p>
            <w:pPr>
              <w:spacing w:after="0"/>
              <w:rPr>
                <w:sz w:val="24"/>
                <w:szCs w:val="24"/>
                <w:color w:val="auto"/>
              </w:rPr>
            </w:pPr>
          </w:p>
        </w:tc>
        <w:tc>
          <w:tcPr>
            <w:tcW w:w="1460" w:type="dxa"/>
            <w:vAlign w:val="bottom"/>
          </w:tcPr>
          <w:p>
            <w:pPr>
              <w:jc w:val="right"/>
              <w:ind w:right="1"/>
              <w:spacing w:after="0"/>
              <w:rPr>
                <w:sz w:val="20"/>
                <w:szCs w:val="20"/>
                <w:color w:val="auto"/>
              </w:rPr>
            </w:pPr>
            <w:r>
              <w:rPr>
                <w:rFonts w:ascii="Arial" w:cs="Arial" w:eastAsia="Arial" w:hAnsi="Arial"/>
                <w:sz w:val="20"/>
                <w:szCs w:val="20"/>
                <w:color w:val="auto"/>
              </w:rPr>
              <w:t>13</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jc w:val="right"/>
              <w:ind w:right="1"/>
              <w:spacing w:after="0"/>
              <w:rPr>
                <w:sz w:val="20"/>
                <w:szCs w:val="20"/>
                <w:color w:val="auto"/>
              </w:rPr>
            </w:pPr>
            <w:r>
              <w:rPr>
                <w:rFonts w:ascii="Arial" w:cs="Arial" w:eastAsia="Arial" w:hAnsi="Arial"/>
                <w:sz w:val="20"/>
                <w:szCs w:val="20"/>
                <w:color w:val="auto"/>
              </w:rPr>
              <w:t>741</w:t>
            </w:r>
          </w:p>
        </w:tc>
        <w:tc>
          <w:tcPr>
            <w:tcW w:w="0" w:type="dxa"/>
            <w:vAlign w:val="bottom"/>
          </w:tcPr>
          <w:p>
            <w:pPr>
              <w:spacing w:after="0"/>
              <w:rPr>
                <w:sz w:val="1"/>
                <w:szCs w:val="1"/>
                <w:color w:val="auto"/>
              </w:rPr>
            </w:pPr>
          </w:p>
        </w:tc>
      </w:tr>
      <w:tr>
        <w:trPr>
          <w:trHeight w:val="284"/>
        </w:trPr>
        <w:tc>
          <w:tcPr>
            <w:tcW w:w="6200" w:type="dxa"/>
            <w:vAlign w:val="bottom"/>
          </w:tcPr>
          <w:p>
            <w:pPr>
              <w:ind w:left="140"/>
              <w:spacing w:after="0"/>
              <w:rPr>
                <w:sz w:val="20"/>
                <w:szCs w:val="20"/>
                <w:color w:val="auto"/>
              </w:rPr>
            </w:pPr>
            <w:r>
              <w:rPr>
                <w:rFonts w:ascii="Arial" w:cs="Arial" w:eastAsia="Arial" w:hAnsi="Arial"/>
                <w:sz w:val="20"/>
                <w:szCs w:val="20"/>
                <w:color w:val="auto"/>
              </w:rPr>
              <w:t>Retirement benefits</w:t>
            </w:r>
          </w:p>
        </w:tc>
        <w:tc>
          <w:tcPr>
            <w:tcW w:w="220" w:type="dxa"/>
            <w:vAlign w:val="bottom"/>
          </w:tcPr>
          <w:p>
            <w:pPr>
              <w:spacing w:after="0"/>
              <w:rPr>
                <w:sz w:val="24"/>
                <w:szCs w:val="24"/>
                <w:color w:val="auto"/>
              </w:rPr>
            </w:pPr>
          </w:p>
        </w:tc>
        <w:tc>
          <w:tcPr>
            <w:tcW w:w="1460" w:type="dxa"/>
            <w:vAlign w:val="bottom"/>
          </w:tcPr>
          <w:p>
            <w:pPr>
              <w:jc w:val="right"/>
              <w:ind w:right="1"/>
              <w:spacing w:after="0"/>
              <w:rPr>
                <w:sz w:val="20"/>
                <w:szCs w:val="20"/>
                <w:color w:val="auto"/>
              </w:rPr>
            </w:pPr>
            <w:r>
              <w:rPr>
                <w:rFonts w:ascii="Arial" w:cs="Arial" w:eastAsia="Arial" w:hAnsi="Arial"/>
                <w:sz w:val="20"/>
                <w:szCs w:val="20"/>
                <w:color w:val="auto"/>
              </w:rPr>
              <w:t>1,772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jc w:val="right"/>
              <w:ind w:right="1"/>
              <w:spacing w:after="0"/>
              <w:rPr>
                <w:sz w:val="20"/>
                <w:szCs w:val="20"/>
                <w:color w:val="auto"/>
              </w:rPr>
            </w:pPr>
            <w:r>
              <w:rPr>
                <w:rFonts w:ascii="Arial" w:cs="Arial" w:eastAsia="Arial" w:hAnsi="Arial"/>
                <w:sz w:val="20"/>
                <w:szCs w:val="20"/>
                <w:color w:val="auto"/>
              </w:rPr>
              <w:t>2,141</w:t>
            </w:r>
          </w:p>
        </w:tc>
        <w:tc>
          <w:tcPr>
            <w:tcW w:w="0" w:type="dxa"/>
            <w:vAlign w:val="bottom"/>
          </w:tcPr>
          <w:p>
            <w:pPr>
              <w:spacing w:after="0"/>
              <w:rPr>
                <w:sz w:val="1"/>
                <w:szCs w:val="1"/>
                <w:color w:val="auto"/>
              </w:rPr>
            </w:pPr>
          </w:p>
        </w:tc>
      </w:tr>
      <w:tr>
        <w:trPr>
          <w:trHeight w:val="284"/>
        </w:trPr>
        <w:tc>
          <w:tcPr>
            <w:tcW w:w="6200" w:type="dxa"/>
            <w:vAlign w:val="bottom"/>
          </w:tcPr>
          <w:p>
            <w:pPr>
              <w:ind w:left="140"/>
              <w:spacing w:after="0"/>
              <w:rPr>
                <w:sz w:val="20"/>
                <w:szCs w:val="20"/>
                <w:color w:val="auto"/>
              </w:rPr>
            </w:pPr>
            <w:r>
              <w:rPr>
                <w:rFonts w:ascii="Arial" w:cs="Arial" w:eastAsia="Arial" w:hAnsi="Arial"/>
                <w:sz w:val="20"/>
                <w:szCs w:val="20"/>
                <w:color w:val="auto"/>
              </w:rPr>
              <w:t>Tax credit carryforwards</w:t>
            </w:r>
          </w:p>
        </w:tc>
        <w:tc>
          <w:tcPr>
            <w:tcW w:w="220" w:type="dxa"/>
            <w:vAlign w:val="bottom"/>
          </w:tcPr>
          <w:p>
            <w:pPr>
              <w:spacing w:after="0"/>
              <w:rPr>
                <w:sz w:val="24"/>
                <w:szCs w:val="24"/>
                <w:color w:val="auto"/>
              </w:rPr>
            </w:pPr>
          </w:p>
        </w:tc>
        <w:tc>
          <w:tcPr>
            <w:tcW w:w="1460" w:type="dxa"/>
            <w:vAlign w:val="bottom"/>
          </w:tcPr>
          <w:p>
            <w:pPr>
              <w:jc w:val="right"/>
              <w:ind w:right="1"/>
              <w:spacing w:after="0"/>
              <w:rPr>
                <w:sz w:val="20"/>
                <w:szCs w:val="20"/>
                <w:color w:val="auto"/>
              </w:rPr>
            </w:pPr>
            <w:r>
              <w:rPr>
                <w:rFonts w:ascii="Arial" w:cs="Arial" w:eastAsia="Arial" w:hAnsi="Arial"/>
                <w:sz w:val="20"/>
                <w:szCs w:val="20"/>
                <w:color w:val="auto"/>
              </w:rPr>
              <w:t>377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jc w:val="right"/>
              <w:ind w:right="1"/>
              <w:spacing w:after="0"/>
              <w:rPr>
                <w:sz w:val="20"/>
                <w:szCs w:val="20"/>
                <w:color w:val="auto"/>
              </w:rPr>
            </w:pPr>
            <w:r>
              <w:rPr>
                <w:rFonts w:ascii="Arial" w:cs="Arial" w:eastAsia="Arial" w:hAnsi="Arial"/>
                <w:sz w:val="20"/>
                <w:szCs w:val="20"/>
                <w:color w:val="auto"/>
              </w:rPr>
              <w:t>3,576</w:t>
            </w:r>
          </w:p>
        </w:tc>
        <w:tc>
          <w:tcPr>
            <w:tcW w:w="0" w:type="dxa"/>
            <w:vAlign w:val="bottom"/>
          </w:tcPr>
          <w:p>
            <w:pPr>
              <w:spacing w:after="0"/>
              <w:rPr>
                <w:sz w:val="1"/>
                <w:szCs w:val="1"/>
                <w:color w:val="auto"/>
              </w:rPr>
            </w:pPr>
          </w:p>
        </w:tc>
      </w:tr>
      <w:tr>
        <w:trPr>
          <w:trHeight w:val="284"/>
        </w:trPr>
        <w:tc>
          <w:tcPr>
            <w:tcW w:w="6200" w:type="dxa"/>
            <w:vAlign w:val="bottom"/>
          </w:tcPr>
          <w:p>
            <w:pPr>
              <w:ind w:left="140"/>
              <w:spacing w:after="0"/>
              <w:rPr>
                <w:sz w:val="20"/>
                <w:szCs w:val="20"/>
                <w:color w:val="auto"/>
              </w:rPr>
            </w:pPr>
            <w:r>
              <w:rPr>
                <w:rFonts w:ascii="Arial" w:cs="Arial" w:eastAsia="Arial" w:hAnsi="Arial"/>
                <w:sz w:val="20"/>
                <w:szCs w:val="20"/>
                <w:color w:val="auto"/>
              </w:rPr>
              <w:t>Impairment of investments in an affiliate</w:t>
            </w:r>
          </w:p>
        </w:tc>
        <w:tc>
          <w:tcPr>
            <w:tcW w:w="220" w:type="dxa"/>
            <w:vAlign w:val="bottom"/>
          </w:tcPr>
          <w:p>
            <w:pPr>
              <w:spacing w:after="0"/>
              <w:rPr>
                <w:sz w:val="24"/>
                <w:szCs w:val="24"/>
                <w:color w:val="auto"/>
              </w:rPr>
            </w:pPr>
          </w:p>
        </w:tc>
        <w:tc>
          <w:tcPr>
            <w:tcW w:w="1460" w:type="dxa"/>
            <w:vAlign w:val="bottom"/>
          </w:tcPr>
          <w:p>
            <w:pPr>
              <w:jc w:val="right"/>
              <w:ind w:right="1"/>
              <w:spacing w:after="0"/>
              <w:rPr>
                <w:sz w:val="20"/>
                <w:szCs w:val="20"/>
                <w:color w:val="auto"/>
              </w:rPr>
            </w:pPr>
            <w:r>
              <w:rPr>
                <w:rFonts w:ascii="Arial" w:cs="Arial" w:eastAsia="Arial" w:hAnsi="Arial"/>
                <w:sz w:val="20"/>
                <w:szCs w:val="20"/>
                <w:color w:val="auto"/>
              </w:rPr>
              <w:t>1,426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jc w:val="right"/>
              <w:ind w:right="1"/>
              <w:spacing w:after="0"/>
              <w:rPr>
                <w:sz w:val="20"/>
                <w:szCs w:val="20"/>
                <w:color w:val="auto"/>
              </w:rPr>
            </w:pPr>
            <w:r>
              <w:rPr>
                <w:rFonts w:ascii="Arial" w:cs="Arial" w:eastAsia="Arial" w:hAnsi="Arial"/>
                <w:sz w:val="20"/>
                <w:szCs w:val="20"/>
                <w:color w:val="auto"/>
              </w:rPr>
              <w:t>1,426</w:t>
            </w:r>
          </w:p>
        </w:tc>
        <w:tc>
          <w:tcPr>
            <w:tcW w:w="0" w:type="dxa"/>
            <w:vAlign w:val="bottom"/>
          </w:tcPr>
          <w:p>
            <w:pPr>
              <w:spacing w:after="0"/>
              <w:rPr>
                <w:sz w:val="1"/>
                <w:szCs w:val="1"/>
                <w:color w:val="auto"/>
              </w:rPr>
            </w:pPr>
          </w:p>
        </w:tc>
      </w:tr>
      <w:tr>
        <w:trPr>
          <w:trHeight w:val="284"/>
        </w:trPr>
        <w:tc>
          <w:tcPr>
            <w:tcW w:w="6200" w:type="dxa"/>
            <w:vAlign w:val="bottom"/>
          </w:tcPr>
          <w:p>
            <w:pPr>
              <w:ind w:left="140"/>
              <w:spacing w:after="0"/>
              <w:rPr>
                <w:sz w:val="20"/>
                <w:szCs w:val="20"/>
                <w:color w:val="auto"/>
              </w:rPr>
            </w:pPr>
            <w:r>
              <w:rPr>
                <w:rFonts w:ascii="Arial" w:cs="Arial" w:eastAsia="Arial" w:hAnsi="Arial"/>
                <w:sz w:val="20"/>
                <w:szCs w:val="20"/>
                <w:color w:val="auto"/>
              </w:rPr>
              <w:t>Other deductible temporary differences</w:t>
            </w:r>
          </w:p>
        </w:tc>
        <w:tc>
          <w:tcPr>
            <w:tcW w:w="220" w:type="dxa"/>
            <w:vAlign w:val="bottom"/>
          </w:tcPr>
          <w:p>
            <w:pPr>
              <w:spacing w:after="0"/>
              <w:rPr>
                <w:sz w:val="24"/>
                <w:szCs w:val="24"/>
                <w:color w:val="auto"/>
              </w:rPr>
            </w:pPr>
          </w:p>
        </w:tc>
        <w:tc>
          <w:tcPr>
            <w:tcW w:w="1460" w:type="dxa"/>
            <w:vAlign w:val="bottom"/>
          </w:tcPr>
          <w:p>
            <w:pPr>
              <w:jc w:val="right"/>
              <w:ind w:right="1"/>
              <w:spacing w:after="0"/>
              <w:rPr>
                <w:sz w:val="20"/>
                <w:szCs w:val="20"/>
                <w:color w:val="auto"/>
              </w:rPr>
            </w:pPr>
            <w:r>
              <w:rPr>
                <w:rFonts w:ascii="Arial" w:cs="Arial" w:eastAsia="Arial" w:hAnsi="Arial"/>
                <w:sz w:val="20"/>
                <w:szCs w:val="20"/>
                <w:color w:val="auto"/>
              </w:rPr>
              <w:t>2,833</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jc w:val="right"/>
              <w:ind w:right="1"/>
              <w:spacing w:after="0"/>
              <w:rPr>
                <w:sz w:val="20"/>
                <w:szCs w:val="20"/>
                <w:color w:val="auto"/>
              </w:rPr>
            </w:pPr>
            <w:r>
              <w:rPr>
                <w:rFonts w:ascii="Arial" w:cs="Arial" w:eastAsia="Arial" w:hAnsi="Arial"/>
                <w:sz w:val="20"/>
                <w:szCs w:val="20"/>
                <w:color w:val="auto"/>
              </w:rPr>
              <w:t>4,958</w:t>
            </w:r>
          </w:p>
        </w:tc>
        <w:tc>
          <w:tcPr>
            <w:tcW w:w="0" w:type="dxa"/>
            <w:vAlign w:val="bottom"/>
          </w:tcPr>
          <w:p>
            <w:pPr>
              <w:spacing w:after="0"/>
              <w:rPr>
                <w:sz w:val="1"/>
                <w:szCs w:val="1"/>
                <w:color w:val="auto"/>
              </w:rPr>
            </w:pPr>
          </w:p>
        </w:tc>
      </w:tr>
      <w:tr>
        <w:trPr>
          <w:trHeight w:val="23"/>
        </w:trPr>
        <w:tc>
          <w:tcPr>
            <w:tcW w:w="6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6200" w:type="dxa"/>
            <w:vAlign w:val="bottom"/>
          </w:tcPr>
          <w:p>
            <w:pPr>
              <w:ind w:left="580"/>
              <w:spacing w:after="0"/>
              <w:rPr>
                <w:sz w:val="20"/>
                <w:szCs w:val="20"/>
                <w:color w:val="auto"/>
              </w:rPr>
            </w:pPr>
            <w:r>
              <w:rPr>
                <w:rFonts w:ascii="Arial" w:cs="Arial" w:eastAsia="Arial" w:hAnsi="Arial"/>
                <w:sz w:val="20"/>
                <w:szCs w:val="20"/>
                <w:color w:val="auto"/>
              </w:rPr>
              <w:t>Total gross deferred tax assets</w:t>
            </w:r>
          </w:p>
        </w:tc>
        <w:tc>
          <w:tcPr>
            <w:tcW w:w="220" w:type="dxa"/>
            <w:vAlign w:val="bottom"/>
          </w:tcPr>
          <w:p>
            <w:pPr>
              <w:spacing w:after="0"/>
              <w:rPr>
                <w:sz w:val="22"/>
                <w:szCs w:val="22"/>
                <w:color w:val="auto"/>
              </w:rPr>
            </w:pPr>
          </w:p>
        </w:tc>
        <w:tc>
          <w:tcPr>
            <w:tcW w:w="1460" w:type="dxa"/>
            <w:vAlign w:val="bottom"/>
          </w:tcPr>
          <w:p>
            <w:pPr>
              <w:jc w:val="right"/>
              <w:ind w:right="1"/>
              <w:spacing w:after="0"/>
              <w:rPr>
                <w:sz w:val="20"/>
                <w:szCs w:val="20"/>
                <w:color w:val="auto"/>
              </w:rPr>
            </w:pPr>
            <w:r>
              <w:rPr>
                <w:rFonts w:ascii="Arial" w:cs="Arial" w:eastAsia="Arial" w:hAnsi="Arial"/>
                <w:sz w:val="20"/>
                <w:szCs w:val="20"/>
                <w:color w:val="auto"/>
              </w:rPr>
              <w:t>242,379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0" w:type="dxa"/>
            <w:vAlign w:val="bottom"/>
          </w:tcPr>
          <w:p>
            <w:pPr>
              <w:jc w:val="right"/>
              <w:ind w:right="1"/>
              <w:spacing w:after="0"/>
              <w:rPr>
                <w:sz w:val="20"/>
                <w:szCs w:val="20"/>
                <w:color w:val="auto"/>
              </w:rPr>
            </w:pPr>
            <w:r>
              <w:rPr>
                <w:rFonts w:ascii="Arial" w:cs="Arial" w:eastAsia="Arial" w:hAnsi="Arial"/>
                <w:sz w:val="20"/>
                <w:szCs w:val="20"/>
                <w:color w:val="auto"/>
              </w:rPr>
              <w:t>248,745</w:t>
            </w:r>
          </w:p>
        </w:tc>
        <w:tc>
          <w:tcPr>
            <w:tcW w:w="0" w:type="dxa"/>
            <w:vAlign w:val="bottom"/>
          </w:tcPr>
          <w:p>
            <w:pPr>
              <w:spacing w:after="0"/>
              <w:rPr>
                <w:sz w:val="1"/>
                <w:szCs w:val="1"/>
                <w:color w:val="auto"/>
              </w:rPr>
            </w:pPr>
          </w:p>
        </w:tc>
      </w:tr>
      <w:tr>
        <w:trPr>
          <w:trHeight w:val="284"/>
        </w:trPr>
        <w:tc>
          <w:tcPr>
            <w:tcW w:w="6200" w:type="dxa"/>
            <w:vAlign w:val="bottom"/>
          </w:tcPr>
          <w:p>
            <w:pPr>
              <w:spacing w:after="0"/>
              <w:rPr>
                <w:sz w:val="20"/>
                <w:szCs w:val="20"/>
                <w:color w:val="auto"/>
              </w:rPr>
            </w:pPr>
            <w:r>
              <w:rPr>
                <w:rFonts w:ascii="Arial" w:cs="Arial" w:eastAsia="Arial" w:hAnsi="Arial"/>
                <w:sz w:val="20"/>
                <w:szCs w:val="20"/>
                <w:color w:val="auto"/>
              </w:rPr>
              <w:t>Less valuation allowance</w:t>
            </w:r>
          </w:p>
        </w:tc>
        <w:tc>
          <w:tcPr>
            <w:tcW w:w="2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(219,642)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(226,522)</w:t>
            </w:r>
          </w:p>
        </w:tc>
        <w:tc>
          <w:tcPr>
            <w:tcW w:w="0" w:type="dxa"/>
            <w:vAlign w:val="bottom"/>
          </w:tcPr>
          <w:p>
            <w:pPr>
              <w:spacing w:after="0"/>
              <w:rPr>
                <w:sz w:val="1"/>
                <w:szCs w:val="1"/>
                <w:color w:val="auto"/>
              </w:rPr>
            </w:pPr>
          </w:p>
        </w:tc>
      </w:tr>
      <w:tr>
        <w:trPr>
          <w:trHeight w:val="23"/>
        </w:trPr>
        <w:tc>
          <w:tcPr>
            <w:tcW w:w="6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6200" w:type="dxa"/>
            <w:vAlign w:val="bottom"/>
          </w:tcPr>
          <w:p>
            <w:pPr>
              <w:ind w:left="580"/>
              <w:spacing w:after="0"/>
              <w:rPr>
                <w:sz w:val="20"/>
                <w:szCs w:val="20"/>
                <w:color w:val="auto"/>
              </w:rPr>
            </w:pPr>
            <w:r>
              <w:rPr>
                <w:rFonts w:ascii="Arial" w:cs="Arial" w:eastAsia="Arial" w:hAnsi="Arial"/>
                <w:sz w:val="20"/>
                <w:szCs w:val="20"/>
                <w:color w:val="auto"/>
              </w:rPr>
              <w:t>Net deferred tax assets</w:t>
            </w:r>
          </w:p>
        </w:tc>
        <w:tc>
          <w:tcPr>
            <w:tcW w:w="220" w:type="dxa"/>
            <w:vAlign w:val="bottom"/>
          </w:tcPr>
          <w:p>
            <w:pPr>
              <w:spacing w:after="0"/>
              <w:rPr>
                <w:sz w:val="22"/>
                <w:szCs w:val="22"/>
                <w:color w:val="auto"/>
              </w:rPr>
            </w:pPr>
          </w:p>
        </w:tc>
        <w:tc>
          <w:tcPr>
            <w:tcW w:w="1460" w:type="dxa"/>
            <w:vAlign w:val="bottom"/>
          </w:tcPr>
          <w:p>
            <w:pPr>
              <w:jc w:val="right"/>
              <w:ind w:right="1"/>
              <w:spacing w:after="0"/>
              <w:rPr>
                <w:sz w:val="20"/>
                <w:szCs w:val="20"/>
                <w:color w:val="auto"/>
              </w:rPr>
            </w:pPr>
            <w:r>
              <w:rPr>
                <w:rFonts w:ascii="Arial" w:cs="Arial" w:eastAsia="Arial" w:hAnsi="Arial"/>
                <w:sz w:val="20"/>
                <w:szCs w:val="20"/>
                <w:color w:val="auto"/>
              </w:rPr>
              <w:t>22,737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0" w:type="dxa"/>
            <w:vAlign w:val="bottom"/>
          </w:tcPr>
          <w:p>
            <w:pPr>
              <w:jc w:val="right"/>
              <w:ind w:right="1"/>
              <w:spacing w:after="0"/>
              <w:rPr>
                <w:sz w:val="20"/>
                <w:szCs w:val="20"/>
                <w:color w:val="auto"/>
              </w:rPr>
            </w:pPr>
            <w:r>
              <w:rPr>
                <w:rFonts w:ascii="Arial" w:cs="Arial" w:eastAsia="Arial" w:hAnsi="Arial"/>
                <w:sz w:val="20"/>
                <w:szCs w:val="20"/>
                <w:color w:val="auto"/>
              </w:rPr>
              <w:t>22,223</w:t>
            </w:r>
          </w:p>
        </w:tc>
        <w:tc>
          <w:tcPr>
            <w:tcW w:w="0" w:type="dxa"/>
            <w:vAlign w:val="bottom"/>
          </w:tcPr>
          <w:p>
            <w:pPr>
              <w:spacing w:after="0"/>
              <w:rPr>
                <w:sz w:val="1"/>
                <w:szCs w:val="1"/>
                <w:color w:val="auto"/>
              </w:rPr>
            </w:pPr>
          </w:p>
        </w:tc>
      </w:tr>
      <w:tr>
        <w:trPr>
          <w:trHeight w:val="23"/>
        </w:trPr>
        <w:tc>
          <w:tcPr>
            <w:tcW w:w="6200" w:type="dxa"/>
            <w:vAlign w:val="bottom"/>
            <w:vMerge w:val="restart"/>
          </w:tcPr>
          <w:p>
            <w:pPr>
              <w:spacing w:after="0"/>
              <w:rPr>
                <w:sz w:val="20"/>
                <w:szCs w:val="20"/>
                <w:color w:val="auto"/>
              </w:rPr>
            </w:pPr>
            <w:r>
              <w:rPr>
                <w:rFonts w:ascii="Arial" w:cs="Arial" w:eastAsia="Arial" w:hAnsi="Arial"/>
                <w:sz w:val="20"/>
                <w:szCs w:val="20"/>
                <w:color w:val="auto"/>
              </w:rPr>
              <w:t>Deferred tax liabilities:</w:t>
            </w: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62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6200" w:type="dxa"/>
            <w:vAlign w:val="bottom"/>
          </w:tcPr>
          <w:p>
            <w:pPr>
              <w:ind w:left="140"/>
              <w:spacing w:after="0"/>
              <w:rPr>
                <w:sz w:val="20"/>
                <w:szCs w:val="20"/>
                <w:color w:val="auto"/>
              </w:rPr>
            </w:pPr>
            <w:r>
              <w:rPr>
                <w:rFonts w:ascii="Arial" w:cs="Arial" w:eastAsia="Arial" w:hAnsi="Arial"/>
                <w:sz w:val="20"/>
                <w:szCs w:val="20"/>
                <w:color w:val="auto"/>
              </w:rPr>
              <w:t>Property, plant, and equipment</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460" w:type="dxa"/>
            <w:vAlign w:val="bottom"/>
          </w:tcPr>
          <w:p>
            <w:pPr>
              <w:jc w:val="right"/>
              <w:spacing w:after="0"/>
              <w:rPr>
                <w:sz w:val="20"/>
                <w:szCs w:val="20"/>
                <w:color w:val="auto"/>
              </w:rPr>
            </w:pPr>
            <w:r>
              <w:rPr>
                <w:rFonts w:ascii="Arial" w:cs="Arial" w:eastAsia="Arial" w:hAnsi="Arial"/>
                <w:sz w:val="20"/>
                <w:szCs w:val="20"/>
                <w:color w:val="auto"/>
              </w:rPr>
              <w:t>(6,335)</w:t>
            </w:r>
          </w:p>
        </w:tc>
        <w:tc>
          <w:tcPr>
            <w:tcW w:w="100" w:type="dxa"/>
            <w:vAlign w:val="bottom"/>
          </w:tcPr>
          <w:p>
            <w:pPr>
              <w:spacing w:after="0"/>
              <w:rPr>
                <w:sz w:val="24"/>
                <w:szCs w:val="24"/>
                <w:color w:val="auto"/>
              </w:rPr>
            </w:pPr>
          </w:p>
        </w:tc>
        <w:tc>
          <w:tcPr>
            <w:tcW w:w="2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400" w:type="dxa"/>
            <w:vAlign w:val="bottom"/>
          </w:tcPr>
          <w:p>
            <w:pPr>
              <w:jc w:val="right"/>
              <w:spacing w:after="0"/>
              <w:rPr>
                <w:sz w:val="20"/>
                <w:szCs w:val="20"/>
                <w:color w:val="auto"/>
              </w:rPr>
            </w:pPr>
            <w:r>
              <w:rPr>
                <w:rFonts w:ascii="Arial" w:cs="Arial" w:eastAsia="Arial" w:hAnsi="Arial"/>
                <w:sz w:val="20"/>
                <w:szCs w:val="20"/>
                <w:color w:val="auto"/>
              </w:rPr>
              <w:t>(16,819)</w:t>
            </w:r>
          </w:p>
        </w:tc>
        <w:tc>
          <w:tcPr>
            <w:tcW w:w="0" w:type="dxa"/>
            <w:vAlign w:val="bottom"/>
          </w:tcPr>
          <w:p>
            <w:pPr>
              <w:spacing w:after="0"/>
              <w:rPr>
                <w:sz w:val="1"/>
                <w:szCs w:val="1"/>
                <w:color w:val="auto"/>
              </w:rPr>
            </w:pPr>
          </w:p>
        </w:tc>
      </w:tr>
      <w:tr>
        <w:trPr>
          <w:trHeight w:val="284"/>
        </w:trPr>
        <w:tc>
          <w:tcPr>
            <w:tcW w:w="6200" w:type="dxa"/>
            <w:vAlign w:val="bottom"/>
          </w:tcPr>
          <w:p>
            <w:pPr>
              <w:ind w:left="140"/>
              <w:spacing w:after="0"/>
              <w:rPr>
                <w:sz w:val="20"/>
                <w:szCs w:val="20"/>
                <w:color w:val="auto"/>
              </w:rPr>
            </w:pPr>
            <w:r>
              <w:rPr>
                <w:rFonts w:ascii="Arial" w:cs="Arial" w:eastAsia="Arial" w:hAnsi="Arial"/>
                <w:sz w:val="20"/>
                <w:szCs w:val="20"/>
                <w:color w:val="auto"/>
              </w:rPr>
              <w:t>Intangible assets</w:t>
            </w:r>
          </w:p>
        </w:tc>
        <w:tc>
          <w:tcPr>
            <w:tcW w:w="2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(325)</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(325)</w:t>
            </w:r>
          </w:p>
        </w:tc>
        <w:tc>
          <w:tcPr>
            <w:tcW w:w="0" w:type="dxa"/>
            <w:vAlign w:val="bottom"/>
          </w:tcPr>
          <w:p>
            <w:pPr>
              <w:spacing w:after="0"/>
              <w:rPr>
                <w:sz w:val="1"/>
                <w:szCs w:val="1"/>
                <w:color w:val="auto"/>
              </w:rPr>
            </w:pPr>
          </w:p>
        </w:tc>
      </w:tr>
      <w:tr>
        <w:trPr>
          <w:trHeight w:val="284"/>
        </w:trPr>
        <w:tc>
          <w:tcPr>
            <w:tcW w:w="6200" w:type="dxa"/>
            <w:vAlign w:val="bottom"/>
          </w:tcPr>
          <w:p>
            <w:pPr>
              <w:ind w:left="140"/>
              <w:spacing w:after="0"/>
              <w:rPr>
                <w:sz w:val="20"/>
                <w:szCs w:val="20"/>
                <w:color w:val="auto"/>
              </w:rPr>
            </w:pPr>
            <w:r>
              <w:rPr>
                <w:rFonts w:ascii="Arial" w:cs="Arial" w:eastAsia="Arial" w:hAnsi="Arial"/>
                <w:sz w:val="20"/>
                <w:szCs w:val="20"/>
                <w:color w:val="auto"/>
              </w:rPr>
              <w:t>Unrealized losses on securities</w:t>
            </w:r>
          </w:p>
        </w:tc>
        <w:tc>
          <w:tcPr>
            <w:tcW w:w="220" w:type="dxa"/>
            <w:vAlign w:val="bottom"/>
          </w:tcPr>
          <w:p>
            <w:pPr>
              <w:spacing w:after="0"/>
              <w:rPr>
                <w:sz w:val="24"/>
                <w:szCs w:val="24"/>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(275)</w:t>
            </w:r>
          </w:p>
        </w:tc>
        <w:tc>
          <w:tcPr>
            <w:tcW w:w="0" w:type="dxa"/>
            <w:vAlign w:val="bottom"/>
          </w:tcPr>
          <w:p>
            <w:pPr>
              <w:spacing w:after="0"/>
              <w:rPr>
                <w:sz w:val="1"/>
                <w:szCs w:val="1"/>
                <w:color w:val="auto"/>
              </w:rPr>
            </w:pPr>
          </w:p>
        </w:tc>
      </w:tr>
      <w:tr>
        <w:trPr>
          <w:trHeight w:val="284"/>
        </w:trPr>
        <w:tc>
          <w:tcPr>
            <w:tcW w:w="6200" w:type="dxa"/>
            <w:vAlign w:val="bottom"/>
          </w:tcPr>
          <w:p>
            <w:pPr>
              <w:ind w:left="140"/>
              <w:spacing w:after="0"/>
              <w:rPr>
                <w:sz w:val="20"/>
                <w:szCs w:val="20"/>
                <w:color w:val="auto"/>
              </w:rPr>
            </w:pPr>
            <w:r>
              <w:rPr>
                <w:rFonts w:ascii="Arial" w:cs="Arial" w:eastAsia="Arial" w:hAnsi="Arial"/>
                <w:sz w:val="20"/>
                <w:szCs w:val="20"/>
                <w:color w:val="auto"/>
              </w:rPr>
              <w:t>Foreign exchange losses</w:t>
            </w:r>
          </w:p>
        </w:tc>
        <w:tc>
          <w:tcPr>
            <w:tcW w:w="220" w:type="dxa"/>
            <w:vAlign w:val="bottom"/>
          </w:tcPr>
          <w:p>
            <w:pPr>
              <w:spacing w:after="0"/>
              <w:rPr>
                <w:sz w:val="24"/>
                <w:szCs w:val="24"/>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(133)</w:t>
            </w:r>
          </w:p>
        </w:tc>
        <w:tc>
          <w:tcPr>
            <w:tcW w:w="0" w:type="dxa"/>
            <w:vAlign w:val="bottom"/>
          </w:tcPr>
          <w:p>
            <w:pPr>
              <w:spacing w:after="0"/>
              <w:rPr>
                <w:sz w:val="1"/>
                <w:szCs w:val="1"/>
                <w:color w:val="auto"/>
              </w:rPr>
            </w:pPr>
          </w:p>
        </w:tc>
      </w:tr>
      <w:tr>
        <w:trPr>
          <w:trHeight w:val="284"/>
        </w:trPr>
        <w:tc>
          <w:tcPr>
            <w:tcW w:w="6200" w:type="dxa"/>
            <w:vAlign w:val="bottom"/>
          </w:tcPr>
          <w:p>
            <w:pPr>
              <w:ind w:left="140"/>
              <w:spacing w:after="0"/>
              <w:rPr>
                <w:sz w:val="20"/>
                <w:szCs w:val="20"/>
                <w:color w:val="auto"/>
              </w:rPr>
            </w:pPr>
            <w:r>
              <w:rPr>
                <w:rFonts w:ascii="Arial" w:cs="Arial" w:eastAsia="Arial" w:hAnsi="Arial"/>
                <w:sz w:val="20"/>
                <w:szCs w:val="20"/>
                <w:color w:val="auto"/>
              </w:rPr>
              <w:t>Temporary difference arising from bankruptcy procedure</w:t>
            </w:r>
          </w:p>
        </w:tc>
        <w:tc>
          <w:tcPr>
            <w:tcW w:w="2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(14,038)</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84"/>
        </w:trPr>
        <w:tc>
          <w:tcPr>
            <w:tcW w:w="6200" w:type="dxa"/>
            <w:vAlign w:val="bottom"/>
          </w:tcPr>
          <w:p>
            <w:pPr>
              <w:ind w:left="140"/>
              <w:spacing w:after="0"/>
              <w:rPr>
                <w:sz w:val="20"/>
                <w:szCs w:val="20"/>
                <w:color w:val="auto"/>
              </w:rPr>
            </w:pPr>
            <w:r>
              <w:rPr>
                <w:rFonts w:ascii="Arial" w:cs="Arial" w:eastAsia="Arial" w:hAnsi="Arial"/>
                <w:sz w:val="20"/>
                <w:szCs w:val="20"/>
                <w:color w:val="auto"/>
              </w:rPr>
              <w:t>Allowance for doubtful accounts</w:t>
            </w:r>
          </w:p>
        </w:tc>
        <w:tc>
          <w:tcPr>
            <w:tcW w:w="2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(1,971)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(4,966)</w:t>
            </w:r>
          </w:p>
        </w:tc>
        <w:tc>
          <w:tcPr>
            <w:tcW w:w="0" w:type="dxa"/>
            <w:vAlign w:val="bottom"/>
          </w:tcPr>
          <w:p>
            <w:pPr>
              <w:spacing w:after="0"/>
              <w:rPr>
                <w:sz w:val="1"/>
                <w:szCs w:val="1"/>
                <w:color w:val="auto"/>
              </w:rPr>
            </w:pPr>
          </w:p>
        </w:tc>
      </w:tr>
      <w:tr>
        <w:trPr>
          <w:trHeight w:val="284"/>
        </w:trPr>
        <w:tc>
          <w:tcPr>
            <w:tcW w:w="6200" w:type="dxa"/>
            <w:vAlign w:val="bottom"/>
          </w:tcPr>
          <w:p>
            <w:pPr>
              <w:ind w:left="140"/>
              <w:spacing w:after="0"/>
              <w:rPr>
                <w:sz w:val="20"/>
                <w:szCs w:val="20"/>
                <w:color w:val="auto"/>
              </w:rPr>
            </w:pPr>
            <w:r>
              <w:rPr>
                <w:rFonts w:ascii="Arial" w:cs="Arial" w:eastAsia="Arial" w:hAnsi="Arial"/>
                <w:sz w:val="20"/>
                <w:szCs w:val="20"/>
                <w:color w:val="auto"/>
              </w:rPr>
              <w:t>Other taxable temporary differences</w:t>
            </w:r>
          </w:p>
        </w:tc>
        <w:tc>
          <w:tcPr>
            <w:tcW w:w="2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(404)</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(193)</w:t>
            </w:r>
          </w:p>
        </w:tc>
        <w:tc>
          <w:tcPr>
            <w:tcW w:w="0" w:type="dxa"/>
            <w:vAlign w:val="bottom"/>
          </w:tcPr>
          <w:p>
            <w:pPr>
              <w:spacing w:after="0"/>
              <w:rPr>
                <w:sz w:val="1"/>
                <w:szCs w:val="1"/>
                <w:color w:val="auto"/>
              </w:rPr>
            </w:pPr>
          </w:p>
        </w:tc>
      </w:tr>
      <w:tr>
        <w:trPr>
          <w:trHeight w:val="23"/>
        </w:trPr>
        <w:tc>
          <w:tcPr>
            <w:tcW w:w="6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6200" w:type="dxa"/>
            <w:vAlign w:val="bottom"/>
          </w:tcPr>
          <w:p>
            <w:pPr>
              <w:ind w:left="580"/>
              <w:spacing w:after="0"/>
              <w:rPr>
                <w:sz w:val="20"/>
                <w:szCs w:val="20"/>
                <w:color w:val="auto"/>
              </w:rPr>
            </w:pPr>
            <w:r>
              <w:rPr>
                <w:rFonts w:ascii="Arial" w:cs="Arial" w:eastAsia="Arial" w:hAnsi="Arial"/>
                <w:sz w:val="20"/>
                <w:szCs w:val="20"/>
                <w:color w:val="auto"/>
              </w:rPr>
              <w:t>Total gross deferred tax liabilities</w:t>
            </w:r>
          </w:p>
        </w:tc>
        <w:tc>
          <w:tcPr>
            <w:tcW w:w="22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(23,073)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(22,711)</w:t>
            </w:r>
          </w:p>
        </w:tc>
        <w:tc>
          <w:tcPr>
            <w:tcW w:w="0" w:type="dxa"/>
            <w:vAlign w:val="bottom"/>
          </w:tcPr>
          <w:p>
            <w:pPr>
              <w:spacing w:after="0"/>
              <w:rPr>
                <w:sz w:val="1"/>
                <w:szCs w:val="1"/>
                <w:color w:val="auto"/>
              </w:rPr>
            </w:pPr>
          </w:p>
        </w:tc>
      </w:tr>
      <w:tr>
        <w:trPr>
          <w:trHeight w:val="23"/>
        </w:trPr>
        <w:tc>
          <w:tcPr>
            <w:tcW w:w="6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200" w:type="dxa"/>
            <w:vAlign w:val="bottom"/>
          </w:tcPr>
          <w:p>
            <w:pPr>
              <w:ind w:left="580"/>
              <w:spacing w:after="0"/>
              <w:rPr>
                <w:sz w:val="20"/>
                <w:szCs w:val="20"/>
                <w:color w:val="auto"/>
              </w:rPr>
            </w:pPr>
            <w:r>
              <w:rPr>
                <w:rFonts w:ascii="Arial" w:cs="Arial" w:eastAsia="Arial" w:hAnsi="Arial"/>
                <w:sz w:val="20"/>
                <w:szCs w:val="20"/>
                <w:color w:val="auto"/>
              </w:rPr>
              <w:t>Net deferred tax liabilities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(336)</w:t>
            </w:r>
          </w:p>
        </w:tc>
        <w:tc>
          <w:tcPr>
            <w:tcW w:w="100" w:type="dxa"/>
            <w:vAlign w:val="bottom"/>
          </w:tcPr>
          <w:p>
            <w:pPr>
              <w:spacing w:after="0"/>
              <w:rPr>
                <w:sz w:val="23"/>
                <w:szCs w:val="23"/>
                <w:color w:val="auto"/>
              </w:rPr>
            </w:pPr>
          </w:p>
        </w:tc>
        <w:tc>
          <w:tcPr>
            <w:tcW w:w="28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(488)</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8" w:lineRule="exact"/>
        <w:rPr>
          <w:sz w:val="20"/>
          <w:szCs w:val="20"/>
          <w:color w:val="auto"/>
        </w:rPr>
      </w:pPr>
    </w:p>
    <w:p>
      <w:pPr>
        <w:jc w:val="both"/>
        <w:ind w:left="360"/>
        <w:spacing w:after="0" w:line="282" w:lineRule="auto"/>
        <w:rPr>
          <w:sz w:val="20"/>
          <w:szCs w:val="20"/>
          <w:color w:val="auto"/>
        </w:rPr>
      </w:pPr>
      <w:r>
        <w:rPr>
          <w:rFonts w:ascii="Arial" w:cs="Arial" w:eastAsia="Arial" w:hAnsi="Arial"/>
          <w:sz w:val="18"/>
          <w:szCs w:val="18"/>
          <w:color w:val="auto"/>
        </w:rPr>
        <w:t>The valuation allowance for deferred tax assets at March 31, 2011 was ¥117,272. The net change in the total valuation allowance was a decrease of ¥6,880 for the eleven months ended February 28, 2013 and an increase of ¥109,250 for the year ended March 31, 2012, respectively. The valuation allowance at February 28, 2013 was primarily related to deferred tax assets associated with net operating loss carryforwards that, in the judgment of management, are not more-likely-than-not to be realized.</w:t>
      </w:r>
    </w:p>
    <w:p>
      <w:pPr>
        <w:spacing w:after="0" w:line="81" w:lineRule="exact"/>
        <w:rPr>
          <w:sz w:val="20"/>
          <w:szCs w:val="20"/>
          <w:color w:val="auto"/>
        </w:rPr>
      </w:pPr>
    </w:p>
    <w:p>
      <w:pPr>
        <w:jc w:val="both"/>
        <w:ind w:left="360"/>
        <w:spacing w:after="0" w:line="243" w:lineRule="auto"/>
        <w:rPr>
          <w:sz w:val="20"/>
          <w:szCs w:val="20"/>
          <w:color w:val="auto"/>
        </w:rPr>
      </w:pPr>
      <w:r>
        <w:rPr>
          <w:rFonts w:ascii="Arial" w:cs="Arial" w:eastAsia="Arial" w:hAnsi="Arial"/>
          <w:sz w:val="20"/>
          <w:szCs w:val="20"/>
          <w:color w:val="auto"/>
        </w:rPr>
        <w:t>In assessing the realizability of deferred tax assets, the Company considers whether it is more-likely-than-not that some portion or all of the deferred tax assets will not be realized. The ultimate realization of deferred tax assets is dependent upon the generation of future taxable income during the periods in which those temporary differences become deductible and tax credit carryforwards are utilized. The Company considers the scheduled reversal of deferred tax liabilities (including the impact of available carryback and carryforward periods), projected future taxable income, and tax-planning strategies in making this assessment. Based upon the level of historical taxable income and projections for future taxable income over the periods in which the deferred tax assets are deductible, the</w:t>
      </w: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80"/>
          </w:cols>
          <w:pgMar w:left="680" w:top="553" w:right="239" w:bottom="1440" w:gutter="0" w:footer="0" w:header="0"/>
        </w:sectPr>
      </w:pPr>
    </w:p>
    <w:bookmarkStart w:id="39" w:name="page40"/>
    <w:bookmarkEnd w:id="39"/>
    <w:p>
      <w:pPr>
        <w:jc w:val="center"/>
        <w:ind w:right="780"/>
        <w:spacing w:after="0"/>
        <w:rPr>
          <w:sz w:val="20"/>
          <w:szCs w:val="20"/>
          <w:color w:val="auto"/>
        </w:rPr>
      </w:pPr>
      <w:r>
        <w:rPr>
          <w:rFonts w:ascii="Arial" w:cs="Arial" w:eastAsia="Arial" w:hAnsi="Arial"/>
          <w:sz w:val="18"/>
          <w:szCs w:val="18"/>
          <w:b w:val="1"/>
          <w:bCs w:val="1"/>
          <w:color w:val="auto"/>
        </w:rPr>
        <w:t>ELPIDA MEMORY, INC. AND SUBSIDIARIES</w:t>
      </w:r>
    </w:p>
    <w:p>
      <w:pPr>
        <w:spacing w:after="0" w:line="27"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(DEBTORS-IN-POSSESSION)</w:t>
      </w:r>
    </w:p>
    <w:p>
      <w:pPr>
        <w:spacing w:after="0" w:line="9"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Company believes it is more-likely-than-not that the Company will realize the benefits of these deductible differences and tax carryforwards, net of the existing valuation allowances at February 28, 2013. The amount of the deferred tax asset considered realizable, however, could be reduced in the near term if estimates of future taxable income during the carryforward period are reduced.</w:t>
      </w:r>
    </w:p>
    <w:p>
      <w:pPr>
        <w:spacing w:after="0" w:line="19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Company has not recognized a deferred tax liability of approximately ¥896 for the undistributed earnings of its foreign operations that arose for the eleven months ended February 28, 2013 and prior years as the Company considers these earnings to be indefinitely reinvested. At February 28, 2013 and March 31, 2012, the undistributed earnings of these subsidiaries are approximately ¥29,481 and ¥23,581, respectively.</w:t>
      </w:r>
    </w:p>
    <w:p>
      <w:pPr>
        <w:spacing w:after="0" w:line="110"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Company restated certain prior year disclosures here in, to conform to the current year presentation and as a result in management’s view, there was no significant impact on the Company’s consolidated financial statements.</w:t>
      </w:r>
    </w:p>
    <w:p>
      <w:pPr>
        <w:spacing w:after="0" w:line="96"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A reconciliation of the beginning and ending amount of total unrecognized tax benefits for the eleven months ended February 28, 2013 and the years ended March 31, 2012 was as follows:</w:t>
      </w:r>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20"/>
                <w:szCs w:val="20"/>
                <w:b w:val="1"/>
                <w:bCs w:val="1"/>
                <w:color w:val="auto"/>
                <w:w w:val="88"/>
              </w:rPr>
              <w:t>Eleven month</w:t>
            </w:r>
          </w:p>
        </w:tc>
        <w:tc>
          <w:tcPr>
            <w:tcW w:w="280" w:type="dxa"/>
            <w:vAlign w:val="bottom"/>
          </w:tcPr>
          <w:p>
            <w:pPr>
              <w:spacing w:after="0"/>
              <w:rPr>
                <w:sz w:val="19"/>
                <w:szCs w:val="19"/>
                <w:color w:val="auto"/>
              </w:rPr>
            </w:pPr>
          </w:p>
        </w:tc>
        <w:tc>
          <w:tcPr>
            <w:tcW w:w="1400" w:type="dxa"/>
            <w:vAlign w:val="bottom"/>
          </w:tcPr>
          <w:p>
            <w:pPr>
              <w:jc w:val="center"/>
              <w:ind w:right="181"/>
              <w:spacing w:after="0"/>
              <w:rPr>
                <w:sz w:val="20"/>
                <w:szCs w:val="20"/>
                <w:color w:val="auto"/>
              </w:rPr>
            </w:pPr>
            <w:r>
              <w:rPr>
                <w:rFonts w:ascii="Arial" w:cs="Arial" w:eastAsia="Arial" w:hAnsi="Arial"/>
                <w:sz w:val="20"/>
                <w:szCs w:val="20"/>
                <w:b w:val="1"/>
                <w:bCs w:val="1"/>
                <w:color w:val="auto"/>
                <w:w w:val="92"/>
              </w:rPr>
              <w:t>Year</w:t>
            </w:r>
          </w:p>
        </w:tc>
      </w:tr>
      <w:tr>
        <w:trPr>
          <w:trHeight w:val="230"/>
        </w:trPr>
        <w:tc>
          <w:tcPr>
            <w:tcW w:w="6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20"/>
                <w:szCs w:val="20"/>
                <w:b w:val="1"/>
                <w:bCs w:val="1"/>
                <w:color w:val="auto"/>
                <w:w w:val="90"/>
              </w:rPr>
              <w:t>ended February</w:t>
            </w:r>
          </w:p>
        </w:tc>
        <w:tc>
          <w:tcPr>
            <w:tcW w:w="280" w:type="dxa"/>
            <w:vAlign w:val="bottom"/>
          </w:tcPr>
          <w:p>
            <w:pPr>
              <w:spacing w:after="0"/>
              <w:rPr>
                <w:sz w:val="19"/>
                <w:szCs w:val="19"/>
                <w:color w:val="auto"/>
              </w:rPr>
            </w:pPr>
          </w:p>
        </w:tc>
        <w:tc>
          <w:tcPr>
            <w:tcW w:w="1400" w:type="dxa"/>
            <w:vAlign w:val="bottom"/>
          </w:tcPr>
          <w:p>
            <w:pPr>
              <w:jc w:val="center"/>
              <w:ind w:right="161"/>
              <w:spacing w:after="0"/>
              <w:rPr>
                <w:sz w:val="20"/>
                <w:szCs w:val="20"/>
                <w:color w:val="auto"/>
              </w:rPr>
            </w:pPr>
            <w:r>
              <w:rPr>
                <w:rFonts w:ascii="Arial" w:cs="Arial" w:eastAsia="Arial" w:hAnsi="Arial"/>
                <w:sz w:val="20"/>
                <w:szCs w:val="20"/>
                <w:b w:val="1"/>
                <w:bCs w:val="1"/>
                <w:color w:val="auto"/>
                <w:w w:val="84"/>
              </w:rPr>
              <w:t>ended</w:t>
            </w:r>
          </w:p>
        </w:tc>
      </w:tr>
      <w:tr>
        <w:trPr>
          <w:trHeight w:val="230"/>
        </w:trPr>
        <w:tc>
          <w:tcPr>
            <w:tcW w:w="6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ind w:right="621"/>
              <w:spacing w:after="0"/>
              <w:rPr>
                <w:sz w:val="20"/>
                <w:szCs w:val="20"/>
                <w:color w:val="auto"/>
              </w:rPr>
            </w:pPr>
            <w:r>
              <w:rPr>
                <w:rFonts w:ascii="Arial" w:cs="Arial" w:eastAsia="Arial" w:hAnsi="Arial"/>
                <w:sz w:val="20"/>
                <w:szCs w:val="20"/>
                <w:b w:val="1"/>
                <w:bCs w:val="1"/>
                <w:color w:val="auto"/>
              </w:rPr>
              <w:t>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center"/>
              <w:ind w:right="161"/>
              <w:spacing w:after="0"/>
              <w:rPr>
                <w:sz w:val="20"/>
                <w:szCs w:val="20"/>
                <w:color w:val="auto"/>
              </w:rPr>
            </w:pPr>
            <w:r>
              <w:rPr>
                <w:rFonts w:ascii="Arial" w:cs="Arial" w:eastAsia="Arial" w:hAnsi="Arial"/>
                <w:sz w:val="20"/>
                <w:szCs w:val="20"/>
                <w:b w:val="1"/>
                <w:bCs w:val="1"/>
                <w:color w:val="auto"/>
                <w:w w:val="93"/>
              </w:rPr>
              <w:t>March 31,</w:t>
            </w:r>
          </w:p>
        </w:tc>
      </w:tr>
      <w:tr>
        <w:trPr>
          <w:trHeight w:val="256"/>
        </w:trPr>
        <w:tc>
          <w:tcPr>
            <w:tcW w:w="6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40" w:type="dxa"/>
            <w:vAlign w:val="bottom"/>
          </w:tcPr>
          <w:p>
            <w:pPr>
              <w:jc w:val="right"/>
              <w:ind w:right="541"/>
              <w:spacing w:after="0"/>
              <w:rPr>
                <w:sz w:val="20"/>
                <w:szCs w:val="20"/>
                <w:color w:val="auto"/>
              </w:rPr>
            </w:pPr>
            <w:r>
              <w:rPr>
                <w:rFonts w:ascii="Arial" w:cs="Arial" w:eastAsia="Arial" w:hAnsi="Arial"/>
                <w:sz w:val="20"/>
                <w:szCs w:val="20"/>
                <w:b w:val="1"/>
                <w:bCs w:val="1"/>
                <w:color w:val="auto"/>
              </w:rPr>
              <w:t>2013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0" w:type="dxa"/>
            <w:vAlign w:val="bottom"/>
          </w:tcPr>
          <w:p>
            <w:pPr>
              <w:jc w:val="center"/>
              <w:ind w:right="181"/>
              <w:spacing w:after="0"/>
              <w:rPr>
                <w:sz w:val="20"/>
                <w:szCs w:val="20"/>
                <w:color w:val="auto"/>
              </w:rPr>
            </w:pPr>
            <w:r>
              <w:rPr>
                <w:rFonts w:ascii="Arial" w:cs="Arial" w:eastAsia="Arial" w:hAnsi="Arial"/>
                <w:sz w:val="20"/>
                <w:szCs w:val="20"/>
                <w:b w:val="1"/>
                <w:bCs w:val="1"/>
                <w:color w:val="auto"/>
                <w:w w:val="89"/>
              </w:rPr>
              <w:t>2012</w:t>
            </w:r>
          </w:p>
        </w:tc>
      </w:tr>
      <w:tr>
        <w:trPr>
          <w:trHeight w:val="23"/>
        </w:trPr>
        <w:tc>
          <w:tcPr>
            <w:tcW w:w="6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4"/>
        </w:trPr>
        <w:tc>
          <w:tcPr>
            <w:tcW w:w="6200" w:type="dxa"/>
            <w:vAlign w:val="bottom"/>
          </w:tcPr>
          <w:p>
            <w:pPr>
              <w:spacing w:after="0"/>
              <w:rPr>
                <w:sz w:val="20"/>
                <w:szCs w:val="20"/>
                <w:color w:val="auto"/>
              </w:rPr>
            </w:pPr>
            <w:r>
              <w:rPr>
                <w:rFonts w:ascii="Arial" w:cs="Arial" w:eastAsia="Arial" w:hAnsi="Arial"/>
                <w:sz w:val="20"/>
                <w:szCs w:val="20"/>
                <w:color w:val="auto"/>
              </w:rPr>
              <w:t>Balance at beginning of period</w:t>
            </w:r>
          </w:p>
        </w:tc>
        <w:tc>
          <w:tcPr>
            <w:tcW w:w="140" w:type="dxa"/>
            <w:vAlign w:val="bottom"/>
          </w:tcPr>
          <w:p>
            <w:pPr>
              <w:jc w:val="right"/>
              <w:spacing w:after="0"/>
              <w:rPr>
                <w:sz w:val="20"/>
                <w:szCs w:val="20"/>
                <w:color w:val="auto"/>
              </w:rPr>
            </w:pPr>
            <w:r>
              <w:rPr>
                <w:rFonts w:ascii="Arial" w:cs="Arial" w:eastAsia="Arial" w:hAnsi="Arial"/>
                <w:sz w:val="20"/>
                <w:szCs w:val="20"/>
                <w:color w:val="auto"/>
              </w:rPr>
              <w:t>¥</w:t>
            </w:r>
          </w:p>
        </w:tc>
        <w:tc>
          <w:tcPr>
            <w:tcW w:w="1540" w:type="dxa"/>
            <w:vAlign w:val="bottom"/>
          </w:tcPr>
          <w:p>
            <w:pPr>
              <w:jc w:val="right"/>
              <w:ind w:right="1"/>
              <w:spacing w:after="0"/>
              <w:rPr>
                <w:sz w:val="20"/>
                <w:szCs w:val="20"/>
                <w:color w:val="auto"/>
              </w:rPr>
            </w:pPr>
            <w:r>
              <w:rPr>
                <w:rFonts w:ascii="Arial" w:cs="Arial" w:eastAsia="Arial" w:hAnsi="Arial"/>
                <w:sz w:val="20"/>
                <w:szCs w:val="20"/>
                <w:color w:val="auto"/>
              </w:rPr>
              <w:t>44</w:t>
            </w:r>
          </w:p>
        </w:tc>
        <w:tc>
          <w:tcPr>
            <w:tcW w:w="100" w:type="dxa"/>
            <w:vAlign w:val="bottom"/>
          </w:tcPr>
          <w:p>
            <w:pPr>
              <w:spacing w:after="0"/>
              <w:rPr>
                <w:sz w:val="22"/>
                <w:szCs w:val="22"/>
                <w:color w:val="auto"/>
              </w:rPr>
            </w:pPr>
          </w:p>
        </w:tc>
        <w:tc>
          <w:tcPr>
            <w:tcW w:w="2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400" w:type="dxa"/>
            <w:vAlign w:val="bottom"/>
          </w:tcPr>
          <w:p>
            <w:pPr>
              <w:jc w:val="right"/>
              <w:ind w:right="1"/>
              <w:spacing w:after="0"/>
              <w:rPr>
                <w:sz w:val="20"/>
                <w:szCs w:val="20"/>
                <w:color w:val="auto"/>
              </w:rPr>
            </w:pPr>
            <w:r>
              <w:rPr>
                <w:rFonts w:ascii="Arial" w:cs="Arial" w:eastAsia="Arial" w:hAnsi="Arial"/>
                <w:sz w:val="20"/>
                <w:szCs w:val="20"/>
                <w:color w:val="auto"/>
              </w:rPr>
              <w:t>1,143</w:t>
            </w:r>
          </w:p>
        </w:tc>
      </w:tr>
      <w:tr>
        <w:trPr>
          <w:trHeight w:val="284"/>
        </w:trPr>
        <w:tc>
          <w:tcPr>
            <w:tcW w:w="6200" w:type="dxa"/>
            <w:vAlign w:val="bottom"/>
          </w:tcPr>
          <w:p>
            <w:pPr>
              <w:ind w:left="140"/>
              <w:spacing w:after="0"/>
              <w:rPr>
                <w:sz w:val="20"/>
                <w:szCs w:val="20"/>
                <w:color w:val="auto"/>
              </w:rPr>
            </w:pPr>
            <w:r>
              <w:rPr>
                <w:rFonts w:ascii="Arial" w:cs="Arial" w:eastAsia="Arial" w:hAnsi="Arial"/>
                <w:sz w:val="20"/>
                <w:szCs w:val="20"/>
                <w:color w:val="auto"/>
              </w:rPr>
              <w:t>Increase related to current year tax positions</w:t>
            </w:r>
          </w:p>
        </w:tc>
        <w:tc>
          <w:tcPr>
            <w:tcW w:w="140" w:type="dxa"/>
            <w:vAlign w:val="bottom"/>
          </w:tcPr>
          <w:p>
            <w:pPr>
              <w:spacing w:after="0"/>
              <w:rPr>
                <w:sz w:val="24"/>
                <w:szCs w:val="24"/>
                <w:color w:val="auto"/>
              </w:rPr>
            </w:pPr>
          </w:p>
        </w:tc>
        <w:tc>
          <w:tcPr>
            <w:tcW w:w="1540" w:type="dxa"/>
            <w:vAlign w:val="bottom"/>
          </w:tcPr>
          <w:p>
            <w:pPr>
              <w:jc w:val="right"/>
              <w:ind w:right="1"/>
              <w:spacing w:after="0"/>
              <w:rPr>
                <w:sz w:val="20"/>
                <w:szCs w:val="20"/>
                <w:color w:val="auto"/>
              </w:rPr>
            </w:pPr>
            <w:r>
              <w:rPr>
                <w:rFonts w:ascii="Arial" w:cs="Arial" w:eastAsia="Arial" w:hAnsi="Arial"/>
                <w:sz w:val="20"/>
                <w:szCs w:val="20"/>
                <w:color w:val="auto"/>
              </w:rPr>
              <w:t>75</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jc w:val="right"/>
              <w:ind w:right="1"/>
              <w:spacing w:after="0"/>
              <w:rPr>
                <w:sz w:val="20"/>
                <w:szCs w:val="20"/>
                <w:color w:val="auto"/>
              </w:rPr>
            </w:pPr>
            <w:r>
              <w:rPr>
                <w:rFonts w:ascii="Arial" w:cs="Arial" w:eastAsia="Arial" w:hAnsi="Arial"/>
                <w:sz w:val="20"/>
                <w:szCs w:val="20"/>
                <w:color w:val="auto"/>
              </w:rPr>
              <w:t>44</w:t>
            </w:r>
          </w:p>
        </w:tc>
      </w:tr>
      <w:tr>
        <w:trPr>
          <w:trHeight w:val="284"/>
        </w:trPr>
        <w:tc>
          <w:tcPr>
            <w:tcW w:w="6200" w:type="dxa"/>
            <w:vAlign w:val="bottom"/>
          </w:tcPr>
          <w:p>
            <w:pPr>
              <w:ind w:left="140"/>
              <w:spacing w:after="0"/>
              <w:rPr>
                <w:sz w:val="20"/>
                <w:szCs w:val="20"/>
                <w:color w:val="auto"/>
              </w:rPr>
            </w:pPr>
            <w:r>
              <w:rPr>
                <w:rFonts w:ascii="Arial" w:cs="Arial" w:eastAsia="Arial" w:hAnsi="Arial"/>
                <w:sz w:val="20"/>
                <w:szCs w:val="20"/>
                <w:color w:val="auto"/>
              </w:rPr>
              <w:t>Settlements</w:t>
            </w:r>
          </w:p>
        </w:tc>
        <w:tc>
          <w:tcPr>
            <w:tcW w:w="140" w:type="dxa"/>
            <w:vAlign w:val="bottom"/>
          </w:tcPr>
          <w:p>
            <w:pPr>
              <w:spacing w:after="0"/>
              <w:rPr>
                <w:sz w:val="24"/>
                <w:szCs w:val="24"/>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(1,143)</w:t>
            </w:r>
          </w:p>
        </w:tc>
      </w:tr>
      <w:tr>
        <w:trPr>
          <w:trHeight w:val="23"/>
        </w:trPr>
        <w:tc>
          <w:tcPr>
            <w:tcW w:w="6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72"/>
        </w:trPr>
        <w:tc>
          <w:tcPr>
            <w:tcW w:w="6200" w:type="dxa"/>
            <w:vAlign w:val="bottom"/>
          </w:tcPr>
          <w:p>
            <w:pPr>
              <w:spacing w:after="0"/>
              <w:rPr>
                <w:sz w:val="20"/>
                <w:szCs w:val="20"/>
                <w:color w:val="auto"/>
              </w:rPr>
            </w:pPr>
            <w:r>
              <w:rPr>
                <w:rFonts w:ascii="Arial" w:cs="Arial" w:eastAsia="Arial" w:hAnsi="Arial"/>
                <w:sz w:val="20"/>
                <w:szCs w:val="20"/>
                <w:color w:val="auto"/>
              </w:rPr>
              <w:t>Balance at end of period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119</w:t>
            </w:r>
          </w:p>
        </w:tc>
        <w:tc>
          <w:tcPr>
            <w:tcW w:w="100" w:type="dxa"/>
            <w:vAlign w:val="bottom"/>
          </w:tcPr>
          <w:p>
            <w:pPr>
              <w:spacing w:after="0"/>
              <w:rPr>
                <w:sz w:val="23"/>
                <w:szCs w:val="23"/>
                <w:color w:val="auto"/>
              </w:rPr>
            </w:pPr>
          </w:p>
        </w:tc>
        <w:tc>
          <w:tcPr>
            <w:tcW w:w="28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4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44</w:t>
            </w:r>
          </w:p>
        </w:tc>
      </w:tr>
      <w:tr>
        <w:trPr>
          <w:trHeight w:val="20"/>
        </w:trPr>
        <w:tc>
          <w:tcPr>
            <w:tcW w:w="6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1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At February 28, 2013 and March 31, 2012, the amount of unrecognized tax benefits that, if recognized, would affect the effective income tax rates is not material</w:t>
      </w:r>
      <w:r>
        <w:rPr>
          <w:rFonts w:ascii="Arial" w:cs="Arial" w:eastAsia="Arial" w:hAnsi="Arial"/>
          <w:sz w:val="18"/>
          <w:szCs w:val="18"/>
          <w:color w:val="auto"/>
        </w:rPr>
        <w:t>.</w:t>
      </w:r>
    </w:p>
    <w:p>
      <w:pPr>
        <w:spacing w:after="0" w:line="9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Although the Company believes its estimates and assumptions of unrecognized tax benefits are reasonable, given the uncertainty regarding when tax authorities will complete their examinations, the items subject to their examinations and the possible outcomes of their examinations, an accurate estimate of significant increases that may occur within the next six months cannot be made at February 28, 2013.</w:t>
      </w:r>
    </w:p>
    <w:p>
      <w:pPr>
        <w:spacing w:after="0" w:line="110"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Company recognizes interest and penalties related to unrecognized tax benefits in interest expense and selling, general, and administrative expenses, respectively, in the consolidated statements of operations. Both the amount of interest and penalties in the consolidated balance sheets accrued at February 28, 2013 and March 31, 2012, and the amount of interest and penalties included in income taxes in the consolidated statements of operations for the eleven months ended February 28, 2013 and the year ended March 31, 2012 are not material.</w:t>
      </w:r>
    </w:p>
    <w:p>
      <w:pPr>
        <w:spacing w:after="0" w:line="11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Company files income tax returns in Japan and various foreign tax jurisdictions. In Japan, the Company is no longer subject to regular income tax examinations by tax authorities for fiscal years prior to the year ended March 31, 2010. In other major foreign tax jurisdictions, including the United States and Taiwan, the Company is no longer subject to income tax examinations by tax authorities for fiscal years prior to the year ended March 31, 2011.</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620"/>
          </w:cols>
          <w:pgMar w:left="1040" w:top="553" w:right="239" w:bottom="1440" w:gutter="0" w:footer="0" w:header="0"/>
        </w:sectPr>
      </w:pPr>
    </w:p>
    <w:bookmarkStart w:id="40" w:name="page41"/>
    <w:bookmarkEnd w:id="40"/>
    <w:p>
      <w:pPr>
        <w:jc w:val="center"/>
        <w:ind w:right="20"/>
        <w:spacing w:after="0"/>
        <w:rPr>
          <w:sz w:val="20"/>
          <w:szCs w:val="20"/>
          <w:color w:val="auto"/>
        </w:rPr>
      </w:pPr>
      <w:r>
        <w:rPr>
          <w:rFonts w:ascii="Arial" w:cs="Arial" w:eastAsia="Arial" w:hAnsi="Arial"/>
          <w:sz w:val="18"/>
          <w:szCs w:val="18"/>
          <w:b w:val="1"/>
          <w:bCs w:val="1"/>
          <w:color w:val="auto"/>
        </w:rPr>
        <w:t>ELPIDA MEMORY,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(DEBTORS-IN-POSSESSION)</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1" w:lineRule="exact"/>
        <w:rPr>
          <w:sz w:val="20"/>
          <w:szCs w:val="20"/>
          <w:color w:val="auto"/>
        </w:rPr>
      </w:pPr>
    </w:p>
    <w:p>
      <w:pPr>
        <w:ind w:left="780" w:right="20"/>
        <w:spacing w:after="0" w:line="260" w:lineRule="auto"/>
        <w:rPr>
          <w:sz w:val="20"/>
          <w:szCs w:val="20"/>
          <w:color w:val="auto"/>
        </w:rPr>
      </w:pPr>
      <w:r>
        <w:rPr>
          <w:rFonts w:ascii="Arial" w:cs="Arial" w:eastAsia="Arial" w:hAnsi="Arial"/>
          <w:sz w:val="20"/>
          <w:szCs w:val="20"/>
          <w:color w:val="auto"/>
        </w:rPr>
        <w:t>Net operating loss and tax credit carryforwards are available to reduce future income taxes. If not utilized, such operating loss and tax credit carryforwards expire as follows:</w:t>
      </w:r>
    </w:p>
    <w:p>
      <w:pPr>
        <w:spacing w:after="0" w:line="252" w:lineRule="exact"/>
        <w:rPr>
          <w:sz w:val="20"/>
          <w:szCs w:val="20"/>
          <w:color w:val="auto"/>
        </w:rPr>
      </w:pPr>
    </w:p>
    <w:tbl>
      <w:tblPr>
        <w:tblLayout w:type="fixed"/>
        <w:tblInd w:w="820" w:type="dxa"/>
        <w:tblCellMar>
          <w:top w:w="0" w:type="dxa"/>
          <w:left w:w="0" w:type="dxa"/>
          <w:bottom w:w="0" w:type="dxa"/>
          <w:right w:w="0" w:type="dxa"/>
        </w:tblCellMar>
      </w:tblPr>
      <w:tr>
        <w:trPr>
          <w:trHeight w:val="256"/>
        </w:trPr>
        <w:tc>
          <w:tcPr>
            <w:tcW w:w="6180" w:type="dxa"/>
            <w:vAlign w:val="bottom"/>
          </w:tcPr>
          <w:p>
            <w:pPr>
              <w:spacing w:after="0"/>
              <w:rPr>
                <w:sz w:val="22"/>
                <w:szCs w:val="22"/>
                <w:color w:val="auto"/>
              </w:rPr>
            </w:pPr>
          </w:p>
        </w:tc>
        <w:tc>
          <w:tcPr>
            <w:tcW w:w="1680" w:type="dxa"/>
            <w:vAlign w:val="bottom"/>
            <w:gridSpan w:val="2"/>
          </w:tcPr>
          <w:p>
            <w:pPr>
              <w:jc w:val="right"/>
              <w:spacing w:after="0"/>
              <w:rPr>
                <w:sz w:val="20"/>
                <w:szCs w:val="20"/>
                <w:color w:val="auto"/>
              </w:rPr>
            </w:pPr>
            <w:r>
              <w:rPr>
                <w:rFonts w:ascii="Arial" w:cs="Arial" w:eastAsia="Arial" w:hAnsi="Arial"/>
                <w:sz w:val="20"/>
                <w:szCs w:val="20"/>
                <w:b w:val="1"/>
                <w:bCs w:val="1"/>
                <w:color w:val="auto"/>
                <w:w w:val="94"/>
              </w:rPr>
              <w:t>February 28, 2013</w:t>
            </w:r>
          </w:p>
        </w:tc>
      </w:tr>
      <w:tr>
        <w:trPr>
          <w:trHeight w:val="23"/>
        </w:trPr>
        <w:tc>
          <w:tcPr>
            <w:tcW w:w="61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4"/>
        </w:trPr>
        <w:tc>
          <w:tcPr>
            <w:tcW w:w="6180" w:type="dxa"/>
            <w:vAlign w:val="bottom"/>
          </w:tcPr>
          <w:p>
            <w:pPr>
              <w:spacing w:after="0"/>
              <w:rPr>
                <w:sz w:val="20"/>
                <w:szCs w:val="20"/>
                <w:color w:val="auto"/>
              </w:rPr>
            </w:pPr>
            <w:r>
              <w:rPr>
                <w:rFonts w:ascii="Arial" w:cs="Arial" w:eastAsia="Arial" w:hAnsi="Arial"/>
                <w:sz w:val="20"/>
                <w:szCs w:val="20"/>
                <w:color w:val="auto"/>
              </w:rPr>
              <w:t>Within 1 year</w:t>
            </w:r>
          </w:p>
        </w:tc>
        <w:tc>
          <w:tcPr>
            <w:tcW w:w="540" w:type="dxa"/>
            <w:vAlign w:val="bottom"/>
          </w:tcPr>
          <w:p>
            <w:pPr>
              <w:jc w:val="right"/>
              <w:ind w:right="321"/>
              <w:spacing w:after="0"/>
              <w:rPr>
                <w:sz w:val="20"/>
                <w:szCs w:val="20"/>
                <w:color w:val="auto"/>
              </w:rPr>
            </w:pPr>
            <w:r>
              <w:rPr>
                <w:rFonts w:ascii="Arial" w:cs="Arial" w:eastAsia="Arial" w:hAnsi="Arial"/>
                <w:sz w:val="20"/>
                <w:szCs w:val="20"/>
                <w:color w:val="auto"/>
                <w:w w:val="89"/>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84"/>
        </w:trPr>
        <w:tc>
          <w:tcPr>
            <w:tcW w:w="6180" w:type="dxa"/>
            <w:vAlign w:val="bottom"/>
          </w:tcPr>
          <w:p>
            <w:pPr>
              <w:spacing w:after="0"/>
              <w:rPr>
                <w:sz w:val="20"/>
                <w:szCs w:val="20"/>
                <w:color w:val="auto"/>
              </w:rPr>
            </w:pPr>
            <w:r>
              <w:rPr>
                <w:rFonts w:ascii="Arial" w:cs="Arial" w:eastAsia="Arial" w:hAnsi="Arial"/>
                <w:sz w:val="20"/>
                <w:szCs w:val="20"/>
                <w:color w:val="auto"/>
              </w:rPr>
              <w:t>Within 2 years</w:t>
            </w:r>
          </w:p>
        </w:tc>
        <w:tc>
          <w:tcPr>
            <w:tcW w:w="5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20,655</w:t>
            </w:r>
          </w:p>
        </w:tc>
      </w:tr>
      <w:tr>
        <w:trPr>
          <w:trHeight w:val="284"/>
        </w:trPr>
        <w:tc>
          <w:tcPr>
            <w:tcW w:w="6180" w:type="dxa"/>
            <w:vAlign w:val="bottom"/>
          </w:tcPr>
          <w:p>
            <w:pPr>
              <w:spacing w:after="0"/>
              <w:rPr>
                <w:sz w:val="20"/>
                <w:szCs w:val="20"/>
                <w:color w:val="auto"/>
              </w:rPr>
            </w:pPr>
            <w:r>
              <w:rPr>
                <w:rFonts w:ascii="Arial" w:cs="Arial" w:eastAsia="Arial" w:hAnsi="Arial"/>
                <w:sz w:val="20"/>
                <w:szCs w:val="20"/>
                <w:color w:val="auto"/>
              </w:rPr>
              <w:t>Within 3 years</w:t>
            </w:r>
          </w:p>
        </w:tc>
        <w:tc>
          <w:tcPr>
            <w:tcW w:w="5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84"/>
        </w:trPr>
        <w:tc>
          <w:tcPr>
            <w:tcW w:w="6180" w:type="dxa"/>
            <w:vAlign w:val="bottom"/>
          </w:tcPr>
          <w:p>
            <w:pPr>
              <w:spacing w:after="0"/>
              <w:rPr>
                <w:sz w:val="20"/>
                <w:szCs w:val="20"/>
                <w:color w:val="auto"/>
              </w:rPr>
            </w:pPr>
            <w:r>
              <w:rPr>
                <w:rFonts w:ascii="Arial" w:cs="Arial" w:eastAsia="Arial" w:hAnsi="Arial"/>
                <w:sz w:val="20"/>
                <w:szCs w:val="20"/>
                <w:color w:val="auto"/>
              </w:rPr>
              <w:t>Within 4 years</w:t>
            </w:r>
          </w:p>
        </w:tc>
        <w:tc>
          <w:tcPr>
            <w:tcW w:w="5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84"/>
        </w:trPr>
        <w:tc>
          <w:tcPr>
            <w:tcW w:w="6180" w:type="dxa"/>
            <w:vAlign w:val="bottom"/>
          </w:tcPr>
          <w:p>
            <w:pPr>
              <w:spacing w:after="0"/>
              <w:rPr>
                <w:sz w:val="20"/>
                <w:szCs w:val="20"/>
                <w:color w:val="auto"/>
              </w:rPr>
            </w:pPr>
            <w:r>
              <w:rPr>
                <w:rFonts w:ascii="Arial" w:cs="Arial" w:eastAsia="Arial" w:hAnsi="Arial"/>
                <w:sz w:val="20"/>
                <w:szCs w:val="20"/>
                <w:color w:val="auto"/>
              </w:rPr>
              <w:t>Within 5 years</w:t>
            </w:r>
          </w:p>
        </w:tc>
        <w:tc>
          <w:tcPr>
            <w:tcW w:w="5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84"/>
        </w:trPr>
        <w:tc>
          <w:tcPr>
            <w:tcW w:w="6180" w:type="dxa"/>
            <w:vAlign w:val="bottom"/>
          </w:tcPr>
          <w:p>
            <w:pPr>
              <w:spacing w:after="0"/>
              <w:rPr>
                <w:sz w:val="20"/>
                <w:szCs w:val="20"/>
                <w:color w:val="auto"/>
              </w:rPr>
            </w:pPr>
            <w:r>
              <w:rPr>
                <w:rFonts w:ascii="Arial" w:cs="Arial" w:eastAsia="Arial" w:hAnsi="Arial"/>
                <w:sz w:val="20"/>
                <w:szCs w:val="20"/>
                <w:color w:val="auto"/>
              </w:rPr>
              <w:t>After 5 to 10 years</w:t>
            </w:r>
          </w:p>
        </w:tc>
        <w:tc>
          <w:tcPr>
            <w:tcW w:w="5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622,778</w:t>
            </w:r>
          </w:p>
        </w:tc>
      </w:tr>
      <w:tr>
        <w:trPr>
          <w:trHeight w:val="23"/>
        </w:trPr>
        <w:tc>
          <w:tcPr>
            <w:tcW w:w="61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72"/>
        </w:trPr>
        <w:tc>
          <w:tcPr>
            <w:tcW w:w="6180" w:type="dxa"/>
            <w:vAlign w:val="bottom"/>
          </w:tcPr>
          <w:p>
            <w:pPr>
              <w:spacing w:after="0"/>
              <w:rPr>
                <w:sz w:val="20"/>
                <w:szCs w:val="20"/>
                <w:color w:val="auto"/>
              </w:rPr>
            </w:pPr>
            <w:r>
              <w:rPr>
                <w:rFonts w:ascii="Arial" w:cs="Arial" w:eastAsia="Arial" w:hAnsi="Arial"/>
                <w:sz w:val="20"/>
                <w:szCs w:val="20"/>
                <w:color w:val="auto"/>
              </w:rPr>
              <w:t>Balance at end of year</w:t>
            </w:r>
          </w:p>
        </w:tc>
        <w:tc>
          <w:tcPr>
            <w:tcW w:w="540" w:type="dxa"/>
            <w:vAlign w:val="bottom"/>
            <w:tcBorders>
              <w:bottom w:val="single" w:sz="8" w:color="auto"/>
            </w:tcBorders>
          </w:tcPr>
          <w:p>
            <w:pPr>
              <w:jc w:val="right"/>
              <w:ind w:right="321"/>
              <w:spacing w:after="0"/>
              <w:rPr>
                <w:sz w:val="20"/>
                <w:szCs w:val="20"/>
                <w:color w:val="auto"/>
              </w:rPr>
            </w:pPr>
            <w:r>
              <w:rPr>
                <w:rFonts w:ascii="Arial" w:cs="Arial" w:eastAsia="Arial" w:hAnsi="Arial"/>
                <w:sz w:val="20"/>
                <w:szCs w:val="20"/>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643,433</w:t>
            </w:r>
          </w:p>
        </w:tc>
      </w:tr>
      <w:tr>
        <w:trPr>
          <w:trHeight w:val="20"/>
        </w:trPr>
        <w:tc>
          <w:tcPr>
            <w:tcW w:w="6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left="440" w:hanging="438"/>
        <w:spacing w:after="0"/>
        <w:tabs>
          <w:tab w:leader="none" w:pos="440" w:val="left"/>
        </w:tabs>
        <w:numPr>
          <w:ilvl w:val="0"/>
          <w:numId w:val="27"/>
        </w:numPr>
        <w:rPr>
          <w:rFonts w:ascii="Arial" w:cs="Arial" w:eastAsia="Arial" w:hAnsi="Arial"/>
          <w:sz w:val="20"/>
          <w:szCs w:val="20"/>
          <w:b w:val="1"/>
          <w:bCs w:val="1"/>
          <w:color w:val="auto"/>
        </w:rPr>
      </w:pPr>
      <w:r>
        <w:rPr>
          <w:rFonts w:ascii="Arial" w:cs="Arial" w:eastAsia="Arial" w:hAnsi="Arial"/>
          <w:sz w:val="20"/>
          <w:szCs w:val="20"/>
          <w:b w:val="1"/>
          <w:bCs w:val="1"/>
          <w:color w:val="auto"/>
        </w:rPr>
        <w:t>Redeemable Noncontrolling Interest</w:t>
      </w:r>
    </w:p>
    <w:p>
      <w:pPr>
        <w:spacing w:after="0" w:line="113" w:lineRule="exact"/>
        <w:rPr>
          <w:rFonts w:ascii="Arial" w:cs="Arial" w:eastAsia="Arial" w:hAnsi="Arial"/>
          <w:sz w:val="20"/>
          <w:szCs w:val="20"/>
          <w:b w:val="1"/>
          <w:bCs w:val="1"/>
          <w:color w:val="auto"/>
        </w:rPr>
      </w:pPr>
    </w:p>
    <w:p>
      <w:pPr>
        <w:jc w:val="both"/>
        <w:ind w:left="420"/>
        <w:spacing w:after="0" w:line="250" w:lineRule="auto"/>
        <w:rPr>
          <w:rFonts w:ascii="Arial" w:cs="Arial" w:eastAsia="Arial" w:hAnsi="Arial"/>
          <w:sz w:val="20"/>
          <w:szCs w:val="20"/>
          <w:b w:val="1"/>
          <w:bCs w:val="1"/>
          <w:color w:val="auto"/>
        </w:rPr>
      </w:pPr>
      <w:r>
        <w:rPr>
          <w:rFonts w:ascii="Arial" w:cs="Arial" w:eastAsia="Arial" w:hAnsi="Arial"/>
          <w:sz w:val="20"/>
          <w:szCs w:val="20"/>
          <w:color w:val="auto"/>
        </w:rPr>
        <w:t>The noncontrolling stock holders of certain of Elpida’s majority-owned subsidiaries have the right to require Elpida to redeem their shares at the acquisition value. Accordingly, the Company has presented this redeemable noncontrolling interest as a mezzanine item in the consolidated balance sheet.</w:t>
      </w:r>
    </w:p>
    <w:p>
      <w:pPr>
        <w:spacing w:after="0" w:line="105" w:lineRule="exact"/>
        <w:rPr>
          <w:rFonts w:ascii="Arial" w:cs="Arial" w:eastAsia="Arial" w:hAnsi="Arial"/>
          <w:sz w:val="20"/>
          <w:szCs w:val="20"/>
          <w:b w:val="1"/>
          <w:bCs w:val="1"/>
          <w:color w:val="auto"/>
        </w:rPr>
      </w:pPr>
    </w:p>
    <w:p>
      <w:pPr>
        <w:ind w:left="420"/>
        <w:spacing w:after="0" w:line="260" w:lineRule="auto"/>
        <w:rPr>
          <w:rFonts w:ascii="Arial" w:cs="Arial" w:eastAsia="Arial" w:hAnsi="Arial"/>
          <w:sz w:val="20"/>
          <w:szCs w:val="20"/>
          <w:b w:val="1"/>
          <w:bCs w:val="1"/>
          <w:color w:val="auto"/>
        </w:rPr>
      </w:pPr>
      <w:r>
        <w:rPr>
          <w:rFonts w:ascii="Arial" w:cs="Arial" w:eastAsia="Arial" w:hAnsi="Arial"/>
          <w:sz w:val="20"/>
          <w:szCs w:val="20"/>
          <w:color w:val="auto"/>
        </w:rPr>
        <w:t>On October 29, 2012, Elpida settled a portion of redeemable noncontrolling interest for approximately ¥15,000 due to the liquidation of a majority-owned subsidiary that was subject to the redeemable rights.</w:t>
      </w:r>
    </w:p>
    <w:p>
      <w:pPr>
        <w:spacing w:after="0" w:line="279" w:lineRule="exact"/>
        <w:rPr>
          <w:rFonts w:ascii="Arial" w:cs="Arial" w:eastAsia="Arial" w:hAnsi="Arial"/>
          <w:sz w:val="20"/>
          <w:szCs w:val="20"/>
          <w:b w:val="1"/>
          <w:bCs w:val="1"/>
          <w:color w:val="auto"/>
        </w:rPr>
      </w:pPr>
    </w:p>
    <w:p>
      <w:pPr>
        <w:ind w:left="440" w:hanging="438"/>
        <w:spacing w:after="0"/>
        <w:tabs>
          <w:tab w:leader="none" w:pos="440" w:val="left"/>
        </w:tabs>
        <w:numPr>
          <w:ilvl w:val="0"/>
          <w:numId w:val="27"/>
        </w:numPr>
        <w:rPr>
          <w:rFonts w:ascii="Arial" w:cs="Arial" w:eastAsia="Arial" w:hAnsi="Arial"/>
          <w:sz w:val="20"/>
          <w:szCs w:val="20"/>
          <w:b w:val="1"/>
          <w:bCs w:val="1"/>
          <w:color w:val="auto"/>
        </w:rPr>
      </w:pPr>
      <w:r>
        <w:rPr>
          <w:rFonts w:ascii="Arial" w:cs="Arial" w:eastAsia="Arial" w:hAnsi="Arial"/>
          <w:sz w:val="20"/>
          <w:szCs w:val="20"/>
          <w:b w:val="1"/>
          <w:bCs w:val="1"/>
          <w:color w:val="auto"/>
        </w:rPr>
        <w:t>Redeemable Preferred Stock</w:t>
      </w:r>
    </w:p>
    <w:p>
      <w:pPr>
        <w:spacing w:after="0" w:line="86" w:lineRule="exact"/>
        <w:rPr>
          <w:rFonts w:ascii="Arial" w:cs="Arial" w:eastAsia="Arial" w:hAnsi="Arial"/>
          <w:sz w:val="20"/>
          <w:szCs w:val="20"/>
          <w:b w:val="1"/>
          <w:bCs w:val="1"/>
          <w:color w:val="auto"/>
        </w:rPr>
      </w:pPr>
    </w:p>
    <w:p>
      <w:pPr>
        <w:ind w:left="420"/>
        <w:spacing w:after="0" w:line="260" w:lineRule="auto"/>
        <w:rPr>
          <w:rFonts w:ascii="Arial" w:cs="Arial" w:eastAsia="Arial" w:hAnsi="Arial"/>
          <w:sz w:val="20"/>
          <w:szCs w:val="20"/>
          <w:b w:val="1"/>
          <w:bCs w:val="1"/>
          <w:color w:val="auto"/>
        </w:rPr>
      </w:pPr>
      <w:r>
        <w:rPr>
          <w:rFonts w:ascii="Arial" w:cs="Arial" w:eastAsia="Arial" w:hAnsi="Arial"/>
          <w:sz w:val="20"/>
          <w:szCs w:val="20"/>
          <w:color w:val="auto"/>
        </w:rPr>
        <w:t>The Company’s Type I and Type II Preferred Stock are redeemable preferred stock and were required to be classified outside of stockholders’ equity as a mezzanine item in the consolidated balance sheet.</w:t>
      </w:r>
    </w:p>
    <w:p>
      <w:pPr>
        <w:spacing w:after="0" w:line="95" w:lineRule="exact"/>
        <w:rPr>
          <w:rFonts w:ascii="Arial" w:cs="Arial" w:eastAsia="Arial" w:hAnsi="Arial"/>
          <w:sz w:val="20"/>
          <w:szCs w:val="20"/>
          <w:b w:val="1"/>
          <w:bCs w:val="1"/>
          <w:color w:val="auto"/>
        </w:rPr>
      </w:pPr>
    </w:p>
    <w:p>
      <w:pPr>
        <w:jc w:val="both"/>
        <w:ind w:left="420"/>
        <w:spacing w:after="0" w:line="246" w:lineRule="auto"/>
        <w:rPr>
          <w:rFonts w:ascii="Arial" w:cs="Arial" w:eastAsia="Arial" w:hAnsi="Arial"/>
          <w:sz w:val="20"/>
          <w:szCs w:val="20"/>
          <w:b w:val="1"/>
          <w:bCs w:val="1"/>
          <w:color w:val="auto"/>
        </w:rPr>
      </w:pPr>
      <w:r>
        <w:rPr>
          <w:rFonts w:ascii="Arial" w:cs="Arial" w:eastAsia="Arial" w:hAnsi="Arial"/>
          <w:sz w:val="20"/>
          <w:szCs w:val="20"/>
          <w:color w:val="auto"/>
        </w:rPr>
        <w:t>Upon the commencement of reorganization proceedings, conversion options, put options and call options attached to the preferred stock became unexercisable. Also, upon the commencement of reorganization proceedings, holders of preferred stock became unable to exercise the right to receive the cumulative preferred stock dividends in arrears (see Note (1), for further explanation of subsequent extinguishment on May 27, 2013).</w:t>
      </w:r>
    </w:p>
    <w:p>
      <w:pPr>
        <w:spacing w:after="0" w:line="110" w:lineRule="exact"/>
        <w:rPr>
          <w:rFonts w:ascii="Arial" w:cs="Arial" w:eastAsia="Arial" w:hAnsi="Arial"/>
          <w:sz w:val="20"/>
          <w:szCs w:val="20"/>
          <w:b w:val="1"/>
          <w:bCs w:val="1"/>
          <w:color w:val="auto"/>
        </w:rPr>
      </w:pPr>
    </w:p>
    <w:p>
      <w:pPr>
        <w:ind w:left="420"/>
        <w:spacing w:after="0"/>
        <w:rPr>
          <w:rFonts w:ascii="Arial" w:cs="Arial" w:eastAsia="Arial" w:hAnsi="Arial"/>
          <w:sz w:val="20"/>
          <w:szCs w:val="20"/>
          <w:b w:val="1"/>
          <w:bCs w:val="1"/>
          <w:color w:val="auto"/>
        </w:rPr>
      </w:pPr>
      <w:r>
        <w:rPr>
          <w:rFonts w:ascii="Arial" w:cs="Arial" w:eastAsia="Arial" w:hAnsi="Arial"/>
          <w:sz w:val="20"/>
          <w:szCs w:val="20"/>
          <w:color w:val="auto"/>
        </w:rPr>
        <w:t>Elpida Type I Preferred Stock</w:t>
      </w:r>
    </w:p>
    <w:p>
      <w:pPr>
        <w:spacing w:after="0" w:line="134" w:lineRule="exact"/>
        <w:rPr>
          <w:rFonts w:ascii="Arial" w:cs="Arial" w:eastAsia="Arial" w:hAnsi="Arial"/>
          <w:sz w:val="20"/>
          <w:szCs w:val="20"/>
          <w:b w:val="1"/>
          <w:bCs w:val="1"/>
          <w:color w:val="auto"/>
        </w:rPr>
      </w:pPr>
    </w:p>
    <w:p>
      <w:pPr>
        <w:jc w:val="both"/>
        <w:ind w:left="420"/>
        <w:spacing w:after="0" w:line="255" w:lineRule="auto"/>
        <w:rPr>
          <w:rFonts w:ascii="Arial" w:cs="Arial" w:eastAsia="Arial" w:hAnsi="Arial"/>
          <w:sz w:val="20"/>
          <w:szCs w:val="20"/>
          <w:b w:val="1"/>
          <w:bCs w:val="1"/>
          <w:color w:val="auto"/>
        </w:rPr>
      </w:pPr>
      <w:r>
        <w:rPr>
          <w:rFonts w:ascii="Arial" w:cs="Arial" w:eastAsia="Arial" w:hAnsi="Arial"/>
          <w:sz w:val="19"/>
          <w:szCs w:val="19"/>
          <w:color w:val="auto"/>
        </w:rPr>
        <w:t>In August 2009, the Company issued ¥10,000 of Type I non-voting preferred stock with no mandatory redemption clause. A holder of preferred stock is entitled to receive dividends and, upon liquidation and dissolution, is entitled to receive 100% of the acquisition value, plus accrued and unpaid dividends, if any. The preferred stock is convertible into the common shares in a step-by-step manner at any time from May 1, 2011 to July 28, 2016. The initial conversion rate of the preferred stock is approximately 72.6 shares of common shares per ¥100,000 preferred share amount, or approximately ¥1,377 per share. The conversion rate is subject to adjustment if specified distributions of common shares are made or specified stock splits occur, in each case as set forth in the indenture governing the preferred stock. Upon conversion, holders would have obtained common shares of the Company. The Company may repurchase for cash all or a portion of the preferred stock at a repurchase price equal to 100% of the acquisition value, plus accrued and unpaid dividends, if any, on or after September 1, 2009 upon exercise of the call options. The holder also may require the Company to repurchase for cash all or a portion of the preferred stock at a repurchase price equal to 100% of the principal amount, plus accrued and unpaid dividends, if any, on or after April 1, 2012 upon exercise of the put options.</w:t>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60" w:top="553" w:right="239" w:bottom="1440" w:gutter="0" w:footer="0" w:header="0"/>
        </w:sectPr>
      </w:pPr>
    </w:p>
    <w:bookmarkStart w:id="41" w:name="page42"/>
    <w:bookmarkEnd w:id="41"/>
    <w:p>
      <w:pPr>
        <w:jc w:val="center"/>
        <w:ind w:right="20"/>
        <w:spacing w:after="0"/>
        <w:rPr>
          <w:sz w:val="20"/>
          <w:szCs w:val="20"/>
          <w:color w:val="auto"/>
        </w:rPr>
      </w:pPr>
      <w:r>
        <w:rPr>
          <w:rFonts w:ascii="Arial" w:cs="Arial" w:eastAsia="Arial" w:hAnsi="Arial"/>
          <w:sz w:val="18"/>
          <w:szCs w:val="18"/>
          <w:b w:val="1"/>
          <w:bCs w:val="1"/>
          <w:color w:val="auto"/>
        </w:rPr>
        <w:t>ELPIDA MEMORY,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(DEBTORS-IN-POSSESSION)</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1" w:lineRule="exact"/>
        <w:rPr>
          <w:sz w:val="20"/>
          <w:szCs w:val="20"/>
          <w:color w:val="auto"/>
        </w:rPr>
      </w:pPr>
    </w:p>
    <w:p>
      <w:pPr>
        <w:ind w:left="420"/>
        <w:spacing w:after="0"/>
        <w:rPr>
          <w:sz w:val="20"/>
          <w:szCs w:val="20"/>
          <w:color w:val="auto"/>
        </w:rPr>
      </w:pPr>
      <w:r>
        <w:rPr>
          <w:rFonts w:ascii="Arial" w:cs="Arial" w:eastAsia="Arial" w:hAnsi="Arial"/>
          <w:sz w:val="20"/>
          <w:szCs w:val="20"/>
          <w:color w:val="auto"/>
        </w:rPr>
        <w:t>Elpida Type II Preferred Stock</w:t>
      </w:r>
    </w:p>
    <w:p>
      <w:pPr>
        <w:spacing w:after="0" w:line="135" w:lineRule="exact"/>
        <w:rPr>
          <w:sz w:val="20"/>
          <w:szCs w:val="20"/>
          <w:color w:val="auto"/>
        </w:rPr>
      </w:pPr>
    </w:p>
    <w:p>
      <w:pPr>
        <w:jc w:val="both"/>
        <w:ind w:left="420"/>
        <w:spacing w:after="0" w:line="271" w:lineRule="auto"/>
        <w:rPr>
          <w:sz w:val="20"/>
          <w:szCs w:val="20"/>
          <w:color w:val="auto"/>
        </w:rPr>
      </w:pPr>
      <w:r>
        <w:rPr>
          <w:rFonts w:ascii="Arial" w:cs="Arial" w:eastAsia="Arial" w:hAnsi="Arial"/>
          <w:sz w:val="18"/>
          <w:szCs w:val="18"/>
          <w:color w:val="auto"/>
        </w:rPr>
        <w:t>In August 2009, the Company issued ¥20,000 of Type II non-voting preferred stock with no mandatory redemption clause. A holder of preferred stock is entitled to receive dividends and, upon liquidation and dissolution, is entitled to receive 100% of the acquisition value, plus accrued and unpaid dividends, if any. The preferred stock is convertible into the common shares in a step-by-step manner at any time from February 1, 2011 to July 28, 2016. The initial conversion rate of the preferred stock is approximately 82.1 shares of common shares per ¥100,000 preferred share amount, or approximately ¥1,218 per share. The conversion rate is subject to adjustment if specified distributions of common shares are made or specified stock splits occur, in each case as set forth in the indenture governing the preferred stock. Upon conversion, holders would have obtained common shares of the Company. The Company may repurchase for cash all or a portion of the preferred stock at a repurchase price equal to 100% of the acquisition value, plus accrued and unpaid dividend, if any, on or after September 1, 2009 upon exercise of the call options. The holder also may require the Company to repurchase for cash all or a portion of the preferred stock at a repurchase price equal to 100% of the principal amount, plus accrued and unpaid dividends, if any, on or after April 1, 2012 upon exercise of the put options.</w:t>
      </w:r>
    </w:p>
    <w:p>
      <w:pPr>
        <w:spacing w:after="0" w:line="273" w:lineRule="exact"/>
        <w:rPr>
          <w:sz w:val="20"/>
          <w:szCs w:val="20"/>
          <w:color w:val="auto"/>
        </w:rPr>
      </w:pPr>
    </w:p>
    <w:p>
      <w:pPr>
        <w:ind w:left="440" w:hanging="438"/>
        <w:spacing w:after="0"/>
        <w:tabs>
          <w:tab w:leader="none" w:pos="440" w:val="left"/>
        </w:tabs>
        <w:numPr>
          <w:ilvl w:val="0"/>
          <w:numId w:val="28"/>
        </w:numPr>
        <w:rPr>
          <w:rFonts w:ascii="Arial" w:cs="Arial" w:eastAsia="Arial" w:hAnsi="Arial"/>
          <w:sz w:val="20"/>
          <w:szCs w:val="20"/>
          <w:b w:val="1"/>
          <w:bCs w:val="1"/>
          <w:color w:val="auto"/>
        </w:rPr>
      </w:pPr>
      <w:r>
        <w:rPr>
          <w:rFonts w:ascii="Arial" w:cs="Arial" w:eastAsia="Arial" w:hAnsi="Arial"/>
          <w:sz w:val="20"/>
          <w:szCs w:val="20"/>
          <w:b w:val="1"/>
          <w:bCs w:val="1"/>
          <w:color w:val="auto"/>
        </w:rPr>
        <w:t>Stockholders’ Equity</w:t>
      </w:r>
    </w:p>
    <w:p>
      <w:pPr>
        <w:spacing w:after="0" w:line="127" w:lineRule="exact"/>
        <w:rPr>
          <w:rFonts w:ascii="Arial" w:cs="Arial" w:eastAsia="Arial" w:hAnsi="Arial"/>
          <w:sz w:val="20"/>
          <w:szCs w:val="20"/>
          <w:b w:val="1"/>
          <w:bCs w:val="1"/>
          <w:color w:val="auto"/>
        </w:rPr>
      </w:pPr>
    </w:p>
    <w:p>
      <w:pPr>
        <w:jc w:val="both"/>
        <w:ind w:left="420"/>
        <w:spacing w:after="0" w:line="263" w:lineRule="auto"/>
        <w:rPr>
          <w:rFonts w:ascii="Arial" w:cs="Arial" w:eastAsia="Arial" w:hAnsi="Arial"/>
          <w:sz w:val="20"/>
          <w:szCs w:val="20"/>
          <w:b w:val="1"/>
          <w:bCs w:val="1"/>
          <w:color w:val="auto"/>
        </w:rPr>
      </w:pPr>
      <w:r>
        <w:rPr>
          <w:rFonts w:ascii="Arial" w:cs="Arial" w:eastAsia="Arial" w:hAnsi="Arial"/>
          <w:sz w:val="19"/>
          <w:szCs w:val="19"/>
          <w:color w:val="auto"/>
        </w:rPr>
        <w:t>Holders of common stock are entitled to one vote per share, and to receive dividends and, upon liquidation or dissolution, are entitled to receive all assets available for distribution to stockholders. The holders have no preemptive or other subscription rights and there are no redemption or sinking fund provisions with respect to such shares. Common stock is subordinate to the preferred stock with respect to dividend rights and rights upon liquidation, winding up and dissolution of the Company.</w:t>
      </w:r>
    </w:p>
    <w:p>
      <w:pPr>
        <w:spacing w:after="0" w:line="95" w:lineRule="exact"/>
        <w:rPr>
          <w:rFonts w:ascii="Arial" w:cs="Arial" w:eastAsia="Arial" w:hAnsi="Arial"/>
          <w:sz w:val="20"/>
          <w:szCs w:val="20"/>
          <w:b w:val="1"/>
          <w:bCs w:val="1"/>
          <w:color w:val="auto"/>
        </w:rPr>
      </w:pPr>
    </w:p>
    <w:p>
      <w:pPr>
        <w:ind w:left="420"/>
        <w:spacing w:after="0" w:line="316" w:lineRule="auto"/>
        <w:rPr>
          <w:rFonts w:ascii="Arial" w:cs="Arial" w:eastAsia="Arial" w:hAnsi="Arial"/>
          <w:sz w:val="20"/>
          <w:szCs w:val="20"/>
          <w:b w:val="1"/>
          <w:bCs w:val="1"/>
          <w:color w:val="auto"/>
        </w:rPr>
      </w:pPr>
      <w:r>
        <w:rPr>
          <w:rFonts w:ascii="Arial" w:cs="Arial" w:eastAsia="Arial" w:hAnsi="Arial"/>
          <w:sz w:val="18"/>
          <w:szCs w:val="18"/>
          <w:color w:val="auto"/>
        </w:rPr>
        <w:t>In accordance with the Plan, the shareholders of common stock have no voting rights since Elpida is currently insolvent. All of the issued and outstanding common and preferred stock of Elpida was acquired and cancelled without any compensation on May 27, 2013.</w:t>
      </w:r>
    </w:p>
    <w:p>
      <w:pPr>
        <w:spacing w:after="0" w:line="259" w:lineRule="exact"/>
        <w:rPr>
          <w:rFonts w:ascii="Arial" w:cs="Arial" w:eastAsia="Arial" w:hAnsi="Arial"/>
          <w:sz w:val="20"/>
          <w:szCs w:val="20"/>
          <w:b w:val="1"/>
          <w:bCs w:val="1"/>
          <w:color w:val="auto"/>
        </w:rPr>
      </w:pPr>
    </w:p>
    <w:p>
      <w:pPr>
        <w:ind w:left="440" w:hanging="438"/>
        <w:spacing w:after="0"/>
        <w:tabs>
          <w:tab w:leader="none" w:pos="440" w:val="left"/>
        </w:tabs>
        <w:numPr>
          <w:ilvl w:val="0"/>
          <w:numId w:val="28"/>
        </w:numPr>
        <w:rPr>
          <w:rFonts w:ascii="Arial" w:cs="Arial" w:eastAsia="Arial" w:hAnsi="Arial"/>
          <w:sz w:val="20"/>
          <w:szCs w:val="20"/>
          <w:b w:val="1"/>
          <w:bCs w:val="1"/>
          <w:color w:val="auto"/>
        </w:rPr>
      </w:pPr>
      <w:r>
        <w:rPr>
          <w:rFonts w:ascii="Arial" w:cs="Arial" w:eastAsia="Arial" w:hAnsi="Arial"/>
          <w:sz w:val="20"/>
          <w:szCs w:val="20"/>
          <w:b w:val="1"/>
          <w:bCs w:val="1"/>
          <w:color w:val="auto"/>
        </w:rPr>
        <w:t>Comprehensive Income (Loss)</w:t>
      </w:r>
    </w:p>
    <w:p>
      <w:pPr>
        <w:spacing w:after="0" w:line="127" w:lineRule="exact"/>
        <w:rPr>
          <w:rFonts w:ascii="Arial" w:cs="Arial" w:eastAsia="Arial" w:hAnsi="Arial"/>
          <w:sz w:val="20"/>
          <w:szCs w:val="20"/>
          <w:b w:val="1"/>
          <w:bCs w:val="1"/>
          <w:color w:val="auto"/>
        </w:rPr>
      </w:pPr>
    </w:p>
    <w:p>
      <w:pPr>
        <w:ind w:left="420"/>
        <w:spacing w:after="0"/>
        <w:rPr>
          <w:rFonts w:ascii="Arial" w:cs="Arial" w:eastAsia="Arial" w:hAnsi="Arial"/>
          <w:sz w:val="20"/>
          <w:szCs w:val="20"/>
          <w:b w:val="1"/>
          <w:bCs w:val="1"/>
          <w:color w:val="auto"/>
        </w:rPr>
      </w:pPr>
      <w:r>
        <w:rPr>
          <w:rFonts w:ascii="Arial" w:cs="Arial" w:eastAsia="Arial" w:hAnsi="Arial"/>
          <w:sz w:val="20"/>
          <w:szCs w:val="20"/>
          <w:color w:val="auto"/>
        </w:rPr>
        <w:t>The accumulated balances for each classification of other comprehensive income (loss) were as follows:</w:t>
      </w:r>
    </w:p>
    <w:p>
      <w:pPr>
        <w:spacing w:after="0" w:line="295" w:lineRule="exact"/>
        <w:rPr>
          <w:sz w:val="20"/>
          <w:szCs w:val="20"/>
          <w:color w:val="auto"/>
        </w:rPr>
      </w:pPr>
    </w:p>
    <w:tbl>
      <w:tblPr>
        <w:tblLayout w:type="fixed"/>
        <w:tblInd w:w="420" w:type="dxa"/>
        <w:tblCellMar>
          <w:top w:w="0" w:type="dxa"/>
          <w:left w:w="0" w:type="dxa"/>
          <w:bottom w:w="0" w:type="dxa"/>
          <w:right w:w="0" w:type="dxa"/>
        </w:tblCellMar>
      </w:tblPr>
      <w:tr>
        <w:trPr>
          <w:trHeight w:val="216"/>
        </w:trPr>
        <w:tc>
          <w:tcPr>
            <w:tcW w:w="2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Foreign currency</w:t>
            </w:r>
          </w:p>
        </w:tc>
        <w:tc>
          <w:tcPr>
            <w:tcW w:w="180" w:type="dxa"/>
            <w:vAlign w:val="bottom"/>
          </w:tcPr>
          <w:p>
            <w:pPr>
              <w:spacing w:after="0"/>
              <w:rPr>
                <w:sz w:val="18"/>
                <w:szCs w:val="18"/>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Accumulated other</w:t>
            </w:r>
          </w:p>
        </w:tc>
      </w:tr>
      <w:tr>
        <w:trPr>
          <w:trHeight w:val="216"/>
        </w:trPr>
        <w:tc>
          <w:tcPr>
            <w:tcW w:w="2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translation</w:t>
            </w:r>
          </w:p>
        </w:tc>
        <w:tc>
          <w:tcPr>
            <w:tcW w:w="180" w:type="dxa"/>
            <w:vAlign w:val="bottom"/>
          </w:tcPr>
          <w:p>
            <w:pPr>
              <w:spacing w:after="0"/>
              <w:rPr>
                <w:sz w:val="18"/>
                <w:szCs w:val="18"/>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4"/>
              </w:rPr>
              <w:t>gains/(losses) on</w:t>
            </w: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comprehensive</w:t>
            </w:r>
          </w:p>
        </w:tc>
      </w:tr>
      <w:tr>
        <w:trPr>
          <w:trHeight w:val="234"/>
        </w:trPr>
        <w:tc>
          <w:tcPr>
            <w:tcW w:w="2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adjustments</w:t>
            </w:r>
          </w:p>
        </w:tc>
        <w:tc>
          <w:tcPr>
            <w:tcW w:w="180" w:type="dxa"/>
            <w:vAlign w:val="bottom"/>
          </w:tcPr>
          <w:p>
            <w:pPr>
              <w:spacing w:after="0"/>
              <w:rPr>
                <w:sz w:val="20"/>
                <w:szCs w:val="20"/>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5"/>
              </w:rPr>
              <w:t>securities</w:t>
            </w:r>
          </w:p>
        </w:tc>
        <w:tc>
          <w:tcPr>
            <w:tcW w:w="120" w:type="dxa"/>
            <w:vAlign w:val="bottom"/>
          </w:tcPr>
          <w:p>
            <w:pPr>
              <w:spacing w:after="0"/>
              <w:rPr>
                <w:sz w:val="20"/>
                <w:szCs w:val="20"/>
                <w:color w:val="auto"/>
              </w:rPr>
            </w:pPr>
          </w:p>
        </w:tc>
        <w:tc>
          <w:tcPr>
            <w:tcW w:w="1740" w:type="dxa"/>
            <w:vAlign w:val="bottom"/>
            <w:gridSpan w:val="2"/>
          </w:tcPr>
          <w:p>
            <w:pPr>
              <w:spacing w:after="0"/>
              <w:rPr>
                <w:sz w:val="20"/>
                <w:szCs w:val="20"/>
                <w:color w:val="auto"/>
              </w:rPr>
            </w:pPr>
            <w:r>
              <w:rPr>
                <w:rFonts w:ascii="Arial" w:cs="Arial" w:eastAsia="Arial" w:hAnsi="Arial"/>
                <w:sz w:val="18"/>
                <w:szCs w:val="18"/>
                <w:b w:val="1"/>
                <w:bCs w:val="1"/>
                <w:color w:val="auto"/>
              </w:rPr>
              <w:t>Retirement benefits</w:t>
            </w:r>
          </w:p>
        </w:tc>
        <w:tc>
          <w:tcPr>
            <w:tcW w:w="140" w:type="dxa"/>
            <w:vAlign w:val="bottom"/>
          </w:tcPr>
          <w:p>
            <w:pPr>
              <w:spacing w:after="0"/>
              <w:rPr>
                <w:sz w:val="20"/>
                <w:szCs w:val="20"/>
                <w:color w:val="auto"/>
              </w:rPr>
            </w:pPr>
          </w:p>
        </w:tc>
        <w:tc>
          <w:tcPr>
            <w:tcW w:w="1620" w:type="dxa"/>
            <w:vAlign w:val="bottom"/>
          </w:tcPr>
          <w:p>
            <w:pPr>
              <w:jc w:val="center"/>
              <w:ind w:right="50"/>
              <w:spacing w:after="0"/>
              <w:rPr>
                <w:sz w:val="20"/>
                <w:szCs w:val="20"/>
                <w:color w:val="auto"/>
              </w:rPr>
            </w:pPr>
            <w:r>
              <w:rPr>
                <w:rFonts w:ascii="Arial" w:cs="Arial" w:eastAsia="Arial" w:hAnsi="Arial"/>
                <w:sz w:val="18"/>
                <w:szCs w:val="18"/>
                <w:b w:val="1"/>
                <w:bCs w:val="1"/>
                <w:color w:val="auto"/>
                <w:w w:val="86"/>
              </w:rPr>
              <w:t>income (loss)</w:t>
            </w:r>
          </w:p>
        </w:tc>
      </w:tr>
      <w:tr>
        <w:trPr>
          <w:trHeight w:val="27"/>
        </w:trPr>
        <w:tc>
          <w:tcPr>
            <w:tcW w:w="29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7"/>
        </w:trPr>
        <w:tc>
          <w:tcPr>
            <w:tcW w:w="2940" w:type="dxa"/>
            <w:vAlign w:val="bottom"/>
          </w:tcPr>
          <w:p>
            <w:pPr>
              <w:spacing w:after="0"/>
              <w:rPr>
                <w:sz w:val="20"/>
                <w:szCs w:val="20"/>
                <w:color w:val="auto"/>
              </w:rPr>
            </w:pPr>
            <w:r>
              <w:rPr>
                <w:rFonts w:ascii="Arial" w:cs="Arial" w:eastAsia="Arial" w:hAnsi="Arial"/>
                <w:sz w:val="18"/>
                <w:szCs w:val="18"/>
                <w:color w:val="auto"/>
              </w:rPr>
              <w:t>Balance at March 31, 2011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(17,669)</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(1,529)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(19,318)</w:t>
            </w:r>
          </w:p>
        </w:tc>
      </w:tr>
      <w:tr>
        <w:trPr>
          <w:trHeight w:val="270"/>
        </w:trPr>
        <w:tc>
          <w:tcPr>
            <w:tcW w:w="2940" w:type="dxa"/>
            <w:vAlign w:val="bottom"/>
          </w:tcPr>
          <w:p>
            <w:pPr>
              <w:ind w:left="140"/>
              <w:spacing w:after="0"/>
              <w:rPr>
                <w:sz w:val="20"/>
                <w:szCs w:val="20"/>
                <w:color w:val="auto"/>
              </w:rPr>
            </w:pPr>
            <w:r>
              <w:rPr>
                <w:rFonts w:ascii="Arial" w:cs="Arial" w:eastAsia="Arial" w:hAnsi="Arial"/>
                <w:sz w:val="18"/>
                <w:szCs w:val="18"/>
                <w:color w:val="auto"/>
              </w:rPr>
              <w:t>Net change for the year</w:t>
            </w:r>
          </w:p>
        </w:tc>
        <w:tc>
          <w:tcPr>
            <w:tcW w:w="16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(2,807)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(791)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(3,478)</w:t>
            </w:r>
          </w:p>
        </w:tc>
      </w:tr>
      <w:tr>
        <w:trPr>
          <w:trHeight w:val="27"/>
        </w:trPr>
        <w:tc>
          <w:tcPr>
            <w:tcW w:w="29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7"/>
        </w:trPr>
        <w:tc>
          <w:tcPr>
            <w:tcW w:w="2940" w:type="dxa"/>
            <w:vAlign w:val="bottom"/>
          </w:tcPr>
          <w:p>
            <w:pPr>
              <w:spacing w:after="0"/>
              <w:rPr>
                <w:sz w:val="20"/>
                <w:szCs w:val="20"/>
                <w:color w:val="auto"/>
              </w:rPr>
            </w:pPr>
            <w:r>
              <w:rPr>
                <w:rFonts w:ascii="Arial" w:cs="Arial" w:eastAsia="Arial" w:hAnsi="Arial"/>
                <w:sz w:val="18"/>
                <w:szCs w:val="18"/>
                <w:color w:val="auto"/>
              </w:rPr>
              <w:t>Balance at March 31, 2012</w:t>
            </w:r>
          </w:p>
        </w:tc>
        <w:tc>
          <w:tcPr>
            <w:tcW w:w="1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(20,476)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(2,320)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(22,796)</w:t>
            </w:r>
          </w:p>
        </w:tc>
      </w:tr>
      <w:tr>
        <w:trPr>
          <w:trHeight w:val="270"/>
        </w:trPr>
        <w:tc>
          <w:tcPr>
            <w:tcW w:w="2940" w:type="dxa"/>
            <w:vAlign w:val="bottom"/>
          </w:tcPr>
          <w:p>
            <w:pPr>
              <w:ind w:left="140"/>
              <w:spacing w:after="0"/>
              <w:rPr>
                <w:sz w:val="20"/>
                <w:szCs w:val="20"/>
                <w:color w:val="auto"/>
              </w:rPr>
            </w:pPr>
            <w:r>
              <w:rPr>
                <w:rFonts w:ascii="Arial" w:cs="Arial" w:eastAsia="Arial" w:hAnsi="Arial"/>
                <w:sz w:val="18"/>
                <w:szCs w:val="18"/>
                <w:color w:val="auto"/>
              </w:rPr>
              <w:t>Net change for the period</w:t>
            </w:r>
          </w:p>
        </w:tc>
        <w:tc>
          <w:tcPr>
            <w:tcW w:w="16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12,546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715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13,261</w:t>
            </w:r>
          </w:p>
        </w:tc>
      </w:tr>
      <w:tr>
        <w:trPr>
          <w:trHeight w:val="27"/>
        </w:trPr>
        <w:tc>
          <w:tcPr>
            <w:tcW w:w="29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7"/>
        </w:trPr>
        <w:tc>
          <w:tcPr>
            <w:tcW w:w="2940" w:type="dxa"/>
            <w:vAlign w:val="bottom"/>
          </w:tcPr>
          <w:p>
            <w:pPr>
              <w:spacing w:after="0"/>
              <w:rPr>
                <w:sz w:val="20"/>
                <w:szCs w:val="20"/>
                <w:color w:val="auto"/>
              </w:rPr>
            </w:pPr>
            <w:r>
              <w:rPr>
                <w:rFonts w:ascii="Arial" w:cs="Arial" w:eastAsia="Arial" w:hAnsi="Arial"/>
                <w:sz w:val="18"/>
                <w:szCs w:val="18"/>
                <w:color w:val="auto"/>
              </w:rPr>
              <w:t>Balance at February 28, 2013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(7,930)</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(1,605)</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(9,535)</w:t>
            </w:r>
          </w:p>
        </w:tc>
      </w:tr>
      <w:tr>
        <w:trPr>
          <w:trHeight w:val="20"/>
        </w:trPr>
        <w:tc>
          <w:tcPr>
            <w:tcW w:w="2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60" w:top="553" w:right="239" w:bottom="1440" w:gutter="0" w:footer="0" w:header="0"/>
        </w:sectPr>
      </w:pPr>
    </w:p>
    <w:bookmarkStart w:id="42" w:name="page43"/>
    <w:bookmarkEnd w:id="42"/>
    <w:p>
      <w:pPr>
        <w:jc w:val="center"/>
        <w:ind w:right="440"/>
        <w:spacing w:after="0"/>
        <w:rPr>
          <w:sz w:val="20"/>
          <w:szCs w:val="20"/>
          <w:color w:val="auto"/>
        </w:rPr>
      </w:pPr>
      <w:r>
        <w:rPr>
          <w:rFonts w:ascii="Arial" w:cs="Arial" w:eastAsia="Arial" w:hAnsi="Arial"/>
          <w:sz w:val="18"/>
          <w:szCs w:val="18"/>
          <w:b w:val="1"/>
          <w:bCs w:val="1"/>
          <w:color w:val="auto"/>
        </w:rPr>
        <w:t>ELPIDA MEMORY, INC. AND SUBSIDIARIES</w:t>
      </w:r>
    </w:p>
    <w:p>
      <w:pPr>
        <w:spacing w:after="0" w:line="27"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(DEBTORS-IN-POSSESSION)</w:t>
      </w:r>
    </w:p>
    <w:p>
      <w:pPr>
        <w:spacing w:after="0" w:line="9"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related tax effects allocated to each component of accumulated other comprehensive income (loss) for the eleven months ended</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February 28, 2013 and the year ended March 31, 2012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Tax (expense) or</w:t>
            </w: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gridSpan w:val="2"/>
          </w:tcPr>
          <w:p>
            <w:pPr>
              <w:ind w:left="20"/>
              <w:spacing w:after="0"/>
              <w:rPr>
                <w:sz w:val="20"/>
                <w:szCs w:val="20"/>
                <w:color w:val="auto"/>
              </w:rPr>
            </w:pPr>
            <w:r>
              <w:rPr>
                <w:rFonts w:ascii="Arial" w:cs="Arial" w:eastAsia="Arial" w:hAnsi="Arial"/>
                <w:sz w:val="18"/>
                <w:szCs w:val="18"/>
                <w:b w:val="1"/>
                <w:bCs w:val="1"/>
                <w:color w:val="auto"/>
              </w:rPr>
              <w:t>Before-tax amount</w:t>
            </w:r>
          </w:p>
        </w:tc>
        <w:tc>
          <w:tcPr>
            <w:tcW w:w="180" w:type="dxa"/>
            <w:vAlign w:val="bottom"/>
          </w:tcPr>
          <w:p>
            <w:pPr>
              <w:spacing w:after="0"/>
              <w:rPr>
                <w:sz w:val="20"/>
                <w:szCs w:val="20"/>
                <w:color w:val="auto"/>
              </w:rPr>
            </w:pPr>
          </w:p>
        </w:tc>
        <w:tc>
          <w:tcPr>
            <w:tcW w:w="17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benefit</w:t>
            </w:r>
          </w:p>
        </w:tc>
        <w:tc>
          <w:tcPr>
            <w:tcW w:w="140" w:type="dxa"/>
            <w:vAlign w:val="bottom"/>
          </w:tcPr>
          <w:p>
            <w:pPr>
              <w:spacing w:after="0"/>
              <w:rPr>
                <w:sz w:val="20"/>
                <w:szCs w:val="20"/>
                <w:color w:val="auto"/>
              </w:rPr>
            </w:pPr>
          </w:p>
        </w:tc>
        <w:tc>
          <w:tcPr>
            <w:tcW w:w="162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Net-of-tax amount</w:t>
            </w:r>
          </w:p>
        </w:tc>
        <w:tc>
          <w:tcPr>
            <w:tcW w:w="0" w:type="dxa"/>
            <w:vAlign w:val="bottom"/>
          </w:tcPr>
          <w:p>
            <w:pPr>
              <w:spacing w:after="0"/>
              <w:rPr>
                <w:sz w:val="1"/>
                <w:szCs w:val="1"/>
                <w:color w:val="auto"/>
              </w:rPr>
            </w:pPr>
          </w:p>
        </w:tc>
      </w:tr>
      <w:tr>
        <w:trPr>
          <w:trHeight w:val="27"/>
        </w:trPr>
        <w:tc>
          <w:tcPr>
            <w:tcW w:w="4820" w:type="dxa"/>
            <w:vAlign w:val="bottom"/>
            <w:vMerge w:val="restart"/>
          </w:tcPr>
          <w:p>
            <w:pPr>
              <w:spacing w:after="0"/>
              <w:rPr>
                <w:sz w:val="20"/>
                <w:szCs w:val="20"/>
                <w:color w:val="auto"/>
              </w:rPr>
            </w:pPr>
            <w:r>
              <w:rPr>
                <w:rFonts w:ascii="Arial" w:cs="Arial" w:eastAsia="Arial" w:hAnsi="Arial"/>
                <w:sz w:val="18"/>
                <w:szCs w:val="18"/>
                <w:color w:val="auto"/>
              </w:rPr>
              <w:t>For the eleven months ended February 28, 2013:</w:t>
            </w: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820" w:type="dxa"/>
            <w:vAlign w:val="bottom"/>
          </w:tcPr>
          <w:p>
            <w:pPr>
              <w:ind w:left="140"/>
              <w:spacing w:after="0"/>
              <w:rPr>
                <w:sz w:val="20"/>
                <w:szCs w:val="20"/>
                <w:color w:val="auto"/>
              </w:rPr>
            </w:pPr>
            <w:r>
              <w:rPr>
                <w:rFonts w:ascii="Arial" w:cs="Arial" w:eastAsia="Arial" w:hAnsi="Arial"/>
                <w:sz w:val="18"/>
                <w:szCs w:val="18"/>
                <w:color w:val="auto"/>
              </w:rPr>
              <w:t>Net unrealized gains on securities:</w:t>
            </w:r>
          </w:p>
        </w:tc>
        <w:tc>
          <w:tcPr>
            <w:tcW w:w="1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4820" w:type="dxa"/>
            <w:vAlign w:val="bottom"/>
          </w:tcPr>
          <w:p>
            <w:pPr>
              <w:ind w:left="240"/>
              <w:spacing w:after="0"/>
              <w:rPr>
                <w:sz w:val="20"/>
                <w:szCs w:val="20"/>
                <w:color w:val="auto"/>
              </w:rPr>
            </w:pPr>
            <w:r>
              <w:rPr>
                <w:rFonts w:ascii="Arial" w:cs="Arial" w:eastAsia="Arial" w:hAnsi="Arial"/>
                <w:sz w:val="18"/>
                <w:szCs w:val="18"/>
                <w:color w:val="auto"/>
                <w:w w:val="95"/>
              </w:rPr>
              <w:t>Reclassification adjustments for gains and losses realized in</w:t>
            </w:r>
          </w:p>
        </w:tc>
        <w:tc>
          <w:tcPr>
            <w:tcW w:w="1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40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820" w:type="dxa"/>
            <w:vAlign w:val="bottom"/>
          </w:tcPr>
          <w:p>
            <w:pPr>
              <w:ind w:left="140"/>
              <w:spacing w:after="0"/>
              <w:rPr>
                <w:sz w:val="20"/>
                <w:szCs w:val="20"/>
                <w:color w:val="auto"/>
              </w:rPr>
            </w:pPr>
            <w:r>
              <w:rPr>
                <w:rFonts w:ascii="Arial" w:cs="Arial" w:eastAsia="Arial" w:hAnsi="Arial"/>
                <w:sz w:val="18"/>
                <w:szCs w:val="18"/>
                <w:color w:val="auto"/>
              </w:rPr>
              <w:t>Retirement benefits:</w:t>
            </w:r>
          </w:p>
        </w:tc>
        <w:tc>
          <w:tcPr>
            <w:tcW w:w="1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820" w:type="dxa"/>
            <w:vAlign w:val="bottom"/>
          </w:tcPr>
          <w:p>
            <w:pPr>
              <w:ind w:left="240"/>
              <w:spacing w:after="0"/>
              <w:rPr>
                <w:sz w:val="20"/>
                <w:szCs w:val="20"/>
                <w:color w:val="auto"/>
              </w:rPr>
            </w:pPr>
            <w:r>
              <w:rPr>
                <w:rFonts w:ascii="Arial" w:cs="Arial" w:eastAsia="Arial" w:hAnsi="Arial"/>
                <w:sz w:val="18"/>
                <w:szCs w:val="18"/>
                <w:color w:val="auto"/>
              </w:rPr>
              <w:t>Amount arising during the period</w:t>
            </w:r>
          </w:p>
        </w:tc>
        <w:tc>
          <w:tcPr>
            <w:tcW w:w="140" w:type="dxa"/>
            <w:vAlign w:val="bottom"/>
          </w:tcPr>
          <w:p>
            <w:pPr>
              <w:spacing w:after="0"/>
              <w:rPr>
                <w:sz w:val="23"/>
                <w:szCs w:val="23"/>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56"/>
        </w:trPr>
        <w:tc>
          <w:tcPr>
            <w:tcW w:w="4820" w:type="dxa"/>
            <w:vAlign w:val="bottom"/>
          </w:tcPr>
          <w:p>
            <w:pPr>
              <w:ind w:left="240"/>
              <w:spacing w:after="0"/>
              <w:rPr>
                <w:sz w:val="20"/>
                <w:szCs w:val="20"/>
                <w:color w:val="auto"/>
              </w:rPr>
            </w:pPr>
            <w:r>
              <w:rPr>
                <w:rFonts w:ascii="Arial" w:cs="Arial" w:eastAsia="Arial" w:hAnsi="Arial"/>
                <w:sz w:val="18"/>
                <w:szCs w:val="18"/>
                <w:color w:val="auto"/>
                <w:w w:val="95"/>
              </w:rPr>
              <w:t>Reclassification adjustments for gains and losses realized in</w:t>
            </w:r>
          </w:p>
        </w:tc>
        <w:tc>
          <w:tcPr>
            <w:tcW w:w="1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40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20"/>
                <w:szCs w:val="20"/>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20" w:type="dxa"/>
            <w:vAlign w:val="bottom"/>
          </w:tcPr>
          <w:p>
            <w:pPr>
              <w:ind w:left="78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20"/>
                <w:szCs w:val="20"/>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715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70"/>
        </w:trPr>
        <w:tc>
          <w:tcPr>
            <w:tcW w:w="4820" w:type="dxa"/>
            <w:vAlign w:val="bottom"/>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140" w:type="dxa"/>
            <w:vAlign w:val="bottom"/>
          </w:tcPr>
          <w:p>
            <w:pPr>
              <w:spacing w:after="0"/>
              <w:rPr>
                <w:sz w:val="23"/>
                <w:szCs w:val="23"/>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12,546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12,546</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20" w:type="dxa"/>
            <w:vAlign w:val="bottom"/>
          </w:tcPr>
          <w:p>
            <w:pPr>
              <w:ind w:left="560"/>
              <w:spacing w:after="0"/>
              <w:rPr>
                <w:sz w:val="20"/>
                <w:szCs w:val="20"/>
                <w:color w:val="auto"/>
              </w:rPr>
            </w:pPr>
            <w:r>
              <w:rPr>
                <w:rFonts w:ascii="Arial" w:cs="Arial" w:eastAsia="Arial" w:hAnsi="Arial"/>
                <w:sz w:val="18"/>
                <w:szCs w:val="18"/>
                <w:color w:val="auto"/>
              </w:rPr>
              <w:t>Other comprehensive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13,261</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13,261</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8"/>
                <w:szCs w:val="18"/>
                <w:color w:val="auto"/>
              </w:rPr>
              <w:t>For the year ended March 31, 2012:</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8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820" w:type="dxa"/>
            <w:vAlign w:val="bottom"/>
          </w:tcPr>
          <w:p>
            <w:pPr>
              <w:ind w:left="140"/>
              <w:spacing w:after="0"/>
              <w:rPr>
                <w:sz w:val="20"/>
                <w:szCs w:val="20"/>
                <w:color w:val="auto"/>
              </w:rPr>
            </w:pPr>
            <w:r>
              <w:rPr>
                <w:rFonts w:ascii="Arial" w:cs="Arial" w:eastAsia="Arial" w:hAnsi="Arial"/>
                <w:sz w:val="18"/>
                <w:szCs w:val="18"/>
                <w:color w:val="auto"/>
              </w:rPr>
              <w:t>Net unrealized gains on securities:</w:t>
            </w:r>
          </w:p>
        </w:tc>
        <w:tc>
          <w:tcPr>
            <w:tcW w:w="1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4820" w:type="dxa"/>
            <w:vAlign w:val="bottom"/>
          </w:tcPr>
          <w:p>
            <w:pPr>
              <w:ind w:left="240"/>
              <w:spacing w:after="0"/>
              <w:rPr>
                <w:sz w:val="20"/>
                <w:szCs w:val="20"/>
                <w:color w:val="auto"/>
              </w:rPr>
            </w:pPr>
            <w:r>
              <w:rPr>
                <w:rFonts w:ascii="Arial" w:cs="Arial" w:eastAsia="Arial" w:hAnsi="Arial"/>
                <w:sz w:val="18"/>
                <w:szCs w:val="18"/>
                <w:color w:val="auto"/>
                <w:w w:val="95"/>
              </w:rPr>
              <w:t>Reclassification adjustments for gains and losses realized in</w:t>
            </w:r>
          </w:p>
        </w:tc>
        <w:tc>
          <w:tcPr>
            <w:tcW w:w="1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40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70"/>
        </w:trPr>
        <w:tc>
          <w:tcPr>
            <w:tcW w:w="4820" w:type="dxa"/>
            <w:vAlign w:val="bottom"/>
          </w:tcPr>
          <w:p>
            <w:pPr>
              <w:ind w:left="140"/>
              <w:spacing w:after="0"/>
              <w:rPr>
                <w:sz w:val="20"/>
                <w:szCs w:val="20"/>
                <w:color w:val="auto"/>
              </w:rPr>
            </w:pPr>
            <w:r>
              <w:rPr>
                <w:rFonts w:ascii="Arial" w:cs="Arial" w:eastAsia="Arial" w:hAnsi="Arial"/>
                <w:sz w:val="18"/>
                <w:szCs w:val="18"/>
                <w:color w:val="auto"/>
              </w:rPr>
              <w:t>Retirement benefits:</w:t>
            </w:r>
          </w:p>
        </w:tc>
        <w:tc>
          <w:tcPr>
            <w:tcW w:w="1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820" w:type="dxa"/>
            <w:vAlign w:val="bottom"/>
          </w:tcPr>
          <w:p>
            <w:pPr>
              <w:ind w:left="240"/>
              <w:spacing w:after="0"/>
              <w:rPr>
                <w:sz w:val="20"/>
                <w:szCs w:val="20"/>
                <w:color w:val="auto"/>
              </w:rPr>
            </w:pPr>
            <w:r>
              <w:rPr>
                <w:rFonts w:ascii="Arial" w:cs="Arial" w:eastAsia="Arial" w:hAnsi="Arial"/>
                <w:sz w:val="18"/>
                <w:szCs w:val="18"/>
                <w:color w:val="auto"/>
              </w:rPr>
              <w:t>Amount arising during the year</w:t>
            </w:r>
          </w:p>
        </w:tc>
        <w:tc>
          <w:tcPr>
            <w:tcW w:w="14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(843)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56"/>
        </w:trPr>
        <w:tc>
          <w:tcPr>
            <w:tcW w:w="4820" w:type="dxa"/>
            <w:vAlign w:val="bottom"/>
          </w:tcPr>
          <w:p>
            <w:pPr>
              <w:ind w:left="240"/>
              <w:spacing w:after="0"/>
              <w:rPr>
                <w:sz w:val="20"/>
                <w:szCs w:val="20"/>
                <w:color w:val="auto"/>
              </w:rPr>
            </w:pPr>
            <w:r>
              <w:rPr>
                <w:rFonts w:ascii="Arial" w:cs="Arial" w:eastAsia="Arial" w:hAnsi="Arial"/>
                <w:sz w:val="18"/>
                <w:szCs w:val="18"/>
                <w:color w:val="auto"/>
                <w:w w:val="95"/>
              </w:rPr>
              <w:t>Reclassification adjustments for gains and losses realized in</w:t>
            </w:r>
          </w:p>
        </w:tc>
        <w:tc>
          <w:tcPr>
            <w:tcW w:w="1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40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20"/>
                <w:szCs w:val="20"/>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20" w:type="dxa"/>
            <w:vAlign w:val="bottom"/>
          </w:tcPr>
          <w:p>
            <w:pPr>
              <w:ind w:left="78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(791)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70"/>
        </w:trPr>
        <w:tc>
          <w:tcPr>
            <w:tcW w:w="4820" w:type="dxa"/>
            <w:vAlign w:val="bottom"/>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14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(2,807)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(2,807)</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20" w:type="dxa"/>
            <w:vAlign w:val="bottom"/>
          </w:tcPr>
          <w:p>
            <w:pPr>
              <w:ind w:left="560"/>
              <w:spacing w:after="0"/>
              <w:rPr>
                <w:sz w:val="20"/>
                <w:szCs w:val="20"/>
                <w:color w:val="auto"/>
              </w:rPr>
            </w:pPr>
            <w:r>
              <w:rPr>
                <w:rFonts w:ascii="Arial" w:cs="Arial" w:eastAsia="Arial" w:hAnsi="Arial"/>
                <w:sz w:val="18"/>
                <w:szCs w:val="18"/>
                <w:color w:val="auto"/>
              </w:rPr>
              <w:t>Other comprehensive loss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(3,433)</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(3,478)</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80"/>
          </w:cols>
          <w:pgMar w:left="680" w:top="553" w:right="239" w:bottom="1440" w:gutter="0" w:footer="0" w:header="0"/>
        </w:sectPr>
      </w:pPr>
    </w:p>
    <w:bookmarkStart w:id="43" w:name="page44"/>
    <w:bookmarkEnd w:id="43"/>
    <w:p>
      <w:pPr>
        <w:jc w:val="center"/>
        <w:ind w:right="20"/>
        <w:spacing w:after="0"/>
        <w:rPr>
          <w:sz w:val="20"/>
          <w:szCs w:val="20"/>
          <w:color w:val="auto"/>
        </w:rPr>
      </w:pPr>
      <w:r>
        <w:rPr>
          <w:rFonts w:ascii="Arial" w:cs="Arial" w:eastAsia="Arial" w:hAnsi="Arial"/>
          <w:sz w:val="18"/>
          <w:szCs w:val="18"/>
          <w:b w:val="1"/>
          <w:bCs w:val="1"/>
          <w:color w:val="auto"/>
        </w:rPr>
        <w:t>ELPIDA MEMORY,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(DEBTORS-IN-POSSESSION)</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40" w:hanging="438"/>
        <w:spacing w:after="0"/>
        <w:tabs>
          <w:tab w:leader="none" w:pos="440" w:val="left"/>
        </w:tabs>
        <w:numPr>
          <w:ilvl w:val="0"/>
          <w:numId w:val="29"/>
        </w:numPr>
        <w:rPr>
          <w:rFonts w:ascii="Arial" w:cs="Arial" w:eastAsia="Arial" w:hAnsi="Arial"/>
          <w:sz w:val="20"/>
          <w:szCs w:val="20"/>
          <w:b w:val="1"/>
          <w:bCs w:val="1"/>
          <w:color w:val="auto"/>
        </w:rPr>
      </w:pPr>
      <w:r>
        <w:rPr>
          <w:rFonts w:ascii="Arial" w:cs="Arial" w:eastAsia="Arial" w:hAnsi="Arial"/>
          <w:sz w:val="20"/>
          <w:szCs w:val="20"/>
          <w:b w:val="1"/>
          <w:bCs w:val="1"/>
          <w:color w:val="auto"/>
        </w:rPr>
        <w:t>Stock Option Plan</w:t>
      </w:r>
    </w:p>
    <w:p>
      <w:pPr>
        <w:spacing w:after="0" w:line="113" w:lineRule="exact"/>
        <w:rPr>
          <w:rFonts w:ascii="Arial" w:cs="Arial" w:eastAsia="Arial" w:hAnsi="Arial"/>
          <w:sz w:val="20"/>
          <w:szCs w:val="20"/>
          <w:b w:val="1"/>
          <w:bCs w:val="1"/>
          <w:color w:val="auto"/>
        </w:rPr>
      </w:pPr>
    </w:p>
    <w:p>
      <w:pPr>
        <w:ind w:left="780" w:hanging="360"/>
        <w:spacing w:after="0"/>
        <w:tabs>
          <w:tab w:leader="none" w:pos="780" w:val="left"/>
        </w:tabs>
        <w:numPr>
          <w:ilvl w:val="1"/>
          <w:numId w:val="29"/>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Elpida Stock Option Plan</w:t>
      </w:r>
    </w:p>
    <w:p>
      <w:pPr>
        <w:spacing w:after="0" w:line="67" w:lineRule="exact"/>
        <w:rPr>
          <w:rFonts w:ascii="Arial" w:cs="Arial" w:eastAsia="Arial" w:hAnsi="Arial"/>
          <w:sz w:val="20"/>
          <w:szCs w:val="20"/>
          <w:b w:val="1"/>
          <w:bCs w:val="1"/>
          <w:i w:val="1"/>
          <w:iCs w:val="1"/>
          <w:color w:val="auto"/>
        </w:rPr>
      </w:pPr>
    </w:p>
    <w:p>
      <w:pPr>
        <w:jc w:val="both"/>
        <w:ind w:left="780"/>
        <w:spacing w:after="0" w:line="244" w:lineRule="auto"/>
        <w:rPr>
          <w:rFonts w:ascii="Arial" w:cs="Arial" w:eastAsia="Arial" w:hAnsi="Arial"/>
          <w:sz w:val="20"/>
          <w:szCs w:val="20"/>
          <w:b w:val="1"/>
          <w:bCs w:val="1"/>
          <w:i w:val="1"/>
          <w:iCs w:val="1"/>
          <w:color w:val="auto"/>
        </w:rPr>
      </w:pPr>
      <w:r>
        <w:rPr>
          <w:rFonts w:ascii="Arial" w:cs="Arial" w:eastAsia="Arial" w:hAnsi="Arial"/>
          <w:sz w:val="20"/>
          <w:szCs w:val="20"/>
          <w:color w:val="auto"/>
        </w:rPr>
        <w:t>On March 23, 2004, Elpida established a stock option plan approved by the shareholders under which options were granted to directors, corporate officers, certain upper-level employees, corporate auditors and certain subsidiaries to purchase shares of common stock of Elpida at the approximate market value at the date of grant. All awards have 3-7 year terms and are vested and become fully exercisable after two years from the date of grant. The Elpida stock option plan was forfeited upon the acceptance of the reorganization plan.</w:t>
      </w:r>
    </w:p>
    <w:p>
      <w:pPr>
        <w:spacing w:after="0" w:line="113" w:lineRule="exact"/>
        <w:rPr>
          <w:rFonts w:ascii="Arial" w:cs="Arial" w:eastAsia="Arial" w:hAnsi="Arial"/>
          <w:sz w:val="20"/>
          <w:szCs w:val="20"/>
          <w:b w:val="1"/>
          <w:bCs w:val="1"/>
          <w:i w:val="1"/>
          <w:iCs w:val="1"/>
          <w:color w:val="auto"/>
        </w:rPr>
      </w:pPr>
    </w:p>
    <w:p>
      <w:pPr>
        <w:ind w:left="780"/>
        <w:spacing w:after="0"/>
        <w:rPr>
          <w:rFonts w:ascii="Arial" w:cs="Arial" w:eastAsia="Arial" w:hAnsi="Arial"/>
          <w:sz w:val="20"/>
          <w:szCs w:val="20"/>
          <w:b w:val="1"/>
          <w:bCs w:val="1"/>
          <w:i w:val="1"/>
          <w:iCs w:val="1"/>
          <w:color w:val="auto"/>
        </w:rPr>
      </w:pPr>
      <w:r>
        <w:rPr>
          <w:rFonts w:ascii="Arial" w:cs="Arial" w:eastAsia="Arial" w:hAnsi="Arial"/>
          <w:sz w:val="20"/>
          <w:szCs w:val="20"/>
          <w:color w:val="auto"/>
        </w:rPr>
        <w:t>Stock option activity during the periods indicated below was as follows:</w:t>
      </w:r>
    </w:p>
    <w:p>
      <w:pPr>
        <w:spacing w:after="0" w:line="268"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30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Weighted average</w:t>
            </w:r>
          </w:p>
        </w:tc>
        <w:tc>
          <w:tcPr>
            <w:tcW w:w="1680" w:type="dxa"/>
            <w:vAlign w:val="bottom"/>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Weighted average</w:t>
            </w: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remaining</w:t>
            </w:r>
          </w:p>
        </w:tc>
        <w:tc>
          <w:tcPr>
            <w:tcW w:w="1680" w:type="dxa"/>
            <w:vAlign w:val="bottom"/>
          </w:tcPr>
          <w:p>
            <w:pPr>
              <w:jc w:val="right"/>
              <w:ind w:right="10"/>
              <w:spacing w:after="0"/>
              <w:rPr>
                <w:sz w:val="20"/>
                <w:szCs w:val="20"/>
                <w:color w:val="auto"/>
              </w:rPr>
            </w:pPr>
            <w:r>
              <w:rPr>
                <w:rFonts w:ascii="Arial" w:cs="Arial" w:eastAsia="Arial" w:hAnsi="Arial"/>
                <w:sz w:val="18"/>
                <w:szCs w:val="18"/>
                <w:b w:val="1"/>
                <w:bCs w:val="1"/>
                <w:color w:val="auto"/>
                <w:w w:val="95"/>
              </w:rPr>
              <w:t>Aggregate intrinsic</w:t>
            </w:r>
          </w:p>
        </w:tc>
      </w:tr>
      <w:tr>
        <w:trPr>
          <w:trHeight w:val="234"/>
        </w:trPr>
        <w:tc>
          <w:tcPr>
            <w:tcW w:w="3080" w:type="dxa"/>
            <w:vAlign w:val="bottom"/>
          </w:tcPr>
          <w:p>
            <w:pPr>
              <w:spacing w:after="0"/>
              <w:rPr>
                <w:sz w:val="20"/>
                <w:szCs w:val="20"/>
                <w:color w:val="auto"/>
              </w:rPr>
            </w:pPr>
          </w:p>
        </w:tc>
        <w:tc>
          <w:tcPr>
            <w:tcW w:w="1580" w:type="dxa"/>
            <w:vAlign w:val="bottom"/>
            <w:gridSpan w:val="2"/>
          </w:tcPr>
          <w:p>
            <w:pPr>
              <w:ind w:left="60"/>
              <w:spacing w:after="0"/>
              <w:rPr>
                <w:sz w:val="20"/>
                <w:szCs w:val="20"/>
                <w:color w:val="auto"/>
              </w:rPr>
            </w:pPr>
            <w:r>
              <w:rPr>
                <w:rFonts w:ascii="Arial" w:cs="Arial" w:eastAsia="Arial" w:hAnsi="Arial"/>
                <w:sz w:val="18"/>
                <w:szCs w:val="18"/>
                <w:b w:val="1"/>
                <w:bCs w:val="1"/>
                <w:color w:val="auto"/>
                <w:w w:val="97"/>
              </w:rPr>
              <w:t>Number of shares</w:t>
            </w:r>
          </w:p>
        </w:tc>
        <w:tc>
          <w:tcPr>
            <w:tcW w:w="140" w:type="dxa"/>
            <w:vAlign w:val="bottom"/>
          </w:tcPr>
          <w:p>
            <w:pPr>
              <w:spacing w:after="0"/>
              <w:rPr>
                <w:sz w:val="20"/>
                <w:szCs w:val="20"/>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exercise price</w:t>
            </w: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contractual term</w:t>
            </w:r>
          </w:p>
        </w:tc>
        <w:tc>
          <w:tcPr>
            <w:tcW w:w="1680" w:type="dxa"/>
            <w:vAlign w:val="bottom"/>
          </w:tcPr>
          <w:p>
            <w:pPr>
              <w:jc w:val="right"/>
              <w:ind w:right="550"/>
              <w:spacing w:after="0"/>
              <w:rPr>
                <w:sz w:val="20"/>
                <w:szCs w:val="20"/>
                <w:color w:val="auto"/>
              </w:rPr>
            </w:pPr>
            <w:r>
              <w:rPr>
                <w:rFonts w:ascii="Arial" w:cs="Arial" w:eastAsia="Arial" w:hAnsi="Arial"/>
                <w:sz w:val="18"/>
                <w:szCs w:val="18"/>
                <w:b w:val="1"/>
                <w:bCs w:val="1"/>
                <w:color w:val="auto"/>
              </w:rPr>
              <w:t>value</w:t>
            </w:r>
          </w:p>
        </w:tc>
      </w:tr>
      <w:tr>
        <w:trPr>
          <w:trHeight w:val="27"/>
        </w:trPr>
        <w:tc>
          <w:tcPr>
            <w:tcW w:w="30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7"/>
        </w:trPr>
        <w:tc>
          <w:tcPr>
            <w:tcW w:w="3080" w:type="dxa"/>
            <w:vAlign w:val="bottom"/>
          </w:tcPr>
          <w:p>
            <w:pPr>
              <w:spacing w:after="0"/>
              <w:rPr>
                <w:sz w:val="20"/>
                <w:szCs w:val="20"/>
                <w:color w:val="auto"/>
              </w:rPr>
            </w:pPr>
            <w:r>
              <w:rPr>
                <w:rFonts w:ascii="Arial" w:cs="Arial" w:eastAsia="Arial" w:hAnsi="Arial"/>
                <w:sz w:val="18"/>
                <w:szCs w:val="18"/>
                <w:color w:val="auto"/>
              </w:rPr>
              <w:t>Outstanding at April 1, 2012</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3,152,600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2,945</w:t>
            </w:r>
          </w:p>
        </w:tc>
        <w:tc>
          <w:tcPr>
            <w:tcW w:w="120" w:type="dxa"/>
            <w:vAlign w:val="bottom"/>
          </w:tcPr>
          <w:p>
            <w:pPr>
              <w:spacing w:after="0"/>
              <w:rPr>
                <w:sz w:val="20"/>
                <w:szCs w:val="20"/>
                <w:color w:val="auto"/>
              </w:rPr>
            </w:pPr>
          </w:p>
        </w:tc>
        <w:tc>
          <w:tcPr>
            <w:tcW w:w="1780" w:type="dxa"/>
            <w:vAlign w:val="bottom"/>
            <w:gridSpan w:val="2"/>
          </w:tcPr>
          <w:p>
            <w:pPr>
              <w:ind w:left="140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3080" w:type="dxa"/>
            <w:vAlign w:val="bottom"/>
          </w:tcPr>
          <w:p>
            <w:pPr>
              <w:spacing w:after="0"/>
              <w:rPr>
                <w:sz w:val="20"/>
                <w:szCs w:val="20"/>
                <w:color w:val="auto"/>
              </w:rPr>
            </w:pPr>
            <w:r>
              <w:rPr>
                <w:rFonts w:ascii="Arial" w:cs="Arial" w:eastAsia="Arial" w:hAnsi="Arial"/>
                <w:sz w:val="18"/>
                <w:szCs w:val="18"/>
                <w:color w:val="auto"/>
              </w:rPr>
              <w:t>Granted</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780" w:type="dxa"/>
            <w:vAlign w:val="bottom"/>
            <w:gridSpan w:val="2"/>
          </w:tcPr>
          <w:p>
            <w:pPr>
              <w:ind w:left="140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3080" w:type="dxa"/>
            <w:vAlign w:val="bottom"/>
          </w:tcPr>
          <w:p>
            <w:pPr>
              <w:spacing w:after="0"/>
              <w:rPr>
                <w:sz w:val="20"/>
                <w:szCs w:val="20"/>
                <w:color w:val="auto"/>
              </w:rPr>
            </w:pPr>
            <w:r>
              <w:rPr>
                <w:rFonts w:ascii="Arial" w:cs="Arial" w:eastAsia="Arial" w:hAnsi="Arial"/>
                <w:sz w:val="18"/>
                <w:szCs w:val="18"/>
                <w:color w:val="auto"/>
              </w:rPr>
              <w:t>Exercised</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780" w:type="dxa"/>
            <w:vAlign w:val="bottom"/>
            <w:gridSpan w:val="2"/>
          </w:tcPr>
          <w:p>
            <w:pPr>
              <w:ind w:left="140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3080" w:type="dxa"/>
            <w:vAlign w:val="bottom"/>
          </w:tcPr>
          <w:p>
            <w:pPr>
              <w:spacing w:after="0"/>
              <w:rPr>
                <w:sz w:val="20"/>
                <w:szCs w:val="20"/>
                <w:color w:val="auto"/>
              </w:rPr>
            </w:pPr>
            <w:r>
              <w:rPr>
                <w:rFonts w:ascii="Arial" w:cs="Arial" w:eastAsia="Arial" w:hAnsi="Arial"/>
                <w:sz w:val="18"/>
                <w:szCs w:val="18"/>
                <w:color w:val="auto"/>
              </w:rPr>
              <w:t>Forfeited</w:t>
            </w:r>
          </w:p>
        </w:tc>
        <w:tc>
          <w:tcPr>
            <w:tcW w:w="1480" w:type="dxa"/>
            <w:vAlign w:val="bottom"/>
          </w:tcPr>
          <w:p>
            <w:pPr>
              <w:jc w:val="right"/>
              <w:spacing w:after="0"/>
              <w:rPr>
                <w:sz w:val="20"/>
                <w:szCs w:val="20"/>
                <w:color w:val="auto"/>
              </w:rPr>
            </w:pPr>
            <w:r>
              <w:rPr>
                <w:rFonts w:ascii="Arial" w:cs="Arial" w:eastAsia="Arial" w:hAnsi="Arial"/>
                <w:sz w:val="18"/>
                <w:szCs w:val="18"/>
                <w:color w:val="auto"/>
              </w:rPr>
              <w:t>(3,152,600)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2,945</w:t>
            </w:r>
          </w:p>
        </w:tc>
        <w:tc>
          <w:tcPr>
            <w:tcW w:w="120" w:type="dxa"/>
            <w:vAlign w:val="bottom"/>
          </w:tcPr>
          <w:p>
            <w:pPr>
              <w:spacing w:after="0"/>
              <w:rPr>
                <w:sz w:val="23"/>
                <w:szCs w:val="23"/>
                <w:color w:val="auto"/>
              </w:rPr>
            </w:pPr>
          </w:p>
        </w:tc>
        <w:tc>
          <w:tcPr>
            <w:tcW w:w="1780" w:type="dxa"/>
            <w:vAlign w:val="bottom"/>
            <w:gridSpan w:val="2"/>
          </w:tcPr>
          <w:p>
            <w:pPr>
              <w:ind w:left="140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3080" w:type="dxa"/>
            <w:vAlign w:val="bottom"/>
          </w:tcPr>
          <w:p>
            <w:pPr>
              <w:spacing w:after="0"/>
              <w:rPr>
                <w:sz w:val="20"/>
                <w:szCs w:val="20"/>
                <w:color w:val="auto"/>
              </w:rPr>
            </w:pPr>
            <w:r>
              <w:rPr>
                <w:rFonts w:ascii="Arial" w:cs="Arial" w:eastAsia="Arial" w:hAnsi="Arial"/>
                <w:sz w:val="18"/>
                <w:szCs w:val="18"/>
                <w:color w:val="auto"/>
              </w:rPr>
              <w:t>Expired</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780" w:type="dxa"/>
            <w:vAlign w:val="bottom"/>
            <w:gridSpan w:val="2"/>
          </w:tcPr>
          <w:p>
            <w:pPr>
              <w:ind w:left="140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0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57"/>
        </w:trPr>
        <w:tc>
          <w:tcPr>
            <w:tcW w:w="3080" w:type="dxa"/>
            <w:vAlign w:val="bottom"/>
          </w:tcPr>
          <w:p>
            <w:pPr>
              <w:spacing w:after="0"/>
              <w:rPr>
                <w:sz w:val="20"/>
                <w:szCs w:val="20"/>
                <w:color w:val="auto"/>
              </w:rPr>
            </w:pPr>
            <w:r>
              <w:rPr>
                <w:rFonts w:ascii="Arial" w:cs="Arial" w:eastAsia="Arial" w:hAnsi="Arial"/>
                <w:sz w:val="18"/>
                <w:szCs w:val="18"/>
                <w:color w:val="auto"/>
              </w:rPr>
              <w:t>Outstanding at February 28, 2013</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780" w:type="dxa"/>
            <w:vAlign w:val="bottom"/>
            <w:gridSpan w:val="2"/>
          </w:tcPr>
          <w:p>
            <w:pPr>
              <w:ind w:left="140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308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Exercisable at February 28, 2013</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780" w:type="dxa"/>
            <w:vAlign w:val="bottom"/>
            <w:gridSpan w:val="2"/>
          </w:tcPr>
          <w:p>
            <w:pPr>
              <w:ind w:left="140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171"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30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Weighted average</w:t>
            </w:r>
          </w:p>
        </w:tc>
        <w:tc>
          <w:tcPr>
            <w:tcW w:w="1680" w:type="dxa"/>
            <w:vAlign w:val="bottom"/>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Weighted average</w:t>
            </w: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remaining</w:t>
            </w:r>
          </w:p>
        </w:tc>
        <w:tc>
          <w:tcPr>
            <w:tcW w:w="1680" w:type="dxa"/>
            <w:vAlign w:val="bottom"/>
          </w:tcPr>
          <w:p>
            <w:pPr>
              <w:jc w:val="right"/>
              <w:ind w:right="10"/>
              <w:spacing w:after="0"/>
              <w:rPr>
                <w:sz w:val="20"/>
                <w:szCs w:val="20"/>
                <w:color w:val="auto"/>
              </w:rPr>
            </w:pPr>
            <w:r>
              <w:rPr>
                <w:rFonts w:ascii="Arial" w:cs="Arial" w:eastAsia="Arial" w:hAnsi="Arial"/>
                <w:sz w:val="18"/>
                <w:szCs w:val="18"/>
                <w:b w:val="1"/>
                <w:bCs w:val="1"/>
                <w:color w:val="auto"/>
                <w:w w:val="95"/>
              </w:rPr>
              <w:t>Aggregate intrinsic</w:t>
            </w:r>
          </w:p>
        </w:tc>
      </w:tr>
      <w:tr>
        <w:trPr>
          <w:trHeight w:val="234"/>
        </w:trPr>
        <w:tc>
          <w:tcPr>
            <w:tcW w:w="3080" w:type="dxa"/>
            <w:vAlign w:val="bottom"/>
          </w:tcPr>
          <w:p>
            <w:pPr>
              <w:spacing w:after="0"/>
              <w:rPr>
                <w:sz w:val="20"/>
                <w:szCs w:val="20"/>
                <w:color w:val="auto"/>
              </w:rPr>
            </w:pPr>
          </w:p>
        </w:tc>
        <w:tc>
          <w:tcPr>
            <w:tcW w:w="1580" w:type="dxa"/>
            <w:vAlign w:val="bottom"/>
            <w:gridSpan w:val="2"/>
          </w:tcPr>
          <w:p>
            <w:pPr>
              <w:ind w:left="60"/>
              <w:spacing w:after="0"/>
              <w:rPr>
                <w:sz w:val="20"/>
                <w:szCs w:val="20"/>
                <w:color w:val="auto"/>
              </w:rPr>
            </w:pPr>
            <w:r>
              <w:rPr>
                <w:rFonts w:ascii="Arial" w:cs="Arial" w:eastAsia="Arial" w:hAnsi="Arial"/>
                <w:sz w:val="18"/>
                <w:szCs w:val="18"/>
                <w:b w:val="1"/>
                <w:bCs w:val="1"/>
                <w:color w:val="auto"/>
                <w:w w:val="97"/>
              </w:rPr>
              <w:t>Number of shares</w:t>
            </w:r>
          </w:p>
        </w:tc>
        <w:tc>
          <w:tcPr>
            <w:tcW w:w="140" w:type="dxa"/>
            <w:vAlign w:val="bottom"/>
          </w:tcPr>
          <w:p>
            <w:pPr>
              <w:spacing w:after="0"/>
              <w:rPr>
                <w:sz w:val="20"/>
                <w:szCs w:val="20"/>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exercise price</w:t>
            </w: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contractual term</w:t>
            </w:r>
          </w:p>
        </w:tc>
        <w:tc>
          <w:tcPr>
            <w:tcW w:w="1680" w:type="dxa"/>
            <w:vAlign w:val="bottom"/>
          </w:tcPr>
          <w:p>
            <w:pPr>
              <w:jc w:val="right"/>
              <w:ind w:right="550"/>
              <w:spacing w:after="0"/>
              <w:rPr>
                <w:sz w:val="20"/>
                <w:szCs w:val="20"/>
                <w:color w:val="auto"/>
              </w:rPr>
            </w:pPr>
            <w:r>
              <w:rPr>
                <w:rFonts w:ascii="Arial" w:cs="Arial" w:eastAsia="Arial" w:hAnsi="Arial"/>
                <w:sz w:val="18"/>
                <w:szCs w:val="18"/>
                <w:b w:val="1"/>
                <w:bCs w:val="1"/>
                <w:color w:val="auto"/>
              </w:rPr>
              <w:t>value</w:t>
            </w:r>
          </w:p>
        </w:tc>
      </w:tr>
      <w:tr>
        <w:trPr>
          <w:trHeight w:val="27"/>
        </w:trPr>
        <w:tc>
          <w:tcPr>
            <w:tcW w:w="30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7"/>
        </w:trPr>
        <w:tc>
          <w:tcPr>
            <w:tcW w:w="3080" w:type="dxa"/>
            <w:vAlign w:val="bottom"/>
          </w:tcPr>
          <w:p>
            <w:pPr>
              <w:spacing w:after="0"/>
              <w:rPr>
                <w:sz w:val="20"/>
                <w:szCs w:val="20"/>
                <w:color w:val="auto"/>
              </w:rPr>
            </w:pPr>
            <w:r>
              <w:rPr>
                <w:rFonts w:ascii="Arial" w:cs="Arial" w:eastAsia="Arial" w:hAnsi="Arial"/>
                <w:sz w:val="18"/>
                <w:szCs w:val="18"/>
                <w:color w:val="auto"/>
              </w:rPr>
              <w:t>Outstanding at April 1, 2011</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3,155,300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2,947</w:t>
            </w:r>
          </w:p>
        </w:tc>
        <w:tc>
          <w:tcPr>
            <w:tcW w:w="120" w:type="dxa"/>
            <w:vAlign w:val="bottom"/>
          </w:tcPr>
          <w:p>
            <w:pPr>
              <w:spacing w:after="0"/>
              <w:rPr>
                <w:sz w:val="20"/>
                <w:szCs w:val="20"/>
                <w:color w:val="auto"/>
              </w:rPr>
            </w:pP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3080" w:type="dxa"/>
            <w:vAlign w:val="bottom"/>
          </w:tcPr>
          <w:p>
            <w:pPr>
              <w:spacing w:after="0"/>
              <w:rPr>
                <w:sz w:val="20"/>
                <w:szCs w:val="20"/>
                <w:color w:val="auto"/>
              </w:rPr>
            </w:pPr>
            <w:r>
              <w:rPr>
                <w:rFonts w:ascii="Arial" w:cs="Arial" w:eastAsia="Arial" w:hAnsi="Arial"/>
                <w:sz w:val="18"/>
                <w:szCs w:val="18"/>
                <w:color w:val="auto"/>
              </w:rPr>
              <w:t>Granted</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3080" w:type="dxa"/>
            <w:vAlign w:val="bottom"/>
          </w:tcPr>
          <w:p>
            <w:pPr>
              <w:spacing w:after="0"/>
              <w:rPr>
                <w:sz w:val="20"/>
                <w:szCs w:val="20"/>
                <w:color w:val="auto"/>
              </w:rPr>
            </w:pPr>
            <w:r>
              <w:rPr>
                <w:rFonts w:ascii="Arial" w:cs="Arial" w:eastAsia="Arial" w:hAnsi="Arial"/>
                <w:sz w:val="18"/>
                <w:szCs w:val="18"/>
                <w:color w:val="auto"/>
              </w:rPr>
              <w:t>Exercised</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3080" w:type="dxa"/>
            <w:vAlign w:val="bottom"/>
          </w:tcPr>
          <w:p>
            <w:pPr>
              <w:spacing w:after="0"/>
              <w:rPr>
                <w:sz w:val="20"/>
                <w:szCs w:val="20"/>
                <w:color w:val="auto"/>
              </w:rPr>
            </w:pPr>
            <w:r>
              <w:rPr>
                <w:rFonts w:ascii="Arial" w:cs="Arial" w:eastAsia="Arial" w:hAnsi="Arial"/>
                <w:sz w:val="18"/>
                <w:szCs w:val="18"/>
                <w:color w:val="auto"/>
              </w:rPr>
              <w:t>Forfeited</w:t>
            </w:r>
          </w:p>
        </w:tc>
        <w:tc>
          <w:tcPr>
            <w:tcW w:w="1480" w:type="dxa"/>
            <w:vAlign w:val="bottom"/>
          </w:tcPr>
          <w:p>
            <w:pPr>
              <w:jc w:val="right"/>
              <w:spacing w:after="0"/>
              <w:rPr>
                <w:sz w:val="20"/>
                <w:szCs w:val="20"/>
                <w:color w:val="auto"/>
              </w:rPr>
            </w:pPr>
            <w:r>
              <w:rPr>
                <w:rFonts w:ascii="Arial" w:cs="Arial" w:eastAsia="Arial" w:hAnsi="Arial"/>
                <w:sz w:val="18"/>
                <w:szCs w:val="18"/>
                <w:color w:val="auto"/>
              </w:rPr>
              <w:t>(2,700)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4,433</w:t>
            </w:r>
          </w:p>
        </w:tc>
        <w:tc>
          <w:tcPr>
            <w:tcW w:w="120" w:type="dxa"/>
            <w:vAlign w:val="bottom"/>
          </w:tcPr>
          <w:p>
            <w:pPr>
              <w:spacing w:after="0"/>
              <w:rPr>
                <w:sz w:val="23"/>
                <w:szCs w:val="23"/>
                <w:color w:val="auto"/>
              </w:rPr>
            </w:pP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3080" w:type="dxa"/>
            <w:vAlign w:val="bottom"/>
          </w:tcPr>
          <w:p>
            <w:pPr>
              <w:spacing w:after="0"/>
              <w:rPr>
                <w:sz w:val="20"/>
                <w:szCs w:val="20"/>
                <w:color w:val="auto"/>
              </w:rPr>
            </w:pPr>
            <w:r>
              <w:rPr>
                <w:rFonts w:ascii="Arial" w:cs="Arial" w:eastAsia="Arial" w:hAnsi="Arial"/>
                <w:sz w:val="18"/>
                <w:szCs w:val="18"/>
                <w:color w:val="auto"/>
              </w:rPr>
              <w:t>Expired</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0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57"/>
        </w:trPr>
        <w:tc>
          <w:tcPr>
            <w:tcW w:w="3080" w:type="dxa"/>
            <w:vAlign w:val="bottom"/>
          </w:tcPr>
          <w:p>
            <w:pPr>
              <w:spacing w:after="0"/>
              <w:rPr>
                <w:sz w:val="20"/>
                <w:szCs w:val="20"/>
                <w:color w:val="auto"/>
              </w:rPr>
            </w:pPr>
            <w:r>
              <w:rPr>
                <w:rFonts w:ascii="Arial" w:cs="Arial" w:eastAsia="Arial" w:hAnsi="Arial"/>
                <w:sz w:val="18"/>
                <w:szCs w:val="18"/>
                <w:color w:val="auto"/>
              </w:rPr>
              <w:t>Outstanding at March 31, 2012</w:t>
            </w: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3,152,600</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2,945</w:t>
            </w:r>
          </w:p>
        </w:tc>
        <w:tc>
          <w:tcPr>
            <w:tcW w:w="120" w:type="dxa"/>
            <w:vAlign w:val="bottom"/>
          </w:tcPr>
          <w:p>
            <w:pPr>
              <w:spacing w:after="0"/>
              <w:rPr>
                <w:sz w:val="22"/>
                <w:szCs w:val="22"/>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2"/>
                <w:szCs w:val="22"/>
                <w:color w:val="auto"/>
              </w:rPr>
            </w:pPr>
          </w:p>
        </w:tc>
        <w:tc>
          <w:tcPr>
            <w:tcW w:w="1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30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Exercisable at March 31, 2012</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3,152,600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2,945</w:t>
            </w:r>
          </w:p>
        </w:tc>
        <w:tc>
          <w:tcPr>
            <w:tcW w:w="1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0"/>
                <w:szCs w:val="20"/>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60" w:top="553" w:right="239" w:bottom="1440" w:gutter="0" w:footer="0" w:header="0"/>
        </w:sectPr>
      </w:pPr>
    </w:p>
    <w:bookmarkStart w:id="44" w:name="page45"/>
    <w:bookmarkEnd w:id="44"/>
    <w:p>
      <w:pPr>
        <w:jc w:val="center"/>
        <w:ind w:right="440"/>
        <w:spacing w:after="0"/>
        <w:rPr>
          <w:sz w:val="20"/>
          <w:szCs w:val="20"/>
          <w:color w:val="auto"/>
        </w:rPr>
      </w:pPr>
      <w:r>
        <w:rPr>
          <w:rFonts w:ascii="Arial" w:cs="Arial" w:eastAsia="Arial" w:hAnsi="Arial"/>
          <w:sz w:val="18"/>
          <w:szCs w:val="18"/>
          <w:b w:val="1"/>
          <w:bCs w:val="1"/>
          <w:color w:val="auto"/>
        </w:rPr>
        <w:t>ELPIDA MEMORY, INC. AND SUBSIDIARIES</w:t>
      </w:r>
    </w:p>
    <w:p>
      <w:pPr>
        <w:spacing w:after="0" w:line="27"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(DEBTORS-IN-POSSESSION)</w:t>
      </w:r>
    </w:p>
    <w:p>
      <w:pPr>
        <w:spacing w:after="0" w:line="9"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60" w:hanging="360"/>
        <w:spacing w:after="0"/>
        <w:tabs>
          <w:tab w:leader="none" w:pos="360" w:val="left"/>
        </w:tabs>
        <w:numPr>
          <w:ilvl w:val="0"/>
          <w:numId w:val="30"/>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Rexchip Stock Option Plan</w:t>
      </w:r>
    </w:p>
    <w:p>
      <w:pPr>
        <w:spacing w:after="0" w:line="67" w:lineRule="exact"/>
        <w:rPr>
          <w:rFonts w:ascii="Arial" w:cs="Arial" w:eastAsia="Arial" w:hAnsi="Arial"/>
          <w:sz w:val="20"/>
          <w:szCs w:val="20"/>
          <w:b w:val="1"/>
          <w:bCs w:val="1"/>
          <w:i w:val="1"/>
          <w:iCs w:val="1"/>
          <w:color w:val="auto"/>
        </w:rPr>
      </w:pPr>
    </w:p>
    <w:p>
      <w:pPr>
        <w:jc w:val="both"/>
        <w:ind w:left="360"/>
        <w:spacing w:after="0" w:line="246" w:lineRule="auto"/>
        <w:rPr>
          <w:rFonts w:ascii="Arial" w:cs="Arial" w:eastAsia="Arial" w:hAnsi="Arial"/>
          <w:sz w:val="20"/>
          <w:szCs w:val="20"/>
          <w:b w:val="1"/>
          <w:bCs w:val="1"/>
          <w:i w:val="1"/>
          <w:iCs w:val="1"/>
          <w:color w:val="auto"/>
        </w:rPr>
      </w:pPr>
      <w:r>
        <w:rPr>
          <w:rFonts w:ascii="Arial" w:cs="Arial" w:eastAsia="Arial" w:hAnsi="Arial"/>
          <w:sz w:val="20"/>
          <w:szCs w:val="20"/>
          <w:color w:val="auto"/>
        </w:rPr>
        <w:t>On December 28, 2007, Rexchip established a stock option plan approved by the shareholders under which options were granted to employees to purchase shares of common stock of Rexchip at the approximate market value at the date of grant. All awards have six year terms and are vested and become fully exercisable after the date of grant except the period up to the fifth business day after the date of obtaining listing approval from the stock exchange in Taiwan.</w:t>
      </w:r>
    </w:p>
    <w:p>
      <w:pPr>
        <w:spacing w:after="0" w:line="110" w:lineRule="exact"/>
        <w:rPr>
          <w:rFonts w:ascii="Arial" w:cs="Arial" w:eastAsia="Arial" w:hAnsi="Arial"/>
          <w:sz w:val="20"/>
          <w:szCs w:val="20"/>
          <w:b w:val="1"/>
          <w:bCs w:val="1"/>
          <w:i w:val="1"/>
          <w:iCs w:val="1"/>
          <w:color w:val="auto"/>
        </w:rPr>
      </w:pPr>
    </w:p>
    <w:p>
      <w:pPr>
        <w:ind w:left="360"/>
        <w:spacing w:after="0"/>
        <w:rPr>
          <w:rFonts w:ascii="Arial" w:cs="Arial" w:eastAsia="Arial" w:hAnsi="Arial"/>
          <w:sz w:val="20"/>
          <w:szCs w:val="20"/>
          <w:b w:val="1"/>
          <w:bCs w:val="1"/>
          <w:i w:val="1"/>
          <w:iCs w:val="1"/>
          <w:color w:val="auto"/>
        </w:rPr>
      </w:pPr>
      <w:r>
        <w:rPr>
          <w:rFonts w:ascii="Arial" w:cs="Arial" w:eastAsia="Arial" w:hAnsi="Arial"/>
          <w:sz w:val="20"/>
          <w:szCs w:val="20"/>
          <w:color w:val="auto"/>
        </w:rPr>
        <w:t>Stock option activity during the periods indicated below was as follows (in New Taiwan Dollars, or TWD):</w:t>
      </w:r>
    </w:p>
    <w:p>
      <w:pPr>
        <w:spacing w:after="0" w:line="295" w:lineRule="exact"/>
        <w:rPr>
          <w:sz w:val="20"/>
          <w:szCs w:val="20"/>
          <w:color w:val="auto"/>
        </w:rPr>
      </w:pPr>
    </w:p>
    <w:tbl>
      <w:tblPr>
        <w:tblLayout w:type="fixed"/>
        <w:tblInd w:w="40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Weighted average</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remaining</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b w:val="1"/>
                <w:bCs w:val="1"/>
                <w:color w:val="auto"/>
              </w:rPr>
              <w:t>Number of</w:t>
            </w: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Weighted average</w:t>
            </w:r>
          </w:p>
        </w:tc>
        <w:tc>
          <w:tcPr>
            <w:tcW w:w="16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contractual</w:t>
            </w: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Aggregate intrinsic</w:t>
            </w:r>
          </w:p>
        </w:tc>
      </w:tr>
      <w:tr>
        <w:trPr>
          <w:trHeight w:val="234"/>
        </w:trPr>
        <w:tc>
          <w:tcPr>
            <w:tcW w:w="3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Pr>
          <w:p>
            <w:pPr>
              <w:jc w:val="right"/>
              <w:ind w:right="350"/>
              <w:spacing w:after="0"/>
              <w:rPr>
                <w:sz w:val="20"/>
                <w:szCs w:val="20"/>
                <w:color w:val="auto"/>
              </w:rPr>
            </w:pPr>
            <w:r>
              <w:rPr>
                <w:rFonts w:ascii="Arial" w:cs="Arial" w:eastAsia="Arial" w:hAnsi="Arial"/>
                <w:sz w:val="18"/>
                <w:szCs w:val="18"/>
                <w:b w:val="1"/>
                <w:bCs w:val="1"/>
                <w:color w:val="auto"/>
              </w:rPr>
              <w:t>shares</w:t>
            </w:r>
          </w:p>
        </w:tc>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exercise price</w:t>
            </w: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7"/>
              </w:rPr>
              <w:t>term</w:t>
            </w: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value</w:t>
            </w:r>
          </w:p>
        </w:tc>
      </w:tr>
      <w:tr>
        <w:trPr>
          <w:trHeight w:val="27"/>
        </w:trPr>
        <w:tc>
          <w:tcPr>
            <w:tcW w:w="3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3280" w:type="dxa"/>
            <w:vAlign w:val="bottom"/>
          </w:tcPr>
          <w:p>
            <w:pPr>
              <w:spacing w:after="0"/>
              <w:rPr>
                <w:sz w:val="20"/>
                <w:szCs w:val="20"/>
                <w:color w:val="auto"/>
              </w:rPr>
            </w:pPr>
            <w:r>
              <w:rPr>
                <w:rFonts w:ascii="Arial" w:cs="Arial" w:eastAsia="Arial" w:hAnsi="Arial"/>
                <w:sz w:val="18"/>
                <w:szCs w:val="18"/>
                <w:color w:val="auto"/>
              </w:rPr>
              <w:t>Outstanding at April 1, 2012</w:t>
            </w:r>
          </w:p>
        </w:tc>
        <w:tc>
          <w:tcPr>
            <w:tcW w:w="1460" w:type="dxa"/>
            <w:vAlign w:val="bottom"/>
            <w:gridSpan w:val="2"/>
          </w:tcPr>
          <w:p>
            <w:pPr>
              <w:jc w:val="right"/>
              <w:ind w:right="10"/>
              <w:spacing w:after="0"/>
              <w:rPr>
                <w:sz w:val="20"/>
                <w:szCs w:val="20"/>
                <w:color w:val="auto"/>
              </w:rPr>
            </w:pPr>
            <w:r>
              <w:rPr>
                <w:rFonts w:ascii="Arial" w:cs="Arial" w:eastAsia="Arial" w:hAnsi="Arial"/>
                <w:sz w:val="18"/>
                <w:szCs w:val="18"/>
                <w:color w:val="auto"/>
              </w:rPr>
              <w:t>69,291,000</w:t>
            </w:r>
          </w:p>
        </w:tc>
        <w:tc>
          <w:tcPr>
            <w:tcW w:w="40" w:type="dxa"/>
            <w:vAlign w:val="bottom"/>
          </w:tcPr>
          <w:p>
            <w:pPr>
              <w:spacing w:after="0"/>
              <w:rPr>
                <w:sz w:val="20"/>
                <w:szCs w:val="20"/>
                <w:color w:val="auto"/>
              </w:rPr>
            </w:pPr>
          </w:p>
        </w:tc>
        <w:tc>
          <w:tcPr>
            <w:tcW w:w="840" w:type="dxa"/>
            <w:vAlign w:val="bottom"/>
          </w:tcPr>
          <w:p>
            <w:pPr>
              <w:ind w:left="400"/>
              <w:spacing w:after="0"/>
              <w:rPr>
                <w:sz w:val="20"/>
                <w:szCs w:val="20"/>
                <w:color w:val="auto"/>
              </w:rPr>
            </w:pPr>
            <w:r>
              <w:rPr>
                <w:rFonts w:ascii="Arial" w:cs="Arial" w:eastAsia="Arial" w:hAnsi="Arial"/>
                <w:sz w:val="18"/>
                <w:szCs w:val="18"/>
                <w:color w:val="auto"/>
              </w:rPr>
              <w:t>TWD</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15.11</w:t>
            </w:r>
          </w:p>
        </w:tc>
        <w:tc>
          <w:tcPr>
            <w:tcW w:w="120" w:type="dxa"/>
            <w:vAlign w:val="bottom"/>
          </w:tcPr>
          <w:p>
            <w:pPr>
              <w:spacing w:after="0"/>
              <w:rPr>
                <w:sz w:val="20"/>
                <w:szCs w:val="20"/>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40" w:type="dxa"/>
            <w:vAlign w:val="bottom"/>
            <w:gridSpan w:val="2"/>
          </w:tcPr>
          <w:p>
            <w:pPr>
              <w:ind w:left="1280"/>
              <w:spacing w:after="0"/>
              <w:rPr>
                <w:sz w:val="20"/>
                <w:szCs w:val="20"/>
                <w:color w:val="auto"/>
              </w:rPr>
            </w:pPr>
            <w:r>
              <w:rPr>
                <w:rFonts w:ascii="Arial" w:cs="Arial" w:eastAsia="Arial" w:hAnsi="Arial"/>
                <w:sz w:val="18"/>
                <w:szCs w:val="18"/>
                <w:color w:val="auto"/>
              </w:rPr>
              <w:t>—</w:t>
            </w:r>
          </w:p>
        </w:tc>
      </w:tr>
      <w:tr>
        <w:trPr>
          <w:trHeight w:val="270"/>
        </w:trPr>
        <w:tc>
          <w:tcPr>
            <w:tcW w:w="3280" w:type="dxa"/>
            <w:vAlign w:val="bottom"/>
          </w:tcPr>
          <w:p>
            <w:pPr>
              <w:ind w:left="140"/>
              <w:spacing w:after="0"/>
              <w:rPr>
                <w:sz w:val="20"/>
                <w:szCs w:val="20"/>
                <w:color w:val="auto"/>
              </w:rPr>
            </w:pPr>
            <w:r>
              <w:rPr>
                <w:rFonts w:ascii="Arial" w:cs="Arial" w:eastAsia="Arial" w:hAnsi="Arial"/>
                <w:sz w:val="18"/>
                <w:szCs w:val="18"/>
                <w:color w:val="auto"/>
              </w:rPr>
              <w:t>Granted</w:t>
            </w:r>
          </w:p>
        </w:tc>
        <w:tc>
          <w:tcPr>
            <w:tcW w:w="8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40" w:type="dxa"/>
            <w:vAlign w:val="bottom"/>
            <w:gridSpan w:val="2"/>
          </w:tcPr>
          <w:p>
            <w:pPr>
              <w:ind w:left="1280"/>
              <w:spacing w:after="0"/>
              <w:rPr>
                <w:sz w:val="20"/>
                <w:szCs w:val="20"/>
                <w:color w:val="auto"/>
              </w:rPr>
            </w:pPr>
            <w:r>
              <w:rPr>
                <w:rFonts w:ascii="Arial" w:cs="Arial" w:eastAsia="Arial" w:hAnsi="Arial"/>
                <w:sz w:val="18"/>
                <w:szCs w:val="18"/>
                <w:color w:val="auto"/>
              </w:rPr>
              <w:t>—</w:t>
            </w:r>
          </w:p>
        </w:tc>
      </w:tr>
      <w:tr>
        <w:trPr>
          <w:trHeight w:val="270"/>
        </w:trPr>
        <w:tc>
          <w:tcPr>
            <w:tcW w:w="3280" w:type="dxa"/>
            <w:vAlign w:val="bottom"/>
          </w:tcPr>
          <w:p>
            <w:pPr>
              <w:ind w:left="140"/>
              <w:spacing w:after="0"/>
              <w:rPr>
                <w:sz w:val="20"/>
                <w:szCs w:val="20"/>
                <w:color w:val="auto"/>
              </w:rPr>
            </w:pPr>
            <w:r>
              <w:rPr>
                <w:rFonts w:ascii="Arial" w:cs="Arial" w:eastAsia="Arial" w:hAnsi="Arial"/>
                <w:sz w:val="18"/>
                <w:szCs w:val="18"/>
                <w:color w:val="auto"/>
              </w:rPr>
              <w:t>Exercised</w:t>
            </w:r>
          </w:p>
        </w:tc>
        <w:tc>
          <w:tcPr>
            <w:tcW w:w="8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40" w:type="dxa"/>
            <w:vAlign w:val="bottom"/>
            <w:gridSpan w:val="2"/>
          </w:tcPr>
          <w:p>
            <w:pPr>
              <w:ind w:left="1280"/>
              <w:spacing w:after="0"/>
              <w:rPr>
                <w:sz w:val="20"/>
                <w:szCs w:val="20"/>
                <w:color w:val="auto"/>
              </w:rPr>
            </w:pPr>
            <w:r>
              <w:rPr>
                <w:rFonts w:ascii="Arial" w:cs="Arial" w:eastAsia="Arial" w:hAnsi="Arial"/>
                <w:sz w:val="18"/>
                <w:szCs w:val="18"/>
                <w:color w:val="auto"/>
              </w:rPr>
              <w:t>—</w:t>
            </w:r>
          </w:p>
        </w:tc>
      </w:tr>
      <w:tr>
        <w:trPr>
          <w:trHeight w:val="270"/>
        </w:trPr>
        <w:tc>
          <w:tcPr>
            <w:tcW w:w="3280" w:type="dxa"/>
            <w:vAlign w:val="bottom"/>
          </w:tcPr>
          <w:p>
            <w:pPr>
              <w:ind w:left="140"/>
              <w:spacing w:after="0"/>
              <w:rPr>
                <w:sz w:val="20"/>
                <w:szCs w:val="20"/>
                <w:color w:val="auto"/>
              </w:rPr>
            </w:pPr>
            <w:r>
              <w:rPr>
                <w:rFonts w:ascii="Arial" w:cs="Arial" w:eastAsia="Arial" w:hAnsi="Arial"/>
                <w:sz w:val="18"/>
                <w:szCs w:val="18"/>
                <w:color w:val="auto"/>
              </w:rPr>
              <w:t>Forfeited</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(30,013,500)</w:t>
            </w:r>
          </w:p>
        </w:tc>
        <w:tc>
          <w:tcPr>
            <w:tcW w:w="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15.11</w:t>
            </w:r>
          </w:p>
        </w:tc>
        <w:tc>
          <w:tcPr>
            <w:tcW w:w="120" w:type="dxa"/>
            <w:vAlign w:val="bottom"/>
          </w:tcPr>
          <w:p>
            <w:pPr>
              <w:spacing w:after="0"/>
              <w:rPr>
                <w:sz w:val="23"/>
                <w:szCs w:val="23"/>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40" w:type="dxa"/>
            <w:vAlign w:val="bottom"/>
            <w:gridSpan w:val="2"/>
          </w:tcPr>
          <w:p>
            <w:pPr>
              <w:ind w:left="1280"/>
              <w:spacing w:after="0"/>
              <w:rPr>
                <w:sz w:val="20"/>
                <w:szCs w:val="20"/>
                <w:color w:val="auto"/>
              </w:rPr>
            </w:pPr>
            <w:r>
              <w:rPr>
                <w:rFonts w:ascii="Arial" w:cs="Arial" w:eastAsia="Arial" w:hAnsi="Arial"/>
                <w:sz w:val="18"/>
                <w:szCs w:val="18"/>
                <w:color w:val="auto"/>
              </w:rPr>
              <w:t>—</w:t>
            </w:r>
          </w:p>
        </w:tc>
      </w:tr>
      <w:tr>
        <w:trPr>
          <w:trHeight w:val="270"/>
        </w:trPr>
        <w:tc>
          <w:tcPr>
            <w:tcW w:w="3280" w:type="dxa"/>
            <w:vAlign w:val="bottom"/>
          </w:tcPr>
          <w:p>
            <w:pPr>
              <w:ind w:left="140"/>
              <w:spacing w:after="0"/>
              <w:rPr>
                <w:sz w:val="20"/>
                <w:szCs w:val="20"/>
                <w:color w:val="auto"/>
              </w:rPr>
            </w:pPr>
            <w:r>
              <w:rPr>
                <w:rFonts w:ascii="Arial" w:cs="Arial" w:eastAsia="Arial" w:hAnsi="Arial"/>
                <w:sz w:val="18"/>
                <w:szCs w:val="18"/>
                <w:color w:val="auto"/>
              </w:rPr>
              <w:t>Expired</w:t>
            </w:r>
          </w:p>
        </w:tc>
        <w:tc>
          <w:tcPr>
            <w:tcW w:w="8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40" w:type="dxa"/>
            <w:vAlign w:val="bottom"/>
            <w:gridSpan w:val="2"/>
          </w:tcPr>
          <w:p>
            <w:pPr>
              <w:ind w:left="1280"/>
              <w:spacing w:after="0"/>
              <w:rPr>
                <w:sz w:val="20"/>
                <w:szCs w:val="20"/>
                <w:color w:val="auto"/>
              </w:rPr>
            </w:pPr>
            <w:r>
              <w:rPr>
                <w:rFonts w:ascii="Arial" w:cs="Arial" w:eastAsia="Arial" w:hAnsi="Arial"/>
                <w:sz w:val="18"/>
                <w:szCs w:val="18"/>
                <w:color w:val="auto"/>
              </w:rPr>
              <w:t>—</w:t>
            </w:r>
          </w:p>
        </w:tc>
      </w:tr>
      <w:tr>
        <w:trPr>
          <w:trHeight w:val="27"/>
        </w:trPr>
        <w:tc>
          <w:tcPr>
            <w:tcW w:w="3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57"/>
        </w:trPr>
        <w:tc>
          <w:tcPr>
            <w:tcW w:w="3280" w:type="dxa"/>
            <w:vAlign w:val="bottom"/>
          </w:tcPr>
          <w:p>
            <w:pPr>
              <w:spacing w:after="0"/>
              <w:rPr>
                <w:sz w:val="20"/>
                <w:szCs w:val="20"/>
                <w:color w:val="auto"/>
              </w:rPr>
            </w:pPr>
            <w:r>
              <w:rPr>
                <w:rFonts w:ascii="Arial" w:cs="Arial" w:eastAsia="Arial" w:hAnsi="Arial"/>
                <w:sz w:val="18"/>
                <w:szCs w:val="18"/>
                <w:color w:val="auto"/>
              </w:rPr>
              <w:t>Outstanding at February 28, 2013</w:t>
            </w:r>
          </w:p>
        </w:tc>
        <w:tc>
          <w:tcPr>
            <w:tcW w:w="80" w:type="dxa"/>
            <w:vAlign w:val="bottom"/>
          </w:tcPr>
          <w:p>
            <w:pPr>
              <w:spacing w:after="0"/>
              <w:rPr>
                <w:sz w:val="22"/>
                <w:szCs w:val="22"/>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39,277,500</w:t>
            </w:r>
          </w:p>
        </w:tc>
        <w:tc>
          <w:tcPr>
            <w:tcW w:w="40" w:type="dxa"/>
            <w:vAlign w:val="bottom"/>
          </w:tcPr>
          <w:p>
            <w:pPr>
              <w:spacing w:after="0"/>
              <w:rPr>
                <w:sz w:val="22"/>
                <w:szCs w:val="22"/>
                <w:color w:val="auto"/>
              </w:rPr>
            </w:pPr>
          </w:p>
        </w:tc>
        <w:tc>
          <w:tcPr>
            <w:tcW w:w="840" w:type="dxa"/>
            <w:vAlign w:val="bottom"/>
          </w:tcPr>
          <w:p>
            <w:pPr>
              <w:ind w:left="400"/>
              <w:spacing w:after="0"/>
              <w:rPr>
                <w:sz w:val="20"/>
                <w:szCs w:val="20"/>
                <w:color w:val="auto"/>
              </w:rPr>
            </w:pPr>
            <w:r>
              <w:rPr>
                <w:rFonts w:ascii="Arial" w:cs="Arial" w:eastAsia="Arial" w:hAnsi="Arial"/>
                <w:sz w:val="18"/>
                <w:szCs w:val="18"/>
                <w:color w:val="auto"/>
              </w:rPr>
              <w:t>TWD</w:t>
            </w: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15.11</w:t>
            </w:r>
          </w:p>
        </w:tc>
        <w:tc>
          <w:tcPr>
            <w:tcW w:w="120" w:type="dxa"/>
            <w:vAlign w:val="bottom"/>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0.83</w:t>
            </w:r>
          </w:p>
        </w:tc>
        <w:tc>
          <w:tcPr>
            <w:tcW w:w="120" w:type="dxa"/>
            <w:vAlign w:val="bottom"/>
          </w:tcPr>
          <w:p>
            <w:pPr>
              <w:spacing w:after="0"/>
              <w:rPr>
                <w:sz w:val="22"/>
                <w:szCs w:val="22"/>
                <w:color w:val="auto"/>
              </w:rPr>
            </w:pPr>
          </w:p>
        </w:tc>
        <w:tc>
          <w:tcPr>
            <w:tcW w:w="1540" w:type="dxa"/>
            <w:vAlign w:val="bottom"/>
            <w:tcBorders>
              <w:bottom w:val="single" w:sz="8" w:color="auto"/>
            </w:tcBorders>
          </w:tcPr>
          <w:p>
            <w:pPr>
              <w:ind w:left="1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r>
      <w:tr>
        <w:trPr>
          <w:trHeight w:val="20"/>
        </w:trPr>
        <w:tc>
          <w:tcPr>
            <w:tcW w:w="3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Exercisable at February 28, 2013</w:t>
            </w:r>
          </w:p>
        </w:tc>
        <w:tc>
          <w:tcPr>
            <w:tcW w:w="1460" w:type="dxa"/>
            <w:vAlign w:val="bottom"/>
            <w:gridSpan w:val="2"/>
          </w:tcPr>
          <w:p>
            <w:pPr>
              <w:jc w:val="right"/>
              <w:ind w:right="10"/>
              <w:spacing w:after="0"/>
              <w:rPr>
                <w:sz w:val="20"/>
                <w:szCs w:val="20"/>
                <w:color w:val="auto"/>
              </w:rPr>
            </w:pPr>
            <w:r>
              <w:rPr>
                <w:rFonts w:ascii="Arial" w:cs="Arial" w:eastAsia="Arial" w:hAnsi="Arial"/>
                <w:sz w:val="18"/>
                <w:szCs w:val="18"/>
                <w:color w:val="auto"/>
              </w:rPr>
              <w:t>39,277,500</w:t>
            </w:r>
          </w:p>
        </w:tc>
        <w:tc>
          <w:tcPr>
            <w:tcW w:w="40" w:type="dxa"/>
            <w:vAlign w:val="bottom"/>
          </w:tcPr>
          <w:p>
            <w:pPr>
              <w:spacing w:after="0"/>
              <w:rPr>
                <w:sz w:val="20"/>
                <w:szCs w:val="20"/>
                <w:color w:val="auto"/>
              </w:rPr>
            </w:pPr>
          </w:p>
        </w:tc>
        <w:tc>
          <w:tcPr>
            <w:tcW w:w="840" w:type="dxa"/>
            <w:vAlign w:val="bottom"/>
          </w:tcPr>
          <w:p>
            <w:pPr>
              <w:ind w:left="400"/>
              <w:spacing w:after="0"/>
              <w:rPr>
                <w:sz w:val="20"/>
                <w:szCs w:val="20"/>
                <w:color w:val="auto"/>
              </w:rPr>
            </w:pPr>
            <w:r>
              <w:rPr>
                <w:rFonts w:ascii="Arial" w:cs="Arial" w:eastAsia="Arial" w:hAnsi="Arial"/>
                <w:sz w:val="18"/>
                <w:szCs w:val="18"/>
                <w:color w:val="auto"/>
              </w:rPr>
              <w:t>TWD</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15.11</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0.83</w:t>
            </w:r>
          </w:p>
        </w:tc>
        <w:tc>
          <w:tcPr>
            <w:tcW w:w="120" w:type="dxa"/>
            <w:vAlign w:val="bottom"/>
          </w:tcPr>
          <w:p>
            <w:pPr>
              <w:spacing w:after="0"/>
              <w:rPr>
                <w:sz w:val="20"/>
                <w:szCs w:val="20"/>
                <w:color w:val="auto"/>
              </w:rPr>
            </w:pPr>
          </w:p>
        </w:tc>
        <w:tc>
          <w:tcPr>
            <w:tcW w:w="1640" w:type="dxa"/>
            <w:vAlign w:val="bottom"/>
            <w:gridSpan w:val="2"/>
          </w:tcPr>
          <w:p>
            <w:pPr>
              <w:ind w:left="1280"/>
              <w:spacing w:after="0"/>
              <w:rPr>
                <w:sz w:val="20"/>
                <w:szCs w:val="20"/>
                <w:color w:val="auto"/>
              </w:rPr>
            </w:pPr>
            <w:r>
              <w:rPr>
                <w:rFonts w:ascii="Arial" w:cs="Arial" w:eastAsia="Arial" w:hAnsi="Arial"/>
                <w:sz w:val="18"/>
                <w:szCs w:val="18"/>
                <w:color w:val="auto"/>
              </w:rPr>
              <w:t>—</w:t>
            </w:r>
          </w:p>
        </w:tc>
      </w:tr>
      <w:tr>
        <w:trPr>
          <w:trHeight w:val="603"/>
        </w:trPr>
        <w:tc>
          <w:tcPr>
            <w:tcW w:w="3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Weighted average</w:t>
            </w: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remaining</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Weighted average</w:t>
            </w:r>
          </w:p>
        </w:tc>
        <w:tc>
          <w:tcPr>
            <w:tcW w:w="16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contractual</w:t>
            </w: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Aggregate intrinsic</w:t>
            </w:r>
          </w:p>
        </w:tc>
      </w:tr>
      <w:tr>
        <w:trPr>
          <w:trHeight w:val="234"/>
        </w:trPr>
        <w:tc>
          <w:tcPr>
            <w:tcW w:w="3280" w:type="dxa"/>
            <w:vAlign w:val="bottom"/>
          </w:tcPr>
          <w:p>
            <w:pPr>
              <w:spacing w:after="0"/>
              <w:rPr>
                <w:sz w:val="20"/>
                <w:szCs w:val="20"/>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Number of shares</w:t>
            </w:r>
          </w:p>
        </w:tc>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exercise price</w:t>
            </w: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7"/>
              </w:rPr>
              <w:t>term</w:t>
            </w: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value</w:t>
            </w:r>
          </w:p>
        </w:tc>
      </w:tr>
      <w:tr>
        <w:trPr>
          <w:trHeight w:val="27"/>
        </w:trPr>
        <w:tc>
          <w:tcPr>
            <w:tcW w:w="328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4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3280" w:type="dxa"/>
            <w:vAlign w:val="bottom"/>
          </w:tcPr>
          <w:p>
            <w:pPr>
              <w:spacing w:after="0"/>
              <w:rPr>
                <w:sz w:val="20"/>
                <w:szCs w:val="20"/>
                <w:color w:val="auto"/>
              </w:rPr>
            </w:pPr>
            <w:r>
              <w:rPr>
                <w:rFonts w:ascii="Arial" w:cs="Arial" w:eastAsia="Arial" w:hAnsi="Arial"/>
                <w:sz w:val="18"/>
                <w:szCs w:val="18"/>
                <w:color w:val="auto"/>
              </w:rPr>
              <w:t>Outstanding at April 1, 2011</w:t>
            </w:r>
          </w:p>
        </w:tc>
        <w:tc>
          <w:tcPr>
            <w:tcW w:w="1460" w:type="dxa"/>
            <w:vAlign w:val="bottom"/>
            <w:gridSpan w:val="2"/>
          </w:tcPr>
          <w:p>
            <w:pPr>
              <w:jc w:val="right"/>
              <w:ind w:right="110"/>
              <w:spacing w:after="0"/>
              <w:rPr>
                <w:sz w:val="20"/>
                <w:szCs w:val="20"/>
                <w:color w:val="auto"/>
              </w:rPr>
            </w:pPr>
            <w:r>
              <w:rPr>
                <w:rFonts w:ascii="Arial" w:cs="Arial" w:eastAsia="Arial" w:hAnsi="Arial"/>
                <w:sz w:val="18"/>
                <w:szCs w:val="18"/>
                <w:color w:val="auto"/>
              </w:rPr>
              <w:t>72,895,000</w:t>
            </w:r>
          </w:p>
        </w:tc>
        <w:tc>
          <w:tcPr>
            <w:tcW w:w="40" w:type="dxa"/>
            <w:vAlign w:val="bottom"/>
          </w:tcPr>
          <w:p>
            <w:pPr>
              <w:spacing w:after="0"/>
              <w:rPr>
                <w:sz w:val="20"/>
                <w:szCs w:val="20"/>
                <w:color w:val="auto"/>
              </w:rPr>
            </w:pPr>
          </w:p>
        </w:tc>
        <w:tc>
          <w:tcPr>
            <w:tcW w:w="840" w:type="dxa"/>
            <w:vAlign w:val="bottom"/>
          </w:tcPr>
          <w:p>
            <w:pPr>
              <w:ind w:left="400"/>
              <w:spacing w:after="0"/>
              <w:rPr>
                <w:sz w:val="20"/>
                <w:szCs w:val="20"/>
                <w:color w:val="auto"/>
              </w:rPr>
            </w:pPr>
            <w:r>
              <w:rPr>
                <w:rFonts w:ascii="Arial" w:cs="Arial" w:eastAsia="Arial" w:hAnsi="Arial"/>
                <w:sz w:val="18"/>
                <w:szCs w:val="18"/>
                <w:color w:val="auto"/>
              </w:rPr>
              <w:t>TWD</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15.11</w:t>
            </w:r>
          </w:p>
        </w:tc>
        <w:tc>
          <w:tcPr>
            <w:tcW w:w="120" w:type="dxa"/>
            <w:vAlign w:val="bottom"/>
          </w:tcPr>
          <w:p>
            <w:pPr>
              <w:spacing w:after="0"/>
              <w:rPr>
                <w:sz w:val="20"/>
                <w:szCs w:val="20"/>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40" w:type="dxa"/>
            <w:vAlign w:val="bottom"/>
            <w:gridSpan w:val="2"/>
          </w:tcPr>
          <w:p>
            <w:pPr>
              <w:ind w:left="1280"/>
              <w:spacing w:after="0"/>
              <w:rPr>
                <w:sz w:val="20"/>
                <w:szCs w:val="20"/>
                <w:color w:val="auto"/>
              </w:rPr>
            </w:pPr>
            <w:r>
              <w:rPr>
                <w:rFonts w:ascii="Arial" w:cs="Arial" w:eastAsia="Arial" w:hAnsi="Arial"/>
                <w:sz w:val="18"/>
                <w:szCs w:val="18"/>
                <w:color w:val="auto"/>
              </w:rPr>
              <w:t>—</w:t>
            </w:r>
          </w:p>
        </w:tc>
      </w:tr>
      <w:tr>
        <w:trPr>
          <w:trHeight w:val="270"/>
        </w:trPr>
        <w:tc>
          <w:tcPr>
            <w:tcW w:w="3280" w:type="dxa"/>
            <w:vAlign w:val="bottom"/>
          </w:tcPr>
          <w:p>
            <w:pPr>
              <w:ind w:left="140"/>
              <w:spacing w:after="0"/>
              <w:rPr>
                <w:sz w:val="20"/>
                <w:szCs w:val="20"/>
                <w:color w:val="auto"/>
              </w:rPr>
            </w:pPr>
            <w:r>
              <w:rPr>
                <w:rFonts w:ascii="Arial" w:cs="Arial" w:eastAsia="Arial" w:hAnsi="Arial"/>
                <w:sz w:val="18"/>
                <w:szCs w:val="18"/>
                <w:color w:val="auto"/>
              </w:rPr>
              <w:t>Granted</w:t>
            </w:r>
          </w:p>
        </w:tc>
        <w:tc>
          <w:tcPr>
            <w:tcW w:w="80" w:type="dxa"/>
            <w:vAlign w:val="bottom"/>
          </w:tcPr>
          <w:p>
            <w:pPr>
              <w:spacing w:after="0"/>
              <w:rPr>
                <w:sz w:val="23"/>
                <w:szCs w:val="23"/>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40" w:type="dxa"/>
            <w:vAlign w:val="bottom"/>
            <w:gridSpan w:val="2"/>
          </w:tcPr>
          <w:p>
            <w:pPr>
              <w:ind w:left="1280"/>
              <w:spacing w:after="0"/>
              <w:rPr>
                <w:sz w:val="20"/>
                <w:szCs w:val="20"/>
                <w:color w:val="auto"/>
              </w:rPr>
            </w:pPr>
            <w:r>
              <w:rPr>
                <w:rFonts w:ascii="Arial" w:cs="Arial" w:eastAsia="Arial" w:hAnsi="Arial"/>
                <w:sz w:val="18"/>
                <w:szCs w:val="18"/>
                <w:color w:val="auto"/>
              </w:rPr>
              <w:t>—</w:t>
            </w:r>
          </w:p>
        </w:tc>
      </w:tr>
      <w:tr>
        <w:trPr>
          <w:trHeight w:val="270"/>
        </w:trPr>
        <w:tc>
          <w:tcPr>
            <w:tcW w:w="3280" w:type="dxa"/>
            <w:vAlign w:val="bottom"/>
          </w:tcPr>
          <w:p>
            <w:pPr>
              <w:ind w:left="140"/>
              <w:spacing w:after="0"/>
              <w:rPr>
                <w:sz w:val="20"/>
                <w:szCs w:val="20"/>
                <w:color w:val="auto"/>
              </w:rPr>
            </w:pPr>
            <w:r>
              <w:rPr>
                <w:rFonts w:ascii="Arial" w:cs="Arial" w:eastAsia="Arial" w:hAnsi="Arial"/>
                <w:sz w:val="18"/>
                <w:szCs w:val="18"/>
                <w:color w:val="auto"/>
              </w:rPr>
              <w:t>Exercised</w:t>
            </w:r>
          </w:p>
        </w:tc>
        <w:tc>
          <w:tcPr>
            <w:tcW w:w="80" w:type="dxa"/>
            <w:vAlign w:val="bottom"/>
          </w:tcPr>
          <w:p>
            <w:pPr>
              <w:spacing w:after="0"/>
              <w:rPr>
                <w:sz w:val="23"/>
                <w:szCs w:val="23"/>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40" w:type="dxa"/>
            <w:vAlign w:val="bottom"/>
            <w:gridSpan w:val="2"/>
          </w:tcPr>
          <w:p>
            <w:pPr>
              <w:ind w:left="1280"/>
              <w:spacing w:after="0"/>
              <w:rPr>
                <w:sz w:val="20"/>
                <w:szCs w:val="20"/>
                <w:color w:val="auto"/>
              </w:rPr>
            </w:pPr>
            <w:r>
              <w:rPr>
                <w:rFonts w:ascii="Arial" w:cs="Arial" w:eastAsia="Arial" w:hAnsi="Arial"/>
                <w:sz w:val="18"/>
                <w:szCs w:val="18"/>
                <w:color w:val="auto"/>
              </w:rPr>
              <w:t>—</w:t>
            </w:r>
          </w:p>
        </w:tc>
      </w:tr>
      <w:tr>
        <w:trPr>
          <w:trHeight w:val="270"/>
        </w:trPr>
        <w:tc>
          <w:tcPr>
            <w:tcW w:w="3280" w:type="dxa"/>
            <w:vAlign w:val="bottom"/>
          </w:tcPr>
          <w:p>
            <w:pPr>
              <w:ind w:left="140"/>
              <w:spacing w:after="0"/>
              <w:rPr>
                <w:sz w:val="20"/>
                <w:szCs w:val="20"/>
                <w:color w:val="auto"/>
              </w:rPr>
            </w:pPr>
            <w:r>
              <w:rPr>
                <w:rFonts w:ascii="Arial" w:cs="Arial" w:eastAsia="Arial" w:hAnsi="Arial"/>
                <w:sz w:val="18"/>
                <w:szCs w:val="18"/>
                <w:color w:val="auto"/>
              </w:rPr>
              <w:t>Forfeited</w:t>
            </w:r>
          </w:p>
        </w:tc>
        <w:tc>
          <w:tcPr>
            <w:tcW w:w="1460" w:type="dxa"/>
            <w:vAlign w:val="bottom"/>
            <w:gridSpan w:val="2"/>
          </w:tcPr>
          <w:p>
            <w:pPr>
              <w:jc w:val="right"/>
              <w:ind w:right="50"/>
              <w:spacing w:after="0"/>
              <w:rPr>
                <w:sz w:val="20"/>
                <w:szCs w:val="20"/>
                <w:color w:val="auto"/>
              </w:rPr>
            </w:pPr>
            <w:r>
              <w:rPr>
                <w:rFonts w:ascii="Arial" w:cs="Arial" w:eastAsia="Arial" w:hAnsi="Arial"/>
                <w:sz w:val="18"/>
                <w:szCs w:val="18"/>
                <w:color w:val="auto"/>
              </w:rPr>
              <w:t>(3,604,000)</w:t>
            </w:r>
          </w:p>
        </w:tc>
        <w:tc>
          <w:tcPr>
            <w:tcW w:w="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15.11</w:t>
            </w:r>
          </w:p>
        </w:tc>
        <w:tc>
          <w:tcPr>
            <w:tcW w:w="120" w:type="dxa"/>
            <w:vAlign w:val="bottom"/>
          </w:tcPr>
          <w:p>
            <w:pPr>
              <w:spacing w:after="0"/>
              <w:rPr>
                <w:sz w:val="23"/>
                <w:szCs w:val="23"/>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40" w:type="dxa"/>
            <w:vAlign w:val="bottom"/>
            <w:gridSpan w:val="2"/>
          </w:tcPr>
          <w:p>
            <w:pPr>
              <w:ind w:left="1280"/>
              <w:spacing w:after="0"/>
              <w:rPr>
                <w:sz w:val="20"/>
                <w:szCs w:val="20"/>
                <w:color w:val="auto"/>
              </w:rPr>
            </w:pPr>
            <w:r>
              <w:rPr>
                <w:rFonts w:ascii="Arial" w:cs="Arial" w:eastAsia="Arial" w:hAnsi="Arial"/>
                <w:sz w:val="18"/>
                <w:szCs w:val="18"/>
                <w:color w:val="auto"/>
              </w:rPr>
              <w:t>—</w:t>
            </w:r>
          </w:p>
        </w:tc>
      </w:tr>
      <w:tr>
        <w:trPr>
          <w:trHeight w:val="270"/>
        </w:trPr>
        <w:tc>
          <w:tcPr>
            <w:tcW w:w="3280" w:type="dxa"/>
            <w:vAlign w:val="bottom"/>
          </w:tcPr>
          <w:p>
            <w:pPr>
              <w:ind w:left="140"/>
              <w:spacing w:after="0"/>
              <w:rPr>
                <w:sz w:val="20"/>
                <w:szCs w:val="20"/>
                <w:color w:val="auto"/>
              </w:rPr>
            </w:pPr>
            <w:r>
              <w:rPr>
                <w:rFonts w:ascii="Arial" w:cs="Arial" w:eastAsia="Arial" w:hAnsi="Arial"/>
                <w:sz w:val="18"/>
                <w:szCs w:val="18"/>
                <w:color w:val="auto"/>
              </w:rPr>
              <w:t>Expired</w:t>
            </w:r>
          </w:p>
        </w:tc>
        <w:tc>
          <w:tcPr>
            <w:tcW w:w="80" w:type="dxa"/>
            <w:vAlign w:val="bottom"/>
          </w:tcPr>
          <w:p>
            <w:pPr>
              <w:spacing w:after="0"/>
              <w:rPr>
                <w:sz w:val="23"/>
                <w:szCs w:val="23"/>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40" w:type="dxa"/>
            <w:vAlign w:val="bottom"/>
            <w:gridSpan w:val="2"/>
          </w:tcPr>
          <w:p>
            <w:pPr>
              <w:ind w:left="1280"/>
              <w:spacing w:after="0"/>
              <w:rPr>
                <w:sz w:val="20"/>
                <w:szCs w:val="20"/>
                <w:color w:val="auto"/>
              </w:rPr>
            </w:pPr>
            <w:r>
              <w:rPr>
                <w:rFonts w:ascii="Arial" w:cs="Arial" w:eastAsia="Arial" w:hAnsi="Arial"/>
                <w:sz w:val="18"/>
                <w:szCs w:val="18"/>
                <w:color w:val="auto"/>
              </w:rPr>
              <w:t>—</w:t>
            </w:r>
          </w:p>
        </w:tc>
      </w:tr>
      <w:tr>
        <w:trPr>
          <w:trHeight w:val="27"/>
        </w:trPr>
        <w:tc>
          <w:tcPr>
            <w:tcW w:w="328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4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57"/>
        </w:trPr>
        <w:tc>
          <w:tcPr>
            <w:tcW w:w="3280" w:type="dxa"/>
            <w:vAlign w:val="bottom"/>
          </w:tcPr>
          <w:p>
            <w:pPr>
              <w:spacing w:after="0"/>
              <w:rPr>
                <w:sz w:val="20"/>
                <w:szCs w:val="20"/>
                <w:color w:val="auto"/>
              </w:rPr>
            </w:pPr>
            <w:r>
              <w:rPr>
                <w:rFonts w:ascii="Arial" w:cs="Arial" w:eastAsia="Arial" w:hAnsi="Arial"/>
                <w:sz w:val="18"/>
                <w:szCs w:val="18"/>
                <w:color w:val="auto"/>
              </w:rPr>
              <w:t>Outstanding at March 31, 2012</w:t>
            </w:r>
          </w:p>
        </w:tc>
        <w:tc>
          <w:tcPr>
            <w:tcW w:w="146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69,291,000</w:t>
            </w:r>
          </w:p>
        </w:tc>
        <w:tc>
          <w:tcPr>
            <w:tcW w:w="40" w:type="dxa"/>
            <w:vAlign w:val="bottom"/>
            <w:tcBorders>
              <w:bottom w:val="single" w:sz="8" w:color="auto"/>
            </w:tcBorders>
          </w:tcPr>
          <w:p>
            <w:pPr>
              <w:spacing w:after="0"/>
              <w:rPr>
                <w:sz w:val="22"/>
                <w:szCs w:val="22"/>
                <w:color w:val="auto"/>
              </w:rPr>
            </w:pPr>
          </w:p>
        </w:tc>
        <w:tc>
          <w:tcPr>
            <w:tcW w:w="840" w:type="dxa"/>
            <w:vAlign w:val="bottom"/>
          </w:tcPr>
          <w:p>
            <w:pPr>
              <w:ind w:left="400"/>
              <w:spacing w:after="0"/>
              <w:rPr>
                <w:sz w:val="20"/>
                <w:szCs w:val="20"/>
                <w:color w:val="auto"/>
              </w:rPr>
            </w:pPr>
            <w:r>
              <w:rPr>
                <w:rFonts w:ascii="Arial" w:cs="Arial" w:eastAsia="Arial" w:hAnsi="Arial"/>
                <w:sz w:val="18"/>
                <w:szCs w:val="18"/>
                <w:color w:val="auto"/>
              </w:rPr>
              <w:t>TWD</w:t>
            </w: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15.11</w:t>
            </w:r>
          </w:p>
        </w:tc>
        <w:tc>
          <w:tcPr>
            <w:tcW w:w="120" w:type="dxa"/>
            <w:vAlign w:val="bottom"/>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2"/>
                <w:szCs w:val="22"/>
                <w:color w:val="auto"/>
              </w:rPr>
            </w:pPr>
          </w:p>
        </w:tc>
        <w:tc>
          <w:tcPr>
            <w:tcW w:w="1540" w:type="dxa"/>
            <w:vAlign w:val="bottom"/>
            <w:tcBorders>
              <w:bottom w:val="single" w:sz="8" w:color="auto"/>
            </w:tcBorders>
          </w:tcPr>
          <w:p>
            <w:pPr>
              <w:ind w:left="1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r>
      <w:tr>
        <w:trPr>
          <w:trHeight w:val="20"/>
        </w:trPr>
        <w:tc>
          <w:tcPr>
            <w:tcW w:w="328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Exercisable at March 31, 2012</w:t>
            </w:r>
          </w:p>
        </w:tc>
        <w:tc>
          <w:tcPr>
            <w:tcW w:w="1460" w:type="dxa"/>
            <w:vAlign w:val="bottom"/>
            <w:gridSpan w:val="2"/>
          </w:tcPr>
          <w:p>
            <w:pPr>
              <w:jc w:val="right"/>
              <w:ind w:right="110"/>
              <w:spacing w:after="0"/>
              <w:rPr>
                <w:sz w:val="20"/>
                <w:szCs w:val="20"/>
                <w:color w:val="auto"/>
              </w:rPr>
            </w:pPr>
            <w:r>
              <w:rPr>
                <w:rFonts w:ascii="Arial" w:cs="Arial" w:eastAsia="Arial" w:hAnsi="Arial"/>
                <w:sz w:val="18"/>
                <w:szCs w:val="18"/>
                <w:color w:val="auto"/>
              </w:rPr>
              <w:t>69,291,000</w:t>
            </w:r>
          </w:p>
        </w:tc>
        <w:tc>
          <w:tcPr>
            <w:tcW w:w="40" w:type="dxa"/>
            <w:vAlign w:val="bottom"/>
          </w:tcPr>
          <w:p>
            <w:pPr>
              <w:spacing w:after="0"/>
              <w:rPr>
                <w:sz w:val="20"/>
                <w:szCs w:val="20"/>
                <w:color w:val="auto"/>
              </w:rPr>
            </w:pPr>
          </w:p>
        </w:tc>
        <w:tc>
          <w:tcPr>
            <w:tcW w:w="840" w:type="dxa"/>
            <w:vAlign w:val="bottom"/>
          </w:tcPr>
          <w:p>
            <w:pPr>
              <w:ind w:left="400"/>
              <w:spacing w:after="0"/>
              <w:rPr>
                <w:sz w:val="20"/>
                <w:szCs w:val="20"/>
                <w:color w:val="auto"/>
              </w:rPr>
            </w:pPr>
            <w:r>
              <w:rPr>
                <w:rFonts w:ascii="Arial" w:cs="Arial" w:eastAsia="Arial" w:hAnsi="Arial"/>
                <w:sz w:val="18"/>
                <w:szCs w:val="18"/>
                <w:color w:val="auto"/>
              </w:rPr>
              <w:t>TWD</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15.11</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0"/>
                <w:szCs w:val="20"/>
                <w:color w:val="auto"/>
              </w:rPr>
            </w:pPr>
          </w:p>
        </w:tc>
        <w:tc>
          <w:tcPr>
            <w:tcW w:w="1640" w:type="dxa"/>
            <w:vAlign w:val="bottom"/>
            <w:gridSpan w:val="2"/>
          </w:tcPr>
          <w:p>
            <w:pPr>
              <w:ind w:left="1280"/>
              <w:spacing w:after="0"/>
              <w:rPr>
                <w:sz w:val="20"/>
                <w:szCs w:val="20"/>
                <w:color w:val="auto"/>
              </w:rPr>
            </w:pPr>
            <w:r>
              <w:rPr>
                <w:rFonts w:ascii="Arial" w:cs="Arial" w:eastAsia="Arial" w:hAnsi="Arial"/>
                <w:sz w:val="18"/>
                <w:szCs w:val="18"/>
                <w:color w:val="auto"/>
              </w:rPr>
              <w:t>—</w:t>
            </w:r>
          </w:p>
        </w:tc>
      </w:tr>
      <w:tr>
        <w:trPr>
          <w:trHeight w:val="824"/>
        </w:trPr>
        <w:tc>
          <w:tcPr>
            <w:tcW w:w="3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gridSpan w:val="2"/>
          </w:tcPr>
          <w:p>
            <w:pPr>
              <w:ind w:left="1460"/>
              <w:spacing w:after="0"/>
              <w:rPr>
                <w:sz w:val="20"/>
                <w:szCs w:val="20"/>
                <w:color w:val="auto"/>
              </w:rPr>
            </w:pPr>
            <w:r>
              <w:rPr>
                <w:rFonts w:ascii="Arial" w:cs="Arial" w:eastAsia="Arial" w:hAnsi="Arial"/>
                <w:sz w:val="18"/>
                <w:szCs w:val="18"/>
                <w:color w:val="auto"/>
                <w:w w:val="79"/>
              </w:rPr>
              <w:t>37</w:t>
            </w:r>
          </w:p>
        </w:tc>
      </w:tr>
    </w:tbl>
    <w:p>
      <w:pPr>
        <w:sectPr>
          <w:pgSz w:w="11900" w:h="16838" w:orient="portrait"/>
          <w:cols w:equalWidth="0" w:num="1">
            <w:col w:w="10980"/>
          </w:cols>
          <w:pgMar w:left="680" w:top="553" w:right="239" w:bottom="1440" w:gutter="0" w:footer="0" w:header="0"/>
        </w:sectPr>
      </w:pPr>
    </w:p>
    <w:bookmarkStart w:id="45" w:name="page46"/>
    <w:bookmarkEnd w:id="45"/>
    <w:p>
      <w:pPr>
        <w:jc w:val="center"/>
        <w:ind w:right="20"/>
        <w:spacing w:after="0"/>
        <w:rPr>
          <w:sz w:val="20"/>
          <w:szCs w:val="20"/>
          <w:color w:val="auto"/>
        </w:rPr>
      </w:pPr>
      <w:r>
        <w:rPr>
          <w:rFonts w:ascii="Arial" w:cs="Arial" w:eastAsia="Arial" w:hAnsi="Arial"/>
          <w:sz w:val="18"/>
          <w:szCs w:val="18"/>
          <w:b w:val="1"/>
          <w:bCs w:val="1"/>
          <w:color w:val="auto"/>
        </w:rPr>
        <w:t>ELPIDA MEMORY,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(DEBTORS-IN-POSSESSION)</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5" w:lineRule="exact"/>
        <w:rPr>
          <w:sz w:val="20"/>
          <w:szCs w:val="20"/>
          <w:color w:val="auto"/>
        </w:rPr>
      </w:pPr>
    </w:p>
    <w:p>
      <w:pPr>
        <w:ind w:left="440" w:hanging="438"/>
        <w:spacing w:after="0"/>
        <w:tabs>
          <w:tab w:leader="none" w:pos="440" w:val="left"/>
        </w:tabs>
        <w:numPr>
          <w:ilvl w:val="0"/>
          <w:numId w:val="31"/>
        </w:numPr>
        <w:rPr>
          <w:rFonts w:ascii="Arial" w:cs="Arial" w:eastAsia="Arial" w:hAnsi="Arial"/>
          <w:sz w:val="20"/>
          <w:szCs w:val="20"/>
          <w:b w:val="1"/>
          <w:bCs w:val="1"/>
          <w:color w:val="auto"/>
        </w:rPr>
      </w:pPr>
      <w:r>
        <w:rPr>
          <w:rFonts w:ascii="Arial" w:cs="Arial" w:eastAsia="Arial" w:hAnsi="Arial"/>
          <w:sz w:val="20"/>
          <w:szCs w:val="20"/>
          <w:b w:val="1"/>
          <w:bCs w:val="1"/>
          <w:color w:val="auto"/>
        </w:rPr>
        <w:t>Retirement Benefits</w:t>
      </w:r>
    </w:p>
    <w:p>
      <w:pPr>
        <w:spacing w:after="0" w:line="113" w:lineRule="exact"/>
        <w:rPr>
          <w:rFonts w:ascii="Arial" w:cs="Arial" w:eastAsia="Arial" w:hAnsi="Arial"/>
          <w:sz w:val="20"/>
          <w:szCs w:val="20"/>
          <w:b w:val="1"/>
          <w:bCs w:val="1"/>
          <w:color w:val="auto"/>
        </w:rPr>
      </w:pPr>
    </w:p>
    <w:p>
      <w:pPr>
        <w:ind w:left="420" w:right="20"/>
        <w:spacing w:after="0" w:line="260" w:lineRule="auto"/>
        <w:rPr>
          <w:rFonts w:ascii="Arial" w:cs="Arial" w:eastAsia="Arial" w:hAnsi="Arial"/>
          <w:sz w:val="20"/>
          <w:szCs w:val="20"/>
          <w:b w:val="1"/>
          <w:bCs w:val="1"/>
          <w:color w:val="auto"/>
        </w:rPr>
      </w:pPr>
      <w:r>
        <w:rPr>
          <w:rFonts w:ascii="Arial" w:cs="Arial" w:eastAsia="Arial" w:hAnsi="Arial"/>
          <w:sz w:val="20"/>
          <w:szCs w:val="20"/>
          <w:color w:val="auto"/>
        </w:rPr>
        <w:t>Elpida has retirement benefit plans which consist of defined benefit pension plans, lump-sum indemnity plans and defined contribution plans. Certain consolidated subsidiaries have defined contribution plans and lump-sum indemnity plans.</w:t>
      </w:r>
    </w:p>
    <w:p>
      <w:pPr>
        <w:spacing w:after="0" w:line="176" w:lineRule="exact"/>
        <w:rPr>
          <w:rFonts w:ascii="Arial" w:cs="Arial" w:eastAsia="Arial" w:hAnsi="Arial"/>
          <w:sz w:val="20"/>
          <w:szCs w:val="20"/>
          <w:b w:val="1"/>
          <w:bCs w:val="1"/>
          <w:color w:val="auto"/>
        </w:rPr>
      </w:pPr>
    </w:p>
    <w:p>
      <w:pPr>
        <w:ind w:left="780" w:hanging="360"/>
        <w:spacing w:after="0"/>
        <w:tabs>
          <w:tab w:leader="none" w:pos="780" w:val="left"/>
        </w:tabs>
        <w:numPr>
          <w:ilvl w:val="1"/>
          <w:numId w:val="31"/>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Defined Benefit Plans</w:t>
      </w:r>
    </w:p>
    <w:p>
      <w:pPr>
        <w:spacing w:after="0" w:line="67" w:lineRule="exact"/>
        <w:rPr>
          <w:rFonts w:ascii="Arial" w:cs="Arial" w:eastAsia="Arial" w:hAnsi="Arial"/>
          <w:sz w:val="20"/>
          <w:szCs w:val="20"/>
          <w:b w:val="1"/>
          <w:bCs w:val="1"/>
          <w:i w:val="1"/>
          <w:iCs w:val="1"/>
          <w:color w:val="auto"/>
        </w:rPr>
      </w:pPr>
    </w:p>
    <w:p>
      <w:pPr>
        <w:ind w:left="780"/>
        <w:spacing w:after="0" w:line="260" w:lineRule="auto"/>
        <w:rPr>
          <w:rFonts w:ascii="Arial" w:cs="Arial" w:eastAsia="Arial" w:hAnsi="Arial"/>
          <w:sz w:val="20"/>
          <w:szCs w:val="20"/>
          <w:b w:val="1"/>
          <w:bCs w:val="1"/>
          <w:i w:val="1"/>
          <w:iCs w:val="1"/>
          <w:color w:val="auto"/>
        </w:rPr>
      </w:pPr>
      <w:r>
        <w:rPr>
          <w:rFonts w:ascii="Arial" w:cs="Arial" w:eastAsia="Arial" w:hAnsi="Arial"/>
          <w:sz w:val="20"/>
          <w:szCs w:val="20"/>
          <w:color w:val="auto"/>
        </w:rPr>
        <w:t>The following table sets forth benefit obligations, fair value of plan assets, and funded status of defined benefit pension plans and lump-sum indemnity plans at February 28, 2013 and March 31, 2012:</w:t>
      </w:r>
    </w:p>
    <w:p>
      <w:pPr>
        <w:spacing w:after="0" w:line="171" w:lineRule="exact"/>
        <w:rPr>
          <w:sz w:val="20"/>
          <w:szCs w:val="20"/>
          <w:color w:val="auto"/>
        </w:rPr>
      </w:pPr>
    </w:p>
    <w:tbl>
      <w:tblPr>
        <w:tblLayout w:type="fixed"/>
        <w:tblInd w:w="780" w:type="dxa"/>
        <w:tblCellMar>
          <w:top w:w="0" w:type="dxa"/>
          <w:left w:w="0" w:type="dxa"/>
          <w:bottom w:w="0" w:type="dxa"/>
          <w:right w:w="0" w:type="dxa"/>
        </w:tblCellMar>
      </w:tblPr>
      <w:tr>
        <w:trPr>
          <w:trHeight w:val="230"/>
        </w:trPr>
        <w:tc>
          <w:tcPr>
            <w:tcW w:w="6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gridSpan w:val="2"/>
          </w:tcPr>
          <w:p>
            <w:pPr>
              <w:ind w:left="80"/>
              <w:spacing w:after="0"/>
              <w:rPr>
                <w:sz w:val="20"/>
                <w:szCs w:val="20"/>
                <w:color w:val="auto"/>
              </w:rPr>
            </w:pPr>
            <w:r>
              <w:rPr>
                <w:rFonts w:ascii="Arial" w:cs="Arial" w:eastAsia="Arial" w:hAnsi="Arial"/>
                <w:sz w:val="20"/>
                <w:szCs w:val="20"/>
                <w:b w:val="1"/>
                <w:bCs w:val="1"/>
                <w:color w:val="auto"/>
              </w:rPr>
              <w:t>February 28,</w:t>
            </w:r>
          </w:p>
        </w:tc>
        <w:tc>
          <w:tcPr>
            <w:tcW w:w="280" w:type="dxa"/>
            <w:vAlign w:val="bottom"/>
          </w:tcPr>
          <w:p>
            <w:pPr>
              <w:spacing w:after="0"/>
              <w:rPr>
                <w:sz w:val="19"/>
                <w:szCs w:val="19"/>
                <w:color w:val="auto"/>
              </w:rPr>
            </w:pPr>
          </w:p>
        </w:tc>
        <w:tc>
          <w:tcPr>
            <w:tcW w:w="1400" w:type="dxa"/>
            <w:vAlign w:val="bottom"/>
          </w:tcPr>
          <w:p>
            <w:pPr>
              <w:jc w:val="right"/>
              <w:ind w:right="301"/>
              <w:spacing w:after="0"/>
              <w:rPr>
                <w:sz w:val="20"/>
                <w:szCs w:val="20"/>
                <w:color w:val="auto"/>
              </w:rPr>
            </w:pPr>
            <w:r>
              <w:rPr>
                <w:rFonts w:ascii="Arial" w:cs="Arial" w:eastAsia="Arial" w:hAnsi="Arial"/>
                <w:sz w:val="20"/>
                <w:szCs w:val="20"/>
                <w:b w:val="1"/>
                <w:bCs w:val="1"/>
                <w:color w:val="auto"/>
              </w:rPr>
              <w:t>March 31,</w:t>
            </w:r>
          </w:p>
        </w:tc>
        <w:tc>
          <w:tcPr>
            <w:tcW w:w="0" w:type="dxa"/>
            <w:vAlign w:val="bottom"/>
          </w:tcPr>
          <w:p>
            <w:pPr>
              <w:spacing w:after="0"/>
              <w:rPr>
                <w:sz w:val="1"/>
                <w:szCs w:val="1"/>
                <w:color w:val="auto"/>
              </w:rPr>
            </w:pPr>
          </w:p>
        </w:tc>
      </w:tr>
      <w:tr>
        <w:trPr>
          <w:trHeight w:val="256"/>
        </w:trPr>
        <w:tc>
          <w:tcPr>
            <w:tcW w:w="6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60" w:type="dxa"/>
            <w:vAlign w:val="bottom"/>
          </w:tcPr>
          <w:p>
            <w:pPr>
              <w:jc w:val="right"/>
              <w:ind w:right="541"/>
              <w:spacing w:after="0"/>
              <w:rPr>
                <w:sz w:val="20"/>
                <w:szCs w:val="20"/>
                <w:color w:val="auto"/>
              </w:rPr>
            </w:pPr>
            <w:r>
              <w:rPr>
                <w:rFonts w:ascii="Arial" w:cs="Arial" w:eastAsia="Arial" w:hAnsi="Arial"/>
                <w:sz w:val="20"/>
                <w:szCs w:val="20"/>
                <w:b w:val="1"/>
                <w:bCs w:val="1"/>
                <w:color w:val="auto"/>
              </w:rPr>
              <w:t>2013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0" w:type="dxa"/>
            <w:vAlign w:val="bottom"/>
          </w:tcPr>
          <w:p>
            <w:pPr>
              <w:jc w:val="right"/>
              <w:ind w:right="541"/>
              <w:spacing w:after="0"/>
              <w:rPr>
                <w:sz w:val="20"/>
                <w:szCs w:val="20"/>
                <w:color w:val="auto"/>
              </w:rPr>
            </w:pPr>
            <w:r>
              <w:rPr>
                <w:rFonts w:ascii="Arial" w:cs="Arial" w:eastAsia="Arial" w:hAnsi="Arial"/>
                <w:sz w:val="20"/>
                <w:szCs w:val="20"/>
                <w:b w:val="1"/>
                <w:bCs w:val="1"/>
                <w:color w:val="auto"/>
              </w:rPr>
              <w:t>2012</w:t>
            </w:r>
          </w:p>
        </w:tc>
        <w:tc>
          <w:tcPr>
            <w:tcW w:w="0" w:type="dxa"/>
            <w:vAlign w:val="bottom"/>
          </w:tcPr>
          <w:p>
            <w:pPr>
              <w:spacing w:after="0"/>
              <w:rPr>
                <w:sz w:val="1"/>
                <w:szCs w:val="1"/>
                <w:color w:val="auto"/>
              </w:rPr>
            </w:pPr>
          </w:p>
        </w:tc>
      </w:tr>
      <w:tr>
        <w:trPr>
          <w:trHeight w:val="23"/>
        </w:trPr>
        <w:tc>
          <w:tcPr>
            <w:tcW w:w="6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6240" w:type="dxa"/>
            <w:vAlign w:val="bottom"/>
          </w:tcPr>
          <w:p>
            <w:pPr>
              <w:ind w:left="40"/>
              <w:spacing w:after="0"/>
              <w:rPr>
                <w:sz w:val="20"/>
                <w:szCs w:val="20"/>
                <w:color w:val="auto"/>
              </w:rPr>
            </w:pPr>
            <w:r>
              <w:rPr>
                <w:rFonts w:ascii="Arial" w:cs="Arial" w:eastAsia="Arial" w:hAnsi="Arial"/>
                <w:sz w:val="20"/>
                <w:szCs w:val="20"/>
                <w:color w:val="auto"/>
              </w:rPr>
              <w:t>Benefit obligation</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460" w:type="dxa"/>
            <w:vAlign w:val="bottom"/>
          </w:tcPr>
          <w:p>
            <w:pPr>
              <w:jc w:val="right"/>
              <w:spacing w:after="0"/>
              <w:rPr>
                <w:sz w:val="20"/>
                <w:szCs w:val="20"/>
                <w:color w:val="auto"/>
              </w:rPr>
            </w:pPr>
            <w:r>
              <w:rPr>
                <w:rFonts w:ascii="Arial" w:cs="Arial" w:eastAsia="Arial" w:hAnsi="Arial"/>
                <w:sz w:val="20"/>
                <w:szCs w:val="20"/>
                <w:color w:val="auto"/>
              </w:rPr>
              <w:t>(12,653)</w:t>
            </w:r>
          </w:p>
        </w:tc>
        <w:tc>
          <w:tcPr>
            <w:tcW w:w="100" w:type="dxa"/>
            <w:vAlign w:val="bottom"/>
          </w:tcPr>
          <w:p>
            <w:pPr>
              <w:spacing w:after="0"/>
              <w:rPr>
                <w:sz w:val="22"/>
                <w:szCs w:val="22"/>
                <w:color w:val="auto"/>
              </w:rPr>
            </w:pPr>
          </w:p>
        </w:tc>
        <w:tc>
          <w:tcPr>
            <w:tcW w:w="2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400" w:type="dxa"/>
            <w:vAlign w:val="bottom"/>
          </w:tcPr>
          <w:p>
            <w:pPr>
              <w:jc w:val="right"/>
              <w:spacing w:after="0"/>
              <w:rPr>
                <w:sz w:val="20"/>
                <w:szCs w:val="20"/>
                <w:color w:val="auto"/>
              </w:rPr>
            </w:pPr>
            <w:r>
              <w:rPr>
                <w:rFonts w:ascii="Arial" w:cs="Arial" w:eastAsia="Arial" w:hAnsi="Arial"/>
                <w:sz w:val="20"/>
                <w:szCs w:val="20"/>
                <w:color w:val="auto"/>
              </w:rPr>
              <w:t>(11,791)</w:t>
            </w:r>
          </w:p>
        </w:tc>
        <w:tc>
          <w:tcPr>
            <w:tcW w:w="0" w:type="dxa"/>
            <w:vAlign w:val="bottom"/>
          </w:tcPr>
          <w:p>
            <w:pPr>
              <w:spacing w:after="0"/>
              <w:rPr>
                <w:sz w:val="1"/>
                <w:szCs w:val="1"/>
                <w:color w:val="auto"/>
              </w:rPr>
            </w:pPr>
          </w:p>
        </w:tc>
      </w:tr>
      <w:tr>
        <w:trPr>
          <w:trHeight w:val="284"/>
        </w:trPr>
        <w:tc>
          <w:tcPr>
            <w:tcW w:w="6240" w:type="dxa"/>
            <w:vAlign w:val="bottom"/>
          </w:tcPr>
          <w:p>
            <w:pPr>
              <w:ind w:left="40"/>
              <w:spacing w:after="0"/>
              <w:rPr>
                <w:sz w:val="20"/>
                <w:szCs w:val="20"/>
                <w:color w:val="auto"/>
              </w:rPr>
            </w:pPr>
            <w:r>
              <w:rPr>
                <w:rFonts w:ascii="Arial" w:cs="Arial" w:eastAsia="Arial" w:hAnsi="Arial"/>
                <w:sz w:val="20"/>
                <w:szCs w:val="20"/>
                <w:color w:val="auto"/>
              </w:rPr>
              <w:t>Fair value of plan assets</w:t>
            </w:r>
          </w:p>
        </w:tc>
        <w:tc>
          <w:tcPr>
            <w:tcW w:w="220" w:type="dxa"/>
            <w:vAlign w:val="bottom"/>
          </w:tcPr>
          <w:p>
            <w:pPr>
              <w:spacing w:after="0"/>
              <w:rPr>
                <w:sz w:val="24"/>
                <w:szCs w:val="24"/>
                <w:color w:val="auto"/>
              </w:rPr>
            </w:pPr>
          </w:p>
        </w:tc>
        <w:tc>
          <w:tcPr>
            <w:tcW w:w="1460" w:type="dxa"/>
            <w:vAlign w:val="bottom"/>
          </w:tcPr>
          <w:p>
            <w:pPr>
              <w:jc w:val="right"/>
              <w:ind w:right="1"/>
              <w:spacing w:after="0"/>
              <w:rPr>
                <w:sz w:val="20"/>
                <w:szCs w:val="20"/>
                <w:color w:val="auto"/>
              </w:rPr>
            </w:pPr>
            <w:r>
              <w:rPr>
                <w:rFonts w:ascii="Arial" w:cs="Arial" w:eastAsia="Arial" w:hAnsi="Arial"/>
                <w:sz w:val="20"/>
                <w:szCs w:val="20"/>
                <w:color w:val="auto"/>
              </w:rPr>
              <w:t>7,240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jc w:val="right"/>
              <w:ind w:right="1"/>
              <w:spacing w:after="0"/>
              <w:rPr>
                <w:sz w:val="20"/>
                <w:szCs w:val="20"/>
                <w:color w:val="auto"/>
              </w:rPr>
            </w:pPr>
            <w:r>
              <w:rPr>
                <w:rFonts w:ascii="Arial" w:cs="Arial" w:eastAsia="Arial" w:hAnsi="Arial"/>
                <w:sz w:val="20"/>
                <w:szCs w:val="20"/>
                <w:color w:val="auto"/>
              </w:rPr>
              <w:t>6,285</w:t>
            </w:r>
          </w:p>
        </w:tc>
        <w:tc>
          <w:tcPr>
            <w:tcW w:w="0" w:type="dxa"/>
            <w:vAlign w:val="bottom"/>
          </w:tcPr>
          <w:p>
            <w:pPr>
              <w:spacing w:after="0"/>
              <w:rPr>
                <w:sz w:val="1"/>
                <w:szCs w:val="1"/>
                <w:color w:val="auto"/>
              </w:rPr>
            </w:pPr>
          </w:p>
        </w:tc>
      </w:tr>
      <w:tr>
        <w:trPr>
          <w:trHeight w:val="23"/>
        </w:trPr>
        <w:tc>
          <w:tcPr>
            <w:tcW w:w="6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1"/>
        </w:trPr>
        <w:tc>
          <w:tcPr>
            <w:tcW w:w="6240" w:type="dxa"/>
            <w:vAlign w:val="bottom"/>
          </w:tcPr>
          <w:p>
            <w:pPr>
              <w:ind w:left="620"/>
              <w:spacing w:after="0"/>
              <w:rPr>
                <w:sz w:val="20"/>
                <w:szCs w:val="20"/>
                <w:color w:val="auto"/>
              </w:rPr>
            </w:pPr>
            <w:r>
              <w:rPr>
                <w:rFonts w:ascii="Arial" w:cs="Arial" w:eastAsia="Arial" w:hAnsi="Arial"/>
                <w:sz w:val="20"/>
                <w:szCs w:val="20"/>
                <w:color w:val="auto"/>
              </w:rPr>
              <w:t>Funded status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(5,413)</w:t>
            </w:r>
          </w:p>
        </w:tc>
        <w:tc>
          <w:tcPr>
            <w:tcW w:w="100" w:type="dxa"/>
            <w:vAlign w:val="bottom"/>
          </w:tcPr>
          <w:p>
            <w:pPr>
              <w:spacing w:after="0"/>
              <w:rPr>
                <w:sz w:val="23"/>
                <w:szCs w:val="23"/>
                <w:color w:val="auto"/>
              </w:rPr>
            </w:pPr>
          </w:p>
        </w:tc>
        <w:tc>
          <w:tcPr>
            <w:tcW w:w="28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(5,506)</w:t>
            </w:r>
          </w:p>
        </w:tc>
        <w:tc>
          <w:tcPr>
            <w:tcW w:w="0" w:type="dxa"/>
            <w:vAlign w:val="bottom"/>
          </w:tcPr>
          <w:p>
            <w:pPr>
              <w:spacing w:after="0"/>
              <w:rPr>
                <w:sz w:val="1"/>
                <w:szCs w:val="1"/>
                <w:color w:val="auto"/>
              </w:rPr>
            </w:pPr>
          </w:p>
        </w:tc>
      </w:tr>
      <w:tr>
        <w:trPr>
          <w:trHeight w:val="20"/>
        </w:trPr>
        <w:tc>
          <w:tcPr>
            <w:tcW w:w="6240" w:type="dxa"/>
            <w:vAlign w:val="bottom"/>
            <w:vMerge w:val="restart"/>
          </w:tcPr>
          <w:p>
            <w:pPr>
              <w:ind w:left="40"/>
              <w:spacing w:after="0"/>
              <w:rPr>
                <w:sz w:val="20"/>
                <w:szCs w:val="20"/>
                <w:color w:val="auto"/>
              </w:rPr>
            </w:pPr>
            <w:r>
              <w:rPr>
                <w:rFonts w:ascii="Arial" w:cs="Arial" w:eastAsia="Arial" w:hAnsi="Arial"/>
                <w:sz w:val="20"/>
                <w:szCs w:val="20"/>
                <w:color w:val="auto"/>
              </w:rPr>
              <w:t>Amounts recognized in the consolidated balance sheets consist of:</w:t>
            </w: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62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6240" w:type="dxa"/>
            <w:vAlign w:val="bottom"/>
          </w:tcPr>
          <w:p>
            <w:pPr>
              <w:ind w:left="180"/>
              <w:spacing w:after="0"/>
              <w:rPr>
                <w:sz w:val="20"/>
                <w:szCs w:val="20"/>
                <w:color w:val="auto"/>
              </w:rPr>
            </w:pPr>
            <w:r>
              <w:rPr>
                <w:rFonts w:ascii="Arial" w:cs="Arial" w:eastAsia="Arial" w:hAnsi="Arial"/>
                <w:sz w:val="20"/>
                <w:szCs w:val="20"/>
                <w:color w:val="auto"/>
              </w:rPr>
              <w:t>Accrued expenses and other current liabilities</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460" w:type="dxa"/>
            <w:vAlign w:val="bottom"/>
          </w:tcPr>
          <w:p>
            <w:pPr>
              <w:jc w:val="right"/>
              <w:spacing w:after="0"/>
              <w:rPr>
                <w:sz w:val="20"/>
                <w:szCs w:val="20"/>
                <w:color w:val="auto"/>
              </w:rPr>
            </w:pPr>
            <w:r>
              <w:rPr>
                <w:rFonts w:ascii="Arial" w:cs="Arial" w:eastAsia="Arial" w:hAnsi="Arial"/>
                <w:sz w:val="20"/>
                <w:szCs w:val="20"/>
                <w:color w:val="auto"/>
              </w:rPr>
              <w:t>(304)</w:t>
            </w:r>
          </w:p>
        </w:tc>
        <w:tc>
          <w:tcPr>
            <w:tcW w:w="100" w:type="dxa"/>
            <w:vAlign w:val="bottom"/>
          </w:tcPr>
          <w:p>
            <w:pPr>
              <w:spacing w:after="0"/>
              <w:rPr>
                <w:sz w:val="24"/>
                <w:szCs w:val="24"/>
                <w:color w:val="auto"/>
              </w:rPr>
            </w:pPr>
          </w:p>
        </w:tc>
        <w:tc>
          <w:tcPr>
            <w:tcW w:w="2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400" w:type="dxa"/>
            <w:vAlign w:val="bottom"/>
          </w:tcPr>
          <w:p>
            <w:pPr>
              <w:jc w:val="right"/>
              <w:spacing w:after="0"/>
              <w:rPr>
                <w:sz w:val="20"/>
                <w:szCs w:val="20"/>
                <w:color w:val="auto"/>
              </w:rPr>
            </w:pPr>
            <w:r>
              <w:rPr>
                <w:rFonts w:ascii="Arial" w:cs="Arial" w:eastAsia="Arial" w:hAnsi="Arial"/>
                <w:sz w:val="20"/>
                <w:szCs w:val="20"/>
                <w:color w:val="auto"/>
              </w:rPr>
              <w:t>(245)</w:t>
            </w:r>
          </w:p>
        </w:tc>
        <w:tc>
          <w:tcPr>
            <w:tcW w:w="0" w:type="dxa"/>
            <w:vAlign w:val="bottom"/>
          </w:tcPr>
          <w:p>
            <w:pPr>
              <w:spacing w:after="0"/>
              <w:rPr>
                <w:sz w:val="1"/>
                <w:szCs w:val="1"/>
                <w:color w:val="auto"/>
              </w:rPr>
            </w:pPr>
          </w:p>
        </w:tc>
      </w:tr>
      <w:tr>
        <w:trPr>
          <w:trHeight w:val="284"/>
        </w:trPr>
        <w:tc>
          <w:tcPr>
            <w:tcW w:w="6240" w:type="dxa"/>
            <w:vAlign w:val="bottom"/>
          </w:tcPr>
          <w:p>
            <w:pPr>
              <w:ind w:left="180"/>
              <w:spacing w:after="0"/>
              <w:rPr>
                <w:sz w:val="20"/>
                <w:szCs w:val="20"/>
                <w:color w:val="auto"/>
              </w:rPr>
            </w:pPr>
            <w:r>
              <w:rPr>
                <w:rFonts w:ascii="Arial" w:cs="Arial" w:eastAsia="Arial" w:hAnsi="Arial"/>
                <w:sz w:val="20"/>
                <w:szCs w:val="20"/>
                <w:color w:val="auto"/>
              </w:rPr>
              <w:t>Liability for retirement benefits</w:t>
            </w:r>
          </w:p>
        </w:tc>
        <w:tc>
          <w:tcPr>
            <w:tcW w:w="2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(5,109)</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(5,261)</w:t>
            </w:r>
          </w:p>
        </w:tc>
        <w:tc>
          <w:tcPr>
            <w:tcW w:w="0" w:type="dxa"/>
            <w:vAlign w:val="bottom"/>
          </w:tcPr>
          <w:p>
            <w:pPr>
              <w:spacing w:after="0"/>
              <w:rPr>
                <w:sz w:val="1"/>
                <w:szCs w:val="1"/>
                <w:color w:val="auto"/>
              </w:rPr>
            </w:pPr>
          </w:p>
        </w:tc>
      </w:tr>
      <w:tr>
        <w:trPr>
          <w:trHeight w:val="23"/>
        </w:trPr>
        <w:tc>
          <w:tcPr>
            <w:tcW w:w="6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240" w:type="dxa"/>
            <w:vAlign w:val="bottom"/>
          </w:tcPr>
          <w:p>
            <w:pPr>
              <w:ind w:left="620"/>
              <w:spacing w:after="0"/>
              <w:rPr>
                <w:sz w:val="20"/>
                <w:szCs w:val="20"/>
                <w:color w:val="auto"/>
              </w:rPr>
            </w:pPr>
            <w:r>
              <w:rPr>
                <w:rFonts w:ascii="Arial" w:cs="Arial" w:eastAsia="Arial" w:hAnsi="Arial"/>
                <w:sz w:val="20"/>
                <w:szCs w:val="20"/>
                <w:color w:val="auto"/>
              </w:rPr>
              <w:t>Net amount recognized</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(5,413)</w:t>
            </w:r>
          </w:p>
        </w:tc>
        <w:tc>
          <w:tcPr>
            <w:tcW w:w="100" w:type="dxa"/>
            <w:vAlign w:val="bottom"/>
          </w:tcPr>
          <w:p>
            <w:pPr>
              <w:spacing w:after="0"/>
              <w:rPr>
                <w:sz w:val="23"/>
                <w:szCs w:val="23"/>
                <w:color w:val="auto"/>
              </w:rPr>
            </w:pPr>
          </w:p>
        </w:tc>
        <w:tc>
          <w:tcPr>
            <w:tcW w:w="28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(5,506)</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8020" w:type="dxa"/>
            <w:vAlign w:val="bottom"/>
            <w:gridSpan w:val="4"/>
          </w:tcPr>
          <w:p>
            <w:pPr>
              <w:spacing w:after="0"/>
              <w:rPr>
                <w:sz w:val="20"/>
                <w:szCs w:val="20"/>
                <w:color w:val="auto"/>
              </w:rPr>
            </w:pPr>
            <w:r>
              <w:rPr>
                <w:rFonts w:ascii="Arial" w:cs="Arial" w:eastAsia="Arial" w:hAnsi="Arial"/>
                <w:sz w:val="20"/>
                <w:szCs w:val="20"/>
                <w:color w:val="auto"/>
                <w:w w:val="98"/>
              </w:rPr>
              <w:t>The pre-tax amounts recognized in accumulated other comprehensive income consisted of:</w:t>
            </w:r>
          </w:p>
        </w:tc>
        <w:tc>
          <w:tcPr>
            <w:tcW w:w="2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6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gridSpan w:val="2"/>
          </w:tcPr>
          <w:p>
            <w:pPr>
              <w:ind w:left="80"/>
              <w:spacing w:after="0"/>
              <w:rPr>
                <w:sz w:val="20"/>
                <w:szCs w:val="20"/>
                <w:color w:val="auto"/>
              </w:rPr>
            </w:pPr>
            <w:r>
              <w:rPr>
                <w:rFonts w:ascii="Arial" w:cs="Arial" w:eastAsia="Arial" w:hAnsi="Arial"/>
                <w:sz w:val="20"/>
                <w:szCs w:val="20"/>
                <w:b w:val="1"/>
                <w:bCs w:val="1"/>
                <w:color w:val="auto"/>
              </w:rPr>
              <w:t>February 28,</w:t>
            </w:r>
          </w:p>
        </w:tc>
        <w:tc>
          <w:tcPr>
            <w:tcW w:w="280" w:type="dxa"/>
            <w:vAlign w:val="bottom"/>
          </w:tcPr>
          <w:p>
            <w:pPr>
              <w:spacing w:after="0"/>
              <w:rPr>
                <w:sz w:val="19"/>
                <w:szCs w:val="19"/>
                <w:color w:val="auto"/>
              </w:rPr>
            </w:pPr>
          </w:p>
        </w:tc>
        <w:tc>
          <w:tcPr>
            <w:tcW w:w="1400" w:type="dxa"/>
            <w:vAlign w:val="bottom"/>
          </w:tcPr>
          <w:p>
            <w:pPr>
              <w:jc w:val="right"/>
              <w:ind w:right="301"/>
              <w:spacing w:after="0"/>
              <w:rPr>
                <w:sz w:val="20"/>
                <w:szCs w:val="20"/>
                <w:color w:val="auto"/>
              </w:rPr>
            </w:pPr>
            <w:r>
              <w:rPr>
                <w:rFonts w:ascii="Arial" w:cs="Arial" w:eastAsia="Arial" w:hAnsi="Arial"/>
                <w:sz w:val="20"/>
                <w:szCs w:val="20"/>
                <w:b w:val="1"/>
                <w:bCs w:val="1"/>
                <w:color w:val="auto"/>
              </w:rPr>
              <w:t>March 31,</w:t>
            </w:r>
          </w:p>
        </w:tc>
      </w:tr>
      <w:tr>
        <w:trPr>
          <w:trHeight w:val="256"/>
        </w:trPr>
        <w:tc>
          <w:tcPr>
            <w:tcW w:w="6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60" w:type="dxa"/>
            <w:vAlign w:val="bottom"/>
          </w:tcPr>
          <w:p>
            <w:pPr>
              <w:jc w:val="right"/>
              <w:ind w:right="541"/>
              <w:spacing w:after="0"/>
              <w:rPr>
                <w:sz w:val="20"/>
                <w:szCs w:val="20"/>
                <w:color w:val="auto"/>
              </w:rPr>
            </w:pPr>
            <w:r>
              <w:rPr>
                <w:rFonts w:ascii="Arial" w:cs="Arial" w:eastAsia="Arial" w:hAnsi="Arial"/>
                <w:sz w:val="20"/>
                <w:szCs w:val="20"/>
                <w:b w:val="1"/>
                <w:bCs w:val="1"/>
                <w:color w:val="auto"/>
              </w:rPr>
              <w:t>2013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0" w:type="dxa"/>
            <w:vAlign w:val="bottom"/>
          </w:tcPr>
          <w:p>
            <w:pPr>
              <w:jc w:val="right"/>
              <w:ind w:right="541"/>
              <w:spacing w:after="0"/>
              <w:rPr>
                <w:sz w:val="20"/>
                <w:szCs w:val="20"/>
                <w:color w:val="auto"/>
              </w:rPr>
            </w:pPr>
            <w:r>
              <w:rPr>
                <w:rFonts w:ascii="Arial" w:cs="Arial" w:eastAsia="Arial" w:hAnsi="Arial"/>
                <w:sz w:val="20"/>
                <w:szCs w:val="20"/>
                <w:b w:val="1"/>
                <w:bCs w:val="1"/>
                <w:color w:val="auto"/>
              </w:rPr>
              <w:t>2012</w:t>
            </w:r>
          </w:p>
        </w:tc>
      </w:tr>
      <w:tr>
        <w:trPr>
          <w:trHeight w:val="23"/>
        </w:trPr>
        <w:tc>
          <w:tcPr>
            <w:tcW w:w="6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4"/>
        </w:trPr>
        <w:tc>
          <w:tcPr>
            <w:tcW w:w="6200" w:type="dxa"/>
            <w:vAlign w:val="bottom"/>
          </w:tcPr>
          <w:p>
            <w:pPr>
              <w:spacing w:after="0"/>
              <w:rPr>
                <w:sz w:val="20"/>
                <w:szCs w:val="20"/>
                <w:color w:val="auto"/>
              </w:rPr>
            </w:pPr>
            <w:r>
              <w:rPr>
                <w:rFonts w:ascii="Arial" w:cs="Arial" w:eastAsia="Arial" w:hAnsi="Arial"/>
                <w:sz w:val="20"/>
                <w:szCs w:val="20"/>
                <w:color w:val="auto"/>
              </w:rPr>
              <w:t>Net actuarial loss</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460" w:type="dxa"/>
            <w:vAlign w:val="bottom"/>
          </w:tcPr>
          <w:p>
            <w:pPr>
              <w:jc w:val="right"/>
              <w:ind w:right="1"/>
              <w:spacing w:after="0"/>
              <w:rPr>
                <w:sz w:val="20"/>
                <w:szCs w:val="20"/>
                <w:color w:val="auto"/>
              </w:rPr>
            </w:pPr>
            <w:r>
              <w:rPr>
                <w:rFonts w:ascii="Arial" w:cs="Arial" w:eastAsia="Arial" w:hAnsi="Arial"/>
                <w:sz w:val="20"/>
                <w:szCs w:val="20"/>
                <w:color w:val="auto"/>
              </w:rPr>
              <w:t>1,415</w:t>
            </w:r>
          </w:p>
        </w:tc>
        <w:tc>
          <w:tcPr>
            <w:tcW w:w="100" w:type="dxa"/>
            <w:vAlign w:val="bottom"/>
          </w:tcPr>
          <w:p>
            <w:pPr>
              <w:spacing w:after="0"/>
              <w:rPr>
                <w:sz w:val="22"/>
                <w:szCs w:val="22"/>
                <w:color w:val="auto"/>
              </w:rPr>
            </w:pPr>
          </w:p>
        </w:tc>
        <w:tc>
          <w:tcPr>
            <w:tcW w:w="2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400" w:type="dxa"/>
            <w:vAlign w:val="bottom"/>
          </w:tcPr>
          <w:p>
            <w:pPr>
              <w:jc w:val="right"/>
              <w:ind w:right="1"/>
              <w:spacing w:after="0"/>
              <w:rPr>
                <w:sz w:val="20"/>
                <w:szCs w:val="20"/>
                <w:color w:val="auto"/>
              </w:rPr>
            </w:pPr>
            <w:r>
              <w:rPr>
                <w:rFonts w:ascii="Arial" w:cs="Arial" w:eastAsia="Arial" w:hAnsi="Arial"/>
                <w:sz w:val="20"/>
                <w:szCs w:val="20"/>
                <w:color w:val="auto"/>
              </w:rPr>
              <w:t>2,113</w:t>
            </w:r>
          </w:p>
        </w:tc>
      </w:tr>
      <w:tr>
        <w:trPr>
          <w:trHeight w:val="284"/>
        </w:trPr>
        <w:tc>
          <w:tcPr>
            <w:tcW w:w="6200" w:type="dxa"/>
            <w:vAlign w:val="bottom"/>
          </w:tcPr>
          <w:p>
            <w:pPr>
              <w:spacing w:after="0"/>
              <w:rPr>
                <w:sz w:val="20"/>
                <w:szCs w:val="20"/>
                <w:color w:val="auto"/>
              </w:rPr>
            </w:pPr>
            <w:r>
              <w:rPr>
                <w:rFonts w:ascii="Arial" w:cs="Arial" w:eastAsia="Arial" w:hAnsi="Arial"/>
                <w:sz w:val="20"/>
                <w:szCs w:val="20"/>
                <w:color w:val="auto"/>
              </w:rPr>
              <w:t>Prior service costs</w:t>
            </w:r>
          </w:p>
        </w:tc>
        <w:tc>
          <w:tcPr>
            <w:tcW w:w="220" w:type="dxa"/>
            <w:vAlign w:val="bottom"/>
          </w:tcPr>
          <w:p>
            <w:pPr>
              <w:spacing w:after="0"/>
              <w:rPr>
                <w:sz w:val="24"/>
                <w:szCs w:val="24"/>
                <w:color w:val="auto"/>
              </w:rPr>
            </w:pPr>
          </w:p>
        </w:tc>
        <w:tc>
          <w:tcPr>
            <w:tcW w:w="1460" w:type="dxa"/>
            <w:vAlign w:val="bottom"/>
          </w:tcPr>
          <w:p>
            <w:pPr>
              <w:jc w:val="right"/>
              <w:ind w:right="1"/>
              <w:spacing w:after="0"/>
              <w:rPr>
                <w:sz w:val="20"/>
                <w:szCs w:val="20"/>
                <w:color w:val="auto"/>
              </w:rPr>
            </w:pPr>
            <w:r>
              <w:rPr>
                <w:rFonts w:ascii="Arial" w:cs="Arial" w:eastAsia="Arial" w:hAnsi="Arial"/>
                <w:sz w:val="20"/>
                <w:szCs w:val="20"/>
                <w:color w:val="auto"/>
              </w:rPr>
              <w:t>186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jc w:val="right"/>
              <w:ind w:right="1"/>
              <w:spacing w:after="0"/>
              <w:rPr>
                <w:sz w:val="20"/>
                <w:szCs w:val="20"/>
                <w:color w:val="auto"/>
              </w:rPr>
            </w:pPr>
            <w:r>
              <w:rPr>
                <w:rFonts w:ascii="Arial" w:cs="Arial" w:eastAsia="Arial" w:hAnsi="Arial"/>
                <w:sz w:val="20"/>
                <w:szCs w:val="20"/>
                <w:color w:val="auto"/>
              </w:rPr>
              <w:t>207</w:t>
            </w:r>
          </w:p>
        </w:tc>
      </w:tr>
      <w:tr>
        <w:trPr>
          <w:trHeight w:val="23"/>
        </w:trPr>
        <w:tc>
          <w:tcPr>
            <w:tcW w:w="6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4"/>
        </w:trPr>
        <w:tc>
          <w:tcPr>
            <w:tcW w:w="620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460" w:type="dxa"/>
            <w:vAlign w:val="bottom"/>
          </w:tcPr>
          <w:p>
            <w:pPr>
              <w:jc w:val="right"/>
              <w:ind w:right="1"/>
              <w:spacing w:after="0"/>
              <w:rPr>
                <w:sz w:val="20"/>
                <w:szCs w:val="20"/>
                <w:color w:val="auto"/>
              </w:rPr>
            </w:pPr>
            <w:r>
              <w:rPr>
                <w:rFonts w:ascii="Arial" w:cs="Arial" w:eastAsia="Arial" w:hAnsi="Arial"/>
                <w:sz w:val="20"/>
                <w:szCs w:val="20"/>
                <w:color w:val="auto"/>
              </w:rPr>
              <w:t>1,601</w:t>
            </w:r>
          </w:p>
        </w:tc>
        <w:tc>
          <w:tcPr>
            <w:tcW w:w="100" w:type="dxa"/>
            <w:vAlign w:val="bottom"/>
          </w:tcPr>
          <w:p>
            <w:pPr>
              <w:spacing w:after="0"/>
              <w:rPr>
                <w:sz w:val="22"/>
                <w:szCs w:val="22"/>
                <w:color w:val="auto"/>
              </w:rPr>
            </w:pPr>
          </w:p>
        </w:tc>
        <w:tc>
          <w:tcPr>
            <w:tcW w:w="2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400" w:type="dxa"/>
            <w:vAlign w:val="bottom"/>
          </w:tcPr>
          <w:p>
            <w:pPr>
              <w:jc w:val="right"/>
              <w:ind w:right="1"/>
              <w:spacing w:after="0"/>
              <w:rPr>
                <w:sz w:val="20"/>
                <w:szCs w:val="20"/>
                <w:color w:val="auto"/>
              </w:rPr>
            </w:pPr>
            <w:r>
              <w:rPr>
                <w:rFonts w:ascii="Arial" w:cs="Arial" w:eastAsia="Arial" w:hAnsi="Arial"/>
                <w:sz w:val="20"/>
                <w:szCs w:val="20"/>
                <w:color w:val="auto"/>
              </w:rPr>
              <w:t>2,320</w:t>
            </w:r>
          </w:p>
        </w:tc>
      </w:tr>
      <w:tr>
        <w:trPr>
          <w:trHeight w:val="23"/>
        </w:trPr>
        <w:tc>
          <w:tcPr>
            <w:tcW w:w="6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6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18" w:lineRule="exact"/>
        <w:rPr>
          <w:sz w:val="20"/>
          <w:szCs w:val="20"/>
          <w:color w:val="auto"/>
        </w:rPr>
      </w:pPr>
    </w:p>
    <w:p>
      <w:pPr>
        <w:ind w:left="780"/>
        <w:spacing w:after="0" w:line="260" w:lineRule="auto"/>
        <w:rPr>
          <w:sz w:val="20"/>
          <w:szCs w:val="20"/>
          <w:color w:val="auto"/>
        </w:rPr>
      </w:pPr>
      <w:r>
        <w:rPr>
          <w:rFonts w:ascii="Arial" w:cs="Arial" w:eastAsia="Arial" w:hAnsi="Arial"/>
          <w:sz w:val="20"/>
          <w:szCs w:val="20"/>
          <w:color w:val="auto"/>
        </w:rPr>
        <w:t>The accumulated benefit obligations for the defined benefit pension plans and lump-sum indemnity plans were ¥10,380 and ¥11,740 at February 28, 2013 and March 31, 2012, respectively.</w:t>
      </w:r>
    </w:p>
    <w:p>
      <w:pPr>
        <w:spacing w:after="0" w:line="96" w:lineRule="exact"/>
        <w:rPr>
          <w:sz w:val="20"/>
          <w:szCs w:val="20"/>
          <w:color w:val="auto"/>
        </w:rPr>
      </w:pPr>
    </w:p>
    <w:p>
      <w:pPr>
        <w:ind w:left="780"/>
        <w:spacing w:after="0" w:line="260" w:lineRule="auto"/>
        <w:rPr>
          <w:sz w:val="20"/>
          <w:szCs w:val="20"/>
          <w:color w:val="auto"/>
        </w:rPr>
      </w:pPr>
      <w:r>
        <w:rPr>
          <w:rFonts w:ascii="Arial" w:cs="Arial" w:eastAsia="Arial" w:hAnsi="Arial"/>
          <w:sz w:val="20"/>
          <w:szCs w:val="20"/>
          <w:color w:val="auto"/>
        </w:rPr>
        <w:t>Net periodic benefit cost recognized and other changes in plan assets and benefit obligations recognized in other comprehensive income for the eleven months ended February 28, 2013 and the year ended March 31, 2012 were:</w:t>
      </w:r>
    </w:p>
    <w:p>
      <w:pPr>
        <w:spacing w:after="0" w:line="252"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6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center"/>
              <w:ind w:right="181"/>
              <w:spacing w:after="0"/>
              <w:rPr>
                <w:sz w:val="20"/>
                <w:szCs w:val="20"/>
                <w:color w:val="auto"/>
              </w:rPr>
            </w:pPr>
            <w:r>
              <w:rPr>
                <w:rFonts w:ascii="Arial" w:cs="Arial" w:eastAsia="Arial" w:hAnsi="Arial"/>
                <w:sz w:val="20"/>
                <w:szCs w:val="20"/>
                <w:b w:val="1"/>
                <w:bCs w:val="1"/>
                <w:color w:val="auto"/>
                <w:w w:val="92"/>
              </w:rPr>
              <w:t>Year</w:t>
            </w:r>
          </w:p>
        </w:tc>
        <w:tc>
          <w:tcPr>
            <w:tcW w:w="0" w:type="dxa"/>
            <w:vAlign w:val="bottom"/>
          </w:tcPr>
          <w:p>
            <w:pPr>
              <w:spacing w:after="0"/>
              <w:rPr>
                <w:sz w:val="1"/>
                <w:szCs w:val="1"/>
                <w:color w:val="auto"/>
              </w:rPr>
            </w:pPr>
          </w:p>
        </w:tc>
      </w:tr>
      <w:tr>
        <w:trPr>
          <w:trHeight w:val="230"/>
        </w:trPr>
        <w:tc>
          <w:tcPr>
            <w:tcW w:w="6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2"/>
          </w:tcPr>
          <w:p>
            <w:pPr>
              <w:ind w:left="60"/>
              <w:spacing w:after="0"/>
              <w:rPr>
                <w:sz w:val="20"/>
                <w:szCs w:val="20"/>
                <w:color w:val="auto"/>
              </w:rPr>
            </w:pPr>
            <w:r>
              <w:rPr>
                <w:rFonts w:ascii="Arial" w:cs="Arial" w:eastAsia="Arial" w:hAnsi="Arial"/>
                <w:sz w:val="20"/>
                <w:szCs w:val="20"/>
                <w:b w:val="1"/>
                <w:bCs w:val="1"/>
                <w:color w:val="auto"/>
              </w:rPr>
              <w:t>Eleven months</w:t>
            </w:r>
          </w:p>
        </w:tc>
        <w:tc>
          <w:tcPr>
            <w:tcW w:w="260" w:type="dxa"/>
            <w:vAlign w:val="bottom"/>
          </w:tcPr>
          <w:p>
            <w:pPr>
              <w:spacing w:after="0"/>
              <w:rPr>
                <w:sz w:val="19"/>
                <w:szCs w:val="19"/>
                <w:color w:val="auto"/>
              </w:rPr>
            </w:pPr>
          </w:p>
        </w:tc>
        <w:tc>
          <w:tcPr>
            <w:tcW w:w="1440" w:type="dxa"/>
            <w:vAlign w:val="bottom"/>
          </w:tcPr>
          <w:p>
            <w:pPr>
              <w:jc w:val="center"/>
              <w:ind w:right="161"/>
              <w:spacing w:after="0"/>
              <w:rPr>
                <w:sz w:val="20"/>
                <w:szCs w:val="20"/>
                <w:color w:val="auto"/>
              </w:rPr>
            </w:pPr>
            <w:r>
              <w:rPr>
                <w:rFonts w:ascii="Arial" w:cs="Arial" w:eastAsia="Arial" w:hAnsi="Arial"/>
                <w:sz w:val="20"/>
                <w:szCs w:val="20"/>
                <w:b w:val="1"/>
                <w:bCs w:val="1"/>
                <w:color w:val="auto"/>
                <w:w w:val="84"/>
              </w:rPr>
              <w:t>ended</w:t>
            </w:r>
          </w:p>
        </w:tc>
        <w:tc>
          <w:tcPr>
            <w:tcW w:w="0" w:type="dxa"/>
            <w:vAlign w:val="bottom"/>
          </w:tcPr>
          <w:p>
            <w:pPr>
              <w:spacing w:after="0"/>
              <w:rPr>
                <w:sz w:val="1"/>
                <w:szCs w:val="1"/>
                <w:color w:val="auto"/>
              </w:rPr>
            </w:pPr>
          </w:p>
        </w:tc>
      </w:tr>
      <w:tr>
        <w:trPr>
          <w:trHeight w:val="230"/>
        </w:trPr>
        <w:tc>
          <w:tcPr>
            <w:tcW w:w="6400" w:type="dxa"/>
            <w:vAlign w:val="bottom"/>
          </w:tcPr>
          <w:p>
            <w:pPr>
              <w:spacing w:after="0"/>
              <w:rPr>
                <w:sz w:val="19"/>
                <w:szCs w:val="19"/>
                <w:color w:val="auto"/>
              </w:rPr>
            </w:pPr>
          </w:p>
        </w:tc>
        <w:tc>
          <w:tcPr>
            <w:tcW w:w="1840" w:type="dxa"/>
            <w:vAlign w:val="bottom"/>
            <w:gridSpan w:val="3"/>
          </w:tcPr>
          <w:p>
            <w:pPr>
              <w:ind w:left="40"/>
              <w:spacing w:after="0"/>
              <w:rPr>
                <w:sz w:val="20"/>
                <w:szCs w:val="20"/>
                <w:color w:val="auto"/>
              </w:rPr>
            </w:pPr>
            <w:r>
              <w:rPr>
                <w:rFonts w:ascii="Arial" w:cs="Arial" w:eastAsia="Arial" w:hAnsi="Arial"/>
                <w:sz w:val="20"/>
                <w:szCs w:val="20"/>
                <w:b w:val="1"/>
                <w:bCs w:val="1"/>
                <w:color w:val="auto"/>
                <w:w w:val="97"/>
              </w:rPr>
              <w:t>ended February 28,</w:t>
            </w:r>
          </w:p>
        </w:tc>
        <w:tc>
          <w:tcPr>
            <w:tcW w:w="260" w:type="dxa"/>
            <w:vAlign w:val="bottom"/>
          </w:tcPr>
          <w:p>
            <w:pPr>
              <w:spacing w:after="0"/>
              <w:rPr>
                <w:sz w:val="19"/>
                <w:szCs w:val="19"/>
                <w:color w:val="auto"/>
              </w:rPr>
            </w:pPr>
          </w:p>
        </w:tc>
        <w:tc>
          <w:tcPr>
            <w:tcW w:w="1440" w:type="dxa"/>
            <w:vAlign w:val="bottom"/>
          </w:tcPr>
          <w:p>
            <w:pPr>
              <w:jc w:val="center"/>
              <w:ind w:right="161"/>
              <w:spacing w:after="0"/>
              <w:rPr>
                <w:sz w:val="20"/>
                <w:szCs w:val="20"/>
                <w:color w:val="auto"/>
              </w:rPr>
            </w:pPr>
            <w:r>
              <w:rPr>
                <w:rFonts w:ascii="Arial" w:cs="Arial" w:eastAsia="Arial" w:hAnsi="Arial"/>
                <w:sz w:val="20"/>
                <w:szCs w:val="20"/>
                <w:b w:val="1"/>
                <w:bCs w:val="1"/>
                <w:color w:val="auto"/>
                <w:w w:val="93"/>
              </w:rPr>
              <w:t>March 31,</w:t>
            </w:r>
          </w:p>
        </w:tc>
        <w:tc>
          <w:tcPr>
            <w:tcW w:w="0" w:type="dxa"/>
            <w:vAlign w:val="bottom"/>
          </w:tcPr>
          <w:p>
            <w:pPr>
              <w:spacing w:after="0"/>
              <w:rPr>
                <w:sz w:val="1"/>
                <w:szCs w:val="1"/>
                <w:color w:val="auto"/>
              </w:rPr>
            </w:pPr>
          </w:p>
        </w:tc>
      </w:tr>
      <w:tr>
        <w:trPr>
          <w:trHeight w:val="256"/>
        </w:trPr>
        <w:tc>
          <w:tcPr>
            <w:tcW w:w="6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40" w:type="dxa"/>
            <w:vAlign w:val="bottom"/>
          </w:tcPr>
          <w:p>
            <w:pPr>
              <w:jc w:val="right"/>
              <w:ind w:right="561"/>
              <w:spacing w:after="0"/>
              <w:rPr>
                <w:sz w:val="20"/>
                <w:szCs w:val="20"/>
                <w:color w:val="auto"/>
              </w:rPr>
            </w:pPr>
            <w:r>
              <w:rPr>
                <w:rFonts w:ascii="Arial" w:cs="Arial" w:eastAsia="Arial" w:hAnsi="Arial"/>
                <w:sz w:val="20"/>
                <w:szCs w:val="20"/>
                <w:b w:val="1"/>
                <w:bCs w:val="1"/>
                <w:color w:val="auto"/>
              </w:rPr>
              <w:t>2013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40" w:type="dxa"/>
            <w:vAlign w:val="bottom"/>
          </w:tcPr>
          <w:p>
            <w:pPr>
              <w:jc w:val="center"/>
              <w:ind w:right="181"/>
              <w:spacing w:after="0"/>
              <w:rPr>
                <w:sz w:val="20"/>
                <w:szCs w:val="20"/>
                <w:color w:val="auto"/>
              </w:rPr>
            </w:pPr>
            <w:r>
              <w:rPr>
                <w:rFonts w:ascii="Arial" w:cs="Arial" w:eastAsia="Arial" w:hAnsi="Arial"/>
                <w:sz w:val="20"/>
                <w:szCs w:val="20"/>
                <w:b w:val="1"/>
                <w:bCs w:val="1"/>
                <w:color w:val="auto"/>
                <w:w w:val="89"/>
              </w:rPr>
              <w:t>2012</w:t>
            </w:r>
          </w:p>
        </w:tc>
        <w:tc>
          <w:tcPr>
            <w:tcW w:w="0" w:type="dxa"/>
            <w:vAlign w:val="bottom"/>
          </w:tcPr>
          <w:p>
            <w:pPr>
              <w:spacing w:after="0"/>
              <w:rPr>
                <w:sz w:val="1"/>
                <w:szCs w:val="1"/>
                <w:color w:val="auto"/>
              </w:rPr>
            </w:pPr>
          </w:p>
        </w:tc>
      </w:tr>
      <w:tr>
        <w:trPr>
          <w:trHeight w:val="23"/>
        </w:trPr>
        <w:tc>
          <w:tcPr>
            <w:tcW w:w="64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6400" w:type="dxa"/>
            <w:vAlign w:val="bottom"/>
          </w:tcPr>
          <w:p>
            <w:pPr>
              <w:spacing w:after="0"/>
              <w:rPr>
                <w:sz w:val="20"/>
                <w:szCs w:val="20"/>
                <w:color w:val="auto"/>
              </w:rPr>
            </w:pPr>
            <w:r>
              <w:rPr>
                <w:rFonts w:ascii="Arial" w:cs="Arial" w:eastAsia="Arial" w:hAnsi="Arial"/>
                <w:sz w:val="20"/>
                <w:szCs w:val="20"/>
                <w:color w:val="auto"/>
              </w:rPr>
              <w:t>Net periodic benefit cost recognized</w:t>
            </w:r>
          </w:p>
        </w:tc>
        <w:tc>
          <w:tcPr>
            <w:tcW w:w="180" w:type="dxa"/>
            <w:vAlign w:val="bottom"/>
          </w:tcPr>
          <w:p>
            <w:pPr>
              <w:ind w:left="40"/>
              <w:spacing w:after="0"/>
              <w:rPr>
                <w:sz w:val="20"/>
                <w:szCs w:val="20"/>
                <w:color w:val="auto"/>
              </w:rPr>
            </w:pPr>
            <w:r>
              <w:rPr>
                <w:rFonts w:ascii="Arial" w:cs="Arial" w:eastAsia="Arial" w:hAnsi="Arial"/>
                <w:sz w:val="20"/>
                <w:szCs w:val="20"/>
                <w:color w:val="auto"/>
              </w:rPr>
              <w:t>¥</w:t>
            </w:r>
          </w:p>
        </w:tc>
        <w:tc>
          <w:tcPr>
            <w:tcW w:w="1540" w:type="dxa"/>
            <w:vAlign w:val="bottom"/>
          </w:tcPr>
          <w:p>
            <w:pPr>
              <w:jc w:val="right"/>
              <w:ind w:right="1"/>
              <w:spacing w:after="0"/>
              <w:rPr>
                <w:sz w:val="20"/>
                <w:szCs w:val="20"/>
                <w:color w:val="auto"/>
              </w:rPr>
            </w:pPr>
            <w:r>
              <w:rPr>
                <w:rFonts w:ascii="Arial" w:cs="Arial" w:eastAsia="Arial" w:hAnsi="Arial"/>
                <w:sz w:val="20"/>
                <w:szCs w:val="20"/>
                <w:color w:val="auto"/>
              </w:rPr>
              <w:t>1,397</w:t>
            </w:r>
          </w:p>
        </w:tc>
        <w:tc>
          <w:tcPr>
            <w:tcW w:w="120" w:type="dxa"/>
            <w:vAlign w:val="bottom"/>
          </w:tcPr>
          <w:p>
            <w:pPr>
              <w:spacing w:after="0"/>
              <w:rPr>
                <w:sz w:val="22"/>
                <w:szCs w:val="22"/>
                <w:color w:val="auto"/>
              </w:rPr>
            </w:pPr>
          </w:p>
        </w:tc>
        <w:tc>
          <w:tcPr>
            <w:tcW w:w="260" w:type="dxa"/>
            <w:vAlign w:val="bottom"/>
          </w:tcPr>
          <w:p>
            <w:pPr>
              <w:jc w:val="right"/>
              <w:ind w:right="41"/>
              <w:spacing w:after="0"/>
              <w:rPr>
                <w:sz w:val="20"/>
                <w:szCs w:val="20"/>
                <w:color w:val="auto"/>
              </w:rPr>
            </w:pPr>
            <w:r>
              <w:rPr>
                <w:rFonts w:ascii="Arial" w:cs="Arial" w:eastAsia="Arial" w:hAnsi="Arial"/>
                <w:sz w:val="20"/>
                <w:szCs w:val="20"/>
                <w:color w:val="auto"/>
                <w:w w:val="89"/>
              </w:rPr>
              <w:t>¥</w:t>
            </w:r>
          </w:p>
        </w:tc>
        <w:tc>
          <w:tcPr>
            <w:tcW w:w="1440" w:type="dxa"/>
            <w:vAlign w:val="bottom"/>
          </w:tcPr>
          <w:p>
            <w:pPr>
              <w:jc w:val="right"/>
              <w:spacing w:after="0"/>
              <w:rPr>
                <w:sz w:val="20"/>
                <w:szCs w:val="20"/>
                <w:color w:val="auto"/>
              </w:rPr>
            </w:pPr>
            <w:r>
              <w:rPr>
                <w:rFonts w:ascii="Arial" w:cs="Arial" w:eastAsia="Arial" w:hAnsi="Arial"/>
                <w:sz w:val="20"/>
                <w:szCs w:val="20"/>
                <w:color w:val="auto"/>
              </w:rPr>
              <w:t>1,364</w:t>
            </w:r>
          </w:p>
        </w:tc>
        <w:tc>
          <w:tcPr>
            <w:tcW w:w="0" w:type="dxa"/>
            <w:vAlign w:val="bottom"/>
          </w:tcPr>
          <w:p>
            <w:pPr>
              <w:spacing w:after="0"/>
              <w:rPr>
                <w:sz w:val="1"/>
                <w:szCs w:val="1"/>
                <w:color w:val="auto"/>
              </w:rPr>
            </w:pPr>
          </w:p>
        </w:tc>
      </w:tr>
      <w:tr>
        <w:trPr>
          <w:trHeight w:val="263"/>
        </w:trPr>
        <w:tc>
          <w:tcPr>
            <w:tcW w:w="6400" w:type="dxa"/>
            <w:vAlign w:val="bottom"/>
          </w:tcPr>
          <w:p>
            <w:pPr>
              <w:spacing w:after="0"/>
              <w:rPr>
                <w:sz w:val="20"/>
                <w:szCs w:val="20"/>
                <w:color w:val="auto"/>
              </w:rPr>
            </w:pPr>
            <w:r>
              <w:rPr>
                <w:rFonts w:ascii="Arial" w:cs="Arial" w:eastAsia="Arial" w:hAnsi="Arial"/>
                <w:sz w:val="20"/>
                <w:szCs w:val="20"/>
                <w:color w:val="auto"/>
                <w:w w:val="99"/>
              </w:rPr>
              <w:t>Other changes in plan assets and benefit obligations recognized in other</w:t>
            </w:r>
          </w:p>
        </w:tc>
        <w:tc>
          <w:tcPr>
            <w:tcW w:w="1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400" w:type="dxa"/>
            <w:vAlign w:val="bottom"/>
          </w:tcPr>
          <w:p>
            <w:pPr>
              <w:ind w:left="160"/>
              <w:spacing w:after="0"/>
              <w:rPr>
                <w:sz w:val="20"/>
                <w:szCs w:val="20"/>
                <w:color w:val="auto"/>
              </w:rPr>
            </w:pPr>
            <w:r>
              <w:rPr>
                <w:rFonts w:ascii="Arial" w:cs="Arial" w:eastAsia="Arial" w:hAnsi="Arial"/>
                <w:sz w:val="20"/>
                <w:szCs w:val="20"/>
                <w:color w:val="auto"/>
              </w:rPr>
              <w:t>comprehensive income:</w:t>
            </w:r>
          </w:p>
        </w:tc>
        <w:tc>
          <w:tcPr>
            <w:tcW w:w="1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6400" w:type="dxa"/>
            <w:vAlign w:val="bottom"/>
          </w:tcPr>
          <w:p>
            <w:pPr>
              <w:ind w:left="140"/>
              <w:spacing w:after="0"/>
              <w:rPr>
                <w:sz w:val="20"/>
                <w:szCs w:val="20"/>
                <w:color w:val="auto"/>
              </w:rPr>
            </w:pPr>
            <w:r>
              <w:rPr>
                <w:rFonts w:ascii="Arial" w:cs="Arial" w:eastAsia="Arial" w:hAnsi="Arial"/>
                <w:sz w:val="20"/>
                <w:szCs w:val="20"/>
                <w:color w:val="auto"/>
              </w:rPr>
              <w:t>Net actuarial (gain) loss</w:t>
            </w:r>
          </w:p>
        </w:tc>
        <w:tc>
          <w:tcPr>
            <w:tcW w:w="18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(626)</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843</w:t>
            </w:r>
          </w:p>
        </w:tc>
        <w:tc>
          <w:tcPr>
            <w:tcW w:w="0" w:type="dxa"/>
            <w:vAlign w:val="bottom"/>
          </w:tcPr>
          <w:p>
            <w:pPr>
              <w:spacing w:after="0"/>
              <w:rPr>
                <w:sz w:val="1"/>
                <w:szCs w:val="1"/>
                <w:color w:val="auto"/>
              </w:rPr>
            </w:pPr>
          </w:p>
        </w:tc>
      </w:tr>
      <w:tr>
        <w:trPr>
          <w:trHeight w:val="284"/>
        </w:trPr>
        <w:tc>
          <w:tcPr>
            <w:tcW w:w="6400" w:type="dxa"/>
            <w:vAlign w:val="bottom"/>
          </w:tcPr>
          <w:p>
            <w:pPr>
              <w:ind w:left="140"/>
              <w:spacing w:after="0"/>
              <w:rPr>
                <w:sz w:val="20"/>
                <w:szCs w:val="20"/>
                <w:color w:val="auto"/>
              </w:rPr>
            </w:pPr>
            <w:r>
              <w:rPr>
                <w:rFonts w:ascii="Arial" w:cs="Arial" w:eastAsia="Arial" w:hAnsi="Arial"/>
                <w:sz w:val="20"/>
                <w:szCs w:val="20"/>
                <w:color w:val="auto"/>
              </w:rPr>
              <w:t>Amortization of actuarial loss</w:t>
            </w:r>
          </w:p>
        </w:tc>
        <w:tc>
          <w:tcPr>
            <w:tcW w:w="18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(72)</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(26)</w:t>
            </w:r>
          </w:p>
        </w:tc>
        <w:tc>
          <w:tcPr>
            <w:tcW w:w="0" w:type="dxa"/>
            <w:vAlign w:val="bottom"/>
          </w:tcPr>
          <w:p>
            <w:pPr>
              <w:spacing w:after="0"/>
              <w:rPr>
                <w:sz w:val="1"/>
                <w:szCs w:val="1"/>
                <w:color w:val="auto"/>
              </w:rPr>
            </w:pPr>
          </w:p>
        </w:tc>
      </w:tr>
      <w:tr>
        <w:trPr>
          <w:trHeight w:val="284"/>
        </w:trPr>
        <w:tc>
          <w:tcPr>
            <w:tcW w:w="6400" w:type="dxa"/>
            <w:vAlign w:val="bottom"/>
          </w:tcPr>
          <w:p>
            <w:pPr>
              <w:ind w:left="140"/>
              <w:spacing w:after="0"/>
              <w:rPr>
                <w:sz w:val="20"/>
                <w:szCs w:val="20"/>
                <w:color w:val="auto"/>
              </w:rPr>
            </w:pPr>
            <w:r>
              <w:rPr>
                <w:rFonts w:ascii="Arial" w:cs="Arial" w:eastAsia="Arial" w:hAnsi="Arial"/>
                <w:sz w:val="20"/>
                <w:szCs w:val="20"/>
                <w:color w:val="auto"/>
              </w:rPr>
              <w:t>Amortization of prior service costs</w:t>
            </w:r>
          </w:p>
        </w:tc>
        <w:tc>
          <w:tcPr>
            <w:tcW w:w="18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(21)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(26)</w:t>
            </w:r>
          </w:p>
        </w:tc>
        <w:tc>
          <w:tcPr>
            <w:tcW w:w="0" w:type="dxa"/>
            <w:vAlign w:val="bottom"/>
          </w:tcPr>
          <w:p>
            <w:pPr>
              <w:spacing w:after="0"/>
              <w:rPr>
                <w:sz w:val="1"/>
                <w:szCs w:val="1"/>
                <w:color w:val="auto"/>
              </w:rPr>
            </w:pPr>
          </w:p>
        </w:tc>
      </w:tr>
      <w:tr>
        <w:trPr>
          <w:trHeight w:val="23"/>
        </w:trPr>
        <w:tc>
          <w:tcPr>
            <w:tcW w:w="64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6400" w:type="dxa"/>
            <w:vAlign w:val="bottom"/>
          </w:tcPr>
          <w:p>
            <w:pPr>
              <w:ind w:left="580"/>
              <w:spacing w:after="0"/>
              <w:rPr>
                <w:sz w:val="20"/>
                <w:szCs w:val="20"/>
                <w:color w:val="auto"/>
              </w:rPr>
            </w:pPr>
            <w:r>
              <w:rPr>
                <w:rFonts w:ascii="Arial" w:cs="Arial" w:eastAsia="Arial" w:hAnsi="Arial"/>
                <w:sz w:val="20"/>
                <w:szCs w:val="20"/>
                <w:color w:val="auto"/>
              </w:rPr>
              <w:t>Total recognized in other comprehensive income (loss)</w:t>
            </w:r>
          </w:p>
        </w:tc>
        <w:tc>
          <w:tcPr>
            <w:tcW w:w="18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(719)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791</w:t>
            </w:r>
          </w:p>
        </w:tc>
        <w:tc>
          <w:tcPr>
            <w:tcW w:w="0" w:type="dxa"/>
            <w:vAlign w:val="bottom"/>
          </w:tcPr>
          <w:p>
            <w:pPr>
              <w:spacing w:after="0"/>
              <w:rPr>
                <w:sz w:val="1"/>
                <w:szCs w:val="1"/>
                <w:color w:val="auto"/>
              </w:rPr>
            </w:pPr>
          </w:p>
        </w:tc>
      </w:tr>
      <w:tr>
        <w:trPr>
          <w:trHeight w:val="23"/>
        </w:trPr>
        <w:tc>
          <w:tcPr>
            <w:tcW w:w="6400" w:type="dxa"/>
            <w:vAlign w:val="bottom"/>
            <w:vMerge w:val="restart"/>
          </w:tcPr>
          <w:p>
            <w:pPr>
              <w:ind w:left="580"/>
              <w:spacing w:after="0"/>
              <w:rPr>
                <w:sz w:val="20"/>
                <w:szCs w:val="20"/>
                <w:color w:val="auto"/>
              </w:rPr>
            </w:pPr>
            <w:r>
              <w:rPr>
                <w:rFonts w:ascii="Arial" w:cs="Arial" w:eastAsia="Arial" w:hAnsi="Arial"/>
                <w:sz w:val="20"/>
                <w:szCs w:val="20"/>
                <w:color w:val="auto"/>
                <w:w w:val="94"/>
              </w:rPr>
              <w:t>Total recognized in net periodic benefit cost and other comprehensive</w:t>
            </w: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6400" w:type="dxa"/>
            <w:vAlign w:val="bottom"/>
            <w:vMerge w:val="continue"/>
          </w:tcPr>
          <w:p>
            <w:pPr>
              <w:spacing w:after="0"/>
              <w:rPr>
                <w:sz w:val="19"/>
                <w:szCs w:val="19"/>
                <w:color w:val="auto"/>
              </w:rPr>
            </w:pPr>
          </w:p>
        </w:tc>
        <w:tc>
          <w:tcPr>
            <w:tcW w:w="180" w:type="dxa"/>
            <w:vAlign w:val="bottom"/>
            <w:vMerge w:val="restart"/>
          </w:tcPr>
          <w:p>
            <w:pPr>
              <w:ind w:left="40"/>
              <w:spacing w:after="0"/>
              <w:rPr>
                <w:sz w:val="20"/>
                <w:szCs w:val="20"/>
                <w:color w:val="auto"/>
              </w:rPr>
            </w:pPr>
            <w:r>
              <w:rPr>
                <w:rFonts w:ascii="Arial" w:cs="Arial" w:eastAsia="Arial" w:hAnsi="Arial"/>
                <w:sz w:val="20"/>
                <w:szCs w:val="20"/>
                <w:color w:val="auto"/>
              </w:rPr>
              <w:t>¥</w:t>
            </w:r>
          </w:p>
        </w:tc>
        <w:tc>
          <w:tcPr>
            <w:tcW w:w="1540" w:type="dxa"/>
            <w:vAlign w:val="bottom"/>
            <w:vMerge w:val="restart"/>
          </w:tcPr>
          <w:p>
            <w:pPr>
              <w:jc w:val="right"/>
              <w:ind w:right="1"/>
              <w:spacing w:after="0"/>
              <w:rPr>
                <w:sz w:val="20"/>
                <w:szCs w:val="20"/>
                <w:color w:val="auto"/>
              </w:rPr>
            </w:pPr>
            <w:r>
              <w:rPr>
                <w:rFonts w:ascii="Arial" w:cs="Arial" w:eastAsia="Arial" w:hAnsi="Arial"/>
                <w:sz w:val="20"/>
                <w:szCs w:val="20"/>
                <w:color w:val="auto"/>
              </w:rPr>
              <w:t>678</w:t>
            </w:r>
          </w:p>
        </w:tc>
        <w:tc>
          <w:tcPr>
            <w:tcW w:w="120" w:type="dxa"/>
            <w:vAlign w:val="bottom"/>
          </w:tcPr>
          <w:p>
            <w:pPr>
              <w:spacing w:after="0"/>
              <w:rPr>
                <w:sz w:val="19"/>
                <w:szCs w:val="19"/>
                <w:color w:val="auto"/>
              </w:rPr>
            </w:pPr>
          </w:p>
        </w:tc>
        <w:tc>
          <w:tcPr>
            <w:tcW w:w="260" w:type="dxa"/>
            <w:vAlign w:val="bottom"/>
            <w:vMerge w:val="restart"/>
          </w:tcPr>
          <w:p>
            <w:pPr>
              <w:jc w:val="right"/>
              <w:ind w:right="41"/>
              <w:spacing w:after="0"/>
              <w:rPr>
                <w:sz w:val="20"/>
                <w:szCs w:val="20"/>
                <w:color w:val="auto"/>
              </w:rPr>
            </w:pPr>
            <w:r>
              <w:rPr>
                <w:rFonts w:ascii="Arial" w:cs="Arial" w:eastAsia="Arial" w:hAnsi="Arial"/>
                <w:sz w:val="20"/>
                <w:szCs w:val="20"/>
                <w:color w:val="auto"/>
                <w:w w:val="89"/>
              </w:rPr>
              <w:t>¥</w:t>
            </w:r>
          </w:p>
        </w:tc>
        <w:tc>
          <w:tcPr>
            <w:tcW w:w="1440" w:type="dxa"/>
            <w:vAlign w:val="bottom"/>
            <w:vMerge w:val="restart"/>
          </w:tcPr>
          <w:p>
            <w:pPr>
              <w:jc w:val="right"/>
              <w:spacing w:after="0"/>
              <w:rPr>
                <w:sz w:val="20"/>
                <w:szCs w:val="20"/>
                <w:color w:val="auto"/>
              </w:rPr>
            </w:pPr>
            <w:r>
              <w:rPr>
                <w:rFonts w:ascii="Arial" w:cs="Arial" w:eastAsia="Arial" w:hAnsi="Arial"/>
                <w:sz w:val="20"/>
                <w:szCs w:val="20"/>
                <w:color w:val="auto"/>
              </w:rPr>
              <w:t>2,155</w:t>
            </w:r>
          </w:p>
        </w:tc>
        <w:tc>
          <w:tcPr>
            <w:tcW w:w="0" w:type="dxa"/>
            <w:vAlign w:val="bottom"/>
          </w:tcPr>
          <w:p>
            <w:pPr>
              <w:spacing w:after="0"/>
              <w:rPr>
                <w:sz w:val="1"/>
                <w:szCs w:val="1"/>
                <w:color w:val="auto"/>
              </w:rPr>
            </w:pPr>
          </w:p>
        </w:tc>
      </w:tr>
      <w:tr>
        <w:trPr>
          <w:trHeight w:val="260"/>
        </w:trPr>
        <w:tc>
          <w:tcPr>
            <w:tcW w:w="6400" w:type="dxa"/>
            <w:vAlign w:val="bottom"/>
          </w:tcPr>
          <w:p>
            <w:pPr>
              <w:ind w:left="740"/>
              <w:spacing w:after="0"/>
              <w:rPr>
                <w:sz w:val="20"/>
                <w:szCs w:val="20"/>
                <w:color w:val="auto"/>
              </w:rPr>
            </w:pPr>
            <w:r>
              <w:rPr>
                <w:rFonts w:ascii="Arial" w:cs="Arial" w:eastAsia="Arial" w:hAnsi="Arial"/>
                <w:sz w:val="20"/>
                <w:szCs w:val="20"/>
                <w:color w:val="auto"/>
              </w:rPr>
              <w:t>income</w:t>
            </w:r>
          </w:p>
        </w:tc>
        <w:tc>
          <w:tcPr>
            <w:tcW w:w="180" w:type="dxa"/>
            <w:vAlign w:val="bottom"/>
            <w:tcBorders>
              <w:bottom w:val="single" w:sz="8" w:color="auto"/>
            </w:tcBorders>
            <w:vMerge w:val="continue"/>
          </w:tcPr>
          <w:p>
            <w:pPr>
              <w:spacing w:after="0"/>
              <w:rPr>
                <w:sz w:val="22"/>
                <w:szCs w:val="22"/>
                <w:color w:val="auto"/>
              </w:rPr>
            </w:pPr>
          </w:p>
        </w:tc>
        <w:tc>
          <w:tcPr>
            <w:tcW w:w="1540" w:type="dxa"/>
            <w:vAlign w:val="bottom"/>
            <w:tcBorders>
              <w:bottom w:val="single" w:sz="8" w:color="auto"/>
            </w:tcBorders>
            <w:vMerge w:val="continue"/>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vMerge w:val="continue"/>
          </w:tcPr>
          <w:p>
            <w:pPr>
              <w:spacing w:after="0"/>
              <w:rPr>
                <w:sz w:val="22"/>
                <w:szCs w:val="22"/>
                <w:color w:val="auto"/>
              </w:rPr>
            </w:pPr>
          </w:p>
        </w:tc>
        <w:tc>
          <w:tcPr>
            <w:tcW w:w="144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60" w:top="553" w:right="239" w:bottom="1440" w:gutter="0" w:footer="0" w:header="0"/>
        </w:sectPr>
      </w:pPr>
    </w:p>
    <w:p>
      <w:pPr>
        <w:spacing w:after="0" w:line="29" w:lineRule="exact"/>
        <w:rPr>
          <w:sz w:val="20"/>
          <w:szCs w:val="20"/>
          <w:color w:val="auto"/>
        </w:rPr>
      </w:pPr>
    </w:p>
    <w:p>
      <w:pPr>
        <w:ind w:left="11220"/>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00"/>
          </w:cols>
          <w:pgMar w:left="260" w:top="553" w:right="239" w:bottom="1440" w:gutter="0" w:footer="0" w:header="0"/>
          <w:type w:val="continuous"/>
        </w:sectPr>
      </w:pPr>
    </w:p>
    <w:bookmarkStart w:id="46" w:name="page47"/>
    <w:bookmarkEnd w:id="46"/>
    <w:p>
      <w:pPr>
        <w:jc w:val="center"/>
        <w:ind w:right="780"/>
        <w:spacing w:after="0"/>
        <w:rPr>
          <w:sz w:val="20"/>
          <w:szCs w:val="20"/>
          <w:color w:val="auto"/>
        </w:rPr>
      </w:pPr>
      <w:r>
        <w:rPr>
          <w:rFonts w:ascii="Arial" w:cs="Arial" w:eastAsia="Arial" w:hAnsi="Arial"/>
          <w:sz w:val="18"/>
          <w:szCs w:val="18"/>
          <w:b w:val="1"/>
          <w:bCs w:val="1"/>
          <w:color w:val="auto"/>
        </w:rPr>
        <w:t>ELPIDA MEMORY, INC. AND SUBSIDIARIES</w:t>
      </w:r>
    </w:p>
    <w:p>
      <w:pPr>
        <w:spacing w:after="0" w:line="27"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(DEBTORS-IN-POSSESSION)</w:t>
      </w:r>
    </w:p>
    <w:p>
      <w:pPr>
        <w:spacing w:after="0" w:line="9"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estimated net actuarial (gain) loss and prior service cost for all defined benefit plans that will be amortized from accumulated other comprehensive income into net periodic benefit cost over the next fiscal year are ¥13 and ¥66, at February 28, 2013 and March 31, 2012 respectively.</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assumptions used to determine benefit obligations at February 28, 2013 and March 31, 2012 were as follows:</w:t>
      </w:r>
    </w:p>
    <w:p>
      <w:pPr>
        <w:spacing w:after="0" w:line="232" w:lineRule="exact"/>
        <w:rPr>
          <w:sz w:val="20"/>
          <w:szCs w:val="20"/>
          <w:color w:val="auto"/>
        </w:rPr>
      </w:pPr>
    </w:p>
    <w:tbl>
      <w:tblPr>
        <w:tblLayout w:type="fixed"/>
        <w:tblInd w:w="540" w:type="dxa"/>
        <w:tblCellMar>
          <w:top w:w="0" w:type="dxa"/>
          <w:left w:w="0" w:type="dxa"/>
          <w:bottom w:w="0" w:type="dxa"/>
          <w:right w:w="0" w:type="dxa"/>
        </w:tblCellMar>
      </w:tblPr>
      <w:tr>
        <w:trPr>
          <w:trHeight w:val="230"/>
        </w:trPr>
        <w:tc>
          <w:tcPr>
            <w:tcW w:w="4820" w:type="dxa"/>
            <w:vAlign w:val="bottom"/>
          </w:tcPr>
          <w:p>
            <w:pPr>
              <w:spacing w:after="0"/>
              <w:rPr>
                <w:sz w:val="19"/>
                <w:szCs w:val="19"/>
                <w:color w:val="auto"/>
              </w:rPr>
            </w:pPr>
          </w:p>
        </w:tc>
        <w:tc>
          <w:tcPr>
            <w:tcW w:w="1760" w:type="dxa"/>
            <w:vAlign w:val="bottom"/>
            <w:gridSpan w:val="2"/>
          </w:tcPr>
          <w:p>
            <w:pPr>
              <w:ind w:left="280"/>
              <w:spacing w:after="0"/>
              <w:rPr>
                <w:sz w:val="20"/>
                <w:szCs w:val="20"/>
                <w:color w:val="auto"/>
              </w:rPr>
            </w:pPr>
            <w:r>
              <w:rPr>
                <w:rFonts w:ascii="Arial" w:cs="Arial" w:eastAsia="Arial" w:hAnsi="Arial"/>
                <w:sz w:val="20"/>
                <w:szCs w:val="20"/>
                <w:b w:val="1"/>
                <w:bCs w:val="1"/>
                <w:color w:val="auto"/>
              </w:rPr>
              <w:t>February 28,</w:t>
            </w:r>
          </w:p>
        </w:tc>
        <w:tc>
          <w:tcPr>
            <w:tcW w:w="1640" w:type="dxa"/>
            <w:vAlign w:val="bottom"/>
          </w:tcPr>
          <w:p>
            <w:pPr>
              <w:jc w:val="right"/>
              <w:ind w:right="281"/>
              <w:spacing w:after="0"/>
              <w:rPr>
                <w:sz w:val="20"/>
                <w:szCs w:val="20"/>
                <w:color w:val="auto"/>
              </w:rPr>
            </w:pPr>
            <w:r>
              <w:rPr>
                <w:rFonts w:ascii="Arial" w:cs="Arial" w:eastAsia="Arial" w:hAnsi="Arial"/>
                <w:sz w:val="20"/>
                <w:szCs w:val="20"/>
                <w:b w:val="1"/>
                <w:bCs w:val="1"/>
                <w:color w:val="auto"/>
              </w:rPr>
              <w:t>March 28,</w:t>
            </w:r>
          </w:p>
        </w:tc>
      </w:tr>
      <w:tr>
        <w:trPr>
          <w:trHeight w:val="256"/>
        </w:trPr>
        <w:tc>
          <w:tcPr>
            <w:tcW w:w="4820" w:type="dxa"/>
            <w:vAlign w:val="bottom"/>
          </w:tcPr>
          <w:p>
            <w:pPr>
              <w:spacing w:after="0"/>
              <w:rPr>
                <w:sz w:val="22"/>
                <w:szCs w:val="22"/>
                <w:color w:val="auto"/>
              </w:rPr>
            </w:pPr>
          </w:p>
        </w:tc>
        <w:tc>
          <w:tcPr>
            <w:tcW w:w="1660" w:type="dxa"/>
            <w:vAlign w:val="bottom"/>
          </w:tcPr>
          <w:p>
            <w:pPr>
              <w:jc w:val="right"/>
              <w:ind w:right="541"/>
              <w:spacing w:after="0"/>
              <w:rPr>
                <w:sz w:val="20"/>
                <w:szCs w:val="20"/>
                <w:color w:val="auto"/>
              </w:rPr>
            </w:pPr>
            <w:r>
              <w:rPr>
                <w:rFonts w:ascii="Arial" w:cs="Arial" w:eastAsia="Arial" w:hAnsi="Arial"/>
                <w:sz w:val="20"/>
                <w:szCs w:val="20"/>
                <w:b w:val="1"/>
                <w:bCs w:val="1"/>
                <w:color w:val="auto"/>
              </w:rPr>
              <w:t>2013</w:t>
            </w:r>
          </w:p>
        </w:tc>
        <w:tc>
          <w:tcPr>
            <w:tcW w:w="100" w:type="dxa"/>
            <w:vAlign w:val="bottom"/>
          </w:tcPr>
          <w:p>
            <w:pPr>
              <w:spacing w:after="0"/>
              <w:rPr>
                <w:sz w:val="22"/>
                <w:szCs w:val="22"/>
                <w:color w:val="auto"/>
              </w:rPr>
            </w:pPr>
          </w:p>
        </w:tc>
        <w:tc>
          <w:tcPr>
            <w:tcW w:w="1640" w:type="dxa"/>
            <w:vAlign w:val="bottom"/>
          </w:tcPr>
          <w:p>
            <w:pPr>
              <w:jc w:val="right"/>
              <w:ind w:right="521"/>
              <w:spacing w:after="0"/>
              <w:rPr>
                <w:sz w:val="20"/>
                <w:szCs w:val="20"/>
                <w:color w:val="auto"/>
              </w:rPr>
            </w:pPr>
            <w:r>
              <w:rPr>
                <w:rFonts w:ascii="Arial" w:cs="Arial" w:eastAsia="Arial" w:hAnsi="Arial"/>
                <w:sz w:val="20"/>
                <w:szCs w:val="20"/>
                <w:b w:val="1"/>
                <w:bCs w:val="1"/>
                <w:color w:val="auto"/>
              </w:rPr>
              <w:t>2012</w:t>
            </w:r>
          </w:p>
        </w:tc>
      </w:tr>
      <w:tr>
        <w:trPr>
          <w:trHeight w:val="23"/>
        </w:trPr>
        <w:tc>
          <w:tcPr>
            <w:tcW w:w="482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4"/>
        </w:trPr>
        <w:tc>
          <w:tcPr>
            <w:tcW w:w="4820" w:type="dxa"/>
            <w:vAlign w:val="bottom"/>
          </w:tcPr>
          <w:p>
            <w:pPr>
              <w:spacing w:after="0"/>
              <w:rPr>
                <w:sz w:val="20"/>
                <w:szCs w:val="20"/>
                <w:color w:val="auto"/>
              </w:rPr>
            </w:pPr>
            <w:r>
              <w:rPr>
                <w:rFonts w:ascii="Arial" w:cs="Arial" w:eastAsia="Arial" w:hAnsi="Arial"/>
                <w:sz w:val="20"/>
                <w:szCs w:val="20"/>
                <w:color w:val="auto"/>
              </w:rPr>
              <w:t>Discount rate</w:t>
            </w:r>
          </w:p>
        </w:tc>
        <w:tc>
          <w:tcPr>
            <w:tcW w:w="1660" w:type="dxa"/>
            <w:vAlign w:val="bottom"/>
          </w:tcPr>
          <w:p>
            <w:pPr>
              <w:jc w:val="right"/>
              <w:spacing w:after="0"/>
              <w:rPr>
                <w:sz w:val="20"/>
                <w:szCs w:val="20"/>
                <w:color w:val="auto"/>
              </w:rPr>
            </w:pPr>
            <w:r>
              <w:rPr>
                <w:rFonts w:ascii="Arial" w:cs="Arial" w:eastAsia="Arial" w:hAnsi="Arial"/>
                <w:sz w:val="20"/>
                <w:szCs w:val="20"/>
                <w:color w:val="auto"/>
              </w:rPr>
              <w:t>1.7%</w:t>
            </w:r>
          </w:p>
        </w:tc>
        <w:tc>
          <w:tcPr>
            <w:tcW w:w="10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284"/>
        </w:trPr>
        <w:tc>
          <w:tcPr>
            <w:tcW w:w="4820" w:type="dxa"/>
            <w:vAlign w:val="bottom"/>
          </w:tcPr>
          <w:p>
            <w:pPr>
              <w:spacing w:after="0"/>
              <w:rPr>
                <w:sz w:val="20"/>
                <w:szCs w:val="20"/>
                <w:color w:val="auto"/>
              </w:rPr>
            </w:pPr>
            <w:r>
              <w:rPr>
                <w:rFonts w:ascii="Arial" w:cs="Arial" w:eastAsia="Arial" w:hAnsi="Arial"/>
                <w:sz w:val="20"/>
                <w:szCs w:val="20"/>
                <w:color w:val="auto"/>
              </w:rPr>
              <w:t>Rate of compensation increase</w:t>
            </w:r>
          </w:p>
        </w:tc>
        <w:tc>
          <w:tcPr>
            <w:tcW w:w="1660" w:type="dxa"/>
            <w:vAlign w:val="bottom"/>
          </w:tcPr>
          <w:p>
            <w:pPr>
              <w:jc w:val="right"/>
              <w:spacing w:after="0"/>
              <w:rPr>
                <w:sz w:val="20"/>
                <w:szCs w:val="20"/>
                <w:color w:val="auto"/>
              </w:rPr>
            </w:pPr>
            <w:r>
              <w:rPr>
                <w:rFonts w:ascii="Arial" w:cs="Arial" w:eastAsia="Arial" w:hAnsi="Arial"/>
                <w:sz w:val="20"/>
                <w:szCs w:val="20"/>
                <w:color w:val="auto"/>
              </w:rPr>
              <w:t>4.1%</w:t>
            </w:r>
          </w:p>
        </w:tc>
        <w:tc>
          <w:tcPr>
            <w:tcW w:w="10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20"/>
                <w:szCs w:val="20"/>
                <w:color w:val="auto"/>
              </w:rPr>
              <w:t>4.9%</w:t>
            </w:r>
          </w:p>
        </w:tc>
      </w:tr>
    </w:tbl>
    <w:p>
      <w:pPr>
        <w:spacing w:after="0" w:line="6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Weighted average assumptions used to determine net benefit cost for the eleven months period ended February 28, 2013 and the year ended March 31, 2012 were as follows:</w:t>
      </w:r>
    </w:p>
    <w:p>
      <w:pPr>
        <w:spacing w:after="0" w:line="171" w:lineRule="exact"/>
        <w:rPr>
          <w:sz w:val="20"/>
          <w:szCs w:val="20"/>
          <w:color w:val="auto"/>
        </w:rPr>
      </w:pPr>
    </w:p>
    <w:tbl>
      <w:tblPr>
        <w:tblLayout w:type="fixed"/>
        <w:tblInd w:w="540" w:type="dxa"/>
        <w:tblCellMar>
          <w:top w:w="0" w:type="dxa"/>
          <w:left w:w="0" w:type="dxa"/>
          <w:bottom w:w="0" w:type="dxa"/>
          <w:right w:w="0" w:type="dxa"/>
        </w:tblCellMar>
      </w:tblPr>
      <w:tr>
        <w:trPr>
          <w:trHeight w:val="230"/>
        </w:trPr>
        <w:tc>
          <w:tcPr>
            <w:tcW w:w="4820" w:type="dxa"/>
            <w:vAlign w:val="bottom"/>
          </w:tcPr>
          <w:p>
            <w:pPr>
              <w:spacing w:after="0"/>
              <w:rPr>
                <w:sz w:val="19"/>
                <w:szCs w:val="19"/>
                <w:color w:val="auto"/>
              </w:rPr>
            </w:pPr>
          </w:p>
        </w:tc>
        <w:tc>
          <w:tcPr>
            <w:tcW w:w="1760" w:type="dxa"/>
            <w:vAlign w:val="bottom"/>
            <w:gridSpan w:val="2"/>
          </w:tcPr>
          <w:p>
            <w:pPr>
              <w:jc w:val="center"/>
              <w:ind w:right="120"/>
              <w:spacing w:after="0"/>
              <w:rPr>
                <w:sz w:val="20"/>
                <w:szCs w:val="20"/>
                <w:color w:val="auto"/>
              </w:rPr>
            </w:pPr>
            <w:r>
              <w:rPr>
                <w:rFonts w:ascii="Arial" w:cs="Arial" w:eastAsia="Arial" w:hAnsi="Arial"/>
                <w:sz w:val="20"/>
                <w:szCs w:val="20"/>
                <w:b w:val="1"/>
                <w:bCs w:val="1"/>
                <w:color w:val="auto"/>
                <w:w w:val="87"/>
              </w:rPr>
              <w:t>Eleven months</w:t>
            </w:r>
          </w:p>
        </w:tc>
        <w:tc>
          <w:tcPr>
            <w:tcW w:w="1640" w:type="dxa"/>
            <w:vAlign w:val="bottom"/>
          </w:tcPr>
          <w:p>
            <w:pPr>
              <w:jc w:val="center"/>
              <w:spacing w:after="0"/>
              <w:rPr>
                <w:sz w:val="20"/>
                <w:szCs w:val="20"/>
                <w:color w:val="auto"/>
              </w:rPr>
            </w:pPr>
            <w:r>
              <w:rPr>
                <w:rFonts w:ascii="Arial" w:cs="Arial" w:eastAsia="Arial" w:hAnsi="Arial"/>
                <w:sz w:val="20"/>
                <w:szCs w:val="20"/>
                <w:b w:val="1"/>
                <w:bCs w:val="1"/>
                <w:color w:val="auto"/>
                <w:w w:val="92"/>
              </w:rPr>
              <w:t>Year</w:t>
            </w:r>
          </w:p>
        </w:tc>
      </w:tr>
      <w:tr>
        <w:trPr>
          <w:trHeight w:val="230"/>
        </w:trPr>
        <w:tc>
          <w:tcPr>
            <w:tcW w:w="4820" w:type="dxa"/>
            <w:vAlign w:val="bottom"/>
          </w:tcPr>
          <w:p>
            <w:pPr>
              <w:spacing w:after="0"/>
              <w:rPr>
                <w:sz w:val="19"/>
                <w:szCs w:val="19"/>
                <w:color w:val="auto"/>
              </w:rPr>
            </w:pPr>
          </w:p>
        </w:tc>
        <w:tc>
          <w:tcPr>
            <w:tcW w:w="1760" w:type="dxa"/>
            <w:vAlign w:val="bottom"/>
            <w:gridSpan w:val="2"/>
          </w:tcPr>
          <w:p>
            <w:pPr>
              <w:jc w:val="center"/>
              <w:ind w:right="120"/>
              <w:spacing w:after="0"/>
              <w:rPr>
                <w:sz w:val="20"/>
                <w:szCs w:val="20"/>
                <w:color w:val="auto"/>
              </w:rPr>
            </w:pPr>
            <w:r>
              <w:rPr>
                <w:rFonts w:ascii="Arial" w:cs="Arial" w:eastAsia="Arial" w:hAnsi="Arial"/>
                <w:sz w:val="20"/>
                <w:szCs w:val="20"/>
                <w:b w:val="1"/>
                <w:bCs w:val="1"/>
                <w:color w:val="auto"/>
                <w:w w:val="90"/>
              </w:rPr>
              <w:t>ended February</w:t>
            </w:r>
          </w:p>
        </w:tc>
        <w:tc>
          <w:tcPr>
            <w:tcW w:w="1640" w:type="dxa"/>
            <w:vAlign w:val="bottom"/>
          </w:tcPr>
          <w:p>
            <w:pPr>
              <w:jc w:val="center"/>
              <w:spacing w:after="0"/>
              <w:rPr>
                <w:sz w:val="20"/>
                <w:szCs w:val="20"/>
                <w:color w:val="auto"/>
              </w:rPr>
            </w:pPr>
            <w:r>
              <w:rPr>
                <w:rFonts w:ascii="Arial" w:cs="Arial" w:eastAsia="Arial" w:hAnsi="Arial"/>
                <w:sz w:val="20"/>
                <w:szCs w:val="20"/>
                <w:b w:val="1"/>
                <w:bCs w:val="1"/>
                <w:color w:val="auto"/>
                <w:w w:val="84"/>
              </w:rPr>
              <w:t>ended</w:t>
            </w:r>
          </w:p>
        </w:tc>
      </w:tr>
      <w:tr>
        <w:trPr>
          <w:trHeight w:val="230"/>
        </w:trPr>
        <w:tc>
          <w:tcPr>
            <w:tcW w:w="4820" w:type="dxa"/>
            <w:vAlign w:val="bottom"/>
          </w:tcPr>
          <w:p>
            <w:pPr>
              <w:spacing w:after="0"/>
              <w:rPr>
                <w:sz w:val="19"/>
                <w:szCs w:val="19"/>
                <w:color w:val="auto"/>
              </w:rPr>
            </w:pPr>
          </w:p>
        </w:tc>
        <w:tc>
          <w:tcPr>
            <w:tcW w:w="1660" w:type="dxa"/>
            <w:vAlign w:val="bottom"/>
          </w:tcPr>
          <w:p>
            <w:pPr>
              <w:jc w:val="right"/>
              <w:ind w:right="621"/>
              <w:spacing w:after="0"/>
              <w:rPr>
                <w:sz w:val="20"/>
                <w:szCs w:val="20"/>
                <w:color w:val="auto"/>
              </w:rPr>
            </w:pPr>
            <w:r>
              <w:rPr>
                <w:rFonts w:ascii="Arial" w:cs="Arial" w:eastAsia="Arial" w:hAnsi="Arial"/>
                <w:sz w:val="20"/>
                <w:szCs w:val="20"/>
                <w:b w:val="1"/>
                <w:bCs w:val="1"/>
                <w:color w:val="auto"/>
              </w:rPr>
              <w:t>28,</w:t>
            </w:r>
          </w:p>
        </w:tc>
        <w:tc>
          <w:tcPr>
            <w:tcW w:w="10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20"/>
                <w:szCs w:val="20"/>
                <w:b w:val="1"/>
                <w:bCs w:val="1"/>
                <w:color w:val="auto"/>
                <w:w w:val="93"/>
              </w:rPr>
              <w:t>March 31,</w:t>
            </w:r>
          </w:p>
        </w:tc>
      </w:tr>
      <w:tr>
        <w:trPr>
          <w:trHeight w:val="256"/>
        </w:trPr>
        <w:tc>
          <w:tcPr>
            <w:tcW w:w="4820" w:type="dxa"/>
            <w:vAlign w:val="bottom"/>
          </w:tcPr>
          <w:p>
            <w:pPr>
              <w:spacing w:after="0"/>
              <w:rPr>
                <w:sz w:val="22"/>
                <w:szCs w:val="22"/>
                <w:color w:val="auto"/>
              </w:rPr>
            </w:pPr>
          </w:p>
        </w:tc>
        <w:tc>
          <w:tcPr>
            <w:tcW w:w="1660" w:type="dxa"/>
            <w:vAlign w:val="bottom"/>
          </w:tcPr>
          <w:p>
            <w:pPr>
              <w:jc w:val="right"/>
              <w:ind w:right="541"/>
              <w:spacing w:after="0"/>
              <w:rPr>
                <w:sz w:val="20"/>
                <w:szCs w:val="20"/>
                <w:color w:val="auto"/>
              </w:rPr>
            </w:pPr>
            <w:r>
              <w:rPr>
                <w:rFonts w:ascii="Arial" w:cs="Arial" w:eastAsia="Arial" w:hAnsi="Arial"/>
                <w:sz w:val="20"/>
                <w:szCs w:val="20"/>
                <w:b w:val="1"/>
                <w:bCs w:val="1"/>
                <w:color w:val="auto"/>
              </w:rPr>
              <w:t>2013</w:t>
            </w:r>
          </w:p>
        </w:tc>
        <w:tc>
          <w:tcPr>
            <w:tcW w:w="100" w:type="dxa"/>
            <w:vAlign w:val="bottom"/>
          </w:tcPr>
          <w:p>
            <w:pPr>
              <w:spacing w:after="0"/>
              <w:rPr>
                <w:sz w:val="22"/>
                <w:szCs w:val="22"/>
                <w:color w:val="auto"/>
              </w:rPr>
            </w:pPr>
          </w:p>
        </w:tc>
        <w:tc>
          <w:tcPr>
            <w:tcW w:w="1640" w:type="dxa"/>
            <w:vAlign w:val="bottom"/>
          </w:tcPr>
          <w:p>
            <w:pPr>
              <w:jc w:val="center"/>
              <w:spacing w:after="0"/>
              <w:rPr>
                <w:sz w:val="20"/>
                <w:szCs w:val="20"/>
                <w:color w:val="auto"/>
              </w:rPr>
            </w:pPr>
            <w:r>
              <w:rPr>
                <w:rFonts w:ascii="Arial" w:cs="Arial" w:eastAsia="Arial" w:hAnsi="Arial"/>
                <w:sz w:val="20"/>
                <w:szCs w:val="20"/>
                <w:b w:val="1"/>
                <w:bCs w:val="1"/>
                <w:color w:val="auto"/>
                <w:w w:val="89"/>
              </w:rPr>
              <w:t>2012</w:t>
            </w:r>
          </w:p>
        </w:tc>
      </w:tr>
      <w:tr>
        <w:trPr>
          <w:trHeight w:val="23"/>
        </w:trPr>
        <w:tc>
          <w:tcPr>
            <w:tcW w:w="482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4"/>
        </w:trPr>
        <w:tc>
          <w:tcPr>
            <w:tcW w:w="4820" w:type="dxa"/>
            <w:vAlign w:val="bottom"/>
          </w:tcPr>
          <w:p>
            <w:pPr>
              <w:spacing w:after="0"/>
              <w:rPr>
                <w:sz w:val="20"/>
                <w:szCs w:val="20"/>
                <w:color w:val="auto"/>
              </w:rPr>
            </w:pPr>
            <w:r>
              <w:rPr>
                <w:rFonts w:ascii="Arial" w:cs="Arial" w:eastAsia="Arial" w:hAnsi="Arial"/>
                <w:sz w:val="20"/>
                <w:szCs w:val="20"/>
                <w:color w:val="auto"/>
              </w:rPr>
              <w:t>Discount rate</w:t>
            </w:r>
          </w:p>
        </w:tc>
        <w:tc>
          <w:tcPr>
            <w:tcW w:w="1660" w:type="dxa"/>
            <w:vAlign w:val="bottom"/>
          </w:tcPr>
          <w:p>
            <w:pPr>
              <w:jc w:val="right"/>
              <w:spacing w:after="0"/>
              <w:rPr>
                <w:sz w:val="20"/>
                <w:szCs w:val="20"/>
                <w:color w:val="auto"/>
              </w:rPr>
            </w:pPr>
            <w:r>
              <w:rPr>
                <w:rFonts w:ascii="Arial" w:cs="Arial" w:eastAsia="Arial" w:hAnsi="Arial"/>
                <w:sz w:val="20"/>
                <w:szCs w:val="20"/>
                <w:color w:val="auto"/>
              </w:rPr>
              <w:t>1.8%</w:t>
            </w:r>
          </w:p>
        </w:tc>
        <w:tc>
          <w:tcPr>
            <w:tcW w:w="10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284"/>
        </w:trPr>
        <w:tc>
          <w:tcPr>
            <w:tcW w:w="4820" w:type="dxa"/>
            <w:vAlign w:val="bottom"/>
          </w:tcPr>
          <w:p>
            <w:pPr>
              <w:spacing w:after="0"/>
              <w:rPr>
                <w:sz w:val="20"/>
                <w:szCs w:val="20"/>
                <w:color w:val="auto"/>
              </w:rPr>
            </w:pPr>
            <w:r>
              <w:rPr>
                <w:rFonts w:ascii="Arial" w:cs="Arial" w:eastAsia="Arial" w:hAnsi="Arial"/>
                <w:sz w:val="20"/>
                <w:szCs w:val="20"/>
                <w:color w:val="auto"/>
              </w:rPr>
              <w:t>Expected long-term rate of return on plan assets</w:t>
            </w:r>
          </w:p>
        </w:tc>
        <w:tc>
          <w:tcPr>
            <w:tcW w:w="1660" w:type="dxa"/>
            <w:vAlign w:val="bottom"/>
          </w:tcPr>
          <w:p>
            <w:pPr>
              <w:jc w:val="right"/>
              <w:spacing w:after="0"/>
              <w:rPr>
                <w:sz w:val="20"/>
                <w:szCs w:val="20"/>
                <w:color w:val="auto"/>
              </w:rPr>
            </w:pPr>
            <w:r>
              <w:rPr>
                <w:rFonts w:ascii="Arial" w:cs="Arial" w:eastAsia="Arial" w:hAnsi="Arial"/>
                <w:sz w:val="20"/>
                <w:szCs w:val="20"/>
                <w:color w:val="auto"/>
              </w:rPr>
              <w:t>2.1%</w:t>
            </w:r>
          </w:p>
        </w:tc>
        <w:tc>
          <w:tcPr>
            <w:tcW w:w="10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284"/>
        </w:trPr>
        <w:tc>
          <w:tcPr>
            <w:tcW w:w="4820" w:type="dxa"/>
            <w:vAlign w:val="bottom"/>
          </w:tcPr>
          <w:p>
            <w:pPr>
              <w:spacing w:after="0"/>
              <w:rPr>
                <w:sz w:val="20"/>
                <w:szCs w:val="20"/>
                <w:color w:val="auto"/>
              </w:rPr>
            </w:pPr>
            <w:r>
              <w:rPr>
                <w:rFonts w:ascii="Arial" w:cs="Arial" w:eastAsia="Arial" w:hAnsi="Arial"/>
                <w:sz w:val="20"/>
                <w:szCs w:val="20"/>
                <w:color w:val="auto"/>
              </w:rPr>
              <w:t>Rate of compensation increase</w:t>
            </w:r>
          </w:p>
        </w:tc>
        <w:tc>
          <w:tcPr>
            <w:tcW w:w="1660" w:type="dxa"/>
            <w:vAlign w:val="bottom"/>
          </w:tcPr>
          <w:p>
            <w:pPr>
              <w:jc w:val="right"/>
              <w:spacing w:after="0"/>
              <w:rPr>
                <w:sz w:val="20"/>
                <w:szCs w:val="20"/>
                <w:color w:val="auto"/>
              </w:rPr>
            </w:pPr>
            <w:r>
              <w:rPr>
                <w:rFonts w:ascii="Arial" w:cs="Arial" w:eastAsia="Arial" w:hAnsi="Arial"/>
                <w:sz w:val="20"/>
                <w:szCs w:val="20"/>
                <w:color w:val="auto"/>
              </w:rPr>
              <w:t>4.9%</w:t>
            </w:r>
          </w:p>
        </w:tc>
        <w:tc>
          <w:tcPr>
            <w:tcW w:w="10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20"/>
                <w:szCs w:val="20"/>
                <w:color w:val="auto"/>
              </w:rPr>
              <w:t>4.9%</w:t>
            </w:r>
          </w:p>
        </w:tc>
      </w:tr>
    </w:tbl>
    <w:p>
      <w:pPr>
        <w:spacing w:after="0" w:line="14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Elpida’s overall expected long-term rate of return on assets is 2.1%. The expected long-term rate of return is based on the portfolio as a whole and not on the sum of the returns on individual asset categories. The return is based exclusively on historical returns, without adjustments.</w:t>
      </w:r>
    </w:p>
    <w:p>
      <w:pPr>
        <w:spacing w:after="0" w:line="10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following table summarizes employer contributions and benefits paid for the eleven months ended February 28, 2013 and the year ended March 31, 2012:</w:t>
      </w:r>
    </w:p>
    <w:p>
      <w:pPr>
        <w:spacing w:after="0" w:line="171" w:lineRule="exact"/>
        <w:rPr>
          <w:sz w:val="20"/>
          <w:szCs w:val="20"/>
          <w:color w:val="auto"/>
        </w:rPr>
      </w:pPr>
    </w:p>
    <w:tbl>
      <w:tblPr>
        <w:tblLayout w:type="fixed"/>
        <w:tblInd w:w="540" w:type="dxa"/>
        <w:tblCellMar>
          <w:top w:w="0" w:type="dxa"/>
          <w:left w:w="0" w:type="dxa"/>
          <w:bottom w:w="0" w:type="dxa"/>
          <w:right w:w="0" w:type="dxa"/>
        </w:tblCellMar>
      </w:tblPr>
      <w:tr>
        <w:trPr>
          <w:trHeight w:val="230"/>
        </w:trPr>
        <w:tc>
          <w:tcPr>
            <w:tcW w:w="4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gridSpan w:val="3"/>
          </w:tcPr>
          <w:p>
            <w:pPr>
              <w:jc w:val="center"/>
              <w:ind w:right="500"/>
              <w:spacing w:after="0"/>
              <w:rPr>
                <w:sz w:val="20"/>
                <w:szCs w:val="20"/>
                <w:color w:val="auto"/>
              </w:rPr>
            </w:pPr>
            <w:r>
              <w:rPr>
                <w:rFonts w:ascii="Arial" w:cs="Arial" w:eastAsia="Arial" w:hAnsi="Arial"/>
                <w:sz w:val="20"/>
                <w:szCs w:val="20"/>
                <w:b w:val="1"/>
                <w:bCs w:val="1"/>
                <w:color w:val="auto"/>
                <w:w w:val="87"/>
              </w:rPr>
              <w:t>Eleven months</w:t>
            </w:r>
          </w:p>
        </w:tc>
        <w:tc>
          <w:tcPr>
            <w:tcW w:w="1360" w:type="dxa"/>
            <w:vAlign w:val="bottom"/>
          </w:tcPr>
          <w:p>
            <w:pPr>
              <w:jc w:val="center"/>
              <w:ind w:right="141"/>
              <w:spacing w:after="0"/>
              <w:rPr>
                <w:sz w:val="20"/>
                <w:szCs w:val="20"/>
                <w:color w:val="auto"/>
              </w:rPr>
            </w:pPr>
            <w:r>
              <w:rPr>
                <w:rFonts w:ascii="Arial" w:cs="Arial" w:eastAsia="Arial" w:hAnsi="Arial"/>
                <w:sz w:val="20"/>
                <w:szCs w:val="20"/>
                <w:b w:val="1"/>
                <w:bCs w:val="1"/>
                <w:color w:val="auto"/>
                <w:w w:val="92"/>
              </w:rPr>
              <w:t>Year</w:t>
            </w:r>
          </w:p>
        </w:tc>
      </w:tr>
      <w:tr>
        <w:trPr>
          <w:trHeight w:val="230"/>
        </w:trPr>
        <w:tc>
          <w:tcPr>
            <w:tcW w:w="4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gridSpan w:val="3"/>
          </w:tcPr>
          <w:p>
            <w:pPr>
              <w:jc w:val="center"/>
              <w:ind w:right="500"/>
              <w:spacing w:after="0"/>
              <w:rPr>
                <w:sz w:val="20"/>
                <w:szCs w:val="20"/>
                <w:color w:val="auto"/>
              </w:rPr>
            </w:pPr>
            <w:r>
              <w:rPr>
                <w:rFonts w:ascii="Arial" w:cs="Arial" w:eastAsia="Arial" w:hAnsi="Arial"/>
                <w:sz w:val="20"/>
                <w:szCs w:val="20"/>
                <w:b w:val="1"/>
                <w:bCs w:val="1"/>
                <w:color w:val="auto"/>
                <w:w w:val="90"/>
              </w:rPr>
              <w:t>ended February</w:t>
            </w:r>
          </w:p>
        </w:tc>
        <w:tc>
          <w:tcPr>
            <w:tcW w:w="1360" w:type="dxa"/>
            <w:vAlign w:val="bottom"/>
          </w:tcPr>
          <w:p>
            <w:pPr>
              <w:jc w:val="center"/>
              <w:ind w:right="161"/>
              <w:spacing w:after="0"/>
              <w:rPr>
                <w:sz w:val="20"/>
                <w:szCs w:val="20"/>
                <w:color w:val="auto"/>
              </w:rPr>
            </w:pPr>
            <w:r>
              <w:rPr>
                <w:rFonts w:ascii="Arial" w:cs="Arial" w:eastAsia="Arial" w:hAnsi="Arial"/>
                <w:sz w:val="20"/>
                <w:szCs w:val="20"/>
                <w:b w:val="1"/>
                <w:bCs w:val="1"/>
                <w:color w:val="auto"/>
                <w:w w:val="84"/>
              </w:rPr>
              <w:t>ended</w:t>
            </w:r>
          </w:p>
        </w:tc>
      </w:tr>
      <w:tr>
        <w:trPr>
          <w:trHeight w:val="230"/>
        </w:trPr>
        <w:tc>
          <w:tcPr>
            <w:tcW w:w="4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ind w:right="601"/>
              <w:spacing w:after="0"/>
              <w:rPr>
                <w:sz w:val="20"/>
                <w:szCs w:val="20"/>
                <w:color w:val="auto"/>
              </w:rPr>
            </w:pPr>
            <w:r>
              <w:rPr>
                <w:rFonts w:ascii="Arial" w:cs="Arial" w:eastAsia="Arial" w:hAnsi="Arial"/>
                <w:sz w:val="20"/>
                <w:szCs w:val="20"/>
                <w:b w:val="1"/>
                <w:bCs w:val="1"/>
                <w:color w:val="auto"/>
              </w:rPr>
              <w:t>28,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center"/>
              <w:ind w:right="161"/>
              <w:spacing w:after="0"/>
              <w:rPr>
                <w:sz w:val="20"/>
                <w:szCs w:val="20"/>
                <w:color w:val="auto"/>
              </w:rPr>
            </w:pPr>
            <w:r>
              <w:rPr>
                <w:rFonts w:ascii="Arial" w:cs="Arial" w:eastAsia="Arial" w:hAnsi="Arial"/>
                <w:sz w:val="20"/>
                <w:szCs w:val="20"/>
                <w:b w:val="1"/>
                <w:bCs w:val="1"/>
                <w:color w:val="auto"/>
                <w:w w:val="93"/>
              </w:rPr>
              <w:t>March 31,</w:t>
            </w:r>
          </w:p>
        </w:tc>
      </w:tr>
      <w:tr>
        <w:trPr>
          <w:trHeight w:val="256"/>
        </w:trPr>
        <w:tc>
          <w:tcPr>
            <w:tcW w:w="4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00" w:type="dxa"/>
            <w:vAlign w:val="bottom"/>
          </w:tcPr>
          <w:p>
            <w:pPr>
              <w:jc w:val="right"/>
              <w:ind w:right="521"/>
              <w:spacing w:after="0"/>
              <w:rPr>
                <w:sz w:val="20"/>
                <w:szCs w:val="20"/>
                <w:color w:val="auto"/>
              </w:rPr>
            </w:pPr>
            <w:r>
              <w:rPr>
                <w:rFonts w:ascii="Arial" w:cs="Arial" w:eastAsia="Arial" w:hAnsi="Arial"/>
                <w:sz w:val="20"/>
                <w:szCs w:val="20"/>
                <w:b w:val="1"/>
                <w:bCs w:val="1"/>
                <w:color w:val="auto"/>
              </w:rPr>
              <w:t>2013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60" w:type="dxa"/>
            <w:vAlign w:val="bottom"/>
          </w:tcPr>
          <w:p>
            <w:pPr>
              <w:jc w:val="center"/>
              <w:ind w:right="141"/>
              <w:spacing w:after="0"/>
              <w:rPr>
                <w:sz w:val="20"/>
                <w:szCs w:val="20"/>
                <w:color w:val="auto"/>
              </w:rPr>
            </w:pPr>
            <w:r>
              <w:rPr>
                <w:rFonts w:ascii="Arial" w:cs="Arial" w:eastAsia="Arial" w:hAnsi="Arial"/>
                <w:sz w:val="20"/>
                <w:szCs w:val="20"/>
                <w:b w:val="1"/>
                <w:bCs w:val="1"/>
                <w:color w:val="auto"/>
                <w:w w:val="89"/>
              </w:rPr>
              <w:t>2012</w:t>
            </w:r>
          </w:p>
        </w:tc>
      </w:tr>
      <w:tr>
        <w:trPr>
          <w:trHeight w:val="23"/>
        </w:trPr>
        <w:tc>
          <w:tcPr>
            <w:tcW w:w="49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4"/>
        </w:trPr>
        <w:tc>
          <w:tcPr>
            <w:tcW w:w="4900" w:type="dxa"/>
            <w:vAlign w:val="bottom"/>
          </w:tcPr>
          <w:p>
            <w:pPr>
              <w:spacing w:after="0"/>
              <w:rPr>
                <w:sz w:val="20"/>
                <w:szCs w:val="20"/>
                <w:color w:val="auto"/>
              </w:rPr>
            </w:pPr>
            <w:r>
              <w:rPr>
                <w:rFonts w:ascii="Arial" w:cs="Arial" w:eastAsia="Arial" w:hAnsi="Arial"/>
                <w:sz w:val="20"/>
                <w:szCs w:val="20"/>
                <w:color w:val="auto"/>
              </w:rPr>
              <w:t>Employer contributions</w:t>
            </w:r>
          </w:p>
        </w:tc>
        <w:tc>
          <w:tcPr>
            <w:tcW w:w="12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860" w:type="dxa"/>
            <w:vAlign w:val="bottom"/>
            <w:gridSpan w:val="3"/>
          </w:tcPr>
          <w:p>
            <w:pPr>
              <w:jc w:val="right"/>
              <w:ind w:right="140"/>
              <w:spacing w:after="0"/>
              <w:rPr>
                <w:sz w:val="20"/>
                <w:szCs w:val="20"/>
                <w:color w:val="auto"/>
              </w:rPr>
            </w:pPr>
            <w:r>
              <w:rPr>
                <w:rFonts w:ascii="Arial" w:cs="Arial" w:eastAsia="Arial" w:hAnsi="Arial"/>
                <w:sz w:val="20"/>
                <w:szCs w:val="20"/>
                <w:color w:val="auto"/>
              </w:rPr>
              <w:t>673   ¥</w:t>
            </w:r>
          </w:p>
        </w:tc>
        <w:tc>
          <w:tcPr>
            <w:tcW w:w="1360" w:type="dxa"/>
            <w:vAlign w:val="bottom"/>
          </w:tcPr>
          <w:p>
            <w:pPr>
              <w:jc w:val="right"/>
              <w:ind w:right="1"/>
              <w:spacing w:after="0"/>
              <w:rPr>
                <w:sz w:val="20"/>
                <w:szCs w:val="20"/>
                <w:color w:val="auto"/>
              </w:rPr>
            </w:pPr>
            <w:r>
              <w:rPr>
                <w:rFonts w:ascii="Arial" w:cs="Arial" w:eastAsia="Arial" w:hAnsi="Arial"/>
                <w:sz w:val="20"/>
                <w:szCs w:val="20"/>
                <w:color w:val="auto"/>
              </w:rPr>
              <w:t>743</w:t>
            </w:r>
          </w:p>
        </w:tc>
      </w:tr>
      <w:tr>
        <w:trPr>
          <w:trHeight w:val="284"/>
        </w:trPr>
        <w:tc>
          <w:tcPr>
            <w:tcW w:w="4900" w:type="dxa"/>
            <w:vAlign w:val="bottom"/>
          </w:tcPr>
          <w:p>
            <w:pPr>
              <w:spacing w:after="0"/>
              <w:rPr>
                <w:sz w:val="20"/>
                <w:szCs w:val="20"/>
                <w:color w:val="auto"/>
              </w:rPr>
            </w:pPr>
            <w:r>
              <w:rPr>
                <w:rFonts w:ascii="Arial" w:cs="Arial" w:eastAsia="Arial" w:hAnsi="Arial"/>
                <w:sz w:val="20"/>
                <w:szCs w:val="20"/>
                <w:color w:val="auto"/>
              </w:rPr>
              <w:t>Benefits paid</w:t>
            </w:r>
          </w:p>
        </w:tc>
        <w:tc>
          <w:tcPr>
            <w:tcW w:w="12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20"/>
                <w:szCs w:val="20"/>
                <w:color w:val="auto"/>
              </w:rPr>
              <w:t>(316)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(92)</w:t>
            </w:r>
          </w:p>
        </w:tc>
      </w:tr>
    </w:tbl>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Elpida’s investment policies are designed to ensure adequate plan assets are available to provide future payments of pension benefits to eligible participants. Elpida evaluates the gap between expected return and actual return of invested plan assets on an annual basis to determine if such differences necessitate a revision in the formulation of the portfolio. Elpida revises the portfolio when and to the extent considered necessary to achieve the expected long-term rate of return on plan assets.</w:t>
      </w:r>
    </w:p>
    <w:p>
      <w:pPr>
        <w:spacing w:after="0" w:line="9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Elpida’s portfolio, except the employee pension trust, consists of three major components: approximately 50% is invested in equity securities, approximately 30% is invested in debt securities, and approximately 20% is invested in other assets such as cash and cash equivalents. At February 28, 2013 and March 31, 2012, there is no significant deviation between the target allocations and actual results.</w:t>
      </w:r>
    </w:p>
    <w:p>
      <w:pPr>
        <w:spacing w:after="0" w:line="3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620"/>
          </w:cols>
          <w:pgMar w:left="1040" w:top="553" w:right="239" w:bottom="1440" w:gutter="0" w:footer="0" w:header="0"/>
        </w:sectPr>
      </w:pPr>
    </w:p>
    <w:bookmarkStart w:id="47" w:name="page48"/>
    <w:bookmarkEnd w:id="47"/>
    <w:p>
      <w:pPr>
        <w:jc w:val="center"/>
        <w:ind w:right="780"/>
        <w:spacing w:after="0"/>
        <w:rPr>
          <w:sz w:val="20"/>
          <w:szCs w:val="20"/>
          <w:color w:val="auto"/>
        </w:rPr>
      </w:pPr>
      <w:r>
        <w:rPr>
          <w:rFonts w:ascii="Arial" w:cs="Arial" w:eastAsia="Arial" w:hAnsi="Arial"/>
          <w:sz w:val="18"/>
          <w:szCs w:val="18"/>
          <w:b w:val="1"/>
          <w:bCs w:val="1"/>
          <w:color w:val="auto"/>
        </w:rPr>
        <w:t>ELPIDA MEMORY, INC. AND SUBSIDIARIES</w:t>
      </w:r>
    </w:p>
    <w:p>
      <w:pPr>
        <w:spacing w:after="0" w:line="27"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(DEBTORS-IN-POSSESSION)</w:t>
      </w:r>
    </w:p>
    <w:p>
      <w:pPr>
        <w:spacing w:after="0" w:line="9"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color w:val="auto"/>
        </w:rPr>
        <w:t>The fair values of the pension plan assets at February 28, 2013 and March 31, 2012 were as follows:</w:t>
      </w:r>
    </w:p>
    <w:p>
      <w:pPr>
        <w:spacing w:after="0" w:line="29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20" w:type="dxa"/>
            <w:vAlign w:val="bottom"/>
            <w:gridSpan w:val="8"/>
          </w:tcPr>
          <w:p>
            <w:pPr>
              <w:ind w:left="880"/>
              <w:spacing w:after="0"/>
              <w:rPr>
                <w:sz w:val="20"/>
                <w:szCs w:val="20"/>
                <w:color w:val="auto"/>
              </w:rPr>
            </w:pPr>
            <w:r>
              <w:rPr>
                <w:rFonts w:ascii="Arial" w:cs="Arial" w:eastAsia="Arial" w:hAnsi="Arial"/>
                <w:sz w:val="18"/>
                <w:szCs w:val="18"/>
                <w:b w:val="1"/>
                <w:bCs w:val="1"/>
                <w:color w:val="auto"/>
              </w:rPr>
              <w:t>February 28, 2013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0"/>
              </w:rPr>
              <w:t>Quoted prices in</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40" w:type="dxa"/>
            <w:vAlign w:val="bottom"/>
            <w:gridSpan w:val="4"/>
          </w:tcPr>
          <w:p>
            <w:pPr>
              <w:jc w:val="center"/>
              <w:ind w:right="180"/>
              <w:spacing w:after="0"/>
              <w:rPr>
                <w:sz w:val="20"/>
                <w:szCs w:val="20"/>
                <w:color w:val="auto"/>
              </w:rPr>
            </w:pPr>
            <w:r>
              <w:rPr>
                <w:rFonts w:ascii="Arial" w:cs="Arial" w:eastAsia="Arial" w:hAnsi="Arial"/>
                <w:sz w:val="18"/>
                <w:szCs w:val="18"/>
                <w:b w:val="1"/>
                <w:bCs w:val="1"/>
                <w:color w:val="auto"/>
                <w:w w:val="90"/>
              </w:rPr>
              <w:t>active markets for</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1"/>
              </w:rPr>
              <w:t>Significant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Significant</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6"/>
              </w:rPr>
              <w:t>identical assets</w:t>
            </w:r>
          </w:p>
        </w:tc>
        <w:tc>
          <w:tcPr>
            <w:tcW w:w="60" w:type="dxa"/>
            <w:vAlign w:val="bottom"/>
          </w:tcPr>
          <w:p>
            <w:pPr>
              <w:spacing w:after="0"/>
              <w:rPr>
                <w:sz w:val="18"/>
                <w:szCs w:val="18"/>
                <w:color w:val="auto"/>
              </w:rPr>
            </w:pPr>
          </w:p>
        </w:tc>
        <w:tc>
          <w:tcPr>
            <w:tcW w:w="1740" w:type="dxa"/>
            <w:vAlign w:val="bottom"/>
            <w:gridSpan w:val="4"/>
          </w:tcPr>
          <w:p>
            <w:pPr>
              <w:jc w:val="center"/>
              <w:ind w:right="180"/>
              <w:spacing w:after="0"/>
              <w:rPr>
                <w:sz w:val="20"/>
                <w:szCs w:val="20"/>
                <w:color w:val="auto"/>
              </w:rPr>
            </w:pPr>
            <w:r>
              <w:rPr>
                <w:rFonts w:ascii="Arial" w:cs="Arial" w:eastAsia="Arial" w:hAnsi="Arial"/>
                <w:sz w:val="18"/>
                <w:szCs w:val="18"/>
                <w:b w:val="1"/>
                <w:bCs w:val="1"/>
                <w:color w:val="auto"/>
                <w:w w:val="88"/>
              </w:rPr>
              <w:t>observable inputs</w:t>
            </w:r>
          </w:p>
        </w:tc>
        <w:tc>
          <w:tcPr>
            <w:tcW w:w="180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88"/>
              </w:rPr>
              <w:t>unobservable inputs</w:t>
            </w:r>
          </w:p>
        </w:tc>
        <w:tc>
          <w:tcPr>
            <w:tcW w:w="0" w:type="dxa"/>
            <w:vAlign w:val="bottom"/>
          </w:tcPr>
          <w:p>
            <w:pPr>
              <w:spacing w:after="0"/>
              <w:rPr>
                <w:sz w:val="1"/>
                <w:szCs w:val="1"/>
                <w:color w:val="auto"/>
              </w:rPr>
            </w:pPr>
          </w:p>
        </w:tc>
      </w:tr>
      <w:tr>
        <w:trPr>
          <w:trHeight w:val="234"/>
        </w:trPr>
        <w:tc>
          <w:tcPr>
            <w:tcW w:w="2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3"/>
              </w:rPr>
              <w:t>(Level 1)</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3"/>
              </w:rPr>
              <w:t>(Level 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(Level 3)</w:t>
            </w:r>
          </w:p>
        </w:tc>
        <w:tc>
          <w:tcPr>
            <w:tcW w:w="0" w:type="dxa"/>
            <w:vAlign w:val="bottom"/>
          </w:tcPr>
          <w:p>
            <w:pPr>
              <w:spacing w:after="0"/>
              <w:rPr>
                <w:sz w:val="1"/>
                <w:szCs w:val="1"/>
                <w:color w:val="auto"/>
              </w:rPr>
            </w:pPr>
          </w:p>
        </w:tc>
      </w:tr>
      <w:tr>
        <w:trPr>
          <w:trHeight w:val="27"/>
        </w:trPr>
        <w:tc>
          <w:tcPr>
            <w:tcW w:w="2800" w:type="dxa"/>
            <w:vAlign w:val="bottom"/>
            <w:vMerge w:val="restart"/>
          </w:tcPr>
          <w:p>
            <w:pPr>
              <w:spacing w:after="0"/>
              <w:rPr>
                <w:sz w:val="20"/>
                <w:szCs w:val="20"/>
                <w:color w:val="auto"/>
              </w:rPr>
            </w:pPr>
            <w:r>
              <w:rPr>
                <w:rFonts w:ascii="Arial" w:cs="Arial" w:eastAsia="Arial" w:hAnsi="Arial"/>
                <w:sz w:val="18"/>
                <w:szCs w:val="18"/>
                <w:color w:val="auto"/>
              </w:rPr>
              <w:t>Asset category:</w:t>
            </w:r>
          </w:p>
        </w:tc>
        <w:tc>
          <w:tcPr>
            <w:tcW w:w="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0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80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1140" w:type="dxa"/>
            <w:vAlign w:val="bottom"/>
            <w:gridSpan w:val="2"/>
          </w:tcPr>
          <w:p>
            <w:pPr>
              <w:jc w:val="right"/>
              <w:ind w:right="93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889</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889</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800" w:type="dxa"/>
            <w:vAlign w:val="bottom"/>
          </w:tcPr>
          <w:p>
            <w:pPr>
              <w:ind w:left="140"/>
              <w:spacing w:after="0"/>
              <w:rPr>
                <w:sz w:val="20"/>
                <w:szCs w:val="20"/>
                <w:color w:val="auto"/>
              </w:rPr>
            </w:pPr>
            <w:r>
              <w:rPr>
                <w:rFonts w:ascii="Arial" w:cs="Arial" w:eastAsia="Arial" w:hAnsi="Arial"/>
                <w:sz w:val="18"/>
                <w:szCs w:val="18"/>
                <w:color w:val="auto"/>
              </w:rPr>
              <w:t>Equity securities:</w:t>
            </w:r>
          </w:p>
        </w:tc>
        <w:tc>
          <w:tcPr>
            <w:tcW w:w="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800" w:type="dxa"/>
            <w:vAlign w:val="bottom"/>
          </w:tcPr>
          <w:p>
            <w:pPr>
              <w:ind w:left="240"/>
              <w:spacing w:after="0"/>
              <w:rPr>
                <w:sz w:val="20"/>
                <w:szCs w:val="20"/>
                <w:color w:val="auto"/>
              </w:rPr>
            </w:pPr>
            <w:r>
              <w:rPr>
                <w:rFonts w:ascii="Arial" w:cs="Arial" w:eastAsia="Arial" w:hAnsi="Arial"/>
                <w:sz w:val="18"/>
                <w:szCs w:val="18"/>
                <w:color w:val="auto"/>
              </w:rPr>
              <w:t>Pooled funds</w:t>
            </w:r>
          </w:p>
        </w:tc>
        <w:tc>
          <w:tcPr>
            <w:tcW w:w="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3,573</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3,573</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gridSpan w:val="2"/>
          </w:tcPr>
          <w:p>
            <w:pPr>
              <w:ind w:left="11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0"/>
        </w:trPr>
        <w:tc>
          <w:tcPr>
            <w:tcW w:w="2800" w:type="dxa"/>
            <w:vAlign w:val="bottom"/>
          </w:tcPr>
          <w:p>
            <w:pPr>
              <w:ind w:left="140"/>
              <w:spacing w:after="0"/>
              <w:rPr>
                <w:sz w:val="20"/>
                <w:szCs w:val="20"/>
                <w:color w:val="auto"/>
              </w:rPr>
            </w:pPr>
            <w:r>
              <w:rPr>
                <w:rFonts w:ascii="Arial" w:cs="Arial" w:eastAsia="Arial" w:hAnsi="Arial"/>
                <w:sz w:val="18"/>
                <w:szCs w:val="18"/>
                <w:color w:val="auto"/>
              </w:rPr>
              <w:t>Debt securities:</w:t>
            </w:r>
          </w:p>
        </w:tc>
        <w:tc>
          <w:tcPr>
            <w:tcW w:w="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800" w:type="dxa"/>
            <w:vAlign w:val="bottom"/>
          </w:tcPr>
          <w:p>
            <w:pPr>
              <w:ind w:left="240"/>
              <w:spacing w:after="0"/>
              <w:rPr>
                <w:sz w:val="20"/>
                <w:szCs w:val="20"/>
                <w:color w:val="auto"/>
              </w:rPr>
            </w:pPr>
            <w:r>
              <w:rPr>
                <w:rFonts w:ascii="Arial" w:cs="Arial" w:eastAsia="Arial" w:hAnsi="Arial"/>
                <w:sz w:val="18"/>
                <w:szCs w:val="18"/>
                <w:color w:val="auto"/>
              </w:rPr>
              <w:t>Pooled funds</w:t>
            </w:r>
          </w:p>
        </w:tc>
        <w:tc>
          <w:tcPr>
            <w:tcW w:w="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2,361</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2,361</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800" w:type="dxa"/>
            <w:vAlign w:val="bottom"/>
          </w:tcPr>
          <w:p>
            <w:pPr>
              <w:ind w:left="140"/>
              <w:spacing w:after="0"/>
              <w:rPr>
                <w:sz w:val="20"/>
                <w:szCs w:val="20"/>
                <w:color w:val="auto"/>
              </w:rPr>
            </w:pPr>
            <w:r>
              <w:rPr>
                <w:rFonts w:ascii="Arial" w:cs="Arial" w:eastAsia="Arial" w:hAnsi="Arial"/>
                <w:sz w:val="18"/>
                <w:szCs w:val="18"/>
                <w:color w:val="auto"/>
              </w:rPr>
              <w:t>Other assets:</w:t>
            </w:r>
          </w:p>
        </w:tc>
        <w:tc>
          <w:tcPr>
            <w:tcW w:w="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800" w:type="dxa"/>
            <w:vAlign w:val="bottom"/>
          </w:tcPr>
          <w:p>
            <w:pPr>
              <w:ind w:left="240"/>
              <w:spacing w:after="0"/>
              <w:rPr>
                <w:sz w:val="20"/>
                <w:szCs w:val="20"/>
                <w:color w:val="auto"/>
              </w:rPr>
            </w:pPr>
            <w:r>
              <w:rPr>
                <w:rFonts w:ascii="Arial" w:cs="Arial" w:eastAsia="Arial" w:hAnsi="Arial"/>
                <w:sz w:val="18"/>
                <w:szCs w:val="18"/>
                <w:color w:val="auto"/>
              </w:rPr>
              <w:t>Pooled funds</w:t>
            </w:r>
          </w:p>
        </w:tc>
        <w:tc>
          <w:tcPr>
            <w:tcW w:w="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417</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417</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800" w:type="dxa"/>
            <w:vAlign w:val="bottom"/>
          </w:tcPr>
          <w:p>
            <w:pPr>
              <w:ind w:left="580"/>
              <w:spacing w:after="0"/>
              <w:rPr>
                <w:sz w:val="20"/>
                <w:szCs w:val="20"/>
                <w:color w:val="auto"/>
              </w:rPr>
            </w:pPr>
            <w:r>
              <w:rPr>
                <w:rFonts w:ascii="Arial" w:cs="Arial" w:eastAsia="Arial" w:hAnsi="Arial"/>
                <w:sz w:val="18"/>
                <w:szCs w:val="18"/>
                <w:color w:val="auto"/>
              </w:rPr>
              <w:t>Total</w:t>
            </w:r>
          </w:p>
        </w:tc>
        <w:tc>
          <w:tcPr>
            <w:tcW w:w="1140" w:type="dxa"/>
            <w:vAlign w:val="bottom"/>
            <w:tcBorders>
              <w:bottom w:val="single" w:sz="8" w:color="auto"/>
            </w:tcBorders>
            <w:gridSpan w:val="2"/>
          </w:tcPr>
          <w:p>
            <w:pPr>
              <w:jc w:val="right"/>
              <w:ind w:right="9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7,240</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6,351</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2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20" w:type="dxa"/>
            <w:vAlign w:val="bottom"/>
            <w:gridSpan w:val="8"/>
          </w:tcPr>
          <w:p>
            <w:pPr>
              <w:ind w:left="1060"/>
              <w:spacing w:after="0"/>
              <w:rPr>
                <w:sz w:val="20"/>
                <w:szCs w:val="20"/>
                <w:color w:val="auto"/>
              </w:rPr>
            </w:pPr>
            <w:r>
              <w:rPr>
                <w:rFonts w:ascii="Arial" w:cs="Arial" w:eastAsia="Arial" w:hAnsi="Arial"/>
                <w:sz w:val="18"/>
                <w:szCs w:val="18"/>
                <w:b w:val="1"/>
                <w:bCs w:val="1"/>
                <w:color w:val="auto"/>
              </w:rPr>
              <w:t>March 31, 2012</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0"/>
              </w:rPr>
              <w:t>Quoted prices in</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0"/>
              </w:rPr>
              <w:t>active markets for</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1"/>
              </w:rPr>
              <w:t>Significant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Significant</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6"/>
              </w:rPr>
              <w:t>identical assets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8"/>
              </w:rPr>
              <w:t>observable inputs</w:t>
            </w:r>
          </w:p>
        </w:tc>
        <w:tc>
          <w:tcPr>
            <w:tcW w:w="80" w:type="dxa"/>
            <w:vAlign w:val="bottom"/>
          </w:tcPr>
          <w:p>
            <w:pPr>
              <w:spacing w:after="0"/>
              <w:rPr>
                <w:sz w:val="18"/>
                <w:szCs w:val="18"/>
                <w:color w:val="auto"/>
              </w:rPr>
            </w:pPr>
          </w:p>
        </w:tc>
        <w:tc>
          <w:tcPr>
            <w:tcW w:w="17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unobservable inputs</w:t>
            </w:r>
          </w:p>
        </w:tc>
        <w:tc>
          <w:tcPr>
            <w:tcW w:w="0" w:type="dxa"/>
            <w:vAlign w:val="bottom"/>
          </w:tcPr>
          <w:p>
            <w:pPr>
              <w:spacing w:after="0"/>
              <w:rPr>
                <w:sz w:val="1"/>
                <w:szCs w:val="1"/>
                <w:color w:val="auto"/>
              </w:rPr>
            </w:pPr>
          </w:p>
        </w:tc>
      </w:tr>
      <w:tr>
        <w:trPr>
          <w:trHeight w:val="234"/>
        </w:trPr>
        <w:tc>
          <w:tcPr>
            <w:tcW w:w="2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Total</w:t>
            </w: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3"/>
              </w:rPr>
              <w:t>(Level 1)</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3"/>
              </w:rPr>
              <w:t>(Level 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(Level 3)</w:t>
            </w:r>
          </w:p>
        </w:tc>
        <w:tc>
          <w:tcPr>
            <w:tcW w:w="0" w:type="dxa"/>
            <w:vAlign w:val="bottom"/>
          </w:tcPr>
          <w:p>
            <w:pPr>
              <w:spacing w:after="0"/>
              <w:rPr>
                <w:sz w:val="1"/>
                <w:szCs w:val="1"/>
                <w:color w:val="auto"/>
              </w:rPr>
            </w:pPr>
          </w:p>
        </w:tc>
      </w:tr>
      <w:tr>
        <w:trPr>
          <w:trHeight w:val="27"/>
        </w:trPr>
        <w:tc>
          <w:tcPr>
            <w:tcW w:w="2800" w:type="dxa"/>
            <w:vAlign w:val="bottom"/>
            <w:vMerge w:val="restart"/>
          </w:tcPr>
          <w:p>
            <w:pPr>
              <w:spacing w:after="0"/>
              <w:rPr>
                <w:sz w:val="20"/>
                <w:szCs w:val="20"/>
                <w:color w:val="auto"/>
              </w:rPr>
            </w:pPr>
            <w:r>
              <w:rPr>
                <w:rFonts w:ascii="Arial" w:cs="Arial" w:eastAsia="Arial" w:hAnsi="Arial"/>
                <w:sz w:val="18"/>
                <w:szCs w:val="18"/>
                <w:color w:val="auto"/>
              </w:rPr>
              <w:t>Asset category:</w:t>
            </w:r>
          </w:p>
        </w:tc>
        <w:tc>
          <w:tcPr>
            <w:tcW w:w="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0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80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1140" w:type="dxa"/>
            <w:vAlign w:val="bottom"/>
            <w:gridSpan w:val="2"/>
          </w:tcPr>
          <w:p>
            <w:pPr>
              <w:jc w:val="right"/>
              <w:ind w:right="89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895</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895</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800" w:type="dxa"/>
            <w:vAlign w:val="bottom"/>
          </w:tcPr>
          <w:p>
            <w:pPr>
              <w:ind w:left="140"/>
              <w:spacing w:after="0"/>
              <w:rPr>
                <w:sz w:val="20"/>
                <w:szCs w:val="20"/>
                <w:color w:val="auto"/>
              </w:rPr>
            </w:pPr>
            <w:r>
              <w:rPr>
                <w:rFonts w:ascii="Arial" w:cs="Arial" w:eastAsia="Arial" w:hAnsi="Arial"/>
                <w:sz w:val="18"/>
                <w:szCs w:val="18"/>
                <w:color w:val="auto"/>
              </w:rPr>
              <w:t>Equity securities:</w:t>
            </w:r>
          </w:p>
        </w:tc>
        <w:tc>
          <w:tcPr>
            <w:tcW w:w="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800" w:type="dxa"/>
            <w:vAlign w:val="bottom"/>
          </w:tcPr>
          <w:p>
            <w:pPr>
              <w:ind w:left="240"/>
              <w:spacing w:after="0"/>
              <w:rPr>
                <w:sz w:val="20"/>
                <w:szCs w:val="20"/>
                <w:color w:val="auto"/>
              </w:rPr>
            </w:pPr>
            <w:r>
              <w:rPr>
                <w:rFonts w:ascii="Arial" w:cs="Arial" w:eastAsia="Arial" w:hAnsi="Arial"/>
                <w:sz w:val="18"/>
                <w:szCs w:val="18"/>
                <w:color w:val="auto"/>
              </w:rPr>
              <w:t>Pooled funds</w:t>
            </w:r>
          </w:p>
        </w:tc>
        <w:tc>
          <w:tcPr>
            <w:tcW w:w="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2,854</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2,854</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800" w:type="dxa"/>
            <w:vAlign w:val="bottom"/>
          </w:tcPr>
          <w:p>
            <w:pPr>
              <w:ind w:left="140"/>
              <w:spacing w:after="0"/>
              <w:rPr>
                <w:sz w:val="20"/>
                <w:szCs w:val="20"/>
                <w:color w:val="auto"/>
              </w:rPr>
            </w:pPr>
            <w:r>
              <w:rPr>
                <w:rFonts w:ascii="Arial" w:cs="Arial" w:eastAsia="Arial" w:hAnsi="Arial"/>
                <w:sz w:val="18"/>
                <w:szCs w:val="18"/>
                <w:color w:val="auto"/>
              </w:rPr>
              <w:t>Debt securities:</w:t>
            </w:r>
          </w:p>
        </w:tc>
        <w:tc>
          <w:tcPr>
            <w:tcW w:w="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800" w:type="dxa"/>
            <w:vAlign w:val="bottom"/>
          </w:tcPr>
          <w:p>
            <w:pPr>
              <w:ind w:left="240"/>
              <w:spacing w:after="0"/>
              <w:rPr>
                <w:sz w:val="20"/>
                <w:szCs w:val="20"/>
                <w:color w:val="auto"/>
              </w:rPr>
            </w:pPr>
            <w:r>
              <w:rPr>
                <w:rFonts w:ascii="Arial" w:cs="Arial" w:eastAsia="Arial" w:hAnsi="Arial"/>
                <w:sz w:val="18"/>
                <w:szCs w:val="18"/>
                <w:color w:val="auto"/>
              </w:rPr>
              <w:t>Pooled funds</w:t>
            </w:r>
          </w:p>
        </w:tc>
        <w:tc>
          <w:tcPr>
            <w:tcW w:w="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2,201</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2,201</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800" w:type="dxa"/>
            <w:vAlign w:val="bottom"/>
          </w:tcPr>
          <w:p>
            <w:pPr>
              <w:ind w:left="140"/>
              <w:spacing w:after="0"/>
              <w:rPr>
                <w:sz w:val="20"/>
                <w:szCs w:val="20"/>
                <w:color w:val="auto"/>
              </w:rPr>
            </w:pPr>
            <w:r>
              <w:rPr>
                <w:rFonts w:ascii="Arial" w:cs="Arial" w:eastAsia="Arial" w:hAnsi="Arial"/>
                <w:sz w:val="18"/>
                <w:szCs w:val="18"/>
                <w:color w:val="auto"/>
              </w:rPr>
              <w:t>Other assets:</w:t>
            </w:r>
          </w:p>
        </w:tc>
        <w:tc>
          <w:tcPr>
            <w:tcW w:w="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800" w:type="dxa"/>
            <w:vAlign w:val="bottom"/>
          </w:tcPr>
          <w:p>
            <w:pPr>
              <w:ind w:left="240"/>
              <w:spacing w:after="0"/>
              <w:rPr>
                <w:sz w:val="20"/>
                <w:szCs w:val="20"/>
                <w:color w:val="auto"/>
              </w:rPr>
            </w:pPr>
            <w:r>
              <w:rPr>
                <w:rFonts w:ascii="Arial" w:cs="Arial" w:eastAsia="Arial" w:hAnsi="Arial"/>
                <w:sz w:val="18"/>
                <w:szCs w:val="18"/>
                <w:color w:val="auto"/>
              </w:rPr>
              <w:t>Pooled funds</w:t>
            </w:r>
          </w:p>
        </w:tc>
        <w:tc>
          <w:tcPr>
            <w:tcW w:w="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335</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335</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800" w:type="dxa"/>
            <w:vAlign w:val="bottom"/>
          </w:tcPr>
          <w:p>
            <w:pPr>
              <w:ind w:left="580"/>
              <w:spacing w:after="0"/>
              <w:rPr>
                <w:sz w:val="20"/>
                <w:szCs w:val="20"/>
                <w:color w:val="auto"/>
              </w:rPr>
            </w:pPr>
            <w:r>
              <w:rPr>
                <w:rFonts w:ascii="Arial" w:cs="Arial" w:eastAsia="Arial" w:hAnsi="Arial"/>
                <w:sz w:val="18"/>
                <w:szCs w:val="18"/>
                <w:color w:val="auto"/>
              </w:rPr>
              <w:t>Total</w:t>
            </w:r>
          </w:p>
        </w:tc>
        <w:tc>
          <w:tcPr>
            <w:tcW w:w="1140" w:type="dxa"/>
            <w:vAlign w:val="bottom"/>
            <w:gridSpan w:val="2"/>
          </w:tcPr>
          <w:p>
            <w:pPr>
              <w:jc w:val="right"/>
              <w:ind w:right="89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6,285</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895</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5,390</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8"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Each level into which assets are categorized is based on inputs used to measure the fair value of the assets, and does not necessarily indicate the risks or ratings of the assets.</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color w:val="auto"/>
        </w:rPr>
        <w:t>Level 1 mainly represents an employee pension trust which invests solely in cash and cash equivalents.</w:t>
      </w:r>
    </w:p>
    <w:p>
      <w:pPr>
        <w:spacing w:after="0" w:line="135"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Level 2 assets are comprised of pooled funds that invest mainly in equity and debt securities and corporate bonds. Pooled funds are valued at their net asset values that are calculated by the sponsor of the fund.</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color w:val="auto"/>
        </w:rPr>
        <w:t>Elpida expects to contribute ¥367 to its defined benefit pension plans for the fiscal year ending August 31, 2013.</w:t>
      </w:r>
    </w:p>
    <w:p>
      <w:pPr>
        <w:spacing w:after="0" w:line="3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620"/>
          </w:cols>
          <w:pgMar w:left="1040" w:top="553" w:right="239" w:bottom="1440" w:gutter="0" w:footer="0" w:header="0"/>
        </w:sectPr>
      </w:pPr>
    </w:p>
    <w:bookmarkStart w:id="48" w:name="page49"/>
    <w:bookmarkEnd w:id="48"/>
    <w:p>
      <w:pPr>
        <w:jc w:val="center"/>
        <w:ind w:right="20"/>
        <w:spacing w:after="0"/>
        <w:rPr>
          <w:sz w:val="20"/>
          <w:szCs w:val="20"/>
          <w:color w:val="auto"/>
        </w:rPr>
      </w:pPr>
      <w:r>
        <w:rPr>
          <w:rFonts w:ascii="Arial" w:cs="Arial" w:eastAsia="Arial" w:hAnsi="Arial"/>
          <w:sz w:val="18"/>
          <w:szCs w:val="18"/>
          <w:b w:val="1"/>
          <w:bCs w:val="1"/>
          <w:color w:val="auto"/>
        </w:rPr>
        <w:t>ELPIDA MEMORY,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(DEBTORS-IN-POSSESSION)</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1" w:lineRule="exact"/>
        <w:rPr>
          <w:sz w:val="20"/>
          <w:szCs w:val="20"/>
          <w:color w:val="auto"/>
        </w:rPr>
      </w:pPr>
    </w:p>
    <w:p>
      <w:pPr>
        <w:jc w:val="both"/>
        <w:ind w:left="780"/>
        <w:spacing w:after="0" w:line="386" w:lineRule="auto"/>
        <w:rPr>
          <w:sz w:val="20"/>
          <w:szCs w:val="20"/>
          <w:color w:val="auto"/>
        </w:rPr>
      </w:pPr>
      <w:r>
        <w:rPr>
          <w:rFonts w:ascii="Arial" w:cs="Arial" w:eastAsia="Arial" w:hAnsi="Arial"/>
          <w:sz w:val="16"/>
          <w:szCs w:val="16"/>
          <w:color w:val="auto"/>
        </w:rPr>
        <w:t>Benefits expected to be paid through 2023 from all defined benefit plans are disclosed in the following table. The expected benefits are based on the same assumptions used to measure the Company’s benefit obligation and include estimated future employee service.</w:t>
      </w:r>
    </w:p>
    <w:p>
      <w:pPr>
        <w:spacing w:after="0" w:line="164" w:lineRule="exact"/>
        <w:rPr>
          <w:sz w:val="20"/>
          <w:szCs w:val="20"/>
          <w:color w:val="auto"/>
        </w:rPr>
      </w:pPr>
    </w:p>
    <w:tbl>
      <w:tblPr>
        <w:tblLayout w:type="fixed"/>
        <w:tblInd w:w="1460" w:type="dxa"/>
        <w:tblCellMar>
          <w:top w:w="0" w:type="dxa"/>
          <w:left w:w="0" w:type="dxa"/>
          <w:bottom w:w="0" w:type="dxa"/>
          <w:right w:w="0" w:type="dxa"/>
        </w:tblCellMar>
      </w:tblPr>
      <w:tr>
        <w:trPr>
          <w:trHeight w:val="250"/>
        </w:trPr>
        <w:tc>
          <w:tcPr>
            <w:tcW w:w="4540" w:type="dxa"/>
            <w:vAlign w:val="bottom"/>
          </w:tcPr>
          <w:p>
            <w:pPr>
              <w:spacing w:after="0"/>
              <w:rPr>
                <w:sz w:val="20"/>
                <w:szCs w:val="20"/>
                <w:color w:val="auto"/>
              </w:rPr>
            </w:pPr>
            <w:r>
              <w:rPr>
                <w:rFonts w:ascii="Arial" w:cs="Arial" w:eastAsia="Arial" w:hAnsi="Arial"/>
                <w:sz w:val="20"/>
                <w:szCs w:val="20"/>
                <w:color w:val="auto"/>
              </w:rPr>
              <w:t>Fiscal year ending August 31,</w:t>
            </w:r>
          </w:p>
        </w:tc>
        <w:tc>
          <w:tcPr>
            <w:tcW w:w="28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84"/>
        </w:trPr>
        <w:tc>
          <w:tcPr>
            <w:tcW w:w="4540" w:type="dxa"/>
            <w:vAlign w:val="bottom"/>
          </w:tcPr>
          <w:p>
            <w:pPr>
              <w:ind w:left="360"/>
              <w:spacing w:after="0"/>
              <w:rPr>
                <w:sz w:val="20"/>
                <w:szCs w:val="20"/>
                <w:color w:val="auto"/>
              </w:rPr>
            </w:pPr>
            <w:r>
              <w:rPr>
                <w:rFonts w:ascii="Arial" w:cs="Arial" w:eastAsia="Arial" w:hAnsi="Arial"/>
                <w:sz w:val="20"/>
                <w:szCs w:val="20"/>
                <w:color w:val="auto"/>
              </w:rPr>
              <w:t>2013</w:t>
            </w:r>
          </w:p>
        </w:tc>
        <w:tc>
          <w:tcPr>
            <w:tcW w:w="2840" w:type="dxa"/>
            <w:vAlign w:val="bottom"/>
          </w:tcPr>
          <w:p>
            <w:pPr>
              <w:jc w:val="right"/>
              <w:ind w:right="481"/>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113</w:t>
            </w:r>
          </w:p>
        </w:tc>
      </w:tr>
      <w:tr>
        <w:trPr>
          <w:trHeight w:val="284"/>
        </w:trPr>
        <w:tc>
          <w:tcPr>
            <w:tcW w:w="4540" w:type="dxa"/>
            <w:vAlign w:val="bottom"/>
          </w:tcPr>
          <w:p>
            <w:pPr>
              <w:ind w:left="360"/>
              <w:spacing w:after="0"/>
              <w:rPr>
                <w:sz w:val="20"/>
                <w:szCs w:val="20"/>
                <w:color w:val="auto"/>
              </w:rPr>
            </w:pPr>
            <w:r>
              <w:rPr>
                <w:rFonts w:ascii="Arial" w:cs="Arial" w:eastAsia="Arial" w:hAnsi="Arial"/>
                <w:sz w:val="20"/>
                <w:szCs w:val="20"/>
                <w:color w:val="auto"/>
              </w:rPr>
              <w:t>2014</w:t>
            </w:r>
          </w:p>
        </w:tc>
        <w:tc>
          <w:tcPr>
            <w:tcW w:w="28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258</w:t>
            </w:r>
          </w:p>
        </w:tc>
      </w:tr>
      <w:tr>
        <w:trPr>
          <w:trHeight w:val="284"/>
        </w:trPr>
        <w:tc>
          <w:tcPr>
            <w:tcW w:w="4540" w:type="dxa"/>
            <w:vAlign w:val="bottom"/>
          </w:tcPr>
          <w:p>
            <w:pPr>
              <w:ind w:left="360"/>
              <w:spacing w:after="0"/>
              <w:rPr>
                <w:sz w:val="20"/>
                <w:szCs w:val="20"/>
                <w:color w:val="auto"/>
              </w:rPr>
            </w:pPr>
            <w:r>
              <w:rPr>
                <w:rFonts w:ascii="Arial" w:cs="Arial" w:eastAsia="Arial" w:hAnsi="Arial"/>
                <w:sz w:val="20"/>
                <w:szCs w:val="20"/>
                <w:color w:val="auto"/>
              </w:rPr>
              <w:t>2015</w:t>
            </w:r>
          </w:p>
        </w:tc>
        <w:tc>
          <w:tcPr>
            <w:tcW w:w="28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289</w:t>
            </w:r>
          </w:p>
        </w:tc>
      </w:tr>
      <w:tr>
        <w:trPr>
          <w:trHeight w:val="284"/>
        </w:trPr>
        <w:tc>
          <w:tcPr>
            <w:tcW w:w="4540" w:type="dxa"/>
            <w:vAlign w:val="bottom"/>
          </w:tcPr>
          <w:p>
            <w:pPr>
              <w:ind w:left="360"/>
              <w:spacing w:after="0"/>
              <w:rPr>
                <w:sz w:val="20"/>
                <w:szCs w:val="20"/>
                <w:color w:val="auto"/>
              </w:rPr>
            </w:pPr>
            <w:r>
              <w:rPr>
                <w:rFonts w:ascii="Arial" w:cs="Arial" w:eastAsia="Arial" w:hAnsi="Arial"/>
                <w:sz w:val="20"/>
                <w:szCs w:val="20"/>
                <w:color w:val="auto"/>
              </w:rPr>
              <w:t>2016</w:t>
            </w:r>
          </w:p>
        </w:tc>
        <w:tc>
          <w:tcPr>
            <w:tcW w:w="28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330</w:t>
            </w:r>
          </w:p>
        </w:tc>
      </w:tr>
      <w:tr>
        <w:trPr>
          <w:trHeight w:val="284"/>
        </w:trPr>
        <w:tc>
          <w:tcPr>
            <w:tcW w:w="4540" w:type="dxa"/>
            <w:vAlign w:val="bottom"/>
          </w:tcPr>
          <w:p>
            <w:pPr>
              <w:ind w:left="360"/>
              <w:spacing w:after="0"/>
              <w:rPr>
                <w:sz w:val="20"/>
                <w:szCs w:val="20"/>
                <w:color w:val="auto"/>
              </w:rPr>
            </w:pPr>
            <w:r>
              <w:rPr>
                <w:rFonts w:ascii="Arial" w:cs="Arial" w:eastAsia="Arial" w:hAnsi="Arial"/>
                <w:sz w:val="20"/>
                <w:szCs w:val="20"/>
                <w:color w:val="auto"/>
              </w:rPr>
              <w:t>2017</w:t>
            </w:r>
          </w:p>
        </w:tc>
        <w:tc>
          <w:tcPr>
            <w:tcW w:w="28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361</w:t>
            </w:r>
          </w:p>
        </w:tc>
      </w:tr>
      <w:tr>
        <w:trPr>
          <w:trHeight w:val="284"/>
        </w:trPr>
        <w:tc>
          <w:tcPr>
            <w:tcW w:w="4540" w:type="dxa"/>
            <w:vAlign w:val="bottom"/>
          </w:tcPr>
          <w:p>
            <w:pPr>
              <w:ind w:left="360"/>
              <w:spacing w:after="0"/>
              <w:rPr>
                <w:sz w:val="20"/>
                <w:szCs w:val="20"/>
                <w:color w:val="auto"/>
              </w:rPr>
            </w:pPr>
            <w:r>
              <w:rPr>
                <w:rFonts w:ascii="Arial" w:cs="Arial" w:eastAsia="Arial" w:hAnsi="Arial"/>
                <w:sz w:val="20"/>
                <w:szCs w:val="20"/>
                <w:color w:val="auto"/>
              </w:rPr>
              <w:t>2018 to 2023</w:t>
            </w:r>
          </w:p>
        </w:tc>
        <w:tc>
          <w:tcPr>
            <w:tcW w:w="28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3,220</w:t>
            </w:r>
          </w:p>
        </w:tc>
      </w:tr>
    </w:tbl>
    <w:p>
      <w:pPr>
        <w:spacing w:after="0" w:line="222" w:lineRule="exact"/>
        <w:rPr>
          <w:sz w:val="20"/>
          <w:szCs w:val="20"/>
          <w:color w:val="auto"/>
        </w:rPr>
      </w:pPr>
    </w:p>
    <w:p>
      <w:pPr>
        <w:ind w:left="780" w:hanging="360"/>
        <w:spacing w:after="0"/>
        <w:tabs>
          <w:tab w:leader="none" w:pos="780" w:val="left"/>
        </w:tabs>
        <w:numPr>
          <w:ilvl w:val="1"/>
          <w:numId w:val="32"/>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Defined Contribution Plans</w:t>
      </w:r>
    </w:p>
    <w:p>
      <w:pPr>
        <w:spacing w:after="0" w:line="67" w:lineRule="exact"/>
        <w:rPr>
          <w:rFonts w:ascii="Arial" w:cs="Arial" w:eastAsia="Arial" w:hAnsi="Arial"/>
          <w:sz w:val="20"/>
          <w:szCs w:val="20"/>
          <w:b w:val="1"/>
          <w:bCs w:val="1"/>
          <w:i w:val="1"/>
          <w:iCs w:val="1"/>
          <w:color w:val="auto"/>
        </w:rPr>
      </w:pPr>
    </w:p>
    <w:p>
      <w:pPr>
        <w:ind w:left="780"/>
        <w:spacing w:after="0" w:line="260" w:lineRule="auto"/>
        <w:rPr>
          <w:rFonts w:ascii="Arial" w:cs="Arial" w:eastAsia="Arial" w:hAnsi="Arial"/>
          <w:sz w:val="20"/>
          <w:szCs w:val="20"/>
          <w:b w:val="1"/>
          <w:bCs w:val="1"/>
          <w:i w:val="1"/>
          <w:iCs w:val="1"/>
          <w:color w:val="auto"/>
        </w:rPr>
      </w:pPr>
      <w:r>
        <w:rPr>
          <w:rFonts w:ascii="Arial" w:cs="Arial" w:eastAsia="Arial" w:hAnsi="Arial"/>
          <w:sz w:val="20"/>
          <w:szCs w:val="20"/>
          <w:color w:val="auto"/>
        </w:rPr>
        <w:t>Expenses for defined contribution plans recognized by Elpida for the eleven months ended February 28, 2013 and year ended March 31, 2012 were ¥442 and ¥446, respectively.</w:t>
      </w:r>
    </w:p>
    <w:p>
      <w:pPr>
        <w:spacing w:after="0" w:line="279" w:lineRule="exact"/>
        <w:rPr>
          <w:rFonts w:ascii="Arial" w:cs="Arial" w:eastAsia="Arial" w:hAnsi="Arial"/>
          <w:sz w:val="20"/>
          <w:szCs w:val="20"/>
          <w:b w:val="1"/>
          <w:bCs w:val="1"/>
          <w:i w:val="1"/>
          <w:iCs w:val="1"/>
          <w:color w:val="auto"/>
        </w:rPr>
      </w:pPr>
    </w:p>
    <w:p>
      <w:pPr>
        <w:ind w:left="440" w:hanging="438"/>
        <w:spacing w:after="0"/>
        <w:tabs>
          <w:tab w:leader="none" w:pos="440" w:val="left"/>
        </w:tabs>
        <w:numPr>
          <w:ilvl w:val="0"/>
          <w:numId w:val="33"/>
        </w:numPr>
        <w:rPr>
          <w:rFonts w:ascii="Arial" w:cs="Arial" w:eastAsia="Arial" w:hAnsi="Arial"/>
          <w:sz w:val="20"/>
          <w:szCs w:val="20"/>
          <w:b w:val="1"/>
          <w:bCs w:val="1"/>
          <w:color w:val="auto"/>
        </w:rPr>
      </w:pPr>
      <w:r>
        <w:rPr>
          <w:rFonts w:ascii="Arial" w:cs="Arial" w:eastAsia="Arial" w:hAnsi="Arial"/>
          <w:sz w:val="20"/>
          <w:szCs w:val="20"/>
          <w:b w:val="1"/>
          <w:bCs w:val="1"/>
          <w:color w:val="auto"/>
        </w:rPr>
        <w:t>Cash Flow Information</w:t>
      </w:r>
    </w:p>
    <w:p>
      <w:pPr>
        <w:spacing w:after="0" w:line="113" w:lineRule="exact"/>
        <w:rPr>
          <w:rFonts w:ascii="Arial" w:cs="Arial" w:eastAsia="Arial" w:hAnsi="Arial"/>
          <w:sz w:val="20"/>
          <w:szCs w:val="20"/>
          <w:b w:val="1"/>
          <w:bCs w:val="1"/>
          <w:color w:val="auto"/>
        </w:rPr>
      </w:pPr>
    </w:p>
    <w:p>
      <w:pPr>
        <w:ind w:left="420" w:right="20"/>
        <w:spacing w:after="0" w:line="260" w:lineRule="auto"/>
        <w:rPr>
          <w:rFonts w:ascii="Arial" w:cs="Arial" w:eastAsia="Arial" w:hAnsi="Arial"/>
          <w:sz w:val="20"/>
          <w:szCs w:val="20"/>
          <w:b w:val="1"/>
          <w:bCs w:val="1"/>
          <w:color w:val="auto"/>
        </w:rPr>
      </w:pPr>
      <w:r>
        <w:rPr>
          <w:rFonts w:ascii="Arial" w:cs="Arial" w:eastAsia="Arial" w:hAnsi="Arial"/>
          <w:sz w:val="20"/>
          <w:szCs w:val="20"/>
          <w:color w:val="auto"/>
        </w:rPr>
        <w:t>Capital lease obligations of ¥13,725 and ¥5,764 were incurred for the eleven months ended February 28, 2013 and year ended March 31, 2012, respectively, when the Company entered into leases for new machinery and equipment.</w:t>
      </w:r>
    </w:p>
    <w:p>
      <w:pPr>
        <w:spacing w:after="0" w:line="95" w:lineRule="exact"/>
        <w:rPr>
          <w:rFonts w:ascii="Arial" w:cs="Arial" w:eastAsia="Arial" w:hAnsi="Arial"/>
          <w:sz w:val="20"/>
          <w:szCs w:val="20"/>
          <w:b w:val="1"/>
          <w:bCs w:val="1"/>
          <w:color w:val="auto"/>
        </w:rPr>
      </w:pPr>
    </w:p>
    <w:p>
      <w:pPr>
        <w:ind w:left="420" w:right="20"/>
        <w:spacing w:after="0" w:line="260" w:lineRule="auto"/>
        <w:rPr>
          <w:rFonts w:ascii="Arial" w:cs="Arial" w:eastAsia="Arial" w:hAnsi="Arial"/>
          <w:sz w:val="20"/>
          <w:szCs w:val="20"/>
          <w:b w:val="1"/>
          <w:bCs w:val="1"/>
          <w:color w:val="auto"/>
        </w:rPr>
      </w:pPr>
      <w:r>
        <w:rPr>
          <w:rFonts w:ascii="Arial" w:cs="Arial" w:eastAsia="Arial" w:hAnsi="Arial"/>
          <w:sz w:val="20"/>
          <w:szCs w:val="20"/>
          <w:color w:val="auto"/>
        </w:rPr>
        <w:t>Interest payments for the eleven months ended February 28, 2013 and year ended March 31, 2012 were ¥2,030 and ¥6,641, respectively. Income taxes paid for these periods were ¥1,060 and ¥236, respectively.</w:t>
      </w:r>
    </w:p>
    <w:p>
      <w:pPr>
        <w:spacing w:after="0" w:line="95" w:lineRule="exact"/>
        <w:rPr>
          <w:rFonts w:ascii="Arial" w:cs="Arial" w:eastAsia="Arial" w:hAnsi="Arial"/>
          <w:sz w:val="20"/>
          <w:szCs w:val="20"/>
          <w:b w:val="1"/>
          <w:bCs w:val="1"/>
          <w:color w:val="auto"/>
        </w:rPr>
      </w:pPr>
    </w:p>
    <w:p>
      <w:pPr>
        <w:jc w:val="both"/>
        <w:ind w:left="420"/>
        <w:spacing w:after="0" w:line="250" w:lineRule="auto"/>
        <w:rPr>
          <w:rFonts w:ascii="Arial" w:cs="Arial" w:eastAsia="Arial" w:hAnsi="Arial"/>
          <w:sz w:val="20"/>
          <w:szCs w:val="20"/>
          <w:b w:val="1"/>
          <w:bCs w:val="1"/>
          <w:color w:val="auto"/>
        </w:rPr>
      </w:pPr>
      <w:r>
        <w:rPr>
          <w:rFonts w:ascii="Arial" w:cs="Arial" w:eastAsia="Arial" w:hAnsi="Arial"/>
          <w:sz w:val="20"/>
          <w:szCs w:val="20"/>
          <w:color w:val="auto"/>
        </w:rPr>
        <w:t>Of the ¥159,296 of Reorganization items, net for the eleven months ended February 28, 2013, ¥280 was paid through the eleven months ended February 28, 2013. Of the ¥2,504 of Reorganization items, net for the year ended March 31, 2012, ¥200 was paid through the year ended March 31, 2012.</w:t>
      </w:r>
    </w:p>
    <w:p>
      <w:pPr>
        <w:spacing w:after="0" w:line="105" w:lineRule="exact"/>
        <w:rPr>
          <w:rFonts w:ascii="Arial" w:cs="Arial" w:eastAsia="Arial" w:hAnsi="Arial"/>
          <w:sz w:val="20"/>
          <w:szCs w:val="20"/>
          <w:b w:val="1"/>
          <w:bCs w:val="1"/>
          <w:color w:val="auto"/>
        </w:rPr>
      </w:pPr>
    </w:p>
    <w:p>
      <w:pPr>
        <w:ind w:left="420" w:right="20"/>
        <w:spacing w:after="0" w:line="287" w:lineRule="auto"/>
        <w:rPr>
          <w:rFonts w:ascii="Arial" w:cs="Arial" w:eastAsia="Arial" w:hAnsi="Arial"/>
          <w:sz w:val="20"/>
          <w:szCs w:val="20"/>
          <w:b w:val="1"/>
          <w:bCs w:val="1"/>
          <w:color w:val="auto"/>
        </w:rPr>
      </w:pPr>
      <w:r>
        <w:rPr>
          <w:rFonts w:ascii="Arial" w:cs="Arial" w:eastAsia="Arial" w:hAnsi="Arial"/>
          <w:sz w:val="19"/>
          <w:szCs w:val="19"/>
          <w:color w:val="auto"/>
        </w:rPr>
        <w:t xml:space="preserve">As discussed in Note (2) </w:t>
      </w:r>
      <w:r>
        <w:rPr>
          <w:rFonts w:ascii="Arial" w:cs="Arial" w:eastAsia="Arial" w:hAnsi="Arial"/>
          <w:sz w:val="19"/>
          <w:szCs w:val="19"/>
          <w:i w:val="1"/>
          <w:iCs w:val="1"/>
          <w:color w:val="auto"/>
        </w:rPr>
        <w:t>(c)</w:t>
      </w:r>
      <w:r>
        <w:rPr>
          <w:rFonts w:ascii="Arial" w:cs="Arial" w:eastAsia="Arial" w:hAnsi="Arial"/>
          <w:sz w:val="19"/>
          <w:szCs w:val="19"/>
          <w:color w:val="auto"/>
        </w:rPr>
        <w:t>, approximately ¥117,268 of the liabilities subject to compromise were transferred to their applicable balance sheet accounts such as long-term debt and bonds, accounts payable and obligations under capital leases.</w:t>
      </w:r>
    </w:p>
    <w:p>
      <w:pPr>
        <w:spacing w:after="0" w:line="254" w:lineRule="exact"/>
        <w:rPr>
          <w:rFonts w:ascii="Arial" w:cs="Arial" w:eastAsia="Arial" w:hAnsi="Arial"/>
          <w:sz w:val="20"/>
          <w:szCs w:val="20"/>
          <w:b w:val="1"/>
          <w:bCs w:val="1"/>
          <w:color w:val="auto"/>
        </w:rPr>
      </w:pPr>
    </w:p>
    <w:p>
      <w:pPr>
        <w:ind w:left="440" w:hanging="438"/>
        <w:spacing w:after="0"/>
        <w:tabs>
          <w:tab w:leader="none" w:pos="440" w:val="left"/>
        </w:tabs>
        <w:numPr>
          <w:ilvl w:val="0"/>
          <w:numId w:val="33"/>
        </w:numPr>
        <w:rPr>
          <w:rFonts w:ascii="Arial" w:cs="Arial" w:eastAsia="Arial" w:hAnsi="Arial"/>
          <w:sz w:val="20"/>
          <w:szCs w:val="20"/>
          <w:b w:val="1"/>
          <w:bCs w:val="1"/>
          <w:color w:val="auto"/>
        </w:rPr>
      </w:pPr>
      <w:r>
        <w:rPr>
          <w:rFonts w:ascii="Arial" w:cs="Arial" w:eastAsia="Arial" w:hAnsi="Arial"/>
          <w:sz w:val="20"/>
          <w:szCs w:val="20"/>
          <w:b w:val="1"/>
          <w:bCs w:val="1"/>
          <w:color w:val="auto"/>
        </w:rPr>
        <w:t>Commitments and Contingencies</w:t>
      </w:r>
    </w:p>
    <w:p>
      <w:pPr>
        <w:spacing w:after="0" w:line="248" w:lineRule="exact"/>
        <w:rPr>
          <w:rFonts w:ascii="Arial" w:cs="Arial" w:eastAsia="Arial" w:hAnsi="Arial"/>
          <w:sz w:val="20"/>
          <w:szCs w:val="20"/>
          <w:b w:val="1"/>
          <w:bCs w:val="1"/>
          <w:color w:val="auto"/>
        </w:rPr>
      </w:pPr>
    </w:p>
    <w:p>
      <w:pPr>
        <w:ind w:left="780" w:hanging="360"/>
        <w:spacing w:after="0"/>
        <w:tabs>
          <w:tab w:leader="none" w:pos="780" w:val="left"/>
        </w:tabs>
        <w:numPr>
          <w:ilvl w:val="1"/>
          <w:numId w:val="33"/>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Commitments</w:t>
      </w:r>
    </w:p>
    <w:p>
      <w:pPr>
        <w:spacing w:after="0" w:line="67" w:lineRule="exact"/>
        <w:rPr>
          <w:rFonts w:ascii="Arial" w:cs="Arial" w:eastAsia="Arial" w:hAnsi="Arial"/>
          <w:sz w:val="20"/>
          <w:szCs w:val="20"/>
          <w:b w:val="1"/>
          <w:bCs w:val="1"/>
          <w:i w:val="1"/>
          <w:iCs w:val="1"/>
          <w:color w:val="auto"/>
        </w:rPr>
      </w:pPr>
    </w:p>
    <w:p>
      <w:pPr>
        <w:jc w:val="both"/>
        <w:ind w:left="780"/>
        <w:spacing w:after="0" w:line="269" w:lineRule="auto"/>
        <w:rPr>
          <w:rFonts w:ascii="Arial" w:cs="Arial" w:eastAsia="Arial" w:hAnsi="Arial"/>
          <w:sz w:val="20"/>
          <w:szCs w:val="20"/>
          <w:b w:val="1"/>
          <w:bCs w:val="1"/>
          <w:i w:val="1"/>
          <w:iCs w:val="1"/>
          <w:color w:val="auto"/>
        </w:rPr>
      </w:pPr>
      <w:r>
        <w:rPr>
          <w:rFonts w:ascii="Arial" w:cs="Arial" w:eastAsia="Arial" w:hAnsi="Arial"/>
          <w:sz w:val="19"/>
          <w:szCs w:val="19"/>
          <w:color w:val="auto"/>
        </w:rPr>
        <w:t>The Company entered into a long-term agreement to purchase natural gas with Hiroshima Gas Co., Ltd. from February 2005 to March 31, 2015. Based on the agreement, the Company purchased natural gas in the aggregate amount of ¥8,237 and ¥9,589 for the eleven months ended February 28, 2013 and the year ended March 31, 2012, respectively (see Note (12)).</w:t>
      </w:r>
    </w:p>
    <w:p>
      <w:pPr>
        <w:spacing w:after="0" w:line="89" w:lineRule="exact"/>
        <w:rPr>
          <w:rFonts w:ascii="Arial" w:cs="Arial" w:eastAsia="Arial" w:hAnsi="Arial"/>
          <w:sz w:val="20"/>
          <w:szCs w:val="20"/>
          <w:b w:val="1"/>
          <w:bCs w:val="1"/>
          <w:i w:val="1"/>
          <w:iCs w:val="1"/>
          <w:color w:val="auto"/>
        </w:rPr>
      </w:pPr>
    </w:p>
    <w:p>
      <w:pPr>
        <w:jc w:val="both"/>
        <w:ind w:left="780"/>
        <w:spacing w:after="0" w:line="263" w:lineRule="auto"/>
        <w:rPr>
          <w:rFonts w:ascii="Arial" w:cs="Arial" w:eastAsia="Arial" w:hAnsi="Arial"/>
          <w:sz w:val="20"/>
          <w:szCs w:val="20"/>
          <w:b w:val="1"/>
          <w:bCs w:val="1"/>
          <w:i w:val="1"/>
          <w:iCs w:val="1"/>
          <w:color w:val="auto"/>
        </w:rPr>
      </w:pPr>
      <w:r>
        <w:rPr>
          <w:rFonts w:ascii="Arial" w:cs="Arial" w:eastAsia="Arial" w:hAnsi="Arial"/>
          <w:sz w:val="19"/>
          <w:szCs w:val="19"/>
          <w:color w:val="auto"/>
        </w:rPr>
        <w:t>The Company entered into long-term agreements to purchase electric power with SC Hiroshima Energy Corporation (“SC Hiroshima”) from December 1, 2005 to December 31, 2022 and Energia Solution &amp; Services (“Energia”) from April 1, 2002 to March 31, 2017. Based on the agreements, the Company purchased electric power in the aggregate amount of ¥1,730 and ¥1,920 for the eleven months ended February 28, 2013 and year ended March 31, 2012, respectively (see Note (12)).</w:t>
      </w:r>
    </w:p>
    <w:p>
      <w:pPr>
        <w:spacing w:after="0" w:line="3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60" w:top="553" w:right="239" w:bottom="1440" w:gutter="0" w:footer="0" w:header="0"/>
        </w:sectPr>
      </w:pPr>
    </w:p>
    <w:bookmarkStart w:id="49" w:name="page50"/>
    <w:bookmarkEnd w:id="49"/>
    <w:p>
      <w:pPr>
        <w:jc w:val="center"/>
        <w:ind w:right="20"/>
        <w:spacing w:after="0"/>
        <w:rPr>
          <w:sz w:val="20"/>
          <w:szCs w:val="20"/>
          <w:color w:val="auto"/>
        </w:rPr>
      </w:pPr>
      <w:r>
        <w:rPr>
          <w:rFonts w:ascii="Arial" w:cs="Arial" w:eastAsia="Arial" w:hAnsi="Arial"/>
          <w:sz w:val="18"/>
          <w:szCs w:val="18"/>
          <w:b w:val="1"/>
          <w:bCs w:val="1"/>
          <w:color w:val="auto"/>
        </w:rPr>
        <w:t>ELPIDA MEMORY,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(DEBTORS-IN-POSSESSION)</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1" w:lineRule="exact"/>
        <w:rPr>
          <w:sz w:val="20"/>
          <w:szCs w:val="20"/>
          <w:color w:val="auto"/>
        </w:rPr>
      </w:pPr>
    </w:p>
    <w:p>
      <w:pPr>
        <w:ind w:left="780"/>
        <w:spacing w:after="0" w:line="260" w:lineRule="auto"/>
        <w:rPr>
          <w:sz w:val="20"/>
          <w:szCs w:val="20"/>
          <w:color w:val="auto"/>
        </w:rPr>
      </w:pPr>
      <w:r>
        <w:rPr>
          <w:rFonts w:ascii="Arial" w:cs="Arial" w:eastAsia="Arial" w:hAnsi="Arial"/>
          <w:sz w:val="20"/>
          <w:szCs w:val="20"/>
          <w:color w:val="auto"/>
        </w:rPr>
        <w:t>At February 28, 2013, the Company has commitments to purchase natural gas and electric power in the aggregate in succeeding years as follows:</w:t>
      </w:r>
    </w:p>
    <w:p>
      <w:pPr>
        <w:spacing w:after="0" w:line="258" w:lineRule="exact"/>
        <w:rPr>
          <w:sz w:val="20"/>
          <w:szCs w:val="20"/>
          <w:color w:val="auto"/>
        </w:rPr>
      </w:pPr>
    </w:p>
    <w:tbl>
      <w:tblPr>
        <w:tblLayout w:type="fixed"/>
        <w:tblInd w:w="1460" w:type="dxa"/>
        <w:tblCellMar>
          <w:top w:w="0" w:type="dxa"/>
          <w:left w:w="0" w:type="dxa"/>
          <w:bottom w:w="0" w:type="dxa"/>
          <w:right w:w="0" w:type="dxa"/>
        </w:tblCellMar>
      </w:tblPr>
      <w:tr>
        <w:trPr>
          <w:trHeight w:val="250"/>
        </w:trPr>
        <w:tc>
          <w:tcPr>
            <w:tcW w:w="4540" w:type="dxa"/>
            <w:vAlign w:val="bottom"/>
          </w:tcPr>
          <w:p>
            <w:pPr>
              <w:spacing w:after="0"/>
              <w:rPr>
                <w:sz w:val="20"/>
                <w:szCs w:val="20"/>
                <w:color w:val="auto"/>
              </w:rPr>
            </w:pPr>
            <w:r>
              <w:rPr>
                <w:rFonts w:ascii="Arial" w:cs="Arial" w:eastAsia="Arial" w:hAnsi="Arial"/>
                <w:sz w:val="20"/>
                <w:szCs w:val="20"/>
                <w:color w:val="auto"/>
              </w:rPr>
              <w:t>Fiscal year ending August 31:</w:t>
            </w:r>
          </w:p>
        </w:tc>
        <w:tc>
          <w:tcPr>
            <w:tcW w:w="27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84"/>
        </w:trPr>
        <w:tc>
          <w:tcPr>
            <w:tcW w:w="4540" w:type="dxa"/>
            <w:vAlign w:val="bottom"/>
          </w:tcPr>
          <w:p>
            <w:pPr>
              <w:ind w:left="360"/>
              <w:spacing w:after="0"/>
              <w:rPr>
                <w:sz w:val="20"/>
                <w:szCs w:val="20"/>
                <w:color w:val="auto"/>
              </w:rPr>
            </w:pPr>
            <w:r>
              <w:rPr>
                <w:rFonts w:ascii="Arial" w:cs="Arial" w:eastAsia="Arial" w:hAnsi="Arial"/>
                <w:sz w:val="20"/>
                <w:szCs w:val="20"/>
                <w:color w:val="auto"/>
              </w:rPr>
              <w:t>2013</w:t>
            </w:r>
          </w:p>
        </w:tc>
        <w:tc>
          <w:tcPr>
            <w:tcW w:w="2780" w:type="dxa"/>
            <w:vAlign w:val="bottom"/>
          </w:tcPr>
          <w:p>
            <w:pPr>
              <w:jc w:val="right"/>
              <w:ind w:right="421"/>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6,031</w:t>
            </w:r>
          </w:p>
        </w:tc>
      </w:tr>
      <w:tr>
        <w:trPr>
          <w:trHeight w:val="284"/>
        </w:trPr>
        <w:tc>
          <w:tcPr>
            <w:tcW w:w="4540" w:type="dxa"/>
            <w:vAlign w:val="bottom"/>
          </w:tcPr>
          <w:p>
            <w:pPr>
              <w:ind w:left="360"/>
              <w:spacing w:after="0"/>
              <w:rPr>
                <w:sz w:val="20"/>
                <w:szCs w:val="20"/>
                <w:color w:val="auto"/>
              </w:rPr>
            </w:pPr>
            <w:r>
              <w:rPr>
                <w:rFonts w:ascii="Arial" w:cs="Arial" w:eastAsia="Arial" w:hAnsi="Arial"/>
                <w:sz w:val="20"/>
                <w:szCs w:val="20"/>
                <w:color w:val="auto"/>
              </w:rPr>
              <w:t>2014</w:t>
            </w:r>
          </w:p>
        </w:tc>
        <w:tc>
          <w:tcPr>
            <w:tcW w:w="27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12,302</w:t>
            </w:r>
          </w:p>
        </w:tc>
      </w:tr>
      <w:tr>
        <w:trPr>
          <w:trHeight w:val="284"/>
        </w:trPr>
        <w:tc>
          <w:tcPr>
            <w:tcW w:w="4540" w:type="dxa"/>
            <w:vAlign w:val="bottom"/>
          </w:tcPr>
          <w:p>
            <w:pPr>
              <w:ind w:left="360"/>
              <w:spacing w:after="0"/>
              <w:rPr>
                <w:sz w:val="20"/>
                <w:szCs w:val="20"/>
                <w:color w:val="auto"/>
              </w:rPr>
            </w:pPr>
            <w:r>
              <w:rPr>
                <w:rFonts w:ascii="Arial" w:cs="Arial" w:eastAsia="Arial" w:hAnsi="Arial"/>
                <w:sz w:val="20"/>
                <w:szCs w:val="20"/>
                <w:color w:val="auto"/>
              </w:rPr>
              <w:t>2015</w:t>
            </w:r>
          </w:p>
        </w:tc>
        <w:tc>
          <w:tcPr>
            <w:tcW w:w="27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7,957</w:t>
            </w:r>
          </w:p>
        </w:tc>
      </w:tr>
      <w:tr>
        <w:trPr>
          <w:trHeight w:val="284"/>
        </w:trPr>
        <w:tc>
          <w:tcPr>
            <w:tcW w:w="4540" w:type="dxa"/>
            <w:vAlign w:val="bottom"/>
          </w:tcPr>
          <w:p>
            <w:pPr>
              <w:ind w:left="360"/>
              <w:spacing w:after="0"/>
              <w:rPr>
                <w:sz w:val="20"/>
                <w:szCs w:val="20"/>
                <w:color w:val="auto"/>
              </w:rPr>
            </w:pPr>
            <w:r>
              <w:rPr>
                <w:rFonts w:ascii="Arial" w:cs="Arial" w:eastAsia="Arial" w:hAnsi="Arial"/>
                <w:sz w:val="20"/>
                <w:szCs w:val="20"/>
                <w:color w:val="auto"/>
              </w:rPr>
              <w:t>2016</w:t>
            </w:r>
          </w:p>
        </w:tc>
        <w:tc>
          <w:tcPr>
            <w:tcW w:w="27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1,875</w:t>
            </w:r>
          </w:p>
        </w:tc>
      </w:tr>
      <w:tr>
        <w:trPr>
          <w:trHeight w:val="284"/>
        </w:trPr>
        <w:tc>
          <w:tcPr>
            <w:tcW w:w="4540" w:type="dxa"/>
            <w:vAlign w:val="bottom"/>
          </w:tcPr>
          <w:p>
            <w:pPr>
              <w:ind w:left="360"/>
              <w:spacing w:after="0"/>
              <w:rPr>
                <w:sz w:val="20"/>
                <w:szCs w:val="20"/>
                <w:color w:val="auto"/>
              </w:rPr>
            </w:pPr>
            <w:r>
              <w:rPr>
                <w:rFonts w:ascii="Arial" w:cs="Arial" w:eastAsia="Arial" w:hAnsi="Arial"/>
                <w:sz w:val="20"/>
                <w:szCs w:val="20"/>
                <w:color w:val="auto"/>
              </w:rPr>
              <w:t>2017 and thereafter</w:t>
            </w:r>
          </w:p>
        </w:tc>
        <w:tc>
          <w:tcPr>
            <w:tcW w:w="27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10,855</w:t>
            </w:r>
          </w:p>
        </w:tc>
      </w:tr>
    </w:tbl>
    <w:p>
      <w:pPr>
        <w:spacing w:after="0" w:line="222" w:lineRule="exact"/>
        <w:rPr>
          <w:sz w:val="20"/>
          <w:szCs w:val="20"/>
          <w:color w:val="auto"/>
        </w:rPr>
      </w:pPr>
    </w:p>
    <w:p>
      <w:pPr>
        <w:ind w:left="780" w:hanging="360"/>
        <w:spacing w:after="0"/>
        <w:tabs>
          <w:tab w:leader="none" w:pos="780" w:val="left"/>
        </w:tabs>
        <w:numPr>
          <w:ilvl w:val="0"/>
          <w:numId w:val="34"/>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Product Warranties</w:t>
      </w:r>
    </w:p>
    <w:p>
      <w:pPr>
        <w:spacing w:after="0" w:line="67" w:lineRule="exact"/>
        <w:rPr>
          <w:rFonts w:ascii="Arial" w:cs="Arial" w:eastAsia="Arial" w:hAnsi="Arial"/>
          <w:sz w:val="20"/>
          <w:szCs w:val="20"/>
          <w:b w:val="1"/>
          <w:bCs w:val="1"/>
          <w:i w:val="1"/>
          <w:iCs w:val="1"/>
          <w:color w:val="auto"/>
        </w:rPr>
      </w:pPr>
    </w:p>
    <w:p>
      <w:pPr>
        <w:ind w:left="780"/>
        <w:spacing w:after="0" w:line="260" w:lineRule="auto"/>
        <w:rPr>
          <w:rFonts w:ascii="Arial" w:cs="Arial" w:eastAsia="Arial" w:hAnsi="Arial"/>
          <w:sz w:val="20"/>
          <w:szCs w:val="20"/>
          <w:b w:val="1"/>
          <w:bCs w:val="1"/>
          <w:i w:val="1"/>
          <w:iCs w:val="1"/>
          <w:color w:val="auto"/>
        </w:rPr>
      </w:pPr>
      <w:r>
        <w:rPr>
          <w:rFonts w:ascii="Arial" w:cs="Arial" w:eastAsia="Arial" w:hAnsi="Arial"/>
          <w:sz w:val="20"/>
          <w:szCs w:val="20"/>
          <w:color w:val="auto"/>
        </w:rPr>
        <w:t>The following table is a reconciliation of the changes in the Company’s aggregate product warranty liability for the eleven months ended February 28, 2013 and year ended March 31, 2012:</w:t>
      </w:r>
    </w:p>
    <w:p>
      <w:pPr>
        <w:spacing w:after="0" w:line="252"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6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20"/>
                <w:szCs w:val="20"/>
                <w:b w:val="1"/>
                <w:bCs w:val="1"/>
                <w:color w:val="auto"/>
                <w:w w:val="87"/>
              </w:rPr>
              <w:t>Eleven months</w:t>
            </w:r>
          </w:p>
        </w:tc>
        <w:tc>
          <w:tcPr>
            <w:tcW w:w="260" w:type="dxa"/>
            <w:vAlign w:val="bottom"/>
          </w:tcPr>
          <w:p>
            <w:pPr>
              <w:spacing w:after="0"/>
              <w:rPr>
                <w:sz w:val="19"/>
                <w:szCs w:val="19"/>
                <w:color w:val="auto"/>
              </w:rPr>
            </w:pPr>
          </w:p>
        </w:tc>
        <w:tc>
          <w:tcPr>
            <w:tcW w:w="1400" w:type="dxa"/>
            <w:vAlign w:val="bottom"/>
          </w:tcPr>
          <w:p>
            <w:pPr>
              <w:jc w:val="center"/>
              <w:ind w:right="181"/>
              <w:spacing w:after="0"/>
              <w:rPr>
                <w:sz w:val="20"/>
                <w:szCs w:val="20"/>
                <w:color w:val="auto"/>
              </w:rPr>
            </w:pPr>
            <w:r>
              <w:rPr>
                <w:rFonts w:ascii="Arial" w:cs="Arial" w:eastAsia="Arial" w:hAnsi="Arial"/>
                <w:sz w:val="20"/>
                <w:szCs w:val="20"/>
                <w:b w:val="1"/>
                <w:bCs w:val="1"/>
                <w:color w:val="auto"/>
                <w:w w:val="92"/>
              </w:rPr>
              <w:t>Year</w:t>
            </w:r>
          </w:p>
        </w:tc>
      </w:tr>
      <w:tr>
        <w:trPr>
          <w:trHeight w:val="230"/>
        </w:trPr>
        <w:tc>
          <w:tcPr>
            <w:tcW w:w="6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20"/>
                <w:szCs w:val="20"/>
                <w:b w:val="1"/>
                <w:bCs w:val="1"/>
                <w:color w:val="auto"/>
                <w:w w:val="90"/>
              </w:rPr>
              <w:t>ended February</w:t>
            </w:r>
          </w:p>
        </w:tc>
        <w:tc>
          <w:tcPr>
            <w:tcW w:w="260" w:type="dxa"/>
            <w:vAlign w:val="bottom"/>
          </w:tcPr>
          <w:p>
            <w:pPr>
              <w:spacing w:after="0"/>
              <w:rPr>
                <w:sz w:val="19"/>
                <w:szCs w:val="19"/>
                <w:color w:val="auto"/>
              </w:rPr>
            </w:pPr>
          </w:p>
        </w:tc>
        <w:tc>
          <w:tcPr>
            <w:tcW w:w="1400" w:type="dxa"/>
            <w:vAlign w:val="bottom"/>
          </w:tcPr>
          <w:p>
            <w:pPr>
              <w:jc w:val="center"/>
              <w:ind w:right="161"/>
              <w:spacing w:after="0"/>
              <w:rPr>
                <w:sz w:val="20"/>
                <w:szCs w:val="20"/>
                <w:color w:val="auto"/>
              </w:rPr>
            </w:pPr>
            <w:r>
              <w:rPr>
                <w:rFonts w:ascii="Arial" w:cs="Arial" w:eastAsia="Arial" w:hAnsi="Arial"/>
                <w:sz w:val="20"/>
                <w:szCs w:val="20"/>
                <w:b w:val="1"/>
                <w:bCs w:val="1"/>
                <w:color w:val="auto"/>
                <w:w w:val="84"/>
              </w:rPr>
              <w:t>ended</w:t>
            </w:r>
          </w:p>
        </w:tc>
      </w:tr>
      <w:tr>
        <w:trPr>
          <w:trHeight w:val="230"/>
        </w:trPr>
        <w:tc>
          <w:tcPr>
            <w:tcW w:w="6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ind w:right="601"/>
              <w:spacing w:after="0"/>
              <w:rPr>
                <w:sz w:val="20"/>
                <w:szCs w:val="20"/>
                <w:color w:val="auto"/>
              </w:rPr>
            </w:pPr>
            <w:r>
              <w:rPr>
                <w:rFonts w:ascii="Arial" w:cs="Arial" w:eastAsia="Arial" w:hAnsi="Arial"/>
                <w:sz w:val="20"/>
                <w:szCs w:val="20"/>
                <w:b w:val="1"/>
                <w:bCs w:val="1"/>
                <w:color w:val="auto"/>
              </w:rPr>
              <w:t>28,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center"/>
              <w:ind w:right="161"/>
              <w:spacing w:after="0"/>
              <w:rPr>
                <w:sz w:val="20"/>
                <w:szCs w:val="20"/>
                <w:color w:val="auto"/>
              </w:rPr>
            </w:pPr>
            <w:r>
              <w:rPr>
                <w:rFonts w:ascii="Arial" w:cs="Arial" w:eastAsia="Arial" w:hAnsi="Arial"/>
                <w:sz w:val="20"/>
                <w:szCs w:val="20"/>
                <w:b w:val="1"/>
                <w:bCs w:val="1"/>
                <w:color w:val="auto"/>
                <w:w w:val="93"/>
              </w:rPr>
              <w:t>March 31,</w:t>
            </w:r>
          </w:p>
        </w:tc>
      </w:tr>
      <w:tr>
        <w:trPr>
          <w:trHeight w:val="256"/>
        </w:trPr>
        <w:tc>
          <w:tcPr>
            <w:tcW w:w="6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20" w:type="dxa"/>
            <w:vAlign w:val="bottom"/>
          </w:tcPr>
          <w:p>
            <w:pPr>
              <w:jc w:val="right"/>
              <w:ind w:right="521"/>
              <w:spacing w:after="0"/>
              <w:rPr>
                <w:sz w:val="20"/>
                <w:szCs w:val="20"/>
                <w:color w:val="auto"/>
              </w:rPr>
            </w:pPr>
            <w:r>
              <w:rPr>
                <w:rFonts w:ascii="Arial" w:cs="Arial" w:eastAsia="Arial" w:hAnsi="Arial"/>
                <w:sz w:val="20"/>
                <w:szCs w:val="20"/>
                <w:b w:val="1"/>
                <w:bCs w:val="1"/>
                <w:color w:val="auto"/>
              </w:rPr>
              <w:t>2013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0" w:type="dxa"/>
            <w:vAlign w:val="bottom"/>
          </w:tcPr>
          <w:p>
            <w:pPr>
              <w:jc w:val="center"/>
              <w:ind w:right="181"/>
              <w:spacing w:after="0"/>
              <w:rPr>
                <w:sz w:val="20"/>
                <w:szCs w:val="20"/>
                <w:color w:val="auto"/>
              </w:rPr>
            </w:pPr>
            <w:r>
              <w:rPr>
                <w:rFonts w:ascii="Arial" w:cs="Arial" w:eastAsia="Arial" w:hAnsi="Arial"/>
                <w:sz w:val="20"/>
                <w:szCs w:val="20"/>
                <w:b w:val="1"/>
                <w:bCs w:val="1"/>
                <w:color w:val="auto"/>
                <w:w w:val="89"/>
              </w:rPr>
              <w:t>2012</w:t>
            </w:r>
          </w:p>
        </w:tc>
      </w:tr>
      <w:tr>
        <w:trPr>
          <w:trHeight w:val="23"/>
        </w:trPr>
        <w:tc>
          <w:tcPr>
            <w:tcW w:w="6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4"/>
        </w:trPr>
        <w:tc>
          <w:tcPr>
            <w:tcW w:w="6160" w:type="dxa"/>
            <w:vAlign w:val="bottom"/>
          </w:tcPr>
          <w:p>
            <w:pPr>
              <w:spacing w:after="0"/>
              <w:rPr>
                <w:sz w:val="20"/>
                <w:szCs w:val="20"/>
                <w:color w:val="auto"/>
              </w:rPr>
            </w:pPr>
            <w:r>
              <w:rPr>
                <w:rFonts w:ascii="Arial" w:cs="Arial" w:eastAsia="Arial" w:hAnsi="Arial"/>
                <w:sz w:val="20"/>
                <w:szCs w:val="20"/>
                <w:color w:val="auto"/>
              </w:rPr>
              <w:t>Balance at beginning of period</w:t>
            </w: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520" w:type="dxa"/>
            <w:vAlign w:val="bottom"/>
          </w:tcPr>
          <w:p>
            <w:pPr>
              <w:jc w:val="right"/>
              <w:spacing w:after="0"/>
              <w:rPr>
                <w:sz w:val="20"/>
                <w:szCs w:val="20"/>
                <w:color w:val="auto"/>
              </w:rPr>
            </w:pPr>
            <w:r>
              <w:rPr>
                <w:rFonts w:ascii="Arial" w:cs="Arial" w:eastAsia="Arial" w:hAnsi="Arial"/>
                <w:sz w:val="20"/>
                <w:szCs w:val="20"/>
                <w:color w:val="auto"/>
              </w:rPr>
              <w:t>182</w:t>
            </w:r>
          </w:p>
        </w:tc>
        <w:tc>
          <w:tcPr>
            <w:tcW w:w="120" w:type="dxa"/>
            <w:vAlign w:val="bottom"/>
          </w:tcPr>
          <w:p>
            <w:pPr>
              <w:spacing w:after="0"/>
              <w:rPr>
                <w:sz w:val="22"/>
                <w:szCs w:val="22"/>
                <w:color w:val="auto"/>
              </w:rPr>
            </w:pPr>
          </w:p>
        </w:tc>
        <w:tc>
          <w:tcPr>
            <w:tcW w:w="260" w:type="dxa"/>
            <w:vAlign w:val="bottom"/>
          </w:tcPr>
          <w:p>
            <w:pPr>
              <w:jc w:val="right"/>
              <w:ind w:right="41"/>
              <w:spacing w:after="0"/>
              <w:rPr>
                <w:sz w:val="20"/>
                <w:szCs w:val="20"/>
                <w:color w:val="auto"/>
              </w:rPr>
            </w:pPr>
            <w:r>
              <w:rPr>
                <w:rFonts w:ascii="Arial" w:cs="Arial" w:eastAsia="Arial" w:hAnsi="Arial"/>
                <w:sz w:val="20"/>
                <w:szCs w:val="20"/>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20"/>
                <w:szCs w:val="20"/>
                <w:color w:val="auto"/>
              </w:rPr>
              <w:t>306</w:t>
            </w:r>
          </w:p>
        </w:tc>
      </w:tr>
      <w:tr>
        <w:trPr>
          <w:trHeight w:val="284"/>
        </w:trPr>
        <w:tc>
          <w:tcPr>
            <w:tcW w:w="6160" w:type="dxa"/>
            <w:vAlign w:val="bottom"/>
          </w:tcPr>
          <w:p>
            <w:pPr>
              <w:spacing w:after="0"/>
              <w:rPr>
                <w:sz w:val="20"/>
                <w:szCs w:val="20"/>
                <w:color w:val="auto"/>
              </w:rPr>
            </w:pPr>
            <w:r>
              <w:rPr>
                <w:rFonts w:ascii="Arial" w:cs="Arial" w:eastAsia="Arial" w:hAnsi="Arial"/>
                <w:sz w:val="20"/>
                <w:szCs w:val="20"/>
                <w:color w:val="auto"/>
              </w:rPr>
              <w:t>Accruals for warranties issued during the year</w:t>
            </w:r>
          </w:p>
        </w:tc>
        <w:tc>
          <w:tcPr>
            <w:tcW w:w="14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221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jc w:val="right"/>
              <w:ind w:right="1"/>
              <w:spacing w:after="0"/>
              <w:rPr>
                <w:sz w:val="20"/>
                <w:szCs w:val="20"/>
                <w:color w:val="auto"/>
              </w:rPr>
            </w:pPr>
            <w:r>
              <w:rPr>
                <w:rFonts w:ascii="Arial" w:cs="Arial" w:eastAsia="Arial" w:hAnsi="Arial"/>
                <w:sz w:val="20"/>
                <w:szCs w:val="20"/>
                <w:color w:val="auto"/>
              </w:rPr>
              <w:t>182</w:t>
            </w:r>
          </w:p>
        </w:tc>
      </w:tr>
      <w:tr>
        <w:trPr>
          <w:trHeight w:val="284"/>
        </w:trPr>
        <w:tc>
          <w:tcPr>
            <w:tcW w:w="6160" w:type="dxa"/>
            <w:vAlign w:val="bottom"/>
          </w:tcPr>
          <w:p>
            <w:pPr>
              <w:spacing w:after="0"/>
              <w:rPr>
                <w:sz w:val="20"/>
                <w:szCs w:val="20"/>
                <w:color w:val="auto"/>
              </w:rPr>
            </w:pPr>
            <w:r>
              <w:rPr>
                <w:rFonts w:ascii="Arial" w:cs="Arial" w:eastAsia="Arial" w:hAnsi="Arial"/>
                <w:sz w:val="20"/>
                <w:szCs w:val="20"/>
                <w:color w:val="auto"/>
              </w:rPr>
              <w:t>Warranty costs incurred during the year</w:t>
            </w:r>
          </w:p>
        </w:tc>
        <w:tc>
          <w:tcPr>
            <w:tcW w:w="14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(182)</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(306)</w:t>
            </w:r>
          </w:p>
        </w:tc>
      </w:tr>
      <w:tr>
        <w:trPr>
          <w:trHeight w:val="23"/>
        </w:trPr>
        <w:tc>
          <w:tcPr>
            <w:tcW w:w="6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72"/>
        </w:trPr>
        <w:tc>
          <w:tcPr>
            <w:tcW w:w="6160" w:type="dxa"/>
            <w:vAlign w:val="bottom"/>
          </w:tcPr>
          <w:p>
            <w:pPr>
              <w:spacing w:after="0"/>
              <w:rPr>
                <w:sz w:val="20"/>
                <w:szCs w:val="20"/>
                <w:color w:val="auto"/>
              </w:rPr>
            </w:pPr>
            <w:r>
              <w:rPr>
                <w:rFonts w:ascii="Arial" w:cs="Arial" w:eastAsia="Arial" w:hAnsi="Arial"/>
                <w:sz w:val="20"/>
                <w:szCs w:val="20"/>
                <w:color w:val="auto"/>
              </w:rPr>
              <w:t>Balance at end of period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221</w:t>
            </w:r>
          </w:p>
        </w:tc>
        <w:tc>
          <w:tcPr>
            <w:tcW w:w="120" w:type="dxa"/>
            <w:vAlign w:val="bottom"/>
          </w:tcPr>
          <w:p>
            <w:pPr>
              <w:spacing w:after="0"/>
              <w:rPr>
                <w:sz w:val="23"/>
                <w:szCs w:val="23"/>
                <w:color w:val="auto"/>
              </w:rPr>
            </w:pPr>
          </w:p>
        </w:tc>
        <w:tc>
          <w:tcPr>
            <w:tcW w:w="2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w w:val="89"/>
              </w:rPr>
              <w:t>¥</w:t>
            </w:r>
          </w:p>
        </w:tc>
        <w:tc>
          <w:tcPr>
            <w:tcW w:w="14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182</w:t>
            </w:r>
          </w:p>
        </w:tc>
      </w:tr>
      <w:tr>
        <w:trPr>
          <w:trHeight w:val="20"/>
        </w:trPr>
        <w:tc>
          <w:tcPr>
            <w:tcW w:w="6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left="780" w:hanging="360"/>
        <w:spacing w:after="0"/>
        <w:tabs>
          <w:tab w:leader="none" w:pos="780" w:val="left"/>
        </w:tabs>
        <w:numPr>
          <w:ilvl w:val="1"/>
          <w:numId w:val="35"/>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Legal Proceedings</w:t>
      </w:r>
    </w:p>
    <w:p>
      <w:pPr>
        <w:spacing w:after="0" w:line="67" w:lineRule="exact"/>
        <w:rPr>
          <w:rFonts w:ascii="Arial" w:cs="Arial" w:eastAsia="Arial" w:hAnsi="Arial"/>
          <w:sz w:val="20"/>
          <w:szCs w:val="20"/>
          <w:b w:val="1"/>
          <w:bCs w:val="1"/>
          <w:i w:val="1"/>
          <w:iCs w:val="1"/>
          <w:color w:val="auto"/>
        </w:rPr>
      </w:pPr>
    </w:p>
    <w:p>
      <w:pPr>
        <w:jc w:val="both"/>
        <w:ind w:left="780"/>
        <w:spacing w:after="0" w:line="269" w:lineRule="auto"/>
        <w:rPr>
          <w:rFonts w:ascii="Arial" w:cs="Arial" w:eastAsia="Arial" w:hAnsi="Arial"/>
          <w:sz w:val="20"/>
          <w:szCs w:val="20"/>
          <w:b w:val="1"/>
          <w:bCs w:val="1"/>
          <w:i w:val="1"/>
          <w:iCs w:val="1"/>
          <w:color w:val="auto"/>
        </w:rPr>
      </w:pPr>
      <w:r>
        <w:rPr>
          <w:rFonts w:ascii="Arial" w:cs="Arial" w:eastAsia="Arial" w:hAnsi="Arial"/>
          <w:sz w:val="19"/>
          <w:szCs w:val="19"/>
          <w:color w:val="auto"/>
        </w:rPr>
        <w:t>The Company is involved in various claims and legal actions arising in the ordinary course of business. In the opinion of management, the ultimate disposition of these matters are not expected to have a material adverse effect on the Company’s consolidated financial position, results of operations, or liquidity (see Note (1), for legal proceedings related to reorganization).</w:t>
      </w:r>
    </w:p>
    <w:p>
      <w:pPr>
        <w:spacing w:after="0" w:line="272" w:lineRule="exact"/>
        <w:rPr>
          <w:rFonts w:ascii="Arial" w:cs="Arial" w:eastAsia="Arial" w:hAnsi="Arial"/>
          <w:sz w:val="20"/>
          <w:szCs w:val="20"/>
          <w:b w:val="1"/>
          <w:bCs w:val="1"/>
          <w:i w:val="1"/>
          <w:iCs w:val="1"/>
          <w:color w:val="auto"/>
        </w:rPr>
      </w:pPr>
    </w:p>
    <w:p>
      <w:pPr>
        <w:ind w:left="440" w:hanging="438"/>
        <w:spacing w:after="0"/>
        <w:tabs>
          <w:tab w:leader="none" w:pos="440" w:val="left"/>
        </w:tabs>
        <w:numPr>
          <w:ilvl w:val="0"/>
          <w:numId w:val="36"/>
        </w:numPr>
        <w:rPr>
          <w:rFonts w:ascii="Arial" w:cs="Arial" w:eastAsia="Arial" w:hAnsi="Arial"/>
          <w:sz w:val="20"/>
          <w:szCs w:val="20"/>
          <w:b w:val="1"/>
          <w:bCs w:val="1"/>
          <w:color w:val="auto"/>
        </w:rPr>
      </w:pPr>
      <w:r>
        <w:rPr>
          <w:rFonts w:ascii="Arial" w:cs="Arial" w:eastAsia="Arial" w:hAnsi="Arial"/>
          <w:sz w:val="20"/>
          <w:szCs w:val="20"/>
          <w:b w:val="1"/>
          <w:bCs w:val="1"/>
          <w:color w:val="auto"/>
        </w:rPr>
        <w:t>Impairment Charge</w:t>
      </w:r>
    </w:p>
    <w:p>
      <w:pPr>
        <w:spacing w:after="0" w:line="113" w:lineRule="exact"/>
        <w:rPr>
          <w:rFonts w:ascii="Arial" w:cs="Arial" w:eastAsia="Arial" w:hAnsi="Arial"/>
          <w:sz w:val="20"/>
          <w:szCs w:val="20"/>
          <w:b w:val="1"/>
          <w:bCs w:val="1"/>
          <w:color w:val="auto"/>
        </w:rPr>
      </w:pPr>
    </w:p>
    <w:p>
      <w:pPr>
        <w:jc w:val="both"/>
        <w:ind w:left="420"/>
        <w:spacing w:after="0" w:line="243" w:lineRule="auto"/>
        <w:rPr>
          <w:rFonts w:ascii="Arial" w:cs="Arial" w:eastAsia="Arial" w:hAnsi="Arial"/>
          <w:sz w:val="20"/>
          <w:szCs w:val="20"/>
          <w:b w:val="1"/>
          <w:bCs w:val="1"/>
          <w:color w:val="auto"/>
        </w:rPr>
      </w:pPr>
      <w:r>
        <w:rPr>
          <w:rFonts w:ascii="Arial" w:cs="Arial" w:eastAsia="Arial" w:hAnsi="Arial"/>
          <w:sz w:val="20"/>
          <w:szCs w:val="20"/>
          <w:color w:val="auto"/>
        </w:rPr>
        <w:t>A variety of external economic factors have contributed to the decline in the Company’s operating performance. The global economic downturn that began in the fall of 2008 has continued to cause demand decreases and price declines of DRAMs, which resulted in significant reductions in the Company’s manufacturing capacity utilization as the Company reduced production. Coupled with additional factors such as the strong yen, competition in the DRAM industry and the flood in Thailand, the Company’s operating performance significantly deteriorated during the year ended March 31, 2012, which led to the voluntary petition filing by Debtors on February 27, 2012.</w:t>
      </w:r>
    </w:p>
    <w:p>
      <w:pPr>
        <w:spacing w:after="0" w:line="115" w:lineRule="exact"/>
        <w:rPr>
          <w:rFonts w:ascii="Arial" w:cs="Arial" w:eastAsia="Arial" w:hAnsi="Arial"/>
          <w:sz w:val="20"/>
          <w:szCs w:val="20"/>
          <w:b w:val="1"/>
          <w:bCs w:val="1"/>
          <w:color w:val="auto"/>
        </w:rPr>
      </w:pPr>
    </w:p>
    <w:p>
      <w:pPr>
        <w:jc w:val="both"/>
        <w:ind w:left="420"/>
        <w:spacing w:after="0" w:line="321" w:lineRule="auto"/>
        <w:rPr>
          <w:rFonts w:ascii="Arial" w:cs="Arial" w:eastAsia="Arial" w:hAnsi="Arial"/>
          <w:sz w:val="20"/>
          <w:szCs w:val="20"/>
          <w:b w:val="1"/>
          <w:bCs w:val="1"/>
          <w:color w:val="auto"/>
        </w:rPr>
      </w:pPr>
      <w:r>
        <w:rPr>
          <w:rFonts w:ascii="Arial" w:cs="Arial" w:eastAsia="Arial" w:hAnsi="Arial"/>
          <w:sz w:val="16"/>
          <w:szCs w:val="16"/>
          <w:color w:val="auto"/>
        </w:rPr>
        <w:t>Given these indicators of impairment during the fourth quarter of 2012, the Company believed its long-lived assets including certain intangible assets may not be recoverable. The estimated undiscounted future cash flows generated by the equipment were less than their carrying values, and the carrying values of the equipment were reduced to fair value. This resulted in a pre-tax charge of ¥228,523 recorded by the Debtors, which was included as a separate line item in the consolidated statements of operations for the year ended March 31, 2012. Management estimated the fair value based on replacement cost method and discounted cash flow method (see Note (10)).</w:t>
      </w:r>
    </w:p>
    <w:p>
      <w:pPr>
        <w:spacing w:after="0" w:line="2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60" w:top="553" w:right="239" w:bottom="1440" w:gutter="0" w:footer="0" w:header="0"/>
        </w:sectPr>
      </w:pPr>
    </w:p>
    <w:bookmarkStart w:id="50" w:name="page51"/>
    <w:bookmarkEnd w:id="50"/>
    <w:p>
      <w:pPr>
        <w:jc w:val="center"/>
        <w:ind w:right="20"/>
        <w:spacing w:after="0"/>
        <w:rPr>
          <w:sz w:val="20"/>
          <w:szCs w:val="20"/>
          <w:color w:val="auto"/>
        </w:rPr>
      </w:pPr>
      <w:r>
        <w:rPr>
          <w:rFonts w:ascii="Arial" w:cs="Arial" w:eastAsia="Arial" w:hAnsi="Arial"/>
          <w:sz w:val="18"/>
          <w:szCs w:val="18"/>
          <w:b w:val="1"/>
          <w:bCs w:val="1"/>
          <w:color w:val="auto"/>
        </w:rPr>
        <w:t>ELPIDA MEMORY,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(DEBTORS-IN-POSSESSION)</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1" w:lineRule="exact"/>
        <w:rPr>
          <w:sz w:val="20"/>
          <w:szCs w:val="20"/>
          <w:color w:val="auto"/>
        </w:rPr>
      </w:pPr>
    </w:p>
    <w:p>
      <w:pPr>
        <w:ind w:left="420"/>
        <w:spacing w:after="0"/>
        <w:rPr>
          <w:sz w:val="20"/>
          <w:szCs w:val="20"/>
          <w:color w:val="auto"/>
        </w:rPr>
      </w:pPr>
      <w:r>
        <w:rPr>
          <w:rFonts w:ascii="Arial" w:cs="Arial" w:eastAsia="Arial" w:hAnsi="Arial"/>
          <w:sz w:val="20"/>
          <w:szCs w:val="20"/>
          <w:color w:val="auto"/>
        </w:rPr>
        <w:t>No impairment charges were recorded by the Debtors for the eleven months ended February 28, 2013.</w:t>
      </w:r>
    </w:p>
    <w:p>
      <w:pPr>
        <w:spacing w:after="0" w:line="135" w:lineRule="exact"/>
        <w:rPr>
          <w:sz w:val="20"/>
          <w:szCs w:val="20"/>
          <w:color w:val="auto"/>
        </w:rPr>
      </w:pPr>
    </w:p>
    <w:p>
      <w:pPr>
        <w:jc w:val="both"/>
        <w:ind w:left="420"/>
        <w:spacing w:after="0" w:line="246" w:lineRule="auto"/>
        <w:rPr>
          <w:sz w:val="20"/>
          <w:szCs w:val="20"/>
          <w:color w:val="auto"/>
        </w:rPr>
      </w:pPr>
      <w:r>
        <w:rPr>
          <w:rFonts w:ascii="Arial" w:cs="Arial" w:eastAsia="Arial" w:hAnsi="Arial"/>
          <w:sz w:val="20"/>
          <w:szCs w:val="20"/>
          <w:color w:val="auto"/>
        </w:rPr>
        <w:t>Rexchip had assets to be disposed of other than through sales which had ceased to be used at March 31, 2012. These assets were adjusted to fair value, which was measured based on salvage value, because the assets could not be sold or used for another purpose. This resulted in a pre-tax charge of ¥1,037, which was recorded as a separate line item in the consolidated statements of operations for the year ended March 31, 2012.</w:t>
      </w:r>
    </w:p>
    <w:p>
      <w:pPr>
        <w:spacing w:after="0" w:line="110" w:lineRule="exact"/>
        <w:rPr>
          <w:sz w:val="20"/>
          <w:szCs w:val="20"/>
          <w:color w:val="auto"/>
        </w:rPr>
      </w:pPr>
    </w:p>
    <w:p>
      <w:pPr>
        <w:ind w:left="420"/>
        <w:spacing w:after="0"/>
        <w:rPr>
          <w:sz w:val="20"/>
          <w:szCs w:val="20"/>
          <w:color w:val="auto"/>
        </w:rPr>
      </w:pPr>
      <w:r>
        <w:rPr>
          <w:rFonts w:ascii="Arial" w:cs="Arial" w:eastAsia="Arial" w:hAnsi="Arial"/>
          <w:sz w:val="20"/>
          <w:szCs w:val="20"/>
          <w:color w:val="auto"/>
        </w:rPr>
        <w:t>No impairment charges were recorded by Rexchip for the eleven months ended February 28, 2013.</w:t>
      </w:r>
    </w:p>
    <w:p>
      <w:pPr>
        <w:spacing w:after="0" w:line="318" w:lineRule="exact"/>
        <w:rPr>
          <w:sz w:val="20"/>
          <w:szCs w:val="20"/>
          <w:color w:val="auto"/>
        </w:rPr>
      </w:pPr>
    </w:p>
    <w:p>
      <w:pPr>
        <w:ind w:left="440" w:hanging="438"/>
        <w:spacing w:after="0"/>
        <w:tabs>
          <w:tab w:leader="none" w:pos="440" w:val="left"/>
        </w:tabs>
        <w:numPr>
          <w:ilvl w:val="0"/>
          <w:numId w:val="37"/>
        </w:numPr>
        <w:rPr>
          <w:rFonts w:ascii="Arial" w:cs="Arial" w:eastAsia="Arial" w:hAnsi="Arial"/>
          <w:sz w:val="20"/>
          <w:szCs w:val="20"/>
          <w:b w:val="1"/>
          <w:bCs w:val="1"/>
          <w:color w:val="auto"/>
        </w:rPr>
      </w:pPr>
      <w:r>
        <w:rPr>
          <w:rFonts w:ascii="Arial" w:cs="Arial" w:eastAsia="Arial" w:hAnsi="Arial"/>
          <w:sz w:val="20"/>
          <w:szCs w:val="20"/>
          <w:b w:val="1"/>
          <w:bCs w:val="1"/>
          <w:color w:val="auto"/>
        </w:rPr>
        <w:t>Shipping and Handling Costs</w:t>
      </w:r>
    </w:p>
    <w:p>
      <w:pPr>
        <w:spacing w:after="0" w:line="113" w:lineRule="exact"/>
        <w:rPr>
          <w:rFonts w:ascii="Arial" w:cs="Arial" w:eastAsia="Arial" w:hAnsi="Arial"/>
          <w:sz w:val="20"/>
          <w:szCs w:val="20"/>
          <w:b w:val="1"/>
          <w:bCs w:val="1"/>
          <w:color w:val="auto"/>
        </w:rPr>
      </w:pPr>
    </w:p>
    <w:p>
      <w:pPr>
        <w:ind w:left="420"/>
        <w:spacing w:after="0" w:line="260" w:lineRule="auto"/>
        <w:rPr>
          <w:rFonts w:ascii="Arial" w:cs="Arial" w:eastAsia="Arial" w:hAnsi="Arial"/>
          <w:sz w:val="20"/>
          <w:szCs w:val="20"/>
          <w:b w:val="1"/>
          <w:bCs w:val="1"/>
          <w:color w:val="auto"/>
        </w:rPr>
      </w:pPr>
      <w:r>
        <w:rPr>
          <w:rFonts w:ascii="Arial" w:cs="Arial" w:eastAsia="Arial" w:hAnsi="Arial"/>
          <w:sz w:val="20"/>
          <w:szCs w:val="20"/>
          <w:color w:val="auto"/>
        </w:rPr>
        <w:t>Shipping and handling costs are included in selling, general and administrative expenses. Shipping and handling costs for the eleven months ended February 28, 2013 and the year ended March 31, 2012 were ¥1,015 and ¥1,169, respectively.</w:t>
      </w:r>
    </w:p>
    <w:p>
      <w:pPr>
        <w:spacing w:after="0" w:line="279" w:lineRule="exact"/>
        <w:rPr>
          <w:rFonts w:ascii="Arial" w:cs="Arial" w:eastAsia="Arial" w:hAnsi="Arial"/>
          <w:sz w:val="20"/>
          <w:szCs w:val="20"/>
          <w:b w:val="1"/>
          <w:bCs w:val="1"/>
          <w:color w:val="auto"/>
        </w:rPr>
      </w:pPr>
    </w:p>
    <w:p>
      <w:pPr>
        <w:ind w:left="440" w:hanging="438"/>
        <w:spacing w:after="0"/>
        <w:tabs>
          <w:tab w:leader="none" w:pos="440" w:val="left"/>
        </w:tabs>
        <w:numPr>
          <w:ilvl w:val="0"/>
          <w:numId w:val="37"/>
        </w:numPr>
        <w:rPr>
          <w:rFonts w:ascii="Arial" w:cs="Arial" w:eastAsia="Arial" w:hAnsi="Arial"/>
          <w:sz w:val="20"/>
          <w:szCs w:val="20"/>
          <w:b w:val="1"/>
          <w:bCs w:val="1"/>
          <w:color w:val="auto"/>
        </w:rPr>
      </w:pPr>
      <w:r>
        <w:rPr>
          <w:rFonts w:ascii="Arial" w:cs="Arial" w:eastAsia="Arial" w:hAnsi="Arial"/>
          <w:sz w:val="20"/>
          <w:szCs w:val="20"/>
          <w:b w:val="1"/>
          <w:bCs w:val="1"/>
          <w:color w:val="auto"/>
        </w:rPr>
        <w:t>Subsequent Events</w:t>
      </w:r>
    </w:p>
    <w:p>
      <w:pPr>
        <w:spacing w:after="0" w:line="114" w:lineRule="exact"/>
        <w:rPr>
          <w:sz w:val="20"/>
          <w:szCs w:val="20"/>
          <w:color w:val="auto"/>
        </w:rPr>
      </w:pPr>
    </w:p>
    <w:p>
      <w:pPr>
        <w:ind w:left="400" w:right="200"/>
        <w:spacing w:after="0" w:line="250" w:lineRule="auto"/>
        <w:rPr>
          <w:sz w:val="20"/>
          <w:szCs w:val="20"/>
          <w:color w:val="auto"/>
        </w:rPr>
      </w:pPr>
      <w:r>
        <w:rPr>
          <w:rFonts w:ascii="Arial" w:cs="Arial" w:eastAsia="Arial" w:hAnsi="Arial"/>
          <w:sz w:val="20"/>
          <w:szCs w:val="20"/>
          <w:color w:val="auto"/>
        </w:rPr>
        <w:t>The Company has evaluated subsequent events from the balance sheet date through August 29, 2013, the date at which the financial statements were available to be issued, and determined that there are no items to disclose other than those described in other footnotes to the consolidated financial statements.</w:t>
      </w: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60" w:top="553"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99.3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FINANCIAL STATEMENTS</w:t>
      </w:r>
    </w:p>
    <w:p>
      <w:pPr>
        <w:spacing w:after="0" w:line="229" w:lineRule="exact"/>
        <w:rPr>
          <w:sz w:val="20"/>
          <w:szCs w:val="20"/>
          <w:color w:val="auto"/>
        </w:rPr>
      </w:pPr>
    </w:p>
    <w:p>
      <w:pPr>
        <w:ind w:right="280" w:firstLine="324"/>
        <w:spacing w:after="0" w:line="279" w:lineRule="auto"/>
        <w:rPr>
          <w:sz w:val="20"/>
          <w:szCs w:val="20"/>
          <w:color w:val="auto"/>
        </w:rPr>
      </w:pPr>
      <w:r>
        <w:rPr>
          <w:rFonts w:ascii="Arial" w:cs="Arial" w:eastAsia="Arial" w:hAnsi="Arial"/>
          <w:sz w:val="17"/>
          <w:szCs w:val="17"/>
          <w:color w:val="auto"/>
        </w:rPr>
        <w:t>The following unaudited pro forma condensed combined financial statements and related notes present the historical financial statements of Micron Technology, Inc. and its consolidated subsidiaries (hereinafter referred to as "we," "our," "us" and similar terms unless the context indicates otherwise) and Elpida Memory, Inc. ("Elpida") and its subsidiaries (the "Elpida Group") and Elpida's subsidiary Akita Elpida Memory, Inc. ("Akita" and, together with Elpida, the "Elpida Companies") after giving effect to our acquisition of the Elpida Group on July 31, 2013.</w:t>
      </w:r>
    </w:p>
    <w:p>
      <w:pPr>
        <w:spacing w:after="0" w:line="17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On July 31, 2013, we also completed the acquisition of an additional 24% ownership interest in Rexchip Electronics Corporation ("Rexchip"), a Taiwanese corporation and manufacturing joint venture formed by Powerchip Technology Corporation ("Powerchip") and Elpida, from Powerchip and certain of its affiliates (the "Powerchip Group") pursuant to a share purchase agreement. The Elpida Group owns approximately 65% of Rexchip's outstanding common stock. Therefore, as a result of the consummation of our acquisition of the Elpida Group and the Rexchip shares from the Powerchip Group, we own approximately 89% of Rexchip's outstanding common stock.</w:t>
      </w:r>
    </w:p>
    <w:p>
      <w:pPr>
        <w:spacing w:after="0" w:line="188" w:lineRule="exact"/>
        <w:rPr>
          <w:sz w:val="20"/>
          <w:szCs w:val="20"/>
          <w:color w:val="auto"/>
        </w:rPr>
      </w:pPr>
    </w:p>
    <w:p>
      <w:pPr>
        <w:jc w:val="both"/>
        <w:ind w:right="260" w:firstLine="324"/>
        <w:spacing w:after="0" w:line="264" w:lineRule="auto"/>
        <w:rPr>
          <w:sz w:val="20"/>
          <w:szCs w:val="20"/>
          <w:color w:val="auto"/>
        </w:rPr>
      </w:pPr>
      <w:r>
        <w:rPr>
          <w:rFonts w:ascii="Arial" w:cs="Arial" w:eastAsia="Arial" w:hAnsi="Arial"/>
          <w:sz w:val="18"/>
          <w:szCs w:val="18"/>
          <w:color w:val="auto"/>
        </w:rPr>
        <w:t>The acquisitions of the Elpida Group and Rexchip shares are hereinafter referred to as the "Elpida Acquisition." These pro forma financial statements give effect to the Elpida Acquisition based on the assumptions, reclassifications and adjustments described in the accompanying notes to the unaudited pro forma condensed combined financial statements.</w:t>
      </w:r>
    </w:p>
    <w:p>
      <w:pPr>
        <w:spacing w:after="0" w:line="181" w:lineRule="exact"/>
        <w:rPr>
          <w:sz w:val="20"/>
          <w:szCs w:val="20"/>
          <w:color w:val="auto"/>
        </w:rPr>
      </w:pPr>
    </w:p>
    <w:p>
      <w:pPr>
        <w:ind w:right="400" w:firstLine="324"/>
        <w:spacing w:after="0" w:line="279" w:lineRule="auto"/>
        <w:rPr>
          <w:sz w:val="20"/>
          <w:szCs w:val="20"/>
          <w:color w:val="auto"/>
        </w:rPr>
      </w:pPr>
      <w:r>
        <w:rPr>
          <w:rFonts w:ascii="Arial" w:cs="Arial" w:eastAsia="Arial" w:hAnsi="Arial"/>
          <w:sz w:val="17"/>
          <w:szCs w:val="17"/>
          <w:color w:val="auto"/>
        </w:rPr>
        <w:t>The unaudited pro forma condensed combined financial statements are based on provisional valuations of assets and liabilities acquired and the consideration paid in the Elpida Acquisition. These provisional amounts could change as additional information becomes available. These changes could result in material variances between the combined entity's future financial results and the amounts presented in these unaudited pro forma condensed combined financial statements, including variances in fair values recorded, as well as expenses associated with these items.</w:t>
      </w:r>
    </w:p>
    <w:p>
      <w:pPr>
        <w:spacing w:after="0" w:line="171"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The following unaudited pro forma condensed combined balance sheet is presented as if the effective date of the Elpida Acquisition had occurred on May 30, 2013. All period references are to fiscal periods unless otherwise indicated. The following unaudited pro forma condensed combined statement of operations for the nine months ended May 30, 2013 and the year ended August 30, 2012 are presented as if the effective date of the Elpida Acquisition had occurred on September 2, 2011. This information should be read in conjunction with the:</w:t>
      </w:r>
    </w:p>
    <w:p>
      <w:pPr>
        <w:spacing w:after="0" w:line="187"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accompanying notes to the unaudited pro forma condensed combined financial statements;</w:t>
      </w:r>
    </w:p>
    <w:p>
      <w:pPr>
        <w:spacing w:after="0" w:line="225"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audited historical consolidated financial statements as of and for the year ended August 30, 2012, included in our Annual Report on Form 10-K for the year ended August 30, 2012;</w:t>
      </w:r>
    </w:p>
    <w:p>
      <w:pPr>
        <w:spacing w:after="0" w:line="170"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unaudited historical consolidated financial statements as of and for the quarter and nine months ended May 30, 2013, included in our Quarterly Report on Form 10-Q for the quarter ended May 30, 2013;</w:t>
      </w:r>
    </w:p>
    <w:p>
      <w:pPr>
        <w:spacing w:after="0" w:line="170"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audited historical consolidated financial statements of the Elpida Group as of and for the years ended February 28, 2013 and March 31, 2012 filed as Exhibit 99.2 to this Current Report on Form 8-K/A;</w:t>
      </w:r>
    </w:p>
    <w:p>
      <w:pPr>
        <w:spacing w:after="0" w:line="170"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audited historical consolidated financial statements of the Elpida Group as of and for the years ended March 31, 2012 and March 31, 2011 furnished as Exhibit 99.1 to our Current Report on Form 8-K filed on February 5, 2013; and</w:t>
      </w:r>
    </w:p>
    <w:p>
      <w:pPr>
        <w:spacing w:after="0" w:line="170" w:lineRule="exact"/>
        <w:rPr>
          <w:rFonts w:ascii="Arial" w:cs="Arial" w:eastAsia="Arial" w:hAnsi="Arial"/>
          <w:sz w:val="18"/>
          <w:szCs w:val="18"/>
          <w:color w:val="auto"/>
        </w:rPr>
      </w:pPr>
    </w:p>
    <w:p>
      <w:pPr>
        <w:ind w:left="660" w:right="50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unaudited historical consolidated financial statements of the Elpida Group as of and for the six months ended September 30, 2012 furnished as Exhibit 99.2 to our Current Report on Form 8-K filed on February 5, 2013.</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and the Elpida Group had different fiscal years. Accordingly, the unaudited pro forma condensed combined balance sheet as of May 30, 2013</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combines our historical unaudited condensed consolidated balance sheet as of May 30, 2013 and the Elpida Group's historical unaudited condensed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consolidated balance sheet as of February 28, 2013. The unaudited pro forma condensed combined statements of operations for the nine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May 30, 2013 combines our historical unaudited results for the nine months ended May 30, 2013 and the historical unaudited results of the Elpida Group for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nine months ended February 28, 2013. The unaudited pro forma condensed combined statements of operations for the year ended August 30, 2012</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combines our historical results for the year ended August 30, 2012 and the historical unaudited results of the Elpida Group for the twelve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June 30, 2012.</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52" w:name="page53"/>
    <w:bookmarkEnd w:id="52"/>
    <w:p>
      <w:pPr>
        <w:ind w:right="120" w:firstLine="324"/>
        <w:spacing w:after="0" w:line="257" w:lineRule="auto"/>
        <w:rPr>
          <w:sz w:val="20"/>
          <w:szCs w:val="20"/>
          <w:color w:val="auto"/>
        </w:rPr>
      </w:pPr>
      <w:r>
        <w:rPr>
          <w:rFonts w:ascii="Arial" w:cs="Arial" w:eastAsia="Arial" w:hAnsi="Arial"/>
          <w:sz w:val="18"/>
          <w:szCs w:val="18"/>
          <w:color w:val="auto"/>
        </w:rPr>
        <w:t>The unaudited pro forma condensed combined financial statements are for illustrative purposes only and are not intended to represent or be indicative of our consolidated results of operations or financial position that we would have reported had the Elpida Acquisition been completed as of the dates presented, and should not be taken as a representation of our future consolidated results of operations or financial position. Pro forma adjustments are based upon available information and assumptions that we believe are reasonable as described in the notes to the unaudited pro forma condensed combined financial statements.</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unaudited pro forma condensed combined financial statements do not reflect any cost savings, operating synergies or revenue enhancements that the combined company may achieve as a result of the Elpida Acquisition or the costs to integrate the Elpida Group's operations with ours or the costs necessary to achieve any cost savings, operating synergies and revenue enhancements.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800" w:right="2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6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rPr>
              <w:t>MICRON TECHNOLOGY, INC.</w:t>
            </w: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820" w:type="dxa"/>
            <w:vAlign w:val="bottom"/>
            <w:gridSpan w:val="9"/>
          </w:tcPr>
          <w:p>
            <w:pPr>
              <w:jc w:val="center"/>
              <w:ind w:left="2510"/>
              <w:spacing w:after="0"/>
              <w:rPr>
                <w:sz w:val="20"/>
                <w:szCs w:val="20"/>
                <w:color w:val="auto"/>
              </w:rPr>
            </w:pPr>
            <w:r>
              <w:rPr>
                <w:rFonts w:ascii="Arial" w:cs="Arial" w:eastAsia="Arial" w:hAnsi="Arial"/>
                <w:sz w:val="18"/>
                <w:szCs w:val="18"/>
                <w:b w:val="1"/>
                <w:bCs w:val="1"/>
                <w:color w:val="auto"/>
              </w:rPr>
              <w:t>UNAUDITED CONDENSED COMBINED BALANCE SHEET</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4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6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1"/>
              </w:rPr>
              <w:t>As of May 30, 2013</w:t>
            </w: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60" w:type="dxa"/>
            <w:vAlign w:val="bottom"/>
            <w:gridSpan w:val="5"/>
          </w:tcPr>
          <w:p>
            <w:pPr>
              <w:jc w:val="center"/>
              <w:ind w:right="240"/>
              <w:spacing w:after="0"/>
              <w:rPr>
                <w:sz w:val="20"/>
                <w:szCs w:val="20"/>
                <w:color w:val="auto"/>
              </w:rPr>
            </w:pPr>
            <w:r>
              <w:rPr>
                <w:rFonts w:ascii="Arial" w:cs="Arial" w:eastAsia="Arial" w:hAnsi="Arial"/>
                <w:sz w:val="18"/>
                <w:szCs w:val="18"/>
                <w:color w:val="auto"/>
                <w:w w:val="98"/>
              </w:rPr>
              <w:t>(in millions)</w:t>
            </w: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6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92"/>
              </w:rPr>
              <w:t>Historical</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February 28,</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May 30, 2013</w:t>
            </w:r>
          </w:p>
        </w:tc>
        <w:tc>
          <w:tcPr>
            <w:tcW w:w="16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Pro Forma</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Pro Forma</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Micron</w:t>
            </w:r>
          </w:p>
        </w:tc>
        <w:tc>
          <w:tcPr>
            <w:tcW w:w="160" w:type="dxa"/>
            <w:vAlign w:val="bottom"/>
          </w:tcPr>
          <w:p>
            <w:pPr>
              <w:spacing w:after="0"/>
              <w:rPr>
                <w:sz w:val="20"/>
                <w:szCs w:val="20"/>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Elpida Group</w:t>
            </w:r>
          </w:p>
        </w:tc>
        <w:tc>
          <w:tcPr>
            <w:tcW w:w="180" w:type="dxa"/>
            <w:vAlign w:val="bottom"/>
          </w:tcPr>
          <w:p>
            <w:pPr>
              <w:spacing w:after="0"/>
              <w:rPr>
                <w:sz w:val="20"/>
                <w:szCs w:val="20"/>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Adjustments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rPr>
              <w:t>Combined</w:t>
            </w:r>
          </w:p>
        </w:tc>
        <w:tc>
          <w:tcPr>
            <w:tcW w:w="0" w:type="dxa"/>
            <w:vAlign w:val="bottom"/>
          </w:tcPr>
          <w:p>
            <w:pPr>
              <w:spacing w:after="0"/>
              <w:rPr>
                <w:sz w:val="1"/>
                <w:szCs w:val="1"/>
                <w:color w:val="auto"/>
              </w:rPr>
            </w:pPr>
          </w:p>
        </w:tc>
      </w:tr>
      <w:tr>
        <w:trPr>
          <w:trHeight w:val="27"/>
        </w:trPr>
        <w:tc>
          <w:tcPr>
            <w:tcW w:w="41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1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1,958</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Short-term investments</w:t>
            </w:r>
          </w:p>
        </w:tc>
        <w:tc>
          <w:tcPr>
            <w:tcW w:w="1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Receivables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2,082</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1,732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657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190</w:t>
            </w:r>
          </w:p>
        </w:tc>
        <w:tc>
          <w:tcPr>
            <w:tcW w:w="1120" w:type="dxa"/>
            <w:vAlign w:val="bottom"/>
          </w:tcPr>
          <w:p>
            <w:pPr>
              <w:ind w:left="140"/>
              <w:spacing w:after="0"/>
              <w:rPr>
                <w:sz w:val="20"/>
                <w:szCs w:val="20"/>
                <w:color w:val="auto"/>
              </w:rPr>
            </w:pPr>
            <w:r>
              <w:rPr>
                <w:rFonts w:ascii="Arial" w:cs="Arial" w:eastAsia="Arial" w:hAnsi="Arial"/>
                <w:sz w:val="18"/>
                <w:szCs w:val="18"/>
                <w:color w:val="auto"/>
              </w:rPr>
              <w:t>b</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2,579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w:t>
            </w: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557</w:t>
            </w:r>
          </w:p>
        </w:tc>
        <w:tc>
          <w:tcPr>
            <w:tcW w:w="1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1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103</w:t>
            </w:r>
          </w:p>
        </w:tc>
        <w:tc>
          <w:tcPr>
            <w:tcW w:w="1120" w:type="dxa"/>
            <w:vAlign w:val="bottom"/>
          </w:tcPr>
          <w:p>
            <w:pPr>
              <w:ind w:left="140"/>
              <w:spacing w:after="0"/>
              <w:rPr>
                <w:sz w:val="20"/>
                <w:szCs w:val="20"/>
                <w:color w:val="auto"/>
              </w:rPr>
            </w:pPr>
            <w:r>
              <w:rPr>
                <w:rFonts w:ascii="Arial" w:cs="Arial" w:eastAsia="Arial" w:hAnsi="Arial"/>
                <w:sz w:val="18"/>
                <w:szCs w:val="18"/>
                <w:color w:val="auto"/>
              </w:rPr>
              <w:t>d</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5,886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7,534</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Long-term marketable investments</w:t>
            </w:r>
          </w:p>
        </w:tc>
        <w:tc>
          <w:tcPr>
            <w:tcW w:w="1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347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(2,131)</w:t>
            </w:r>
          </w:p>
        </w:tc>
        <w:tc>
          <w:tcPr>
            <w:tcW w:w="1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7,646</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Equity method investments</w:t>
            </w:r>
          </w:p>
        </w:tc>
        <w:tc>
          <w:tcPr>
            <w:tcW w:w="1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120" w:type="dxa"/>
            <w:vAlign w:val="bottom"/>
          </w:tcPr>
          <w:p>
            <w:pPr>
              <w:ind w:left="140"/>
              <w:spacing w:after="0"/>
              <w:rPr>
                <w:sz w:val="20"/>
                <w:szCs w:val="20"/>
                <w:color w:val="auto"/>
              </w:rPr>
            </w:pPr>
            <w:r>
              <w:rPr>
                <w:rFonts w:ascii="Arial" w:cs="Arial" w:eastAsia="Arial" w:hAnsi="Arial"/>
                <w:sz w:val="18"/>
                <w:szCs w:val="18"/>
                <w:color w:val="auto"/>
              </w:rPr>
              <w:t>f</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g</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Deferred tax assets</w:t>
            </w:r>
          </w:p>
        </w:tc>
        <w:tc>
          <w:tcPr>
            <w:tcW w:w="1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807</w:t>
            </w:r>
          </w:p>
        </w:tc>
        <w:tc>
          <w:tcPr>
            <w:tcW w:w="1120" w:type="dxa"/>
            <w:vAlign w:val="bottom"/>
          </w:tcPr>
          <w:p>
            <w:pPr>
              <w:ind w:left="140"/>
              <w:spacing w:after="0"/>
              <w:rPr>
                <w:sz w:val="20"/>
                <w:szCs w:val="20"/>
                <w:color w:val="auto"/>
              </w:rPr>
            </w:pPr>
            <w:r>
              <w:rPr>
                <w:rFonts w:ascii="Arial" w:cs="Arial" w:eastAsia="Arial" w:hAnsi="Arial"/>
                <w:sz w:val="18"/>
                <w:szCs w:val="18"/>
                <w:color w:val="auto"/>
              </w:rPr>
              <w:t>d</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1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c,h</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97"/>
        </w:trPr>
        <w:tc>
          <w:tcPr>
            <w:tcW w:w="412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14,055</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4,734</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(1,388)</w:t>
            </w:r>
          </w:p>
        </w:tc>
        <w:tc>
          <w:tcPr>
            <w:tcW w:w="1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17,401</w:t>
            </w:r>
          </w:p>
        </w:tc>
        <w:tc>
          <w:tcPr>
            <w:tcW w:w="0" w:type="dxa"/>
            <w:vAlign w:val="bottom"/>
          </w:tcPr>
          <w:p>
            <w:pPr>
              <w:spacing w:after="0"/>
              <w:rPr>
                <w:sz w:val="1"/>
                <w:szCs w:val="1"/>
                <w:color w:val="auto"/>
              </w:rPr>
            </w:pPr>
          </w:p>
        </w:tc>
      </w:tr>
      <w:tr>
        <w:trPr>
          <w:trHeight w:val="257"/>
        </w:trPr>
        <w:tc>
          <w:tcPr>
            <w:tcW w:w="4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1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d,h,i,q</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1,927</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Deferred income</w:t>
            </w:r>
          </w:p>
        </w:tc>
        <w:tc>
          <w:tcPr>
            <w:tcW w:w="1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Equipment purchase contracts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Current portion of long-term debt</w:t>
            </w:r>
          </w:p>
        </w:tc>
        <w:tc>
          <w:tcPr>
            <w:tcW w:w="1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357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598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230</w:t>
            </w:r>
          </w:p>
        </w:tc>
        <w:tc>
          <w:tcPr>
            <w:tcW w:w="1120" w:type="dxa"/>
            <w:vAlign w:val="bottom"/>
          </w:tcPr>
          <w:p>
            <w:pPr>
              <w:ind w:left="140"/>
              <w:spacing w:after="0"/>
              <w:rPr>
                <w:sz w:val="20"/>
                <w:szCs w:val="20"/>
                <w:color w:val="auto"/>
              </w:rPr>
            </w:pPr>
            <w:r>
              <w:rPr>
                <w:rFonts w:ascii="Arial" w:cs="Arial" w:eastAsia="Arial" w:hAnsi="Arial"/>
                <w:sz w:val="18"/>
                <w:szCs w:val="18"/>
                <w:color w:val="auto"/>
              </w:rPr>
              <w:t>j,l</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1,185</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2,342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w:t>
            </w: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3,520</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3,267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1,248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243</w:t>
            </w:r>
          </w:p>
        </w:tc>
        <w:tc>
          <w:tcPr>
            <w:tcW w:w="1120" w:type="dxa"/>
            <w:vAlign w:val="bottom"/>
          </w:tcPr>
          <w:p>
            <w:pPr>
              <w:ind w:left="140"/>
              <w:spacing w:after="0"/>
              <w:rPr>
                <w:sz w:val="20"/>
                <w:szCs w:val="20"/>
                <w:color w:val="auto"/>
              </w:rPr>
            </w:pPr>
            <w:r>
              <w:rPr>
                <w:rFonts w:ascii="Arial" w:cs="Arial" w:eastAsia="Arial" w:hAnsi="Arial"/>
                <w:sz w:val="18"/>
                <w:szCs w:val="18"/>
                <w:color w:val="auto"/>
              </w:rPr>
              <w:t>l</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4,758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d,i,k</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37"/>
        </w:trPr>
        <w:tc>
          <w:tcPr>
            <w:tcW w:w="4120" w:type="dxa"/>
            <w:vAlign w:val="bottom"/>
          </w:tcPr>
          <w:p>
            <w:pPr>
              <w:ind w:left="280"/>
              <w:spacing w:after="0"/>
              <w:rPr>
                <w:sz w:val="20"/>
                <w:szCs w:val="20"/>
                <w:color w:val="auto"/>
              </w:rPr>
            </w:pPr>
            <w:r>
              <w:rPr>
                <w:rFonts w:ascii="Arial" w:cs="Arial" w:eastAsia="Arial" w:hAnsi="Arial"/>
                <w:sz w:val="18"/>
                <w:szCs w:val="18"/>
                <w:color w:val="auto"/>
              </w:rPr>
              <w:t>Liabilities not subject to compromise</w:t>
            </w:r>
          </w:p>
        </w:tc>
        <w:tc>
          <w:tcPr>
            <w:tcW w:w="1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6,029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2,281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467</w:t>
            </w:r>
          </w:p>
        </w:tc>
        <w:tc>
          <w:tcPr>
            <w:tcW w:w="1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8,777</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Liabilities subject to compromise</w:t>
            </w:r>
          </w:p>
        </w:tc>
        <w:tc>
          <w:tcPr>
            <w:tcW w:w="1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1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50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6,029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3,130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1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8,777</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Commitments and contingencies</w:t>
            </w: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Redeemable noncontrolling interests</w:t>
            </w:r>
          </w:p>
        </w:tc>
        <w:tc>
          <w:tcPr>
            <w:tcW w:w="180" w:type="dxa"/>
            <w:vAlign w:val="bottom"/>
          </w:tcPr>
          <w:p>
            <w:pPr>
              <w:spacing w:after="0"/>
              <w:rPr>
                <w:sz w:val="21"/>
                <w:szCs w:val="21"/>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w:t>
            </w:r>
          </w:p>
        </w:tc>
        <w:tc>
          <w:tcPr>
            <w:tcW w:w="1120" w:type="dxa"/>
            <w:vAlign w:val="bottom"/>
          </w:tcPr>
          <w:p>
            <w:pPr>
              <w:ind w:left="140"/>
              <w:spacing w:after="0"/>
              <w:rPr>
                <w:sz w:val="20"/>
                <w:szCs w:val="20"/>
                <w:color w:val="auto"/>
              </w:rPr>
            </w:pPr>
            <w:r>
              <w:rPr>
                <w:rFonts w:ascii="Arial" w:cs="Arial" w:eastAsia="Arial" w:hAnsi="Arial"/>
                <w:sz w:val="18"/>
                <w:szCs w:val="18"/>
                <w:color w:val="auto"/>
              </w:rPr>
              <w:t>n</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Redeemable preferred stock</w:t>
            </w: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4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Common stock</w:t>
            </w:r>
          </w:p>
        </w:tc>
        <w:tc>
          <w:tcPr>
            <w:tcW w:w="1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2,202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(2,202)</w:t>
            </w:r>
          </w:p>
        </w:tc>
        <w:tc>
          <w:tcPr>
            <w:tcW w:w="1120" w:type="dxa"/>
            <w:vAlign w:val="bottom"/>
          </w:tcPr>
          <w:p>
            <w:pPr>
              <w:ind w:left="140"/>
              <w:spacing w:after="0"/>
              <w:rPr>
                <w:sz w:val="20"/>
                <w:szCs w:val="20"/>
                <w:color w:val="auto"/>
              </w:rPr>
            </w:pPr>
            <w:r>
              <w:rPr>
                <w:rFonts w:ascii="Arial" w:cs="Arial" w:eastAsia="Arial" w:hAnsi="Arial"/>
                <w:sz w:val="18"/>
                <w:szCs w:val="18"/>
                <w:color w:val="auto"/>
              </w:rPr>
              <w:t>n</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Additional capital</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(2,315)</w:t>
            </w:r>
          </w:p>
        </w:tc>
        <w:tc>
          <w:tcPr>
            <w:tcW w:w="1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9,076</w:t>
            </w: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(3,759)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4,209</w:t>
            </w:r>
          </w:p>
        </w:tc>
        <w:tc>
          <w:tcPr>
            <w:tcW w:w="1120" w:type="dxa"/>
            <w:vAlign w:val="bottom"/>
          </w:tcPr>
          <w:p>
            <w:pPr>
              <w:ind w:left="140"/>
              <w:spacing w:after="0"/>
              <w:rPr>
                <w:sz w:val="20"/>
                <w:szCs w:val="20"/>
                <w:color w:val="auto"/>
              </w:rPr>
            </w:pPr>
            <w:r>
              <w:rPr>
                <w:rFonts w:ascii="Arial" w:cs="Arial" w:eastAsia="Arial" w:hAnsi="Arial"/>
                <w:sz w:val="18"/>
                <w:szCs w:val="18"/>
                <w:color w:val="auto"/>
              </w:rPr>
              <w:t>n,q</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(1,470)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income</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w:t>
            </w:r>
          </w:p>
        </w:tc>
        <w:tc>
          <w:tcPr>
            <w:tcW w:w="1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8"/>
                <w:szCs w:val="18"/>
                <w:color w:val="auto"/>
              </w:rPr>
              <w:t>Total shareholders' equity</w:t>
            </w:r>
          </w:p>
        </w:tc>
        <w:tc>
          <w:tcPr>
            <w:tcW w:w="1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7,328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1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7,778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interests in subsidiaries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37"/>
        </w:trPr>
        <w:tc>
          <w:tcPr>
            <w:tcW w:w="4120" w:type="dxa"/>
            <w:vAlign w:val="bottom"/>
          </w:tcPr>
          <w:p>
            <w:pPr>
              <w:ind w:left="500"/>
              <w:spacing w:after="0"/>
              <w:rPr>
                <w:sz w:val="20"/>
                <w:szCs w:val="20"/>
                <w:color w:val="auto"/>
              </w:rPr>
            </w:pPr>
            <w:r>
              <w:rPr>
                <w:rFonts w:ascii="Arial" w:cs="Arial" w:eastAsia="Arial" w:hAnsi="Arial"/>
                <w:sz w:val="18"/>
                <w:szCs w:val="18"/>
                <w:color w:val="auto"/>
              </w:rPr>
              <w:t>Total equity</w:t>
            </w:r>
          </w:p>
        </w:tc>
        <w:tc>
          <w:tcPr>
            <w:tcW w:w="1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8,026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1,263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(665)</w:t>
            </w:r>
          </w:p>
        </w:tc>
        <w:tc>
          <w:tcPr>
            <w:tcW w:w="1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8,624</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liabilities and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14,055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4,734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(1,388)</w:t>
            </w:r>
          </w:p>
        </w:tc>
        <w:tc>
          <w:tcPr>
            <w:tcW w:w="1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17,401</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pro forma condensed combined financial statements.</w:t>
      </w:r>
    </w:p>
    <w:p>
      <w:pPr>
        <w:sectPr>
          <w:pgSz w:w="11900" w:h="16838" w:orient="portrait"/>
          <w:cols w:equalWidth="0" w:num="1">
            <w:col w:w="11420"/>
          </w:cols>
          <w:pgMar w:left="240" w:top="58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580" w:right="239" w:bottom="1440" w:gutter="0" w:footer="0" w:header="0"/>
          <w:type w:val="continuous"/>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jc w:val="center"/>
        <w:ind w:left="260" w:right="2660"/>
        <w:spacing w:after="0" w:line="266" w:lineRule="auto"/>
        <w:rPr>
          <w:sz w:val="20"/>
          <w:szCs w:val="20"/>
          <w:color w:val="auto"/>
        </w:rPr>
      </w:pPr>
      <w:r>
        <w:rPr>
          <w:rFonts w:ascii="Arial" w:cs="Arial" w:eastAsia="Arial" w:hAnsi="Arial"/>
          <w:sz w:val="18"/>
          <w:szCs w:val="18"/>
          <w:b w:val="1"/>
          <w:bCs w:val="1"/>
          <w:color w:val="auto"/>
        </w:rPr>
        <w:t xml:space="preserve">UNAUDITED CONDENSED COMBINED STATEMENTS OF OPERATIONS For the Nine Months Ended May 30, 2013 </w:t>
      </w:r>
      <w:r>
        <w:rPr>
          <w:rFonts w:ascii="Arial" w:cs="Arial" w:eastAsia="Arial" w:hAnsi="Arial"/>
          <w:sz w:val="18"/>
          <w:szCs w:val="18"/>
          <w:color w:val="auto"/>
        </w:rPr>
        <w:t>(in millions except per share amounts)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6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92"/>
              </w:rPr>
              <w:t>Historical</w:t>
            </w: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0"/>
        </w:trPr>
        <w:tc>
          <w:tcPr>
            <w:tcW w:w="4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6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1"/>
              </w:rPr>
              <w:t>Nine Months Ended</w:t>
            </w: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
        </w:trPr>
        <w:tc>
          <w:tcPr>
            <w:tcW w:w="4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18"/>
        </w:trPr>
        <w:tc>
          <w:tcPr>
            <w:tcW w:w="4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b w:val="1"/>
                <w:bCs w:val="1"/>
                <w:color w:val="auto"/>
              </w:rPr>
              <w:t>February 28,</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4"/>
        </w:trPr>
        <w:tc>
          <w:tcPr>
            <w:tcW w:w="4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May 30, 2013</w:t>
            </w: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210"/>
              <w:spacing w:after="0"/>
              <w:rPr>
                <w:sz w:val="20"/>
                <w:szCs w:val="20"/>
                <w:color w:val="auto"/>
              </w:rPr>
            </w:pPr>
            <w:r>
              <w:rPr>
                <w:rFonts w:ascii="Arial" w:cs="Arial" w:eastAsia="Arial" w:hAnsi="Arial"/>
                <w:sz w:val="18"/>
                <w:szCs w:val="18"/>
                <w:b w:val="1"/>
                <w:bCs w:val="1"/>
                <w:color w:val="auto"/>
              </w:rPr>
              <w:t>Pro Forma</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230"/>
              <w:spacing w:after="0"/>
              <w:rPr>
                <w:sz w:val="20"/>
                <w:szCs w:val="20"/>
                <w:color w:val="auto"/>
              </w:rPr>
            </w:pPr>
            <w:r>
              <w:rPr>
                <w:rFonts w:ascii="Arial" w:cs="Arial" w:eastAsia="Arial" w:hAnsi="Arial"/>
                <w:sz w:val="18"/>
                <w:szCs w:val="18"/>
                <w:b w:val="1"/>
                <w:bCs w:val="1"/>
                <w:color w:val="auto"/>
              </w:rPr>
              <w:t>Pro Forma</w:t>
            </w:r>
          </w:p>
        </w:tc>
      </w:tr>
      <w:tr>
        <w:trPr>
          <w:trHeight w:val="27"/>
        </w:trPr>
        <w:tc>
          <w:tcPr>
            <w:tcW w:w="4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4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Micron</w:t>
            </w:r>
          </w:p>
        </w:tc>
        <w:tc>
          <w:tcPr>
            <w:tcW w:w="160" w:type="dxa"/>
            <w:vAlign w:val="bottom"/>
          </w:tcPr>
          <w:p>
            <w:pPr>
              <w:spacing w:after="0"/>
              <w:rPr>
                <w:sz w:val="20"/>
                <w:szCs w:val="20"/>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b w:val="1"/>
                <w:bCs w:val="1"/>
                <w:color w:val="auto"/>
              </w:rPr>
              <w:t>Elpida Group</w:t>
            </w:r>
          </w:p>
        </w:tc>
        <w:tc>
          <w:tcPr>
            <w:tcW w:w="180" w:type="dxa"/>
            <w:vAlign w:val="bottom"/>
          </w:tcPr>
          <w:p>
            <w:pPr>
              <w:spacing w:after="0"/>
              <w:rPr>
                <w:sz w:val="20"/>
                <w:szCs w:val="20"/>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Adjustments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rPr>
              <w:t>Combined</w:t>
            </w:r>
          </w:p>
        </w:tc>
      </w:tr>
      <w:tr>
        <w:trPr>
          <w:trHeight w:val="27"/>
        </w:trPr>
        <w:tc>
          <w:tcPr>
            <w:tcW w:w="4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8,746</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1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5,091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2,359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(551)</w:t>
            </w:r>
          </w:p>
        </w:tc>
        <w:tc>
          <w:tcPr>
            <w:tcW w:w="1120" w:type="dxa"/>
            <w:vAlign w:val="bottom"/>
          </w:tcPr>
          <w:p>
            <w:pPr>
              <w:ind w:left="140"/>
              <w:spacing w:after="0"/>
              <w:rPr>
                <w:sz w:val="20"/>
                <w:szCs w:val="20"/>
                <w:color w:val="auto"/>
              </w:rPr>
            </w:pPr>
            <w:r>
              <w:rPr>
                <w:rFonts w:ascii="Arial" w:cs="Arial" w:eastAsia="Arial" w:hAnsi="Arial"/>
                <w:sz w:val="18"/>
                <w:szCs w:val="18"/>
                <w:color w:val="auto"/>
              </w:rPr>
              <w:t>e,g,p</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6,899</w:t>
            </w:r>
          </w:p>
        </w:tc>
      </w:tr>
      <w:tr>
        <w:trPr>
          <w:trHeight w:val="27"/>
        </w:trPr>
        <w:tc>
          <w:tcPr>
            <w:tcW w:w="4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margin</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534</w:t>
            </w: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1,847</w:t>
            </w:r>
          </w:p>
        </w:tc>
      </w:tr>
      <w:tr>
        <w:trPr>
          <w:trHeight w:val="270"/>
        </w:trPr>
        <w:tc>
          <w:tcPr>
            <w:tcW w:w="4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e,g,q</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546</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664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252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w:t>
            </w:r>
          </w:p>
        </w:tc>
        <w:tc>
          <w:tcPr>
            <w:tcW w:w="1120" w:type="dxa"/>
            <w:vAlign w:val="bottom"/>
          </w:tcPr>
          <w:p>
            <w:pPr>
              <w:ind w:left="140"/>
              <w:spacing w:after="0"/>
              <w:rPr>
                <w:sz w:val="20"/>
                <w:szCs w:val="20"/>
                <w:color w:val="auto"/>
              </w:rPr>
            </w:pPr>
            <w:r>
              <w:rPr>
                <w:rFonts w:ascii="Arial" w:cs="Arial" w:eastAsia="Arial" w:hAnsi="Arial"/>
                <w:sz w:val="18"/>
                <w:szCs w:val="18"/>
                <w:color w:val="auto"/>
              </w:rPr>
              <w:t>e</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899</w:t>
            </w:r>
          </w:p>
        </w:tc>
      </w:tr>
      <w:tr>
        <w:trPr>
          <w:trHeight w:val="27"/>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Restructure and asset impairments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Other operating (income) expense, net</w:t>
            </w: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4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551</w:t>
            </w: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327</w:t>
            </w:r>
          </w:p>
        </w:tc>
      </w:tr>
      <w:tr>
        <w:trPr>
          <w:trHeight w:val="297"/>
        </w:trPr>
        <w:tc>
          <w:tcPr>
            <w:tcW w:w="4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(61)</w:t>
            </w:r>
          </w:p>
        </w:tc>
        <w:tc>
          <w:tcPr>
            <w:tcW w:w="1120" w:type="dxa"/>
            <w:vAlign w:val="bottom"/>
          </w:tcPr>
          <w:p>
            <w:pPr>
              <w:ind w:left="140"/>
              <w:spacing w:after="0"/>
              <w:rPr>
                <w:sz w:val="20"/>
                <w:szCs w:val="20"/>
                <w:color w:val="auto"/>
              </w:rPr>
            </w:pPr>
            <w:r>
              <w:rPr>
                <w:rFonts w:ascii="Arial" w:cs="Arial" w:eastAsia="Arial" w:hAnsi="Arial"/>
                <w:sz w:val="18"/>
                <w:szCs w:val="18"/>
                <w:color w:val="auto"/>
              </w:rPr>
              <w:t>m</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(249)</w:t>
            </w:r>
          </w:p>
        </w:tc>
      </w:tr>
      <w:tr>
        <w:trPr>
          <w:trHeight w:val="27"/>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Reorganization items, net</w:t>
            </w: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1,655</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Other non-operating income (expense), net</w:t>
            </w: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27"/>
        </w:trPr>
        <w:tc>
          <w:tcPr>
            <w:tcW w:w="4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490</w:t>
            </w: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1,589</w:t>
            </w:r>
          </w:p>
        </w:tc>
      </w:tr>
      <w:tr>
        <w:trPr>
          <w:trHeight w:val="297"/>
        </w:trPr>
        <w:tc>
          <w:tcPr>
            <w:tcW w:w="4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 benefit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r</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w w:val="94"/>
              </w:rPr>
              <w:t>Equity in net income (loss) of equity method investees</w:t>
            </w: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120" w:type="dxa"/>
            <w:vAlign w:val="bottom"/>
          </w:tcPr>
          <w:p>
            <w:pPr>
              <w:ind w:left="140"/>
              <w:spacing w:after="0"/>
              <w:rPr>
                <w:sz w:val="20"/>
                <w:szCs w:val="20"/>
                <w:color w:val="auto"/>
              </w:rPr>
            </w:pPr>
            <w:r>
              <w:rPr>
                <w:rFonts w:ascii="Arial" w:cs="Arial" w:eastAsia="Arial" w:hAnsi="Arial"/>
                <w:sz w:val="18"/>
                <w:szCs w:val="18"/>
                <w:color w:val="auto"/>
              </w:rPr>
              <w:t>f</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7"/>
        </w:trPr>
        <w:tc>
          <w:tcPr>
            <w:tcW w:w="4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496</w:t>
            </w: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1,464</w:t>
            </w:r>
          </w:p>
        </w:tc>
      </w:tr>
      <w:tr>
        <w:trPr>
          <w:trHeight w:val="297"/>
        </w:trPr>
        <w:tc>
          <w:tcPr>
            <w:tcW w:w="4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2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noncontrolling</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57"/>
        </w:trPr>
        <w:tc>
          <w:tcPr>
            <w:tcW w:w="4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interests</w:t>
            </w:r>
          </w:p>
        </w:tc>
        <w:tc>
          <w:tcPr>
            <w:tcW w:w="1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97"/>
        </w:trPr>
        <w:tc>
          <w:tcPr>
            <w:tcW w:w="41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Net income (loss) attributable to parent entity</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(518)</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1,491</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451</w:t>
            </w:r>
          </w:p>
        </w:tc>
        <w:tc>
          <w:tcPr>
            <w:tcW w:w="1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1,424</w:t>
            </w:r>
          </w:p>
        </w:tc>
      </w:tr>
      <w:tr>
        <w:trPr>
          <w:trHeight w:val="284"/>
        </w:trPr>
        <w:tc>
          <w:tcPr>
            <w:tcW w:w="4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Income (loss) per share:</w:t>
            </w: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w:t>
            </w: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(0.51)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1.38</w:t>
            </w:r>
          </w:p>
        </w:tc>
      </w:tr>
      <w:tr>
        <w:trPr>
          <w:trHeight w:val="27"/>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97"/>
        </w:trPr>
        <w:tc>
          <w:tcPr>
            <w:tcW w:w="4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Number of shares used in per share calculations:</w:t>
            </w: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1,017.9</w:t>
            </w: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1,017.9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1,031.9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pro forma condensed combined financial statements.</w:t>
      </w:r>
    </w:p>
    <w:p>
      <w:pPr>
        <w:sectPr>
          <w:pgSz w:w="11900" w:h="16838" w:orient="portrait"/>
          <w:cols w:equalWidth="0" w:num="1">
            <w:col w:w="11420"/>
          </w:cols>
          <w:pgMar w:left="240" w:top="58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580" w:right="239" w:bottom="1440" w:gutter="0" w:footer="0" w:header="0"/>
          <w:type w:val="continuous"/>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COMBINED STATEMENTS OF OPERATIONS</w:t>
      </w:r>
    </w:p>
    <w:p>
      <w:pPr>
        <w:spacing w:after="0" w:line="27"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For the Year Ended August 30, 2012</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(in millions except per share amounts)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0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2"/>
              </w:rPr>
              <w:t>Historical</w:t>
            </w: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0"/>
        </w:trPr>
        <w:tc>
          <w:tcPr>
            <w:tcW w:w="4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10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2"/>
              </w:rPr>
              <w:t>For the Year Ended</w:t>
            </w: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
        </w:trPr>
        <w:tc>
          <w:tcPr>
            <w:tcW w:w="4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18"/>
        </w:trPr>
        <w:tc>
          <w:tcPr>
            <w:tcW w:w="4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June 30,</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4"/>
        </w:trPr>
        <w:tc>
          <w:tcPr>
            <w:tcW w:w="4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August 30, 2012</w:t>
            </w:r>
          </w:p>
        </w:tc>
        <w:tc>
          <w:tcPr>
            <w:tcW w:w="16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210"/>
              <w:spacing w:after="0"/>
              <w:rPr>
                <w:sz w:val="20"/>
                <w:szCs w:val="20"/>
                <w:color w:val="auto"/>
              </w:rPr>
            </w:pPr>
            <w:r>
              <w:rPr>
                <w:rFonts w:ascii="Arial" w:cs="Arial" w:eastAsia="Arial" w:hAnsi="Arial"/>
                <w:sz w:val="18"/>
                <w:szCs w:val="18"/>
                <w:b w:val="1"/>
                <w:bCs w:val="1"/>
                <w:color w:val="auto"/>
              </w:rPr>
              <w:t>Pro Forma</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230"/>
              <w:spacing w:after="0"/>
              <w:rPr>
                <w:sz w:val="20"/>
                <w:szCs w:val="20"/>
                <w:color w:val="auto"/>
              </w:rPr>
            </w:pPr>
            <w:r>
              <w:rPr>
                <w:rFonts w:ascii="Arial" w:cs="Arial" w:eastAsia="Arial" w:hAnsi="Arial"/>
                <w:sz w:val="18"/>
                <w:szCs w:val="18"/>
                <w:b w:val="1"/>
                <w:bCs w:val="1"/>
                <w:color w:val="auto"/>
              </w:rPr>
              <w:t>Pro Forma</w:t>
            </w:r>
          </w:p>
        </w:tc>
      </w:tr>
      <w:tr>
        <w:trPr>
          <w:trHeight w:val="27"/>
        </w:trPr>
        <w:tc>
          <w:tcPr>
            <w:tcW w:w="4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4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Micron</w:t>
            </w:r>
          </w:p>
        </w:tc>
        <w:tc>
          <w:tcPr>
            <w:tcW w:w="160" w:type="dxa"/>
            <w:vAlign w:val="bottom"/>
          </w:tcPr>
          <w:p>
            <w:pPr>
              <w:spacing w:after="0"/>
              <w:rPr>
                <w:sz w:val="20"/>
                <w:szCs w:val="20"/>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Elpida Group</w:t>
            </w:r>
          </w:p>
        </w:tc>
        <w:tc>
          <w:tcPr>
            <w:tcW w:w="180" w:type="dxa"/>
            <w:vAlign w:val="bottom"/>
          </w:tcPr>
          <w:p>
            <w:pPr>
              <w:spacing w:after="0"/>
              <w:rPr>
                <w:sz w:val="20"/>
                <w:szCs w:val="20"/>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Adjustments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rPr>
              <w:t>Combined</w:t>
            </w:r>
          </w:p>
        </w:tc>
      </w:tr>
      <w:tr>
        <w:trPr>
          <w:trHeight w:val="27"/>
        </w:trPr>
        <w:tc>
          <w:tcPr>
            <w:tcW w:w="4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11,492</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1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7,266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3,987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(1,141)</w:t>
            </w:r>
          </w:p>
        </w:tc>
        <w:tc>
          <w:tcPr>
            <w:tcW w:w="1120" w:type="dxa"/>
            <w:vAlign w:val="bottom"/>
          </w:tcPr>
          <w:p>
            <w:pPr>
              <w:ind w:left="140"/>
              <w:spacing w:after="0"/>
              <w:rPr>
                <w:sz w:val="20"/>
                <w:szCs w:val="20"/>
                <w:color w:val="auto"/>
              </w:rPr>
            </w:pPr>
            <w:r>
              <w:rPr>
                <w:rFonts w:ascii="Arial" w:cs="Arial" w:eastAsia="Arial" w:hAnsi="Arial"/>
                <w:sz w:val="18"/>
                <w:szCs w:val="18"/>
                <w:color w:val="auto"/>
              </w:rPr>
              <w:t>e,g,p</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10,112</w:t>
            </w:r>
          </w:p>
        </w:tc>
      </w:tr>
      <w:tr>
        <w:trPr>
          <w:trHeight w:val="27"/>
        </w:trPr>
        <w:tc>
          <w:tcPr>
            <w:tcW w:w="4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margin</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1,106</w:t>
            </w: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1,380</w:t>
            </w:r>
          </w:p>
        </w:tc>
      </w:tr>
      <w:tr>
        <w:trPr>
          <w:trHeight w:val="297"/>
        </w:trPr>
        <w:tc>
          <w:tcPr>
            <w:tcW w:w="4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e,g,q</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861</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918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(82)</w:t>
            </w:r>
          </w:p>
        </w:tc>
        <w:tc>
          <w:tcPr>
            <w:tcW w:w="1120" w:type="dxa"/>
            <w:vAlign w:val="bottom"/>
          </w:tcPr>
          <w:p>
            <w:pPr>
              <w:ind w:left="140"/>
              <w:spacing w:after="0"/>
              <w:rPr>
                <w:sz w:val="20"/>
                <w:szCs w:val="20"/>
                <w:color w:val="auto"/>
              </w:rPr>
            </w:pPr>
            <w:r>
              <w:rPr>
                <w:rFonts w:ascii="Arial" w:cs="Arial" w:eastAsia="Arial" w:hAnsi="Arial"/>
                <w:sz w:val="18"/>
                <w:szCs w:val="18"/>
                <w:color w:val="auto"/>
              </w:rPr>
              <w:t>e,g</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1,340</w:t>
            </w: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Restructure and asset impairments</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2,838</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Other operating (income) expense, net</w:t>
            </w:r>
          </w:p>
        </w:tc>
        <w:tc>
          <w:tcPr>
            <w:tcW w:w="1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4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loss</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1,205</w:t>
            </w: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(3,661)</w:t>
            </w:r>
          </w:p>
        </w:tc>
      </w:tr>
      <w:tr>
        <w:trPr>
          <w:trHeight w:val="297"/>
        </w:trPr>
        <w:tc>
          <w:tcPr>
            <w:tcW w:w="4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w:t>
            </w:r>
          </w:p>
        </w:tc>
        <w:tc>
          <w:tcPr>
            <w:tcW w:w="1120" w:type="dxa"/>
            <w:vAlign w:val="bottom"/>
          </w:tcPr>
          <w:p>
            <w:pPr>
              <w:ind w:left="140"/>
              <w:spacing w:after="0"/>
              <w:rPr>
                <w:sz w:val="20"/>
                <w:szCs w:val="20"/>
                <w:color w:val="auto"/>
              </w:rPr>
            </w:pPr>
            <w:r>
              <w:rPr>
                <w:rFonts w:ascii="Arial" w:cs="Arial" w:eastAsia="Arial" w:hAnsi="Arial"/>
                <w:sz w:val="18"/>
                <w:szCs w:val="18"/>
                <w:color w:val="auto"/>
              </w:rPr>
              <w:t>m</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(348)</w:t>
            </w: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Reorganization items, net</w:t>
            </w: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Other non-operating income (expense), net</w:t>
            </w:r>
          </w:p>
        </w:tc>
        <w:tc>
          <w:tcPr>
            <w:tcW w:w="1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4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1,163</w:t>
            </w: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(4,068)</w:t>
            </w:r>
          </w:p>
        </w:tc>
      </w:tr>
      <w:tr>
        <w:trPr>
          <w:trHeight w:val="297"/>
        </w:trPr>
        <w:tc>
          <w:tcPr>
            <w:tcW w:w="4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 benefit</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r</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w w:val="94"/>
              </w:rPr>
              <w:t>Equity in net income (loss) of equity method investees</w:t>
            </w: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120" w:type="dxa"/>
            <w:vAlign w:val="bottom"/>
          </w:tcPr>
          <w:p>
            <w:pPr>
              <w:ind w:left="140"/>
              <w:spacing w:after="0"/>
              <w:rPr>
                <w:sz w:val="20"/>
                <w:szCs w:val="20"/>
                <w:color w:val="auto"/>
              </w:rPr>
            </w:pPr>
            <w:r>
              <w:rPr>
                <w:rFonts w:ascii="Arial" w:cs="Arial" w:eastAsia="Arial" w:hAnsi="Arial"/>
                <w:sz w:val="18"/>
                <w:szCs w:val="18"/>
                <w:color w:val="auto"/>
              </w:rPr>
              <w:t>f</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(363)</w:t>
            </w:r>
          </w:p>
        </w:tc>
      </w:tr>
      <w:tr>
        <w:trPr>
          <w:trHeight w:val="27"/>
        </w:trPr>
        <w:tc>
          <w:tcPr>
            <w:tcW w:w="4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loss</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1,170</w:t>
            </w: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(4,422)</w:t>
            </w:r>
          </w:p>
        </w:tc>
      </w:tr>
      <w:tr>
        <w:trPr>
          <w:trHeight w:val="297"/>
        </w:trPr>
        <w:tc>
          <w:tcPr>
            <w:tcW w:w="4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2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noncontrolling</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57"/>
        </w:trPr>
        <w:tc>
          <w:tcPr>
            <w:tcW w:w="4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interests</w:t>
            </w:r>
          </w:p>
        </w:tc>
        <w:tc>
          <w:tcPr>
            <w:tcW w:w="1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97"/>
        </w:trPr>
        <w:tc>
          <w:tcPr>
            <w:tcW w:w="41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Net loss attributable to parent entity</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(1,032)</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(4,484)</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1,062</w:t>
            </w:r>
          </w:p>
        </w:tc>
        <w:tc>
          <w:tcPr>
            <w:tcW w:w="1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(4,454)</w:t>
            </w:r>
          </w:p>
        </w:tc>
      </w:tr>
      <w:tr>
        <w:trPr>
          <w:trHeight w:val="257"/>
        </w:trPr>
        <w:tc>
          <w:tcPr>
            <w:tcW w:w="4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Loss per share:</w:t>
            </w: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w:t>
            </w: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Diluted</w:t>
            </w: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(4.49)</w:t>
            </w: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97"/>
        </w:trPr>
        <w:tc>
          <w:tcPr>
            <w:tcW w:w="4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Number of shares used in per share calculations:</w:t>
            </w: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991.2</w:t>
            </w: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Diluted</w:t>
            </w:r>
          </w:p>
        </w:tc>
        <w:tc>
          <w:tcPr>
            <w:tcW w:w="1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991.2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991.2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pro forma condensed combined financial statements.</w:t>
      </w:r>
    </w:p>
    <w:p>
      <w:pPr>
        <w:sectPr>
          <w:pgSz w:w="11900" w:h="16838" w:orient="portrait"/>
          <w:cols w:equalWidth="0" w:num="1">
            <w:col w:w="11420"/>
          </w:cols>
          <w:pgMar w:left="240" w:top="58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580" w:right="239" w:bottom="1440" w:gutter="0" w:footer="0" w:header="0"/>
          <w:type w:val="continuous"/>
        </w:sectPr>
      </w:pPr>
    </w:p>
    <w:bookmarkStart w:id="56" w:name="page57"/>
    <w:bookmarkEnd w:id="56"/>
    <w:p>
      <w:pPr>
        <w:jc w:val="center"/>
        <w:ind w:right="-39"/>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PRO FORMA CONDENSED COMBINED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(All tabular amounts in millions except per share amounts)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Acquisition of Elpida Memory, Inc.</w:t>
      </w:r>
    </w:p>
    <w:p>
      <w:pPr>
        <w:spacing w:after="0" w:line="219"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On July 31, 2013, we completed the acquisition of Elpida, pursuant to the terms and conditions of an Agreement on Support for Reorganization Companies (as amended, the "Sponsor Agreement") that we entered into on July 2, 2012, with the trustees of Elpida and one of its subsidiaries, Akita, pursuant to and in connection with the Elpida Companies’ corporate reorganization proceedings under the Corporate Reorganization Act of Japan. We paid $615 million for the acquisition of Elpida, of which substantially all was deposited into accounts that are legally restricted for payment to the secured and unsecured creditors of the Elpida Companies in October 2013 subject to reduction for certain items specified in the Sponsor Agreement and plans of reorganization. For the purpose of these unaudited pro forma condensed combined financial statements, the amount deposited into the restricted account was presented as restricted cash. Of the $615 million paid at closing, $18 million was applied from amounts we had deposited into an escrow account in July 2012 as a condition to the execution of the Sponsor Agreement.</w:t>
      </w:r>
    </w:p>
    <w:p>
      <w:pPr>
        <w:spacing w:after="0" w:line="179"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On July 31, 2013, we also completed the acquisition of an additional 24% ownership interest in Rexchip, a Taiwanese corporation and manufacturing joint venture, from the Powerchip Group pursuant to a share purchase agreement. We paid $334 million in cash for the shares. Elpida owns, directly and indirectly through a subsidiary, approximately 65% of Rexchip’s outstanding common stock. Therefore, as a result of the consummation of our acquisition of Elpida and the Rexchip shares from the Powerchip Group, we own approximately 89% ownership interest in Rexchip.</w:t>
      </w:r>
    </w:p>
    <w:p>
      <w:pPr>
        <w:spacing w:after="0" w:line="168" w:lineRule="exact"/>
        <w:rPr>
          <w:sz w:val="20"/>
          <w:szCs w:val="20"/>
          <w:color w:val="auto"/>
        </w:rPr>
      </w:pPr>
    </w:p>
    <w:p>
      <w:pPr>
        <w:ind w:right="140" w:firstLine="324"/>
        <w:spacing w:after="0" w:line="267" w:lineRule="auto"/>
        <w:rPr>
          <w:sz w:val="20"/>
          <w:szCs w:val="20"/>
          <w:color w:val="auto"/>
        </w:rPr>
      </w:pPr>
      <w:r>
        <w:rPr>
          <w:rFonts w:ascii="Arial" w:cs="Arial" w:eastAsia="Arial" w:hAnsi="Arial"/>
          <w:sz w:val="18"/>
          <w:szCs w:val="18"/>
          <w:color w:val="auto"/>
        </w:rPr>
        <w:t xml:space="preserve">Elpida's assets include, among others: a 300mm DRAM wafer fabrication facility located in Hiroshima, Japan and its approximate 65% ownership interest in Rexchip, whose assets include a 300mm DRAM wafer fabrication facility located in Taiwan; </w:t>
      </w:r>
      <w:r>
        <w:rPr>
          <w:rFonts w:ascii="Arial" w:cs="Arial" w:eastAsia="Arial" w:hAnsi="Arial"/>
          <w:sz w:val="19"/>
          <w:szCs w:val="19"/>
          <w:color w:val="auto"/>
        </w:rPr>
        <w:t>and a 100% ownership interest in Akita, whose</w:t>
      </w:r>
      <w:r>
        <w:rPr>
          <w:rFonts w:ascii="Arial" w:cs="Arial" w:eastAsia="Arial" w:hAnsi="Arial"/>
          <w:sz w:val="18"/>
          <w:szCs w:val="18"/>
          <w:color w:val="auto"/>
        </w:rPr>
        <w:t xml:space="preserve"> </w:t>
      </w:r>
      <w:r>
        <w:rPr>
          <w:rFonts w:ascii="Arial" w:cs="Arial" w:eastAsia="Arial" w:hAnsi="Arial"/>
          <w:sz w:val="19"/>
          <w:szCs w:val="19"/>
          <w:color w:val="auto"/>
        </w:rPr>
        <w:t>assets include an assembly and test facility located in Akita, Japan</w:t>
      </w:r>
      <w:r>
        <w:rPr>
          <w:rFonts w:ascii="Arial" w:cs="Arial" w:eastAsia="Arial" w:hAnsi="Arial"/>
          <w:sz w:val="18"/>
          <w:szCs w:val="18"/>
          <w:color w:val="auto"/>
        </w:rPr>
        <w:t>.</w:t>
      </w:r>
    </w:p>
    <w:p>
      <w:pPr>
        <w:spacing w:after="0" w:line="17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Elpida's semiconductor memory products include Mobile DRAM, targeted toward mobile phones and tablets. We believe that combining the complementary product portfolios of Micron and Elpida will strengthen our position in the memory market and enable us to provide customers with a wider portfolio of high-quality memory solutions. We also believe that our acquisition of Elpida will strengthen our market position in the memory industry through increased research and development and manufacturing scale, improved access to core memory market segments, and additional wafer capacity to balance among our DRAM, NAND Flash and NOR Flash memory solutions.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Elpida Plans of Reorganization and Related Creditor Installment Payments</w:t>
      </w:r>
    </w:p>
    <w:p>
      <w:pPr>
        <w:spacing w:after="0" w:line="229"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The Elpida Companies are currently subject to corporate reorganization proceedings under the Corporate Reorganization Act of Japan. Both of the Elpida Companies have adopted plans of reorganization which set forth the treatment of their respective pre-petition creditors and their claims, which plans were approved by the Elpida Companies’ creditors and the Tokyo District Court in February 2013. The plans of reorganization provide for payments by the Elpida Companies to their secured and unsecured creditors in an aggregate amount of 200 billion yen (or the equivalent of approximately $2.04 billion, assuming approximately 98.03 yen per U.S. dollar, the exchange rate as of July 31, 2013), less certain expenses of the reorganization proceedings and certain other items. The reorganization plans provide that payments will be made to creditors in seven installments. The initial installment payment of 60 billion yen, which amount is subject to reduction for certain items specified in the Sponsor Agreement and plans of reorganization, is scheduled to be paid in October 2013 with funds from the legally restricted accounts. The remaining 140 billion yen (or the equivalent of approximately $1.43 billion) of installment payments payable to the Elpida Companies' creditors are scheduled to be made by the Elpida Companies in six annual installments payable at the end of each calendar year beginning in the calendar year after the first installment payments are made. Pursuant to the terms of the Sponsor Agreement, we entered into a series of agreements with the Elpida Companies, including supply agreements, research and development services agreements and general services agreements, which are intended to generate more stable operating cash flows to meet the requirements of the Elpida Companies’ businesses, including the funding of the installment payments to the Elpida Companies’ creditors.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580" w:right="259" w:bottom="1440" w:gutter="0" w:footer="0" w:header="0"/>
        </w:sectPr>
      </w:pPr>
    </w:p>
    <w:bookmarkStart w:id="57" w:name="page58"/>
    <w:bookmarkEnd w:id="57"/>
    <w:p>
      <w:pPr>
        <w:spacing w:after="0"/>
        <w:rPr>
          <w:sz w:val="20"/>
          <w:szCs w:val="20"/>
          <w:color w:val="auto"/>
        </w:rPr>
      </w:pPr>
      <w:r>
        <w:rPr>
          <w:rFonts w:ascii="Arial" w:cs="Arial" w:eastAsia="Arial" w:hAnsi="Arial"/>
          <w:sz w:val="22"/>
          <w:szCs w:val="22"/>
          <w:b w:val="1"/>
          <w:bCs w:val="1"/>
          <w:color w:val="auto"/>
        </w:rPr>
        <w:t>Basis of Pro Forma Presentation</w:t>
      </w:r>
    </w:p>
    <w:p>
      <w:pPr>
        <w:spacing w:after="0" w:line="21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Elpida Group's historical financial statements are presented in accordance with Financial Accounting Standards Board Accounting Standard Codification (ASC) 852, Reorganizations, which requires financial statements to distinguish transactions and events that are directly associated with the reorganization from the ongoing operations of the business. The pro forma combined financial statements are presented consistent with our historical financial statements.</w:t>
      </w:r>
    </w:p>
    <w:p>
      <w:pPr>
        <w:spacing w:after="0" w:line="187" w:lineRule="exact"/>
        <w:rPr>
          <w:sz w:val="20"/>
          <w:szCs w:val="20"/>
          <w:color w:val="auto"/>
        </w:rPr>
      </w:pPr>
    </w:p>
    <w:p>
      <w:pPr>
        <w:jc w:val="both"/>
        <w:ind w:right="380" w:firstLine="324"/>
        <w:spacing w:after="0" w:line="312" w:lineRule="auto"/>
        <w:rPr>
          <w:sz w:val="20"/>
          <w:szCs w:val="20"/>
          <w:color w:val="auto"/>
        </w:rPr>
      </w:pPr>
      <w:r>
        <w:rPr>
          <w:rFonts w:ascii="Arial" w:cs="Arial" w:eastAsia="Arial" w:hAnsi="Arial"/>
          <w:sz w:val="16"/>
          <w:szCs w:val="16"/>
          <w:color w:val="auto"/>
        </w:rPr>
        <w:t>In the second quarter of 2013, we reclassified gains and losses from changes in currency exchange rates in order to improve comparability with our industry peers. As a result of the reclassification, $59 million of losses for the first quarter of 2013 and $6 million of losses for the year ended August 30, 2012 were reclassified from the amounts previously reported in other operating (income) expense, net to other non-operating income (expense), net.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Acquisition Accounting</w:t>
      </w:r>
    </w:p>
    <w:p>
      <w:pPr>
        <w:spacing w:after="0" w:line="229" w:lineRule="exact"/>
        <w:rPr>
          <w:sz w:val="20"/>
          <w:szCs w:val="20"/>
          <w:color w:val="auto"/>
        </w:rPr>
      </w:pPr>
    </w:p>
    <w:p>
      <w:pPr>
        <w:jc w:val="both"/>
        <w:ind w:right="220" w:firstLine="324"/>
        <w:spacing w:after="0" w:line="276" w:lineRule="auto"/>
        <w:rPr>
          <w:sz w:val="20"/>
          <w:szCs w:val="20"/>
          <w:color w:val="auto"/>
        </w:rPr>
      </w:pPr>
      <w:r>
        <w:rPr>
          <w:rFonts w:ascii="Arial" w:cs="Arial" w:eastAsia="Arial" w:hAnsi="Arial"/>
          <w:sz w:val="17"/>
          <w:szCs w:val="17"/>
          <w:color w:val="auto"/>
        </w:rPr>
        <w:t>We account for business combinations pursuant to ASC 805, Business Combinations. In accordance with ASC 805, we recognized identifiable assets acquired and liabilities assumed, at the acquisition date fair value as defined by ASC 820, Fair Value Measurements and Disclosures. Under ASC 805, our accounting for the Elpida Acquisition includes our purchase from the Powerchip Group of approximately 24% of the shares of Rexchip because (1) the two transactions were entered into and closed contemporaneously and (2) the Rexchip share purchase was negotiated in contemplation of the Elpida acquisition and its completion was contingent on the closing of the Elpida acquisition.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Accounting Periods Presented</w:t>
      </w:r>
    </w:p>
    <w:p>
      <w:pPr>
        <w:spacing w:after="0" w:line="229"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and the Elpida Group had different fiscal years. All period references are to fiscal periods unless otherwise indicated. The Elpida Group's historical fiscal year ended on February 28, 2013 and March 31 for all other years. For purposes of these unaudited pro forma condensed combined financial statements, the Elpida Group's historical results have been aligned to more closely conform to our year which is the 52 or 53-week period ending on the Thursday closest to August 31. Accordingly, the unaudited pro forma condensed combined balance sheet as of May 30, 2013 combines our historical unaudited condensed consolidated balance sheet as of May 30, 2013 and the Elpida Group's historical unaudited condensed consolidated balance sheet as of February 28, 2013, which are presented as if our Elpida Acquisition had occurred on May 30, 2013.</w:t>
      </w:r>
    </w:p>
    <w:p>
      <w:pPr>
        <w:spacing w:after="0" w:line="178" w:lineRule="exact"/>
        <w:rPr>
          <w:sz w:val="20"/>
          <w:szCs w:val="20"/>
          <w:color w:val="auto"/>
        </w:rPr>
      </w:pPr>
    </w:p>
    <w:p>
      <w:pPr>
        <w:ind w:right="280" w:firstLine="324"/>
        <w:spacing w:after="0" w:line="297" w:lineRule="auto"/>
        <w:rPr>
          <w:sz w:val="20"/>
          <w:szCs w:val="20"/>
          <w:color w:val="auto"/>
        </w:rPr>
      </w:pPr>
      <w:r>
        <w:rPr>
          <w:rFonts w:ascii="Arial" w:cs="Arial" w:eastAsia="Arial" w:hAnsi="Arial"/>
          <w:sz w:val="16"/>
          <w:szCs w:val="16"/>
          <w:color w:val="auto"/>
        </w:rPr>
        <w:t>The unaudited pro forma condensed combined statements of operations for the nine months ended May 30, 2013 combines our unaudited historical results for the nine months ended May 30, 2013 and the unaudited historical results of the Elpida Group for the nine months ended February 28, 2013. The unaudited pro forma condensed combined statements of operations for the year ended August 30, 2012 combines our historical results for the year ended August 30, 2012 and the historical unaudited results of the Elpida Group for the twelve months ended June 30, 2012. The unaudited pro forma condensed combined statements of operations are presented as if the Elpida Acquisition had occurred on September 2, 2011.</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Currency Translation</w:t>
      </w:r>
    </w:p>
    <w:p>
      <w:pPr>
        <w:spacing w:after="0" w:line="229" w:lineRule="exact"/>
        <w:rPr>
          <w:sz w:val="20"/>
          <w:szCs w:val="20"/>
          <w:color w:val="auto"/>
        </w:rPr>
      </w:pPr>
    </w:p>
    <w:p>
      <w:pPr>
        <w:jc w:val="both"/>
        <w:ind w:right="200" w:firstLine="324"/>
        <w:spacing w:after="0" w:line="259" w:lineRule="auto"/>
        <w:rPr>
          <w:sz w:val="20"/>
          <w:szCs w:val="20"/>
          <w:color w:val="auto"/>
        </w:rPr>
      </w:pPr>
      <w:r>
        <w:rPr>
          <w:rFonts w:ascii="Arial" w:cs="Arial" w:eastAsia="Arial" w:hAnsi="Arial"/>
          <w:sz w:val="18"/>
          <w:szCs w:val="18"/>
          <w:color w:val="auto"/>
        </w:rPr>
        <w:t>All consideration paid for the Elpida Acquisition for the purposes of these pro forma financial statements was translated to U.S. dollars using exchange rates of 98.03 yen per U.S. dollar or 29.96 New Taiwan dollars per U.S. dollar, the rates as of the July 31, 2013 acquisition date. Historical amounts for the Elpida Group were translated from yen to U.S. dollars in the unaudited pro forma condensed combined balance sheet at an exchange rate of 101.16, the rate as of May 30, 2013.</w:t>
      </w:r>
    </w:p>
    <w:p>
      <w:pPr>
        <w:spacing w:after="0" w:line="187"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For the unaudited pro forma condensed combined statement of operations for the nine months ended May 30, 2013, historical amounts for the Elpida Group were translated from yen to U.S. dollars at the average exchange rates for those periods ranging from 78.72 to 96.25. For the unaudited pro forma condensed combined statement of operations for the year ended August 30, 2012, historical amounts for the Elpida Group were translated from yen to U.S. dollars at the average quarterly exchange rates, ranging from 77.02 to 81.17.</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5"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u w:val="single" w:color="auto"/>
          <w:color w:val="auto"/>
        </w:rPr>
        <w:t>Reclassifications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Reclassifications have been made to the historical Elpida Group financial statements as presented herein in order to conform them to our presentation and include the following:</w:t>
      </w:r>
    </w:p>
    <w:p>
      <w:pPr>
        <w:spacing w:after="0" w:line="170" w:lineRule="exact"/>
        <w:rPr>
          <w:sz w:val="20"/>
          <w:szCs w:val="20"/>
          <w:color w:val="auto"/>
        </w:rPr>
      </w:pPr>
    </w:p>
    <w:p>
      <w:pPr>
        <w:ind w:left="660" w:right="36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include software assets as a component of property, plant and equipment, net. As a result, software assets of $16 million, net of accumulated amortization, were reclassified from intangible assets to property, plant and equipment, net.</w:t>
      </w:r>
    </w:p>
    <w:p>
      <w:pPr>
        <w:spacing w:after="0" w:line="170" w:lineRule="exact"/>
        <w:rPr>
          <w:rFonts w:ascii="Arial" w:cs="Arial" w:eastAsia="Arial" w:hAnsi="Arial"/>
          <w:sz w:val="18"/>
          <w:szCs w:val="18"/>
          <w:color w:val="auto"/>
        </w:rPr>
      </w:pPr>
    </w:p>
    <w:p>
      <w:pPr>
        <w:ind w:left="660" w:right="580" w:hanging="328"/>
        <w:spacing w:after="0" w:line="308" w:lineRule="auto"/>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We include certain liabilities related to equipment purchases separately from accounts payable and accrued expenses. As a result, payables of $13 million were reclassified from accounts payable and accrued expenses to equipment purchase contracts.</w:t>
      </w:r>
    </w:p>
    <w:p>
      <w:pPr>
        <w:spacing w:after="0" w:line="146" w:lineRule="exact"/>
        <w:rPr>
          <w:rFonts w:ascii="Arial" w:cs="Arial" w:eastAsia="Arial" w:hAnsi="Arial"/>
          <w:sz w:val="17"/>
          <w:szCs w:val="17"/>
          <w:color w:val="auto"/>
        </w:rPr>
      </w:pPr>
    </w:p>
    <w:p>
      <w:pPr>
        <w:ind w:left="660" w:right="180" w:hanging="328"/>
        <w:spacing w:after="0" w:line="259"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Elpida Group presented amounts previously considered liabilities subject-to-compromise in its February 28, 2013 balance sheet within its pre-bankruptcy liability line items. To present the post-acquisition debt related to the bankruptcy consistent with our presentation, $54 million was reclassified from accounts payable and accrued expenses into current portion of long-term debt. An additional $17 million was reclassified from other noncurrent liabilities to long-term debt.</w:t>
      </w:r>
    </w:p>
    <w:p>
      <w:pPr>
        <w:spacing w:after="0" w:line="186" w:lineRule="exact"/>
        <w:rPr>
          <w:rFonts w:ascii="Arial" w:cs="Arial" w:eastAsia="Arial" w:hAnsi="Arial"/>
          <w:sz w:val="18"/>
          <w:szCs w:val="18"/>
          <w:color w:val="auto"/>
        </w:rPr>
      </w:pPr>
    </w:p>
    <w:p>
      <w:pPr>
        <w:jc w:val="both"/>
        <w:ind w:left="660" w:right="80" w:hanging="328"/>
        <w:spacing w:after="0" w:line="264"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Elpida Group included its research and development activities on its statement of operations within selling, general and administrative expense. As a result, $504 million and $252 million of expenses were reclassified to research and development expense to conform with our presentation for the year ended June 30, 2012 and nine months ended February 28, 2013, respectively.</w:t>
      </w:r>
    </w:p>
    <w:p>
      <w:pPr>
        <w:spacing w:after="0" w:line="181" w:lineRule="exact"/>
        <w:rPr>
          <w:rFonts w:ascii="Arial" w:cs="Arial" w:eastAsia="Arial" w:hAnsi="Arial"/>
          <w:sz w:val="18"/>
          <w:szCs w:val="18"/>
          <w:color w:val="auto"/>
        </w:rPr>
      </w:pPr>
    </w:p>
    <w:p>
      <w:pPr>
        <w:ind w:left="660" w:right="40" w:hanging="328"/>
        <w:spacing w:after="0" w:line="259"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For the Elpida Group's year ended June 30, 2012, other non-operating income (expense) included amounts inconsistent with our presentation. As such, (1) $50 million was reclassified to equity in net income (loss) of equity method investees for the impairment of equity method investments, (2) $43 million was reclassified to interest expense for amortization of loan costs and (3) $35 million was reclassified to other operating (income) expense related to government grant income.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580" w:right="259" w:bottom="1440" w:gutter="0" w:footer="0" w:header="0"/>
        </w:sectPr>
      </w:pPr>
    </w:p>
    <w:bookmarkStart w:id="59" w:name="page60"/>
    <w:bookmarkEnd w:id="59"/>
    <w:p>
      <w:pPr>
        <w:spacing w:after="0"/>
        <w:rPr>
          <w:sz w:val="20"/>
          <w:szCs w:val="20"/>
          <w:color w:val="auto"/>
        </w:rPr>
      </w:pPr>
      <w:r>
        <w:rPr>
          <w:rFonts w:ascii="Arial" w:cs="Arial" w:eastAsia="Arial" w:hAnsi="Arial"/>
          <w:sz w:val="22"/>
          <w:szCs w:val="22"/>
          <w:b w:val="1"/>
          <w:bCs w:val="1"/>
          <w:color w:val="auto"/>
        </w:rPr>
        <w:t>Elpida Acquisition Provisional Consideration and Valuation</w:t>
      </w:r>
    </w:p>
    <w:p>
      <w:pPr>
        <w:spacing w:after="0" w:line="219"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cash consideration paid for the Elpida Acquisition was $949 million which includes $615 million for the acquisition of Elpida and $334 million for the acquisition of the Rexchip shares.</w:t>
      </w:r>
    </w:p>
    <w:p>
      <w:pPr>
        <w:spacing w:after="0" w:line="170"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We estimated the provisional fair value of the assets and liabilities of the Elpida Group as of the July 31, 2013 acquisition date using an in-use model, which reflects its value through its use in combination with other assets as a group. These provisional amounts could change as additional information becomes available. These changes could result in material variances between the combined entity's future financial results and the amounts presented in these unaudited pro forma condensed combined financial statements, including variances in fair values recorded, as well as expenses associated with these items. The consideration and provisional valuation of assets acquired and liabilities assumed are as follows: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40" w:type="dxa"/>
            <w:vAlign w:val="bottom"/>
          </w:tcPr>
          <w:p>
            <w:pPr>
              <w:ind w:left="40"/>
              <w:spacing w:after="0"/>
              <w:rPr>
                <w:sz w:val="20"/>
                <w:szCs w:val="20"/>
                <w:color w:val="auto"/>
              </w:rPr>
            </w:pPr>
            <w:r>
              <w:rPr>
                <w:rFonts w:ascii="Arial" w:cs="Arial" w:eastAsia="Arial" w:hAnsi="Arial"/>
                <w:sz w:val="18"/>
                <w:szCs w:val="18"/>
                <w:b w:val="1"/>
                <w:bCs w:val="1"/>
                <w:color w:val="auto"/>
              </w:rPr>
              <w:t>Assets acquired and liabilities assumed:</w:t>
            </w: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9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equivalents</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999</w:t>
            </w:r>
          </w:p>
        </w:tc>
      </w:tr>
      <w:tr>
        <w:trPr>
          <w:trHeight w:val="243"/>
        </w:trPr>
        <w:tc>
          <w:tcPr>
            <w:tcW w:w="9940" w:type="dxa"/>
            <w:vAlign w:val="bottom"/>
          </w:tcPr>
          <w:p>
            <w:pPr>
              <w:ind w:left="180"/>
              <w:spacing w:after="0"/>
              <w:rPr>
                <w:sz w:val="20"/>
                <w:szCs w:val="20"/>
                <w:color w:val="auto"/>
              </w:rPr>
            </w:pPr>
            <w:r>
              <w:rPr>
                <w:rFonts w:ascii="Arial" w:cs="Arial" w:eastAsia="Arial" w:hAnsi="Arial"/>
                <w:sz w:val="18"/>
                <w:szCs w:val="18"/>
                <w:color w:val="auto"/>
              </w:rPr>
              <w:t>Receivables</w:t>
            </w: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697</w:t>
            </w:r>
          </w:p>
        </w:tc>
      </w:tr>
      <w:tr>
        <w:trPr>
          <w:trHeight w:val="27"/>
        </w:trPr>
        <w:tc>
          <w:tcPr>
            <w:tcW w:w="9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962</w:t>
            </w:r>
          </w:p>
        </w:tc>
      </w:tr>
      <w:tr>
        <w:trPr>
          <w:trHeight w:val="243"/>
        </w:trPr>
        <w:tc>
          <w:tcPr>
            <w:tcW w:w="994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557</w:t>
            </w:r>
          </w:p>
        </w:tc>
      </w:tr>
      <w:tr>
        <w:trPr>
          <w:trHeight w:val="27"/>
        </w:trPr>
        <w:tc>
          <w:tcPr>
            <w:tcW w:w="9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w:t>
            </w:r>
          </w:p>
        </w:tc>
      </w:tr>
      <w:tr>
        <w:trPr>
          <w:trHeight w:val="243"/>
        </w:trPr>
        <w:tc>
          <w:tcPr>
            <w:tcW w:w="9940" w:type="dxa"/>
            <w:vAlign w:val="bottom"/>
          </w:tcPr>
          <w:p>
            <w:pPr>
              <w:ind w:left="180"/>
              <w:spacing w:after="0"/>
              <w:rPr>
                <w:sz w:val="20"/>
                <w:szCs w:val="20"/>
                <w:color w:val="auto"/>
              </w:rPr>
            </w:pPr>
            <w:r>
              <w:rPr>
                <w:rFonts w:ascii="Arial" w:cs="Arial" w:eastAsia="Arial" w:hAnsi="Arial"/>
                <w:sz w:val="18"/>
                <w:szCs w:val="18"/>
                <w:color w:val="auto"/>
              </w:rPr>
              <w:t>Property, plant and equipment</w:t>
            </w: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935</w:t>
            </w:r>
          </w:p>
        </w:tc>
      </w:tr>
      <w:tr>
        <w:trPr>
          <w:trHeight w:val="27"/>
        </w:trPr>
        <w:tc>
          <w:tcPr>
            <w:tcW w:w="9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method investment</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r>
      <w:tr>
        <w:trPr>
          <w:trHeight w:val="243"/>
        </w:trPr>
        <w:tc>
          <w:tcPr>
            <w:tcW w:w="9940" w:type="dxa"/>
            <w:vAlign w:val="bottom"/>
          </w:tcPr>
          <w:p>
            <w:pPr>
              <w:ind w:left="180"/>
              <w:spacing w:after="0"/>
              <w:rPr>
                <w:sz w:val="20"/>
                <w:szCs w:val="20"/>
                <w:color w:val="auto"/>
              </w:rPr>
            </w:pPr>
            <w:r>
              <w:rPr>
                <w:rFonts w:ascii="Arial" w:cs="Arial" w:eastAsia="Arial" w:hAnsi="Arial"/>
                <w:sz w:val="18"/>
                <w:szCs w:val="18"/>
                <w:color w:val="auto"/>
              </w:rPr>
              <w:t>Intangible assets</w:t>
            </w: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9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tax assets</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811</w:t>
            </w:r>
          </w:p>
        </w:tc>
      </w:tr>
      <w:tr>
        <w:trPr>
          <w:trHeight w:val="243"/>
        </w:trPr>
        <w:tc>
          <w:tcPr>
            <w:tcW w:w="9940" w:type="dxa"/>
            <w:vAlign w:val="bottom"/>
          </w:tcPr>
          <w:p>
            <w:pPr>
              <w:ind w:left="180"/>
              <w:spacing w:after="0"/>
              <w:rPr>
                <w:sz w:val="20"/>
                <w:szCs w:val="20"/>
                <w:color w:val="auto"/>
              </w:rPr>
            </w:pPr>
            <w:r>
              <w:rPr>
                <w:rFonts w:ascii="Arial" w:cs="Arial" w:eastAsia="Arial" w:hAnsi="Arial"/>
                <w:sz w:val="18"/>
                <w:szCs w:val="18"/>
                <w:color w:val="auto"/>
              </w:rPr>
              <w:t>Other noncurrent assets</w:t>
            </w: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66</w:t>
            </w:r>
          </w:p>
        </w:tc>
      </w:tr>
      <w:tr>
        <w:trPr>
          <w:trHeight w:val="27"/>
        </w:trPr>
        <w:tc>
          <w:tcPr>
            <w:tcW w:w="9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97"/>
        </w:trPr>
        <w:tc>
          <w:tcPr>
            <w:tcW w:w="99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9940" w:type="dxa"/>
            <w:vAlign w:val="bottom"/>
          </w:tcPr>
          <w:p>
            <w:pPr>
              <w:ind w:left="180"/>
              <w:spacing w:after="0"/>
              <w:rPr>
                <w:sz w:val="20"/>
                <w:szCs w:val="20"/>
                <w:color w:val="auto"/>
              </w:rPr>
            </w:pPr>
            <w:r>
              <w:rPr>
                <w:rFonts w:ascii="Arial" w:cs="Arial" w:eastAsia="Arial" w:hAnsi="Arial"/>
                <w:sz w:val="18"/>
                <w:szCs w:val="18"/>
                <w:color w:val="auto"/>
              </w:rPr>
              <w:t>Accounts payable and accrued expenses</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(387)</w:t>
            </w:r>
          </w:p>
        </w:tc>
      </w:tr>
      <w:tr>
        <w:trPr>
          <w:trHeight w:val="27"/>
        </w:trPr>
        <w:tc>
          <w:tcPr>
            <w:tcW w:w="9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Equipment purchase contracts</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9940" w:type="dxa"/>
            <w:vAlign w:val="bottom"/>
          </w:tcPr>
          <w:p>
            <w:pPr>
              <w:ind w:left="180"/>
              <w:spacing w:after="0"/>
              <w:rPr>
                <w:sz w:val="20"/>
                <w:szCs w:val="20"/>
                <w:color w:val="auto"/>
              </w:rPr>
            </w:pPr>
            <w:r>
              <w:rPr>
                <w:rFonts w:ascii="Arial" w:cs="Arial" w:eastAsia="Arial" w:hAnsi="Arial"/>
                <w:sz w:val="18"/>
                <w:szCs w:val="18"/>
                <w:color w:val="auto"/>
              </w:rPr>
              <w:t>Current portion of long-term debt</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(673)</w:t>
            </w:r>
          </w:p>
        </w:tc>
      </w:tr>
      <w:tr>
        <w:trPr>
          <w:trHeight w:val="27"/>
        </w:trPr>
        <w:tc>
          <w:tcPr>
            <w:tcW w:w="9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Long-term debt</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(1,461)</w:t>
            </w:r>
          </w:p>
        </w:tc>
      </w:tr>
      <w:tr>
        <w:trPr>
          <w:trHeight w:val="243"/>
        </w:trPr>
        <w:tc>
          <w:tcPr>
            <w:tcW w:w="9940" w:type="dxa"/>
            <w:vAlign w:val="bottom"/>
          </w:tcPr>
          <w:p>
            <w:pPr>
              <w:ind w:left="180"/>
              <w:spacing w:after="0"/>
              <w:rPr>
                <w:sz w:val="20"/>
                <w:szCs w:val="20"/>
                <w:color w:val="auto"/>
              </w:rPr>
            </w:pPr>
            <w:r>
              <w:rPr>
                <w:rFonts w:ascii="Arial" w:cs="Arial" w:eastAsia="Arial" w:hAnsi="Arial"/>
                <w:sz w:val="18"/>
                <w:szCs w:val="18"/>
                <w:color w:val="auto"/>
              </w:rPr>
              <w:t>Other noncurrent liabilities</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7"/>
        </w:trPr>
        <w:tc>
          <w:tcPr>
            <w:tcW w:w="9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97"/>
        </w:trPr>
        <w:tc>
          <w:tcPr>
            <w:tcW w:w="9940" w:type="dxa"/>
            <w:vAlign w:val="bottom"/>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spacing w:after="0"/>
              <w:rPr>
                <w:sz w:val="24"/>
                <w:szCs w:val="24"/>
                <w:color w:val="auto"/>
              </w:rPr>
            </w:pPr>
          </w:p>
        </w:tc>
      </w:tr>
      <w:tr>
        <w:trPr>
          <w:trHeight w:val="237"/>
        </w:trPr>
        <w:tc>
          <w:tcPr>
            <w:tcW w:w="9940" w:type="dxa"/>
            <w:vAlign w:val="bottom"/>
          </w:tcPr>
          <w:p>
            <w:pPr>
              <w:ind w:left="180"/>
              <w:spacing w:after="0"/>
              <w:rPr>
                <w:sz w:val="20"/>
                <w:szCs w:val="20"/>
                <w:color w:val="auto"/>
              </w:rPr>
            </w:pPr>
            <w:r>
              <w:rPr>
                <w:rFonts w:ascii="Arial" w:cs="Arial" w:eastAsia="Arial" w:hAnsi="Arial"/>
                <w:sz w:val="18"/>
                <w:szCs w:val="18"/>
                <w:color w:val="auto"/>
              </w:rPr>
              <w:t>Total net assets acquired</w:t>
            </w:r>
          </w:p>
        </w:tc>
        <w:tc>
          <w:tcPr>
            <w:tcW w:w="52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2,601</w:t>
            </w:r>
          </w:p>
        </w:tc>
      </w:tr>
      <w:tr>
        <w:trPr>
          <w:trHeight w:val="27"/>
        </w:trPr>
        <w:tc>
          <w:tcPr>
            <w:tcW w:w="99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91"/>
        </w:trPr>
        <w:tc>
          <w:tcPr>
            <w:tcW w:w="99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b w:val="1"/>
                <w:bCs w:val="1"/>
                <w:color w:val="auto"/>
              </w:rPr>
              <w:t>Noncontrolling interests in subsidiaries</w:t>
            </w: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168</w:t>
            </w:r>
          </w:p>
        </w:tc>
      </w:tr>
      <w:tr>
        <w:trPr>
          <w:trHeight w:val="27"/>
        </w:trPr>
        <w:tc>
          <w:tcPr>
            <w:tcW w:w="99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994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b w:val="1"/>
                <w:bCs w:val="1"/>
                <w:color w:val="auto"/>
              </w:rPr>
              <w:t>Consideration</w:t>
            </w: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949</w:t>
            </w:r>
          </w:p>
        </w:tc>
      </w:tr>
      <w:tr>
        <w:trPr>
          <w:trHeight w:val="27"/>
        </w:trPr>
        <w:tc>
          <w:tcPr>
            <w:tcW w:w="99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91"/>
        </w:trPr>
        <w:tc>
          <w:tcPr>
            <w:tcW w:w="9940" w:type="dxa"/>
            <w:vAlign w:val="bottom"/>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spacing w:after="0"/>
              <w:rPr>
                <w:sz w:val="24"/>
                <w:szCs w:val="24"/>
                <w:color w:val="auto"/>
              </w:rPr>
            </w:pPr>
          </w:p>
        </w:tc>
      </w:tr>
      <w:tr>
        <w:trPr>
          <w:trHeight w:val="257"/>
        </w:trPr>
        <w:tc>
          <w:tcPr>
            <w:tcW w:w="9940" w:type="dxa"/>
            <w:vAlign w:val="bottom"/>
          </w:tcPr>
          <w:p>
            <w:pPr>
              <w:ind w:left="40"/>
              <w:spacing w:after="0"/>
              <w:rPr>
                <w:sz w:val="20"/>
                <w:szCs w:val="20"/>
                <w:color w:val="auto"/>
              </w:rPr>
            </w:pPr>
            <w:r>
              <w:rPr>
                <w:rFonts w:ascii="Arial" w:cs="Arial" w:eastAsia="Arial" w:hAnsi="Arial"/>
                <w:sz w:val="18"/>
                <w:szCs w:val="18"/>
                <w:b w:val="1"/>
                <w:bCs w:val="1"/>
                <w:color w:val="auto"/>
              </w:rPr>
              <w:t>Gain on acquisition</w:t>
            </w: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1,484</w:t>
            </w:r>
          </w:p>
        </w:tc>
      </w:tr>
      <w:tr>
        <w:trPr>
          <w:trHeight w:val="20"/>
        </w:trPr>
        <w:tc>
          <w:tcPr>
            <w:tcW w:w="99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firstLine="324"/>
        <w:spacing w:after="0" w:line="312" w:lineRule="auto"/>
        <w:rPr>
          <w:sz w:val="20"/>
          <w:szCs w:val="20"/>
          <w:color w:val="auto"/>
        </w:rPr>
      </w:pPr>
      <w:r>
        <w:rPr>
          <w:rFonts w:ascii="Arial" w:cs="Arial" w:eastAsia="Arial" w:hAnsi="Arial"/>
          <w:sz w:val="16"/>
          <w:szCs w:val="16"/>
          <w:color w:val="auto"/>
        </w:rPr>
        <w:t>The amounts in the table above reflect the consideration and provisional fair value of assets acquired and liabilities assumed as of July 31, 2013, the acquisition date. The unaudited pro forma condensed combined balance sheet includes assets and liabilities of the Elpida Group as of February 28, 2013 and fair value adjustments to those balances that are consistent with the fair value adjustments made to the July 31, 2013 balances in acquisition accounting.</w:t>
      </w:r>
    </w:p>
    <w:p>
      <w:pPr>
        <w:spacing w:after="0" w:line="147"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Because the fair value of the net assets acquired less noncontrolling interests exceeded the purchase price, we recognized a gain on the acquisition of $1,484 million. The yen denominated purchase price was fixed on July 2, 2012 when we entered into the Sponsor Agreement. We believe the fair value exceeded the purchase price because of changes in market conditions in the DRAM industry and changes in U.S. dollar to yen exchange rates between July 2, 2012 and July 31, 2013, when we completed the acquisition. These conditions resulted in significant increases in U.S. dollar equivalent net assets of the Elpida Group.</w:t>
      </w:r>
    </w:p>
    <w:p>
      <w:pPr>
        <w:spacing w:after="0" w:line="188"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The pro forma information presented is based on provisional estimates for the fair values of assets acquired and liabilities assumed based on available information. Determination of provisional fair values of assets acquired and liabilities assumed in the Elpida Acquisition required significant assumptions, estimates and judgments. Many of the measurements involved significant inputs that are not observable in the market and thus represent a Level 3 measurement as defined in ASC 820.</w:t>
      </w:r>
    </w:p>
    <w:p>
      <w:pPr>
        <w:sectPr>
          <w:pgSz w:w="11900" w:h="16838" w:orient="portrait"/>
          <w:cols w:equalWidth="0" w:num="1">
            <w:col w:w="11420"/>
          </w:cols>
          <w:pgMar w:left="240" w:top="585"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585" w:right="239"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16"/>
          <w:szCs w:val="16"/>
          <w:color w:val="auto"/>
        </w:rPr>
        <w:t>Changes in assumptions, estimates and judgments could significantly impact the asset and liabilities recorded as well as the gain recognized in the acquisition.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valuations involving the most significant assumptions, estimates and judgment included the following:</w:t>
      </w:r>
    </w:p>
    <w:p>
      <w:pPr>
        <w:spacing w:after="0" w:line="211"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Property, plant and equipment: Fair value in continued use and remaining useful lives.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Deferred tax assets: Projections of future taxable income and tax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Inventory: Estimated future selling prices including the timing of product sales and completion costs for work in process.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Debt: Discount rate and timing of payments.</w:t>
      </w:r>
    </w:p>
    <w:p>
      <w:pPr>
        <w:spacing w:after="0" w:line="211"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The fair value of the noncontrolling interest in the table above primarily relates to Rexchip and was derived based on the purchase price we paid the Powerchip Group for their 24% ownership interest.</w:t>
      </w:r>
    </w:p>
    <w:p>
      <w:pPr>
        <w:spacing w:after="0" w:line="170"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To mitigate the risk of the effect of changes in foreign currency exchange rates on the proposed Elpida Acquisition, we entered into a series of currency exchange contracts to hedge our exposure to yen and New Taiwan Dollar payments (the "Elpida Hedges"). These currency exchange contracts were not designated for hedge accounting and were remeasured at fair value each period with gains and losses recognized in other operating (income) expense. As a result of mark-to-market adjustments for the Elpida hedges, we recorded losses to other non-operating expense of $225 million in the first nine months of 2013. No adjustments were made in these unaudited pro forma condensed combined financial statements for the acquisition related currency exchange hedges.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4" w:right="239" w:bottom="1440" w:gutter="0" w:footer="0" w:header="0"/>
        </w:sectPr>
      </w:pPr>
    </w:p>
    <w:bookmarkStart w:id="61" w:name="page62"/>
    <w:bookmarkEnd w:id="61"/>
    <w:p>
      <w:pPr>
        <w:spacing w:after="0"/>
        <w:rPr>
          <w:sz w:val="20"/>
          <w:szCs w:val="20"/>
          <w:color w:val="auto"/>
        </w:rPr>
      </w:pPr>
      <w:r>
        <w:rPr>
          <w:rFonts w:ascii="Arial" w:cs="Arial" w:eastAsia="Arial" w:hAnsi="Arial"/>
          <w:sz w:val="22"/>
          <w:szCs w:val="22"/>
          <w:b w:val="1"/>
          <w:bCs w:val="1"/>
          <w:color w:val="auto"/>
        </w:rPr>
        <w:t>Pro Forma Financial Statement Adjustments</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pro forma adjustments are included in our unaudited pro forma condensed combined financial statements:</w:t>
      </w:r>
    </w:p>
    <w:p>
      <w:pPr>
        <w:spacing w:after="0" w:line="225" w:lineRule="exact"/>
        <w:rPr>
          <w:sz w:val="20"/>
          <w:szCs w:val="20"/>
          <w:color w:val="auto"/>
        </w:rPr>
      </w:pPr>
    </w:p>
    <w:p>
      <w:pPr>
        <w:ind w:left="660" w:hanging="328"/>
        <w:spacing w:after="0" w:line="264"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Adjustment of $931 million reflects the cash consideration paid for the Elpida Acquisition of $949 million which includes $615 million for the acquisition of Elpida (less $18 million applied from amounts we had deposited into an escrow account in July 2012 as a condition to the execution of the Sponsor Agreement) and $334 million for the acquisition of the Rexchip shares.</w:t>
      </w:r>
    </w:p>
    <w:p>
      <w:pPr>
        <w:spacing w:after="0" w:line="140"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Adjustment to inventories of $190 million for the difference between the historical cost and provisional fair value of the Elpida Group's inventory.</w:t>
      </w:r>
    </w:p>
    <w:p>
      <w:pPr>
        <w:spacing w:after="0" w:line="207" w:lineRule="exact"/>
        <w:rPr>
          <w:rFonts w:ascii="Arial" w:cs="Arial" w:eastAsia="Arial" w:hAnsi="Arial"/>
          <w:sz w:val="16"/>
          <w:szCs w:val="16"/>
          <w:color w:val="auto"/>
        </w:rPr>
      </w:pPr>
    </w:p>
    <w:p>
      <w:pPr>
        <w:ind w:left="660" w:right="200" w:hanging="328"/>
        <w:spacing w:after="0" w:line="279" w:lineRule="auto"/>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Substantially all of the $615 million we paid in connection with the acquisition of Elpida was deposited into accounts that are legally restricted for payment to the secured and unsecured creditors of the Elpida Companies. Adjustment to current restricted cash of $557 million is our provisional estimate of the amounts to be paid within one year of the acquisition. An adjustment to other noncurrent assets of $37 million is our provisional estimate of the restricted cash which will be paid to the creditors of the Elpida Companies after one year.</w:t>
      </w:r>
    </w:p>
    <w:p>
      <w:pPr>
        <w:spacing w:after="0" w:line="130" w:lineRule="exact"/>
        <w:rPr>
          <w:rFonts w:ascii="Arial" w:cs="Arial" w:eastAsia="Arial" w:hAnsi="Arial"/>
          <w:sz w:val="17"/>
          <w:szCs w:val="17"/>
          <w:color w:val="auto"/>
        </w:rPr>
      </w:pPr>
    </w:p>
    <w:p>
      <w:pPr>
        <w:ind w:left="660" w:right="200" w:hanging="328"/>
        <w:spacing w:after="0" w:line="264"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Adjustment to current and noncurrent deferred tax assets of $103 million and $807 million, respectively, to reflect expected utilization of net operating loss carryforwards, temporary differences between the basis of assets and liabilities for financial reporting and income tax purposes, and certain other de minimis net adjustments to tax liabilities.</w:t>
      </w:r>
    </w:p>
    <w:p>
      <w:pPr>
        <w:spacing w:after="0" w:line="140" w:lineRule="exact"/>
        <w:rPr>
          <w:rFonts w:ascii="Arial" w:cs="Arial" w:eastAsia="Arial" w:hAnsi="Arial"/>
          <w:sz w:val="18"/>
          <w:szCs w:val="18"/>
          <w:color w:val="auto"/>
        </w:rPr>
      </w:pPr>
    </w:p>
    <w:p>
      <w:pPr>
        <w:ind w:left="660" w:right="60" w:hanging="328"/>
        <w:spacing w:after="0" w:line="259"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Adjustment to the Elpida Group's property, plant and equipment of $2,131 million for the difference between the historical amount and the provisional fair value for buildings, equipment and software with useful lives of 1-30 years, 1-10 years and 2-5 years, respectively. As a result of the adjustment to property, plant and equipment and reassessment of useful lives assigned, adjustments to historical depreciation expense were as follows:</w:t>
      </w:r>
    </w:p>
    <w:p>
      <w:pPr>
        <w:spacing w:after="0" w:line="129"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2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Change in Depreciation</w:t>
            </w:r>
          </w:p>
        </w:tc>
      </w:tr>
      <w:tr>
        <w:trPr>
          <w:trHeight w:val="27"/>
        </w:trPr>
        <w:tc>
          <w:tcPr>
            <w:tcW w:w="6640" w:type="dxa"/>
            <w:vAlign w:val="bottom"/>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r>
      <w:tr>
        <w:trPr>
          <w:trHeight w:val="218"/>
        </w:trPr>
        <w:tc>
          <w:tcPr>
            <w:tcW w:w="6640" w:type="dxa"/>
            <w:vAlign w:val="bottom"/>
          </w:tcPr>
          <w:p>
            <w:pPr>
              <w:spacing w:after="0"/>
              <w:rPr>
                <w:sz w:val="18"/>
                <w:szCs w:val="18"/>
                <w:color w:val="auto"/>
              </w:rPr>
            </w:pPr>
          </w:p>
        </w:tc>
        <w:tc>
          <w:tcPr>
            <w:tcW w:w="1720" w:type="dxa"/>
            <w:vAlign w:val="bottom"/>
            <w:gridSpan w:val="3"/>
          </w:tcPr>
          <w:p>
            <w:pPr>
              <w:ind w:left="40"/>
              <w:spacing w:after="0"/>
              <w:rPr>
                <w:sz w:val="20"/>
                <w:szCs w:val="20"/>
                <w:color w:val="auto"/>
              </w:rPr>
            </w:pPr>
            <w:r>
              <w:rPr>
                <w:rFonts w:ascii="Arial" w:cs="Arial" w:eastAsia="Arial" w:hAnsi="Arial"/>
                <w:sz w:val="18"/>
                <w:szCs w:val="18"/>
                <w:b w:val="1"/>
                <w:bCs w:val="1"/>
                <w:color w:val="auto"/>
                <w:w w:val="98"/>
              </w:rPr>
              <w:t>Nine Months Ended</w:t>
            </w: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Year Ended August</w:t>
            </w:r>
          </w:p>
        </w:tc>
      </w:tr>
      <w:tr>
        <w:trPr>
          <w:trHeight w:val="234"/>
        </w:trPr>
        <w:tc>
          <w:tcPr>
            <w:tcW w:w="6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gridSpan w:val="2"/>
          </w:tcPr>
          <w:p>
            <w:pPr>
              <w:ind w:left="100"/>
              <w:spacing w:after="0"/>
              <w:rPr>
                <w:sz w:val="20"/>
                <w:szCs w:val="20"/>
                <w:color w:val="auto"/>
              </w:rPr>
            </w:pPr>
            <w:r>
              <w:rPr>
                <w:rFonts w:ascii="Arial" w:cs="Arial" w:eastAsia="Arial" w:hAnsi="Arial"/>
                <w:sz w:val="18"/>
                <w:szCs w:val="18"/>
                <w:b w:val="1"/>
                <w:bCs w:val="1"/>
                <w:color w:val="auto"/>
              </w:rPr>
              <w:t>May 30, 2013</w:t>
            </w:r>
          </w:p>
        </w:tc>
        <w:tc>
          <w:tcPr>
            <w:tcW w:w="300" w:type="dxa"/>
            <w:vAlign w:val="bottom"/>
          </w:tcPr>
          <w:p>
            <w:pPr>
              <w:spacing w:after="0"/>
              <w:rPr>
                <w:sz w:val="20"/>
                <w:szCs w:val="20"/>
                <w:color w:val="auto"/>
              </w:rPr>
            </w:pPr>
          </w:p>
        </w:tc>
        <w:tc>
          <w:tcPr>
            <w:tcW w:w="1300" w:type="dxa"/>
            <w:vAlign w:val="bottom"/>
          </w:tcPr>
          <w:p>
            <w:pPr>
              <w:jc w:val="right"/>
              <w:ind w:right="390"/>
              <w:spacing w:after="0"/>
              <w:rPr>
                <w:sz w:val="20"/>
                <w:szCs w:val="20"/>
                <w:color w:val="auto"/>
              </w:rPr>
            </w:pPr>
            <w:r>
              <w:rPr>
                <w:rFonts w:ascii="Arial" w:cs="Arial" w:eastAsia="Arial" w:hAnsi="Arial"/>
                <w:sz w:val="18"/>
                <w:szCs w:val="18"/>
                <w:b w:val="1"/>
                <w:bCs w:val="1"/>
                <w:color w:val="auto"/>
              </w:rPr>
              <w:t>30, 2012</w:t>
            </w:r>
          </w:p>
        </w:tc>
      </w:tr>
      <w:tr>
        <w:trPr>
          <w:trHeight w:val="27"/>
        </w:trPr>
        <w:tc>
          <w:tcPr>
            <w:tcW w:w="66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expense included in cost of goods sold</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(1,107)</w:t>
            </w:r>
          </w:p>
        </w:tc>
      </w:tr>
      <w:tr>
        <w:trPr>
          <w:trHeight w:val="243"/>
        </w:trPr>
        <w:tc>
          <w:tcPr>
            <w:tcW w:w="6640" w:type="dxa"/>
            <w:vAlign w:val="bottom"/>
          </w:tcPr>
          <w:p>
            <w:pPr>
              <w:ind w:left="20"/>
              <w:spacing w:after="0"/>
              <w:rPr>
                <w:sz w:val="20"/>
                <w:szCs w:val="20"/>
                <w:color w:val="auto"/>
              </w:rPr>
            </w:pPr>
            <w:r>
              <w:rPr>
                <w:rFonts w:ascii="Arial" w:cs="Arial" w:eastAsia="Arial" w:hAnsi="Arial"/>
                <w:sz w:val="18"/>
                <w:szCs w:val="18"/>
                <w:color w:val="auto"/>
              </w:rPr>
              <w:t>Depreciation expense included in selling, general and administrative</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6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expense included in research and development</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37"/>
        </w:trPr>
        <w:tc>
          <w:tcPr>
            <w:tcW w:w="6640" w:type="dxa"/>
            <w:vAlign w:val="bottom"/>
          </w:tcPr>
          <w:p>
            <w:pPr>
              <w:spacing w:after="0"/>
              <w:rPr>
                <w:sz w:val="20"/>
                <w:szCs w:val="20"/>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(558)</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(1,165)</w:t>
            </w:r>
          </w:p>
        </w:tc>
      </w:tr>
      <w:tr>
        <w:trPr>
          <w:trHeight w:val="27"/>
        </w:trPr>
        <w:tc>
          <w:tcPr>
            <w:tcW w:w="66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6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right="40"/>
        <w:spacing w:after="0" w:line="264" w:lineRule="auto"/>
        <w:rPr>
          <w:sz w:val="20"/>
          <w:szCs w:val="20"/>
          <w:color w:val="auto"/>
        </w:rPr>
      </w:pPr>
      <w:r>
        <w:rPr>
          <w:rFonts w:ascii="Arial" w:cs="Arial" w:eastAsia="Arial" w:hAnsi="Arial"/>
          <w:sz w:val="18"/>
          <w:szCs w:val="18"/>
          <w:color w:val="auto"/>
        </w:rPr>
        <w:t>The historical results of operations of the Elpida Group for the year ended June 30, 2012 included a $2,828 million loss for impairment of long-lived assets. No adjustment was made to the pro forma combined statement of operations for this impairment consistent with the requirements for preparation of pro forma financial statements.</w:t>
      </w:r>
    </w:p>
    <w:p>
      <w:pPr>
        <w:spacing w:after="0" w:line="141" w:lineRule="exact"/>
        <w:rPr>
          <w:sz w:val="20"/>
          <w:szCs w:val="20"/>
          <w:color w:val="auto"/>
        </w:rPr>
      </w:pPr>
    </w:p>
    <w:p>
      <w:pPr>
        <w:ind w:left="660" w:right="8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Adjustment to equity method investment for the difference between the historical amount and the provisional fair value of the Elpida Group's equity method investment in Tera Probe, Inc. ("Tera Probe").</w:t>
      </w:r>
    </w:p>
    <w:p>
      <w:pPr>
        <w:spacing w:after="0" w:line="170" w:lineRule="exact"/>
        <w:rPr>
          <w:rFonts w:ascii="Arial" w:cs="Arial" w:eastAsia="Arial" w:hAnsi="Arial"/>
          <w:sz w:val="18"/>
          <w:szCs w:val="18"/>
          <w:color w:val="auto"/>
        </w:rPr>
      </w:pPr>
    </w:p>
    <w:p>
      <w:pPr>
        <w:ind w:left="660" w:right="200"/>
        <w:spacing w:after="0" w:line="312" w:lineRule="auto"/>
        <w:rPr>
          <w:rFonts w:ascii="Arial" w:cs="Arial" w:eastAsia="Arial" w:hAnsi="Arial"/>
          <w:sz w:val="18"/>
          <w:szCs w:val="18"/>
          <w:color w:val="auto"/>
        </w:rPr>
      </w:pPr>
      <w:r>
        <w:rPr>
          <w:rFonts w:ascii="Arial" w:cs="Arial" w:eastAsia="Arial" w:hAnsi="Arial"/>
          <w:sz w:val="16"/>
          <w:szCs w:val="16"/>
          <w:color w:val="auto"/>
        </w:rPr>
        <w:t>The difference between our cost of the equity method investment in Tera Probe and our proportionate share of Tera Probe's equity ("Basis Difference") is recognized in earnings over a weighted-average period of 7 years. The adjustment to the pro forma unaudited condensed combined statements of operations includes the amortization of the Basis Difference that would have been recognized for the periods presented.</w:t>
      </w:r>
    </w:p>
    <w:p>
      <w:pPr>
        <w:spacing w:after="0" w:line="146" w:lineRule="exact"/>
        <w:rPr>
          <w:rFonts w:ascii="Arial" w:cs="Arial" w:eastAsia="Arial" w:hAnsi="Arial"/>
          <w:sz w:val="18"/>
          <w:szCs w:val="18"/>
          <w:color w:val="auto"/>
        </w:rPr>
      </w:pPr>
    </w:p>
    <w:p>
      <w:pPr>
        <w:ind w:left="660" w:right="320"/>
        <w:spacing w:after="0" w:line="264" w:lineRule="auto"/>
        <w:rPr>
          <w:rFonts w:ascii="Arial" w:cs="Arial" w:eastAsia="Arial" w:hAnsi="Arial"/>
          <w:sz w:val="18"/>
          <w:szCs w:val="18"/>
          <w:color w:val="auto"/>
        </w:rPr>
      </w:pPr>
      <w:r>
        <w:rPr>
          <w:rFonts w:ascii="Arial" w:cs="Arial" w:eastAsia="Arial" w:hAnsi="Arial"/>
          <w:sz w:val="18"/>
          <w:szCs w:val="18"/>
          <w:color w:val="auto"/>
        </w:rPr>
        <w:t>The historical results of operations of the Elpida Group for the year ended June 30, 2012 included a $50 million loss for an other-than-temporary impairment of its investment in Tera Probe. No adjustment was made to the pro forma combined statement of operations for this impairment consistent with the requirements for preparation of pro forma financial statements.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585" w:right="259" w:bottom="1440" w:gutter="0" w:footer="0" w:header="0"/>
        </w:sectPr>
      </w:pPr>
    </w:p>
    <w:bookmarkStart w:id="62" w:name="page63"/>
    <w:bookmarkEnd w:id="62"/>
    <w:p>
      <w:pPr>
        <w:ind w:left="328" w:hanging="328"/>
        <w:spacing w:after="0" w:line="342" w:lineRule="auto"/>
        <w:tabs>
          <w:tab w:leader="none" w:pos="328" w:val="left"/>
        </w:tabs>
        <w:numPr>
          <w:ilvl w:val="0"/>
          <w:numId w:val="43"/>
        </w:numPr>
        <w:rPr>
          <w:rFonts w:ascii="Arial" w:cs="Arial" w:eastAsia="Arial" w:hAnsi="Arial"/>
          <w:sz w:val="16"/>
          <w:szCs w:val="16"/>
          <w:color w:val="auto"/>
        </w:rPr>
      </w:pPr>
      <w:r>
        <w:rPr>
          <w:rFonts w:ascii="Arial" w:cs="Arial" w:eastAsia="Arial" w:hAnsi="Arial"/>
          <w:sz w:val="16"/>
          <w:szCs w:val="16"/>
          <w:color w:val="auto"/>
        </w:rPr>
        <w:t>Adjustment to intangible assets for the difference between the historical amount and the provisional fair value of the Elpida Group's intangible assets and related adjustments to amortization expense. Intangible assets recorded in acquisition accounting consists of product and product technology.</w:t>
      </w:r>
    </w:p>
    <w:p>
      <w:pPr>
        <w:spacing w:after="0" w:line="66" w:lineRule="exact"/>
        <w:rPr>
          <w:sz w:val="20"/>
          <w:szCs w:val="20"/>
          <w:color w:val="auto"/>
        </w:rPr>
      </w:pPr>
    </w:p>
    <w:tbl>
      <w:tblPr>
        <w:tblLayout w:type="fixed"/>
        <w:tblInd w:w="688"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20" w:type="dxa"/>
            <w:vAlign w:val="bottom"/>
            <w:gridSpan w:val="3"/>
          </w:tcPr>
          <w:p>
            <w:pPr>
              <w:jc w:val="right"/>
              <w:ind w:right="210"/>
              <w:spacing w:after="0"/>
              <w:rPr>
                <w:sz w:val="20"/>
                <w:szCs w:val="20"/>
                <w:color w:val="auto"/>
              </w:rPr>
            </w:pPr>
            <w:r>
              <w:rPr>
                <w:rFonts w:ascii="Arial" w:cs="Arial" w:eastAsia="Arial" w:hAnsi="Arial"/>
                <w:sz w:val="18"/>
                <w:szCs w:val="18"/>
                <w:b w:val="1"/>
                <w:bCs w:val="1"/>
                <w:color w:val="auto"/>
              </w:rPr>
              <w:t>Change in Amortization</w:t>
            </w:r>
          </w:p>
        </w:tc>
        <w:tc>
          <w:tcPr>
            <w:tcW w:w="420" w:type="dxa"/>
            <w:vAlign w:val="bottom"/>
          </w:tcPr>
          <w:p>
            <w:pPr>
              <w:spacing w:after="0"/>
              <w:rPr>
                <w:sz w:val="20"/>
                <w:szCs w:val="20"/>
                <w:color w:val="auto"/>
              </w:rPr>
            </w:pPr>
          </w:p>
        </w:tc>
      </w:tr>
      <w:tr>
        <w:trPr>
          <w:trHeight w:val="27"/>
        </w:trPr>
        <w:tc>
          <w:tcPr>
            <w:tcW w:w="6700" w:type="dxa"/>
            <w:vAlign w:val="bottom"/>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r>
      <w:tr>
        <w:trPr>
          <w:trHeight w:val="218"/>
        </w:trPr>
        <w:tc>
          <w:tcPr>
            <w:tcW w:w="6700" w:type="dxa"/>
            <w:vAlign w:val="bottom"/>
          </w:tcPr>
          <w:p>
            <w:pPr>
              <w:spacing w:after="0"/>
              <w:rPr>
                <w:sz w:val="18"/>
                <w:szCs w:val="18"/>
                <w:color w:val="auto"/>
              </w:rPr>
            </w:pPr>
          </w:p>
        </w:tc>
        <w:tc>
          <w:tcPr>
            <w:tcW w:w="1720" w:type="dxa"/>
            <w:vAlign w:val="bottom"/>
            <w:gridSpan w:val="3"/>
          </w:tcPr>
          <w:p>
            <w:pPr>
              <w:ind w:left="40"/>
              <w:spacing w:after="0"/>
              <w:rPr>
                <w:sz w:val="20"/>
                <w:szCs w:val="20"/>
                <w:color w:val="auto"/>
              </w:rPr>
            </w:pPr>
            <w:r>
              <w:rPr>
                <w:rFonts w:ascii="Arial" w:cs="Arial" w:eastAsia="Arial" w:hAnsi="Arial"/>
                <w:sz w:val="18"/>
                <w:szCs w:val="18"/>
                <w:b w:val="1"/>
                <w:bCs w:val="1"/>
                <w:color w:val="auto"/>
                <w:w w:val="98"/>
              </w:rPr>
              <w:t>Nine Months Ended</w:t>
            </w:r>
          </w:p>
        </w:tc>
        <w:tc>
          <w:tcPr>
            <w:tcW w:w="162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Year Ended August</w:t>
            </w:r>
          </w:p>
        </w:tc>
      </w:tr>
      <w:tr>
        <w:trPr>
          <w:trHeight w:val="234"/>
        </w:trPr>
        <w:tc>
          <w:tcPr>
            <w:tcW w:w="6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gridSpan w:val="2"/>
          </w:tcPr>
          <w:p>
            <w:pPr>
              <w:ind w:left="100"/>
              <w:spacing w:after="0"/>
              <w:rPr>
                <w:sz w:val="20"/>
                <w:szCs w:val="20"/>
                <w:color w:val="auto"/>
              </w:rPr>
            </w:pPr>
            <w:r>
              <w:rPr>
                <w:rFonts w:ascii="Arial" w:cs="Arial" w:eastAsia="Arial" w:hAnsi="Arial"/>
                <w:sz w:val="18"/>
                <w:szCs w:val="18"/>
                <w:b w:val="1"/>
                <w:bCs w:val="1"/>
                <w:color w:val="auto"/>
              </w:rPr>
              <w:t>May 30, 2013</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30, 2012</w:t>
            </w:r>
          </w:p>
        </w:tc>
        <w:tc>
          <w:tcPr>
            <w:tcW w:w="420" w:type="dxa"/>
            <w:vAlign w:val="bottom"/>
          </w:tcPr>
          <w:p>
            <w:pPr>
              <w:spacing w:after="0"/>
              <w:rPr>
                <w:sz w:val="20"/>
                <w:szCs w:val="20"/>
                <w:color w:val="auto"/>
              </w:rPr>
            </w:pPr>
          </w:p>
        </w:tc>
      </w:tr>
      <w:tr>
        <w:trPr>
          <w:trHeight w:val="27"/>
        </w:trPr>
        <w:tc>
          <w:tcPr>
            <w:tcW w:w="6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44"/>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expense included in cost of goods sold</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Amortization expense included in selling, general and administrative</w:t>
            </w: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6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7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expense included in research and development</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37"/>
        </w:trPr>
        <w:tc>
          <w:tcPr>
            <w:tcW w:w="6700" w:type="dxa"/>
            <w:vAlign w:val="bottom"/>
          </w:tcPr>
          <w:p>
            <w:pPr>
              <w:spacing w:after="0"/>
              <w:rPr>
                <w:sz w:val="20"/>
                <w:szCs w:val="20"/>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200" w:type="dxa"/>
            <w:vAlign w:val="bottom"/>
            <w:tcBorders>
              <w:top w:val="single" w:sz="8" w:color="auto"/>
            </w:tcBorders>
          </w:tcPr>
          <w:p>
            <w:pPr>
              <w:jc w:val="right"/>
              <w:ind w:right="99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w:t>
            </w:r>
          </w:p>
        </w:tc>
      </w:tr>
      <w:tr>
        <w:trPr>
          <w:trHeight w:val="27"/>
        </w:trPr>
        <w:tc>
          <w:tcPr>
            <w:tcW w:w="6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0"/>
        </w:trPr>
        <w:tc>
          <w:tcPr>
            <w:tcW w:w="6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328" w:right="60" w:hanging="328"/>
        <w:spacing w:after="0" w:line="277" w:lineRule="auto"/>
        <w:tabs>
          <w:tab w:leader="none" w:pos="328"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Adjustment eliminates $4 million of assets and liabilities for our guarantees of certain of the Elpida Group's working capital and capital expenditure financing.</w:t>
      </w:r>
    </w:p>
    <w:p>
      <w:pPr>
        <w:spacing w:after="0" w:line="129" w:lineRule="exact"/>
        <w:rPr>
          <w:rFonts w:ascii="Arial" w:cs="Arial" w:eastAsia="Arial" w:hAnsi="Arial"/>
          <w:sz w:val="18"/>
          <w:szCs w:val="18"/>
          <w:color w:val="auto"/>
        </w:rPr>
      </w:pPr>
    </w:p>
    <w:p>
      <w:pPr>
        <w:ind w:left="328" w:right="280" w:hanging="328"/>
        <w:spacing w:after="0" w:line="277" w:lineRule="auto"/>
        <w:tabs>
          <w:tab w:leader="none" w:pos="328"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Adjustment to accounts payable and accrued expenses of $9 million and other noncurrent liabilities of $29 million to eliminate deferred profit on sale-leaseback transactions of the Elpida Group.</w:t>
      </w:r>
    </w:p>
    <w:p>
      <w:pPr>
        <w:spacing w:after="0" w:line="129" w:lineRule="exact"/>
        <w:rPr>
          <w:rFonts w:ascii="Arial" w:cs="Arial" w:eastAsia="Arial" w:hAnsi="Arial"/>
          <w:sz w:val="18"/>
          <w:szCs w:val="18"/>
          <w:color w:val="auto"/>
        </w:rPr>
      </w:pPr>
    </w:p>
    <w:p>
      <w:pPr>
        <w:ind w:left="328" w:hanging="328"/>
        <w:spacing w:after="0"/>
        <w:tabs>
          <w:tab w:leader="none" w:pos="328" w:val="left"/>
        </w:tabs>
        <w:numPr>
          <w:ilvl w:val="0"/>
          <w:numId w:val="44"/>
        </w:numPr>
        <w:rPr>
          <w:rFonts w:ascii="Arial" w:cs="Arial" w:eastAsia="Arial" w:hAnsi="Arial"/>
          <w:sz w:val="16"/>
          <w:szCs w:val="16"/>
          <w:color w:val="auto"/>
        </w:rPr>
      </w:pPr>
      <w:r>
        <w:rPr>
          <w:rFonts w:ascii="Arial" w:cs="Arial" w:eastAsia="Arial" w:hAnsi="Arial"/>
          <w:sz w:val="16"/>
          <w:szCs w:val="16"/>
          <w:color w:val="auto"/>
        </w:rPr>
        <w:t>Adjustment to decrease current portion of long-term debt of $1 million for the difference between the provisional fair value and historical amounts.</w:t>
      </w:r>
    </w:p>
    <w:p>
      <w:pPr>
        <w:spacing w:after="0" w:line="207" w:lineRule="exact"/>
        <w:rPr>
          <w:rFonts w:ascii="Arial" w:cs="Arial" w:eastAsia="Arial" w:hAnsi="Arial"/>
          <w:sz w:val="16"/>
          <w:szCs w:val="16"/>
          <w:color w:val="auto"/>
        </w:rPr>
      </w:pPr>
    </w:p>
    <w:p>
      <w:pPr>
        <w:ind w:left="328" w:hanging="328"/>
        <w:spacing w:after="0"/>
        <w:tabs>
          <w:tab w:leader="none" w:pos="328" w:val="left"/>
        </w:tabs>
        <w:numPr>
          <w:ilvl w:val="0"/>
          <w:numId w:val="44"/>
        </w:numPr>
        <w:rPr>
          <w:rFonts w:ascii="Arial" w:cs="Arial" w:eastAsia="Arial" w:hAnsi="Arial"/>
          <w:sz w:val="17"/>
          <w:szCs w:val="17"/>
          <w:color w:val="auto"/>
        </w:rPr>
      </w:pPr>
      <w:r>
        <w:rPr>
          <w:rFonts w:ascii="Arial" w:cs="Arial" w:eastAsia="Arial" w:hAnsi="Arial"/>
          <w:sz w:val="17"/>
          <w:szCs w:val="17"/>
          <w:color w:val="auto"/>
        </w:rPr>
        <w:t>Adjustment to decrease other noncurrent liabilities of $2 million for the difference between historical amounts and the provisional fair value.</w:t>
      </w:r>
    </w:p>
    <w:p>
      <w:pPr>
        <w:spacing w:after="0" w:line="196" w:lineRule="exact"/>
        <w:rPr>
          <w:rFonts w:ascii="Arial" w:cs="Arial" w:eastAsia="Arial" w:hAnsi="Arial"/>
          <w:sz w:val="17"/>
          <w:szCs w:val="17"/>
          <w:color w:val="auto"/>
        </w:rPr>
      </w:pPr>
    </w:p>
    <w:p>
      <w:pPr>
        <w:ind w:left="328" w:right="80" w:hanging="328"/>
        <w:spacing w:after="0" w:line="302" w:lineRule="auto"/>
        <w:tabs>
          <w:tab w:leader="none" w:pos="328"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 accordance with ASC 852, certain of the Elpida Group's liabilities were reflected as liabilities subject to compromise and include pre-petition obligations. The pro forma adjustment reflects the reclassification of the fair value of the amounts subject to compromise to current portion of long-term debt and long-term debt. The fair value of such amounts reflects the present value of the total installment payments and was estimated to be $1,638 million, which is comprised of $525 million and $1,113 million of current long-term debt and non-current long-term debt, respectively.</w:t>
      </w:r>
    </w:p>
    <w:p>
      <w:pPr>
        <w:spacing w:after="0" w:line="113" w:lineRule="exact"/>
        <w:rPr>
          <w:rFonts w:ascii="Arial" w:cs="Arial" w:eastAsia="Arial" w:hAnsi="Arial"/>
          <w:sz w:val="16"/>
          <w:szCs w:val="16"/>
          <w:color w:val="auto"/>
        </w:rPr>
      </w:pPr>
    </w:p>
    <w:p>
      <w:pPr>
        <w:ind w:left="328" w:right="100"/>
        <w:spacing w:after="0" w:line="259" w:lineRule="auto"/>
        <w:rPr>
          <w:rFonts w:ascii="Arial" w:cs="Arial" w:eastAsia="Arial" w:hAnsi="Arial"/>
          <w:sz w:val="16"/>
          <w:szCs w:val="16"/>
          <w:color w:val="auto"/>
        </w:rPr>
      </w:pPr>
      <w:r>
        <w:rPr>
          <w:rFonts w:ascii="Arial" w:cs="Arial" w:eastAsia="Arial" w:hAnsi="Arial"/>
          <w:sz w:val="18"/>
          <w:szCs w:val="18"/>
          <w:color w:val="auto"/>
        </w:rPr>
        <w:t>The historical results of operations of the Elpida Group for the nine months ended February 28, 2013 included a gain of $1,692 million for the forgiveness of debt related to liabilities subject to compromise upon approval of the bankruptcy by the creditors and Tokyo District Court, net of reorganization expenses. No adjustment was made to the pro forma combined statement of operations for this item consistent with the requirements for preparation of pro forma financial statements.</w:t>
      </w:r>
    </w:p>
    <w:p>
      <w:pPr>
        <w:spacing w:after="0" w:line="146" w:lineRule="exact"/>
        <w:rPr>
          <w:rFonts w:ascii="Arial" w:cs="Arial" w:eastAsia="Arial" w:hAnsi="Arial"/>
          <w:sz w:val="16"/>
          <w:szCs w:val="16"/>
          <w:color w:val="auto"/>
        </w:rPr>
      </w:pPr>
    </w:p>
    <w:p>
      <w:pPr>
        <w:ind w:left="328" w:right="160" w:hanging="328"/>
        <w:spacing w:after="0" w:line="277" w:lineRule="auto"/>
        <w:tabs>
          <w:tab w:leader="none" w:pos="328"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Adjustment for the difference between historical interest expense reported by the Elpida Group and the interest expense from accretion of discount related to the pro forma adjustments noted in j, k and l above.</w:t>
      </w:r>
    </w:p>
    <w:p>
      <w:pPr>
        <w:spacing w:after="0" w:line="129" w:lineRule="exact"/>
        <w:rPr>
          <w:rFonts w:ascii="Arial" w:cs="Arial" w:eastAsia="Arial" w:hAnsi="Arial"/>
          <w:sz w:val="18"/>
          <w:szCs w:val="18"/>
          <w:color w:val="auto"/>
        </w:rPr>
      </w:pPr>
    </w:p>
    <w:p>
      <w:pPr>
        <w:ind w:left="328" w:right="240" w:hanging="328"/>
        <w:spacing w:after="0" w:line="259" w:lineRule="auto"/>
        <w:tabs>
          <w:tab w:leader="none" w:pos="328"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Adjustment eliminates the historical redeemable preferred stock and shareholders' equity of the Elpida Group. In addition, accumulated deficit includes an adjustment of $492 million for the implied gain on acquisition had the acquisition occurred on February 28, 2013. No adjustment was made to the pro forma combined statement of operations for gain on acquisition which is consistent with the requirements for preparation of pro forma financial statements.</w:t>
      </w:r>
    </w:p>
    <w:p>
      <w:pPr>
        <w:spacing w:after="0" w:line="146" w:lineRule="exact"/>
        <w:rPr>
          <w:rFonts w:ascii="Arial" w:cs="Arial" w:eastAsia="Arial" w:hAnsi="Arial"/>
          <w:sz w:val="18"/>
          <w:szCs w:val="18"/>
          <w:color w:val="auto"/>
        </w:rPr>
      </w:pPr>
    </w:p>
    <w:p>
      <w:pPr>
        <w:ind w:left="328" w:right="20" w:hanging="328"/>
        <w:spacing w:after="0" w:line="259" w:lineRule="auto"/>
        <w:tabs>
          <w:tab w:leader="none" w:pos="328"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Adjustment decreases the noncontrolling interest in Rexchip by $465 million for the acquisition of approximately 24% of Rexchip's outstanding common stock and the adjustment to fair value of the remaining 11% noncontrolling interest in Rexchip. Net (income) loss attributable to noncontrolling interests was adjusted by $45 million and $108 million for the pro forma unaudited condensed combined statements of operations for the nine months ended May 30, 2013 and the year ended August 30, 2012, respectively.</w:t>
      </w:r>
    </w:p>
    <w:p>
      <w:pPr>
        <w:spacing w:after="0" w:line="146" w:lineRule="exact"/>
        <w:rPr>
          <w:rFonts w:ascii="Arial" w:cs="Arial" w:eastAsia="Arial" w:hAnsi="Arial"/>
          <w:sz w:val="18"/>
          <w:szCs w:val="18"/>
          <w:color w:val="auto"/>
        </w:rPr>
      </w:pPr>
    </w:p>
    <w:p>
      <w:pPr>
        <w:ind w:left="328" w:right="420"/>
        <w:spacing w:after="0" w:line="277" w:lineRule="auto"/>
        <w:rPr>
          <w:rFonts w:ascii="Arial" w:cs="Arial" w:eastAsia="Arial" w:hAnsi="Arial"/>
          <w:sz w:val="18"/>
          <w:szCs w:val="18"/>
          <w:color w:val="auto"/>
        </w:rPr>
      </w:pPr>
      <w:r>
        <w:rPr>
          <w:rFonts w:ascii="Arial" w:cs="Arial" w:eastAsia="Arial" w:hAnsi="Arial"/>
          <w:sz w:val="18"/>
          <w:szCs w:val="18"/>
          <w:color w:val="auto"/>
        </w:rPr>
        <w:t>Adjustment also increases the noncontrolling interest by $14 million for the adjustment to fair value of assets held by EBS, Inc., a consolidated subsidiary of Elpida, attributable to minority interests.</w:t>
      </w:r>
    </w:p>
    <w:p>
      <w:pPr>
        <w:spacing w:after="0" w:line="129" w:lineRule="exact"/>
        <w:rPr>
          <w:rFonts w:ascii="Arial" w:cs="Arial" w:eastAsia="Arial" w:hAnsi="Arial"/>
          <w:sz w:val="18"/>
          <w:szCs w:val="18"/>
          <w:color w:val="auto"/>
        </w:rPr>
      </w:pPr>
    </w:p>
    <w:p>
      <w:pPr>
        <w:ind w:left="328" w:right="320" w:hanging="328"/>
        <w:spacing w:after="0" w:line="277" w:lineRule="auto"/>
        <w:tabs>
          <w:tab w:leader="none" w:pos="328"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Adjustment eliminates sales and cost of goods sold from the Elpida Group to us of $17 million for the nine months ended May 30, 2013 and $35 million for the year end June 30, 2012.</w:t>
      </w:r>
    </w:p>
    <w:p>
      <w:pPr>
        <w:spacing w:after="0" w:line="197" w:lineRule="exact"/>
        <w:rPr>
          <w:sz w:val="20"/>
          <w:szCs w:val="20"/>
          <w:color w:val="auto"/>
        </w:rPr>
      </w:pPr>
    </w:p>
    <w:p>
      <w:pPr>
        <w:jc w:val="center"/>
        <w:ind w:right="272"/>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48"/>
          </w:cols>
          <w:pgMar w:left="572" w:top="976" w:right="279" w:bottom="1440" w:gutter="0" w:footer="0" w:header="0"/>
        </w:sectPr>
      </w:pPr>
    </w:p>
    <w:bookmarkStart w:id="63" w:name="page64"/>
    <w:bookmarkEnd w:id="63"/>
    <w:p>
      <w:pPr>
        <w:jc w:val="both"/>
        <w:ind w:left="660" w:right="240" w:hanging="328"/>
        <w:spacing w:after="0" w:line="312" w:lineRule="auto"/>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Adjustment to the pro forma unaudited condensed combined balance sheet for the direct external acquisition expenses which were not reflected in the historical financial statements presented of $42 million as of May 30, 2013. No adjustment was made to the pro forma combined statement of operations for these estimated future expenses consistent with the requirements for preparation of pro forma financial statements.</w:t>
      </w:r>
    </w:p>
    <w:p>
      <w:pPr>
        <w:spacing w:after="0" w:line="106" w:lineRule="exact"/>
        <w:rPr>
          <w:rFonts w:ascii="Arial" w:cs="Arial" w:eastAsia="Arial" w:hAnsi="Arial"/>
          <w:sz w:val="16"/>
          <w:szCs w:val="16"/>
          <w:color w:val="auto"/>
        </w:rPr>
      </w:pPr>
    </w:p>
    <w:p>
      <w:pPr>
        <w:ind w:left="660" w:right="40"/>
        <w:spacing w:after="0" w:line="277" w:lineRule="auto"/>
        <w:rPr>
          <w:rFonts w:ascii="Arial" w:cs="Arial" w:eastAsia="Arial" w:hAnsi="Arial"/>
          <w:sz w:val="16"/>
          <w:szCs w:val="16"/>
          <w:color w:val="auto"/>
        </w:rPr>
      </w:pPr>
      <w:r>
        <w:rPr>
          <w:rFonts w:ascii="Arial" w:cs="Arial" w:eastAsia="Arial" w:hAnsi="Arial"/>
          <w:sz w:val="18"/>
          <w:szCs w:val="18"/>
          <w:color w:val="auto"/>
        </w:rPr>
        <w:t>Adjustment eliminates direct external acquisition expenses of $8 million for the nine months ended May 30, 2013 and $16 million for the year ended August 30, 2012.</w:t>
      </w:r>
    </w:p>
    <w:p>
      <w:pPr>
        <w:spacing w:after="0" w:line="129" w:lineRule="exact"/>
        <w:rPr>
          <w:rFonts w:ascii="Arial" w:cs="Arial" w:eastAsia="Arial" w:hAnsi="Arial"/>
          <w:sz w:val="16"/>
          <w:szCs w:val="16"/>
          <w:color w:val="auto"/>
        </w:rPr>
      </w:pPr>
    </w:p>
    <w:p>
      <w:pPr>
        <w:ind w:left="660" w:right="100" w:hanging="328"/>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Due to valuation allowances on net deferred tax assets for both us and the Elpida Group, the unaudited pro forma condensed combined consolidated statements of operations do not reflect statutory rate tax adjustments for pro forma adjustments.</w:t>
      </w:r>
    </w:p>
    <w:p>
      <w:pPr>
        <w:spacing w:after="0" w:line="3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 Forma Earnings Per Share</w:t>
      </w:r>
    </w:p>
    <w:p>
      <w:pPr>
        <w:spacing w:after="0" w:line="219"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The pro forma basic and diluted earnings per share presented in our unaudited pro forma condensed combined statements of operations is computed based on the weighted-average number of common shares and stock rights outstanding.</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00" w:type="dxa"/>
            <w:vAlign w:val="bottom"/>
          </w:tcPr>
          <w:p>
            <w:pPr>
              <w:spacing w:after="0"/>
              <w:rPr>
                <w:sz w:val="18"/>
                <w:szCs w:val="18"/>
                <w:color w:val="auto"/>
              </w:rPr>
            </w:pPr>
          </w:p>
        </w:tc>
        <w:tc>
          <w:tcPr>
            <w:tcW w:w="18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Nine Months Ended</w:t>
            </w:r>
          </w:p>
        </w:tc>
        <w:tc>
          <w:tcPr>
            <w:tcW w:w="120" w:type="dxa"/>
            <w:vAlign w:val="bottom"/>
          </w:tcPr>
          <w:p>
            <w:pPr>
              <w:spacing w:after="0"/>
              <w:rPr>
                <w:sz w:val="18"/>
                <w:szCs w:val="18"/>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b w:val="1"/>
                <w:bCs w:val="1"/>
                <w:color w:val="auto"/>
                <w:w w:val="87"/>
              </w:rPr>
              <w:t>Year ended August</w:t>
            </w:r>
          </w:p>
        </w:tc>
      </w:tr>
      <w:tr>
        <w:trPr>
          <w:trHeight w:val="234"/>
        </w:trPr>
        <w:tc>
          <w:tcPr>
            <w:tcW w:w="7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May 30, 2013</w:t>
            </w:r>
          </w:p>
        </w:tc>
        <w:tc>
          <w:tcPr>
            <w:tcW w:w="120" w:type="dxa"/>
            <w:vAlign w:val="bottom"/>
          </w:tcPr>
          <w:p>
            <w:pPr>
              <w:spacing w:after="0"/>
              <w:rPr>
                <w:sz w:val="20"/>
                <w:szCs w:val="20"/>
                <w:color w:val="auto"/>
              </w:rPr>
            </w:pPr>
          </w:p>
        </w:tc>
        <w:tc>
          <w:tcPr>
            <w:tcW w:w="1580" w:type="dxa"/>
            <w:vAlign w:val="bottom"/>
          </w:tcPr>
          <w:p>
            <w:pPr>
              <w:jc w:val="right"/>
              <w:ind w:right="450"/>
              <w:spacing w:after="0"/>
              <w:rPr>
                <w:sz w:val="20"/>
                <w:szCs w:val="20"/>
                <w:color w:val="auto"/>
              </w:rPr>
            </w:pPr>
            <w:r>
              <w:rPr>
                <w:rFonts w:ascii="Arial" w:cs="Arial" w:eastAsia="Arial" w:hAnsi="Arial"/>
                <w:sz w:val="18"/>
                <w:szCs w:val="18"/>
                <w:b w:val="1"/>
                <w:bCs w:val="1"/>
                <w:color w:val="auto"/>
              </w:rPr>
              <w:t>30, 2012</w:t>
            </w:r>
          </w:p>
        </w:tc>
      </w:tr>
      <w:tr>
        <w:trPr>
          <w:trHeight w:val="27"/>
        </w:trPr>
        <w:tc>
          <w:tcPr>
            <w:tcW w:w="7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attributable to Micron shareholders, basic and diluted, as reported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(1,032)</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Net income (loss) attributable to the Elpida Group and other pro forma adjustments</w:t>
            </w:r>
          </w:p>
        </w:tc>
        <w:tc>
          <w:tcPr>
            <w:tcW w:w="2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1,942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(3,422)</w:t>
            </w:r>
          </w:p>
        </w:tc>
      </w:tr>
      <w:tr>
        <w:trPr>
          <w:trHeight w:val="27"/>
        </w:trPr>
        <w:tc>
          <w:tcPr>
            <w:tcW w:w="7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parent entity shareholders, basic and diluted, as combined</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1,424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(4,454)</w:t>
            </w:r>
          </w:p>
        </w:tc>
      </w:tr>
      <w:tr>
        <w:trPr>
          <w:trHeight w:val="20"/>
        </w:trPr>
        <w:tc>
          <w:tcPr>
            <w:tcW w:w="7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311"/>
        </w:trPr>
        <w:tc>
          <w:tcPr>
            <w:tcW w:w="7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 forma weighted-average common shares outstanding, basic</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1,017.9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991.2</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Net effect of dilutive equity awards</w:t>
            </w:r>
          </w:p>
        </w:tc>
        <w:tc>
          <w:tcPr>
            <w:tcW w:w="2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 forma weighted-average common shares outstanding, diluted</w:t>
            </w:r>
          </w:p>
        </w:tc>
        <w:tc>
          <w:tcPr>
            <w:tcW w:w="22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1,031.9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991.2</w:t>
            </w:r>
          </w:p>
        </w:tc>
      </w:tr>
      <w:tr>
        <w:trPr>
          <w:trHeight w:val="20"/>
        </w:trPr>
        <w:tc>
          <w:tcPr>
            <w:tcW w:w="7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311"/>
        </w:trPr>
        <w:tc>
          <w:tcPr>
            <w:tcW w:w="7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 forma earnings (loss) per share:</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20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(4.49)</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w:t>
            </w:r>
          </w:p>
        </w:tc>
      </w:tr>
      <w:tr>
        <w:trPr>
          <w:trHeight w:val="675"/>
        </w:trPr>
        <w:tc>
          <w:tcPr>
            <w:tcW w:w="7900" w:type="dxa"/>
            <w:vAlign w:val="bottom"/>
          </w:tcPr>
          <w:p>
            <w:pPr>
              <w:ind w:left="5620"/>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7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D1D5AE9"/>
    <w:multiLevelType w:val="hybridMultilevel"/>
    <w:lvl w:ilvl="0">
      <w:lvlJc w:val="left"/>
      <w:lvlText w:val="(%1)"/>
      <w:numFmt w:val="decimal"/>
      <w:start w:val="1"/>
    </w:lvl>
  </w:abstractNum>
  <w:abstractNum w:abstractNumId="1">
    <w:nsid w:val="6763845E"/>
    <w:multiLevelType w:val="hybridMultilevel"/>
    <w:lvl w:ilvl="0">
      <w:lvlJc w:val="left"/>
      <w:lvlText w:val="(%1)"/>
      <w:numFmt w:val="decimal"/>
      <w:start w:val="1"/>
    </w:lvl>
    <w:lvl w:ilvl="1">
      <w:lvlJc w:val="left"/>
      <w:lvlText w:val="(%2)"/>
      <w:numFmt w:val="lowerLetter"/>
      <w:start w:val="1"/>
    </w:lvl>
  </w:abstractNum>
  <w:abstractNum w:abstractNumId="2">
    <w:nsid w:val="75A2A8D4"/>
    <w:multiLevelType w:val="hybridMultilevel"/>
    <w:lvl w:ilvl="0">
      <w:lvlJc w:val="left"/>
      <w:lvlText w:val="%1"/>
      <w:numFmt w:val="decimal"/>
      <w:start w:val="1"/>
    </w:lvl>
    <w:lvl w:ilvl="1">
      <w:lvlJc w:val="left"/>
      <w:lvlText w:val="(%2)"/>
      <w:numFmt w:val="lowerLetter"/>
      <w:start w:val="3"/>
    </w:lvl>
  </w:abstractNum>
  <w:abstractNum w:abstractNumId="3">
    <w:nsid w:val="8EDBDAB"/>
    <w:multiLevelType w:val="hybridMultilevel"/>
    <w:lvl w:ilvl="0">
      <w:lvlJc w:val="left"/>
      <w:lvlText w:val="(%1)"/>
      <w:numFmt w:val="decimal"/>
      <w:start w:val="2"/>
    </w:lvl>
    <w:lvl w:ilvl="1">
      <w:lvlJc w:val="left"/>
      <w:lvlText w:val="(%2)"/>
      <w:numFmt w:val="lowerLetter"/>
      <w:start w:val="1"/>
    </w:lvl>
  </w:abstractNum>
  <w:abstractNum w:abstractNumId="4">
    <w:nsid w:val="79838CB2"/>
    <w:multiLevelType w:val="hybridMultilevel"/>
    <w:lvl w:ilvl="0">
      <w:lvlJc w:val="left"/>
      <w:lvlText w:val="(%1)"/>
      <w:numFmt w:val="lowerLetter"/>
      <w:start w:val="3"/>
    </w:lvl>
  </w:abstractNum>
  <w:abstractNum w:abstractNumId="5">
    <w:nsid w:val="4353D0CD"/>
    <w:multiLevelType w:val="hybridMultilevel"/>
    <w:lvl w:ilvl="0">
      <w:lvlJc w:val="left"/>
      <w:lvlText w:val="(%1)"/>
      <w:numFmt w:val="lowerLetter"/>
      <w:start w:val="4"/>
    </w:lvl>
  </w:abstractNum>
  <w:abstractNum w:abstractNumId="6">
    <w:nsid w:val="B03E0C6"/>
    <w:multiLevelType w:val="hybridMultilevel"/>
    <w:lvl w:ilvl="0">
      <w:lvlJc w:val="left"/>
      <w:lvlText w:val="(%1)"/>
      <w:numFmt w:val="decimal"/>
      <w:start w:val="3"/>
    </w:lvl>
    <w:lvl w:ilvl="1">
      <w:lvlJc w:val="left"/>
      <w:lvlText w:val="(%2)"/>
      <w:numFmt w:val="lowerLetter"/>
      <w:start w:val="1"/>
    </w:lvl>
  </w:abstractNum>
  <w:abstractNum w:abstractNumId="7">
    <w:nsid w:val="189A769B"/>
    <w:multiLevelType w:val="hybridMultilevel"/>
    <w:lvl w:ilvl="0">
      <w:lvlJc w:val="left"/>
      <w:lvlText w:val="(%1)"/>
      <w:numFmt w:val="lowerLetter"/>
      <w:start w:val="3"/>
    </w:lvl>
  </w:abstractNum>
  <w:abstractNum w:abstractNumId="8">
    <w:nsid w:val="54E49EB4"/>
    <w:multiLevelType w:val="hybridMultilevel"/>
    <w:lvl w:ilvl="0">
      <w:lvlJc w:val="left"/>
      <w:lvlText w:val="(%1)"/>
      <w:numFmt w:val="lowerLetter"/>
      <w:start w:val="9"/>
    </w:lvl>
  </w:abstractNum>
  <w:abstractNum w:abstractNumId="9">
    <w:nsid w:val="71F32454"/>
    <w:multiLevelType w:val="hybridMultilevel"/>
    <w:lvl w:ilvl="0">
      <w:lvlJc w:val="left"/>
      <w:lvlText w:val="(%1)"/>
      <w:numFmt w:val="lowerLetter"/>
      <w:start w:val="11"/>
    </w:lvl>
  </w:abstractNum>
  <w:abstractNum w:abstractNumId="10">
    <w:nsid w:val="2CA88611"/>
    <w:multiLevelType w:val="hybridMultilevel"/>
    <w:lvl w:ilvl="0">
      <w:lvlJc w:val="left"/>
      <w:lvlText w:val="(%1)"/>
      <w:numFmt w:val="lowerLetter"/>
      <w:start w:val="12"/>
    </w:lvl>
  </w:abstractNum>
  <w:abstractNum w:abstractNumId="11">
    <w:nsid w:val="836C40E"/>
    <w:multiLevelType w:val="hybridMultilevel"/>
    <w:lvl w:ilvl="0">
      <w:lvlJc w:val="left"/>
      <w:lvlText w:val="(%1)"/>
      <w:numFmt w:val="lowerLetter"/>
      <w:start w:val="16"/>
    </w:lvl>
  </w:abstractNum>
  <w:abstractNum w:abstractNumId="12">
    <w:nsid w:val="2901D82"/>
    <w:multiLevelType w:val="hybridMultilevel"/>
    <w:lvl w:ilvl="0">
      <w:lvlJc w:val="left"/>
      <w:lvlText w:val="(%1)"/>
      <w:numFmt w:val="lowerLetter"/>
      <w:start w:val="20"/>
    </w:lvl>
  </w:abstractNum>
  <w:abstractNum w:abstractNumId="13">
    <w:nsid w:val="3A95F874"/>
    <w:multiLevelType w:val="hybridMultilevel"/>
    <w:lvl w:ilvl="0">
      <w:lvlJc w:val="left"/>
      <w:lvlText w:val="(%1)"/>
      <w:numFmt w:val="lowerLetter"/>
      <w:start w:val="21"/>
    </w:lvl>
    <w:lvl w:ilvl="1">
      <w:lvlJc w:val="left"/>
      <w:lvlText w:val="•"/>
      <w:numFmt w:val="bullet"/>
      <w:start w:val="1"/>
    </w:lvl>
  </w:abstractNum>
  <w:abstractNum w:abstractNumId="14">
    <w:nsid w:val="8138641"/>
    <w:multiLevelType w:val="hybridMultilevel"/>
    <w:lvl w:ilvl="0">
      <w:lvlJc w:val="left"/>
      <w:lvlText w:val="%1"/>
      <w:numFmt w:val="decimal"/>
      <w:start w:val="1"/>
    </w:lvl>
    <w:lvl w:ilvl="1">
      <w:lvlJc w:val="left"/>
      <w:lvlText w:val="(%2)"/>
      <w:numFmt w:val="lowerLetter"/>
      <w:start w:val="23"/>
    </w:lvl>
  </w:abstractNum>
  <w:abstractNum w:abstractNumId="15">
    <w:nsid w:val="1E7FF521"/>
    <w:multiLevelType w:val="hybridMultilevel"/>
    <w:lvl w:ilvl="0">
      <w:lvlJc w:val="left"/>
      <w:lvlText w:val="(%1)"/>
      <w:numFmt w:val="decimal"/>
      <w:start w:val="4"/>
    </w:lvl>
    <w:lvl w:ilvl="1">
      <w:lvlJc w:val="left"/>
      <w:lvlText w:val="%2"/>
      <w:numFmt w:val="lowerLetter"/>
      <w:start w:val="1"/>
    </w:lvl>
  </w:abstractNum>
  <w:abstractNum w:abstractNumId="16">
    <w:nsid w:val="7C3DBD3D"/>
    <w:multiLevelType w:val="hybridMultilevel"/>
    <w:lvl w:ilvl="0">
      <w:lvlJc w:val="left"/>
      <w:lvlText w:val="(%1)"/>
      <w:numFmt w:val="decimal"/>
      <w:start w:val="6"/>
    </w:lvl>
  </w:abstractNum>
  <w:abstractNum w:abstractNumId="17">
    <w:nsid w:val="737B8DDC"/>
    <w:multiLevelType w:val="hybridMultilevel"/>
    <w:lvl w:ilvl="0">
      <w:lvlJc w:val="left"/>
      <w:lvlText w:val="(%1)"/>
      <w:numFmt w:val="decimal"/>
      <w:start w:val="7"/>
    </w:lvl>
  </w:abstractNum>
  <w:abstractNum w:abstractNumId="18">
    <w:nsid w:val="6CEAF087"/>
    <w:multiLevelType w:val="hybridMultilevel"/>
    <w:lvl w:ilvl="0">
      <w:lvlJc w:val="left"/>
      <w:lvlText w:val="(%1)"/>
      <w:numFmt w:val="decimal"/>
      <w:start w:val="8"/>
    </w:lvl>
  </w:abstractNum>
  <w:abstractNum w:abstractNumId="19">
    <w:nsid w:val="22221A70"/>
    <w:multiLevelType w:val="hybridMultilevel"/>
    <w:lvl w:ilvl="0">
      <w:lvlJc w:val="left"/>
      <w:lvlText w:val="(%1)"/>
      <w:numFmt w:val="decimal"/>
      <w:start w:val="9"/>
    </w:lvl>
  </w:abstractNum>
  <w:abstractNum w:abstractNumId="20">
    <w:nsid w:val="4516DDE9"/>
    <w:multiLevelType w:val="hybridMultilevel"/>
    <w:lvl w:ilvl="0">
      <w:lvlJc w:val="left"/>
      <w:lvlText w:val="(%1)"/>
      <w:numFmt w:val="decimal"/>
      <w:start w:val="10"/>
    </w:lvl>
    <w:lvl w:ilvl="1">
      <w:lvlJc w:val="left"/>
      <w:lvlText w:val="(%2)"/>
      <w:numFmt w:val="lowerLetter"/>
      <w:start w:val="1"/>
    </w:lvl>
  </w:abstractNum>
  <w:abstractNum w:abstractNumId="21">
    <w:nsid w:val="3006C83E"/>
    <w:multiLevelType w:val="hybridMultilevel"/>
    <w:lvl w:ilvl="0">
      <w:lvlJc w:val="left"/>
      <w:lvlText w:val="(%1)"/>
      <w:numFmt w:val="lowerLetter"/>
      <w:start w:val="1"/>
    </w:lvl>
    <w:lvl w:ilvl="1">
      <w:lvlJc w:val="left"/>
      <w:lvlText w:val="•"/>
      <w:numFmt w:val="bullet"/>
      <w:start w:val="1"/>
    </w:lvl>
    <w:lvl w:ilvl="2">
      <w:lvlJc w:val="left"/>
      <w:lvlText w:val="•"/>
      <w:numFmt w:val="bullet"/>
      <w:start w:val="1"/>
    </w:lvl>
  </w:abstractNum>
  <w:abstractNum w:abstractNumId="22">
    <w:nsid w:val="614FD4A1"/>
    <w:multiLevelType w:val="hybridMultilevel"/>
    <w:lvl w:ilvl="0">
      <w:lvlJc w:val="left"/>
      <w:lvlText w:val="(%1)"/>
      <w:numFmt w:val="decimal"/>
      <w:start w:val="11"/>
    </w:lvl>
  </w:abstractNum>
  <w:abstractNum w:abstractNumId="23">
    <w:nsid w:val="419AC241"/>
    <w:multiLevelType w:val="hybridMultilevel"/>
    <w:lvl w:ilvl="0">
      <w:lvlJc w:val="left"/>
      <w:lvlText w:val="(%1)"/>
      <w:numFmt w:val="decimal"/>
      <w:start w:val="13"/>
    </w:lvl>
  </w:abstractNum>
  <w:abstractNum w:abstractNumId="24">
    <w:nsid w:val="5577F8E1"/>
    <w:multiLevelType w:val="hybridMultilevel"/>
    <w:lvl w:ilvl="0">
      <w:lvlJc w:val="left"/>
      <w:lvlText w:val="(%1)"/>
      <w:numFmt w:val="decimal"/>
      <w:start w:val="15"/>
    </w:lvl>
    <w:lvl w:ilvl="1">
      <w:lvlJc w:val="left"/>
      <w:lvlText w:val="(%2)"/>
      <w:numFmt w:val="lowerLetter"/>
      <w:start w:val="1"/>
    </w:lvl>
  </w:abstractNum>
  <w:abstractNum w:abstractNumId="25">
    <w:nsid w:val="440BADFC"/>
    <w:multiLevelType w:val="hybridMultilevel"/>
    <w:lvl w:ilvl="0">
      <w:lvlJc w:val="left"/>
      <w:lvlText w:val="(%1)"/>
      <w:numFmt w:val="lowerLetter"/>
      <w:start w:val="2"/>
    </w:lvl>
  </w:abstractNum>
  <w:abstractNum w:abstractNumId="26">
    <w:nsid w:val="5072367"/>
    <w:multiLevelType w:val="hybridMultilevel"/>
    <w:lvl w:ilvl="0">
      <w:lvlJc w:val="left"/>
      <w:lvlText w:val="(%1)"/>
      <w:numFmt w:val="decimal"/>
      <w:start w:val="16"/>
    </w:lvl>
  </w:abstractNum>
  <w:abstractNum w:abstractNumId="27">
    <w:nsid w:val="3804823E"/>
    <w:multiLevelType w:val="hybridMultilevel"/>
    <w:lvl w:ilvl="0">
      <w:lvlJc w:val="left"/>
      <w:lvlText w:val="(%1)"/>
      <w:numFmt w:val="decimal"/>
      <w:start w:val="18"/>
    </w:lvl>
  </w:abstractNum>
  <w:abstractNum w:abstractNumId="28">
    <w:nsid w:val="77465F01"/>
    <w:multiLevelType w:val="hybridMultilevel"/>
    <w:lvl w:ilvl="0">
      <w:lvlJc w:val="left"/>
      <w:lvlText w:val="(%1)"/>
      <w:numFmt w:val="decimal"/>
      <w:start w:val="20"/>
    </w:lvl>
    <w:lvl w:ilvl="1">
      <w:lvlJc w:val="left"/>
      <w:lvlText w:val="(%2)"/>
      <w:numFmt w:val="lowerLetter"/>
      <w:start w:val="1"/>
    </w:lvl>
  </w:abstractNum>
  <w:abstractNum w:abstractNumId="29">
    <w:nsid w:val="7724C67E"/>
    <w:multiLevelType w:val="hybridMultilevel"/>
    <w:lvl w:ilvl="0">
      <w:lvlJc w:val="left"/>
      <w:lvlText w:val="(%1)"/>
      <w:numFmt w:val="lowerLetter"/>
      <w:start w:val="2"/>
    </w:lvl>
  </w:abstractNum>
  <w:abstractNum w:abstractNumId="30">
    <w:nsid w:val="5C482A97"/>
    <w:multiLevelType w:val="hybridMultilevel"/>
    <w:lvl w:ilvl="0">
      <w:lvlJc w:val="left"/>
      <w:lvlText w:val="(%1)"/>
      <w:numFmt w:val="decimal"/>
      <w:start w:val="21"/>
    </w:lvl>
    <w:lvl w:ilvl="1">
      <w:lvlJc w:val="left"/>
      <w:lvlText w:val="(%2)"/>
      <w:numFmt w:val="lowerLetter"/>
      <w:start w:val="1"/>
    </w:lvl>
  </w:abstractNum>
  <w:abstractNum w:abstractNumId="31">
    <w:nsid w:val="2463B9EA"/>
    <w:multiLevelType w:val="hybridMultilevel"/>
    <w:lvl w:ilvl="0">
      <w:lvlJc w:val="left"/>
      <w:lvlText w:val="%1"/>
      <w:numFmt w:val="decimal"/>
      <w:start w:val="1"/>
    </w:lvl>
    <w:lvl w:ilvl="1">
      <w:lvlJc w:val="left"/>
      <w:lvlText w:val="(%2)"/>
      <w:numFmt w:val="lowerLetter"/>
      <w:start w:val="2"/>
    </w:lvl>
  </w:abstractNum>
  <w:abstractNum w:abstractNumId="32">
    <w:nsid w:val="5E884ADC"/>
    <w:multiLevelType w:val="hybridMultilevel"/>
    <w:lvl w:ilvl="0">
      <w:lvlJc w:val="left"/>
      <w:lvlText w:val="(%1)"/>
      <w:numFmt w:val="decimal"/>
      <w:start w:val="22"/>
    </w:lvl>
    <w:lvl w:ilvl="1">
      <w:lvlJc w:val="left"/>
      <w:lvlText w:val="(%2)"/>
      <w:numFmt w:val="lowerLetter"/>
      <w:start w:val="1"/>
    </w:lvl>
  </w:abstractNum>
  <w:abstractNum w:abstractNumId="33">
    <w:nsid w:val="51EAD36B"/>
    <w:multiLevelType w:val="hybridMultilevel"/>
    <w:lvl w:ilvl="0">
      <w:lvlJc w:val="left"/>
      <w:lvlText w:val="(%1)"/>
      <w:numFmt w:val="lowerLetter"/>
      <w:start w:val="2"/>
    </w:lvl>
  </w:abstractNum>
  <w:abstractNum w:abstractNumId="34">
    <w:nsid w:val="2D517796"/>
    <w:multiLevelType w:val="hybridMultilevel"/>
    <w:lvl w:ilvl="0">
      <w:lvlJc w:val="left"/>
      <w:lvlText w:val="%1"/>
      <w:numFmt w:val="decimal"/>
      <w:start w:val="1"/>
    </w:lvl>
    <w:lvl w:ilvl="1">
      <w:lvlJc w:val="left"/>
      <w:lvlText w:val="(%2)"/>
      <w:numFmt w:val="lowerLetter"/>
      <w:start w:val="3"/>
    </w:lvl>
  </w:abstractNum>
  <w:abstractNum w:abstractNumId="35">
    <w:nsid w:val="580BD78F"/>
    <w:multiLevelType w:val="hybridMultilevel"/>
    <w:lvl w:ilvl="0">
      <w:lvlJc w:val="left"/>
      <w:lvlText w:val="(%1)"/>
      <w:numFmt w:val="decimal"/>
      <w:start w:val="24"/>
    </w:lvl>
    <w:lvl w:ilvl="1">
      <w:lvlJc w:val="left"/>
      <w:lvlText w:val="%2"/>
      <w:numFmt w:val="lowerLetter"/>
      <w:start w:val="1"/>
    </w:lvl>
  </w:abstractNum>
  <w:abstractNum w:abstractNumId="36">
    <w:nsid w:val="153EA438"/>
    <w:multiLevelType w:val="hybridMultilevel"/>
    <w:lvl w:ilvl="0">
      <w:lvlJc w:val="left"/>
      <w:lvlText w:val="(%1)"/>
      <w:numFmt w:val="decimal"/>
      <w:start w:val="25"/>
    </w:lvl>
  </w:abstractNum>
  <w:abstractNum w:abstractNumId="37">
    <w:nsid w:val="3855585C"/>
    <w:multiLevelType w:val="hybridMultilevel"/>
    <w:lvl w:ilvl="0">
      <w:lvlJc w:val="left"/>
      <w:lvlText w:val="•"/>
      <w:numFmt w:val="bullet"/>
      <w:start w:val="1"/>
    </w:lvl>
  </w:abstractNum>
  <w:abstractNum w:abstractNumId="38">
    <w:nsid w:val="70A64E2A"/>
    <w:multiLevelType w:val="hybridMultilevel"/>
    <w:lvl w:ilvl="0">
      <w:lvlJc w:val="left"/>
      <w:lvlText w:val="•"/>
      <w:numFmt w:val="bullet"/>
      <w:start w:val="1"/>
    </w:lvl>
  </w:abstractNum>
  <w:abstractNum w:abstractNumId="39">
    <w:nsid w:val="6A2342EC"/>
    <w:multiLevelType w:val="hybridMultilevel"/>
    <w:lvl w:ilvl="0">
      <w:lvlJc w:val="left"/>
      <w:lvlText w:val="•"/>
      <w:numFmt w:val="bullet"/>
      <w:start w:val="1"/>
    </w:lvl>
  </w:abstractNum>
  <w:abstractNum w:abstractNumId="40">
    <w:nsid w:val="2A487CB0"/>
    <w:multiLevelType w:val="hybridMultilevel"/>
    <w:lvl w:ilvl="0">
      <w:lvlJc w:val="left"/>
      <w:lvlText w:val="%1."/>
      <w:numFmt w:val="lowerLetter"/>
      <w:start w:val="1"/>
    </w:lvl>
  </w:abstractNum>
  <w:abstractNum w:abstractNumId="41">
    <w:nsid w:val="1D4ED43B"/>
    <w:multiLevelType w:val="hybridMultilevel"/>
    <w:lvl w:ilvl="0">
      <w:lvlJc w:val="left"/>
      <w:lvlText w:val="%1."/>
      <w:numFmt w:val="lowerLetter"/>
      <w:start w:val="6"/>
    </w:lvl>
  </w:abstractNum>
  <w:abstractNum w:abstractNumId="42">
    <w:nsid w:val="725A06FB"/>
    <w:multiLevelType w:val="hybridMultilevel"/>
    <w:lvl w:ilvl="0">
      <w:lvlJc w:val="left"/>
      <w:lvlText w:val="%1."/>
      <w:numFmt w:val="lowerLetter"/>
      <w:start w:val="7"/>
    </w:lvl>
  </w:abstractNum>
  <w:abstractNum w:abstractNumId="43">
    <w:nsid w:val="2CD89A32"/>
    <w:multiLevelType w:val="hybridMultilevel"/>
    <w:lvl w:ilvl="0">
      <w:lvlJc w:val="left"/>
      <w:lvlText w:val="%1."/>
      <w:numFmt w:val="lowerLetter"/>
      <w:start w:val="8"/>
    </w:lvl>
  </w:abstractNum>
  <w:abstractNum w:abstractNumId="44">
    <w:nsid w:val="57E4CCAF"/>
    <w:multiLevelType w:val="hybridMultilevel"/>
    <w:lvl w:ilvl="0">
      <w:lvlJc w:val="left"/>
      <w:lvlText w:val="%1."/>
      <w:numFmt w:val="lowerLetter"/>
      <w:start w:val="1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2019-12-05T20:50:00Z</dcterms:created>
  <dcterms:modified xsi:type="dcterms:W3CDTF">2019-12-05T20:50:00Z</dcterms:modified>
</cp:coreProperties>
</file>