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1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3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June 19, 2013</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48"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800" w:type="dxa"/>
            <w:vAlign w:val="bottom"/>
            <w:tcBorders>
              <w:bottom w:val="single" w:sz="8" w:color="auto"/>
            </w:tcBorders>
          </w:tcPr>
          <w:p>
            <w:pPr>
              <w:jc w:val="center"/>
              <w:ind w:left="350"/>
              <w:spacing w:after="0"/>
              <w:rPr>
                <w:sz w:val="20"/>
                <w:szCs w:val="20"/>
                <w:color w:val="auto"/>
              </w:rPr>
            </w:pPr>
            <w:r>
              <w:rPr>
                <w:rFonts w:ascii="Arial" w:cs="Arial" w:eastAsia="Arial" w:hAnsi="Arial"/>
                <w:sz w:val="18"/>
                <w:szCs w:val="18"/>
                <w:b w:val="1"/>
                <w:bCs w:val="1"/>
                <w:color w:val="auto"/>
                <w:w w:val="91"/>
              </w:rPr>
              <w:t>Delaware</w:t>
            </w:r>
          </w:p>
        </w:tc>
        <w:tc>
          <w:tcPr>
            <w:tcW w:w="4080" w:type="dxa"/>
            <w:vAlign w:val="bottom"/>
            <w:tcBorders>
              <w:bottom w:val="single" w:sz="8" w:color="auto"/>
            </w:tcBorders>
          </w:tcPr>
          <w:p>
            <w:pPr>
              <w:jc w:val="right"/>
              <w:ind w:right="1510"/>
              <w:spacing w:after="0"/>
              <w:rPr>
                <w:sz w:val="20"/>
                <w:szCs w:val="20"/>
                <w:color w:val="auto"/>
              </w:rPr>
            </w:pPr>
            <w:r>
              <w:rPr>
                <w:rFonts w:ascii="Arial" w:cs="Arial" w:eastAsia="Arial" w:hAnsi="Arial"/>
                <w:sz w:val="18"/>
                <w:szCs w:val="18"/>
                <w:b w:val="1"/>
                <w:bCs w:val="1"/>
                <w:color w:val="auto"/>
              </w:rPr>
              <w:t>1-10658</w:t>
            </w:r>
          </w:p>
        </w:tc>
        <w:tc>
          <w:tcPr>
            <w:tcW w:w="3540" w:type="dxa"/>
            <w:vAlign w:val="bottom"/>
            <w:tcBorders>
              <w:bottom w:val="single" w:sz="8" w:color="auto"/>
            </w:tcBorders>
          </w:tcPr>
          <w:p>
            <w:pPr>
              <w:jc w:val="right"/>
              <w:ind w:right="1310"/>
              <w:spacing w:after="0"/>
              <w:rPr>
                <w:sz w:val="20"/>
                <w:szCs w:val="20"/>
                <w:color w:val="auto"/>
              </w:rPr>
            </w:pPr>
            <w:r>
              <w:rPr>
                <w:rFonts w:ascii="Arial" w:cs="Arial" w:eastAsia="Arial" w:hAnsi="Arial"/>
                <w:sz w:val="18"/>
                <w:szCs w:val="18"/>
                <w:b w:val="1"/>
                <w:bCs w:val="1"/>
                <w:color w:val="auto"/>
              </w:rPr>
              <w:t>75-1618004</w:t>
            </w:r>
          </w:p>
        </w:tc>
      </w:tr>
      <w:tr>
        <w:trPr>
          <w:trHeight w:val="230"/>
        </w:trPr>
        <w:tc>
          <w:tcPr>
            <w:tcW w:w="3800" w:type="dxa"/>
            <w:vAlign w:val="bottom"/>
          </w:tcPr>
          <w:p>
            <w:pPr>
              <w:jc w:val="center"/>
              <w:ind w:left="350"/>
              <w:spacing w:after="0"/>
              <w:rPr>
                <w:sz w:val="20"/>
                <w:szCs w:val="20"/>
                <w:color w:val="auto"/>
              </w:rPr>
            </w:pPr>
            <w:r>
              <w:rPr>
                <w:rFonts w:ascii="Arial" w:cs="Arial" w:eastAsia="Arial" w:hAnsi="Arial"/>
                <w:sz w:val="18"/>
                <w:szCs w:val="18"/>
                <w:color w:val="auto"/>
                <w:w w:val="92"/>
              </w:rPr>
              <w:t>(State or other jurisdiction of incorporation)</w:t>
            </w:r>
          </w:p>
        </w:tc>
        <w:tc>
          <w:tcPr>
            <w:tcW w:w="4080" w:type="dxa"/>
            <w:vAlign w:val="bottom"/>
          </w:tcPr>
          <w:p>
            <w:pPr>
              <w:jc w:val="center"/>
              <w:ind w:left="190"/>
              <w:spacing w:after="0"/>
              <w:rPr>
                <w:sz w:val="20"/>
                <w:szCs w:val="20"/>
                <w:color w:val="auto"/>
              </w:rPr>
            </w:pPr>
            <w:r>
              <w:rPr>
                <w:rFonts w:ascii="Arial" w:cs="Arial" w:eastAsia="Arial" w:hAnsi="Arial"/>
                <w:sz w:val="18"/>
                <w:szCs w:val="18"/>
                <w:color w:val="auto"/>
                <w:w w:val="93"/>
              </w:rPr>
              <w:t>(Commission File Number)</w:t>
            </w:r>
          </w:p>
        </w:tc>
        <w:tc>
          <w:tcPr>
            <w:tcW w:w="3540" w:type="dxa"/>
            <w:vAlign w:val="bottom"/>
          </w:tcPr>
          <w:p>
            <w:pPr>
              <w:jc w:val="right"/>
              <w:ind w:right="390"/>
              <w:spacing w:after="0"/>
              <w:rPr>
                <w:sz w:val="20"/>
                <w:szCs w:val="20"/>
                <w:color w:val="auto"/>
              </w:rPr>
            </w:pPr>
            <w:r>
              <w:rPr>
                <w:rFonts w:ascii="Arial" w:cs="Arial" w:eastAsia="Arial" w:hAnsi="Arial"/>
                <w:sz w:val="18"/>
                <w:szCs w:val="18"/>
                <w:color w:val="auto"/>
              </w:rPr>
              <w:t>(I.R.S. Employer Identification No.)</w:t>
            </w:r>
          </w:p>
        </w:tc>
      </w:tr>
      <w:tr>
        <w:trPr>
          <w:trHeight w:val="427"/>
        </w:trPr>
        <w:tc>
          <w:tcPr>
            <w:tcW w:w="3800" w:type="dxa"/>
            <w:vAlign w:val="bottom"/>
          </w:tcPr>
          <w:p>
            <w:pPr>
              <w:spacing w:after="0"/>
              <w:rPr>
                <w:sz w:val="24"/>
                <w:szCs w:val="24"/>
                <w:color w:val="auto"/>
              </w:rPr>
            </w:pPr>
          </w:p>
        </w:tc>
        <w:tc>
          <w:tcPr>
            <w:tcW w:w="4080" w:type="dxa"/>
            <w:vAlign w:val="bottom"/>
          </w:tcPr>
          <w:p>
            <w:pPr>
              <w:jc w:val="center"/>
              <w:spacing w:after="0"/>
              <w:rPr>
                <w:sz w:val="20"/>
                <w:szCs w:val="20"/>
                <w:color w:val="auto"/>
              </w:rPr>
            </w:pPr>
            <w:r>
              <w:rPr>
                <w:rFonts w:ascii="Arial" w:cs="Arial" w:eastAsia="Arial" w:hAnsi="Arial"/>
                <w:sz w:val="18"/>
                <w:szCs w:val="18"/>
                <w:b w:val="1"/>
                <w:bCs w:val="1"/>
                <w:color w:val="auto"/>
                <w:w w:val="90"/>
              </w:rPr>
              <w:t>8000 South Federal Way</w:t>
            </w:r>
          </w:p>
        </w:tc>
        <w:tc>
          <w:tcPr>
            <w:tcW w:w="3540" w:type="dxa"/>
            <w:vAlign w:val="bottom"/>
          </w:tcPr>
          <w:p>
            <w:pPr>
              <w:spacing w:after="0"/>
              <w:rPr>
                <w:sz w:val="24"/>
                <w:szCs w:val="24"/>
                <w:color w:val="auto"/>
              </w:rPr>
            </w:pPr>
          </w:p>
        </w:tc>
      </w:tr>
      <w:tr>
        <w:trPr>
          <w:trHeight w:val="241"/>
        </w:trPr>
        <w:tc>
          <w:tcPr>
            <w:tcW w:w="3800" w:type="dxa"/>
            <w:vAlign w:val="bottom"/>
          </w:tcPr>
          <w:p>
            <w:pPr>
              <w:spacing w:after="0"/>
              <w:rPr>
                <w:sz w:val="20"/>
                <w:szCs w:val="20"/>
                <w:color w:val="auto"/>
              </w:rPr>
            </w:pPr>
          </w:p>
        </w:tc>
        <w:tc>
          <w:tcPr>
            <w:tcW w:w="4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Boise, Idaho 83716-9632</w:t>
            </w:r>
          </w:p>
        </w:tc>
        <w:tc>
          <w:tcPr>
            <w:tcW w:w="3540" w:type="dxa"/>
            <w:vAlign w:val="bottom"/>
          </w:tcPr>
          <w:p>
            <w:pPr>
              <w:spacing w:after="0"/>
              <w:rPr>
                <w:sz w:val="20"/>
                <w:szCs w:val="20"/>
                <w:color w:val="auto"/>
              </w:rPr>
            </w:pPr>
          </w:p>
        </w:tc>
      </w:tr>
      <w:tr>
        <w:trPr>
          <w:trHeight w:val="230"/>
        </w:trPr>
        <w:tc>
          <w:tcPr>
            <w:tcW w:w="3800" w:type="dxa"/>
            <w:vAlign w:val="bottom"/>
          </w:tcPr>
          <w:p>
            <w:pPr>
              <w:spacing w:after="0"/>
              <w:rPr>
                <w:sz w:val="20"/>
                <w:szCs w:val="20"/>
                <w:color w:val="auto"/>
              </w:rPr>
            </w:pPr>
          </w:p>
        </w:tc>
        <w:tc>
          <w:tcPr>
            <w:tcW w:w="4080" w:type="dxa"/>
            <w:vAlign w:val="bottom"/>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3540" w:type="dxa"/>
            <w:vAlign w:val="bottom"/>
          </w:tcPr>
          <w:p>
            <w:pPr>
              <w:spacing w:after="0"/>
              <w:rPr>
                <w:sz w:val="20"/>
                <w:szCs w:val="20"/>
                <w:color w:val="auto"/>
              </w:rPr>
            </w:pPr>
          </w:p>
        </w:tc>
      </w:tr>
    </w:tbl>
    <w:p>
      <w:pPr>
        <w:spacing w:after="0" w:line="210" w:lineRule="exact"/>
        <w:rPr>
          <w:sz w:val="24"/>
          <w:szCs w:val="24"/>
          <w:color w:val="auto"/>
        </w:rPr>
      </w:pPr>
    </w:p>
    <w:p>
      <w:pPr>
        <w:jc w:val="center"/>
        <w:ind w:left="540"/>
        <w:spacing w:after="0"/>
        <w:rPr>
          <w:sz w:val="20"/>
          <w:szCs w:val="20"/>
          <w:color w:val="auto"/>
        </w:rPr>
      </w:pPr>
      <w:r>
        <w:rPr>
          <w:rFonts w:ascii="Arial" w:cs="Arial" w:eastAsia="Arial" w:hAnsi="Arial"/>
          <w:sz w:val="18"/>
          <w:szCs w:val="18"/>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2157730</wp:posOffset>
            </wp:positionH>
            <wp:positionV relativeFrom="paragraph">
              <wp:posOffset>17145</wp:posOffset>
            </wp:positionV>
            <wp:extent cx="327596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75965" cy="17145"/>
                    </a:xfrm>
                    <a:prstGeom prst="rect">
                      <a:avLst/>
                    </a:prstGeom>
                    <a:noFill/>
                  </pic:spPr>
                </pic:pic>
              </a:graphicData>
            </a:graphic>
          </wp:anchor>
        </w:drawing>
      </w:r>
    </w:p>
    <w:p>
      <w:pPr>
        <w:spacing w:after="0" w:line="20" w:lineRule="exact"/>
        <w:rPr>
          <w:sz w:val="24"/>
          <w:szCs w:val="24"/>
          <w:color w:val="auto"/>
        </w:rPr>
      </w:pPr>
    </w:p>
    <w:p>
      <w:pPr>
        <w:jc w:val="center"/>
        <w:ind w:left="540"/>
        <w:spacing w:after="0"/>
        <w:rPr>
          <w:sz w:val="20"/>
          <w:szCs w:val="20"/>
          <w:color w:val="auto"/>
        </w:rPr>
      </w:pPr>
      <w:r>
        <w:rPr>
          <w:rFonts w:ascii="Arial" w:cs="Arial" w:eastAsia="Arial" w:hAnsi="Arial"/>
          <w:sz w:val="18"/>
          <w:szCs w:val="18"/>
          <w:color w:val="auto"/>
        </w:rPr>
        <w:t>(Registrant’s telephone number, including area code)</w:t>
      </w:r>
    </w:p>
    <w:p>
      <w:pPr>
        <w:spacing w:after="0" w:line="252"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244475</wp:posOffset>
            </wp:positionV>
            <wp:extent cx="7250430" cy="450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758825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83" w:right="239" w:bottom="1440" w:gutter="0" w:footer="0" w:header="0"/>
        </w:sectPr>
      </w:pPr>
    </w:p>
    <w:bookmarkStart w:id="1" w:name="page2"/>
    <w:bookmarkEnd w:id="1"/>
    <w:p>
      <w:pPr>
        <w:spacing w:after="0"/>
        <w:tabs>
          <w:tab w:leader="none" w:pos="124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56"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On June 19, 2013, the Company announced its financial results for the third quarter ended May 30, 2013. The full text of the press release issued in connection with the announcement is attached as Exhibit 99.1 to this Current Report on Form 8-K.</w:t>
      </w:r>
    </w:p>
    <w:p>
      <w:pPr>
        <w:spacing w:after="0" w:line="200" w:lineRule="exact"/>
        <w:rPr>
          <w:sz w:val="20"/>
          <w:szCs w:val="20"/>
          <w:color w:val="auto"/>
        </w:rPr>
      </w:pPr>
    </w:p>
    <w:p>
      <w:pPr>
        <w:spacing w:after="0" w:line="237"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480" w:type="dxa"/>
            <w:vAlign w:val="bottom"/>
            <w:gridSpan w:val="2"/>
          </w:tcPr>
          <w:p>
            <w:pPr>
              <w:ind w:left="1240"/>
              <w:spacing w:after="0"/>
              <w:rPr>
                <w:sz w:val="20"/>
                <w:szCs w:val="20"/>
                <w:color w:val="auto"/>
              </w:rPr>
            </w:pPr>
            <w:r>
              <w:rPr>
                <w:rFonts w:ascii="Arial" w:cs="Arial" w:eastAsia="Arial" w:hAnsi="Arial"/>
                <w:sz w:val="18"/>
                <w:szCs w:val="18"/>
                <w:color w:val="auto"/>
                <w:w w:val="99"/>
              </w:rPr>
              <w:t>(d)</w:t>
            </w:r>
          </w:p>
        </w:tc>
        <w:tc>
          <w:tcPr>
            <w:tcW w:w="9920" w:type="dxa"/>
            <w:vAlign w:val="bottom"/>
            <w:gridSpan w:val="2"/>
          </w:tcPr>
          <w:p>
            <w:pPr>
              <w:ind w:left="60"/>
              <w:spacing w:after="0"/>
              <w:rPr>
                <w:sz w:val="20"/>
                <w:szCs w:val="20"/>
                <w:color w:val="auto"/>
              </w:rPr>
            </w:pPr>
            <w:r>
              <w:rPr>
                <w:rFonts w:ascii="Arial" w:cs="Arial" w:eastAsia="Arial" w:hAnsi="Arial"/>
                <w:sz w:val="18"/>
                <w:szCs w:val="18"/>
                <w:color w:val="auto"/>
              </w:rPr>
              <w:t>Exhibits.</w:t>
            </w:r>
          </w:p>
        </w:tc>
      </w:tr>
      <w:tr>
        <w:trPr>
          <w:trHeight w:val="682"/>
        </w:trPr>
        <w:tc>
          <w:tcPr>
            <w:tcW w:w="1500" w:type="dxa"/>
            <w:vAlign w:val="bottom"/>
            <w:gridSpan w:val="3"/>
          </w:tcPr>
          <w:p>
            <w:pPr>
              <w:spacing w:after="0"/>
              <w:rPr>
                <w:sz w:val="20"/>
                <w:szCs w:val="20"/>
                <w:color w:val="auto"/>
              </w:rPr>
            </w:pPr>
            <w:r>
              <w:rPr>
                <w:rFonts w:ascii="Arial" w:cs="Arial" w:eastAsia="Arial" w:hAnsi="Arial"/>
                <w:sz w:val="18"/>
                <w:szCs w:val="18"/>
                <w:b w:val="1"/>
                <w:bCs w:val="1"/>
                <w:color w:val="auto"/>
              </w:rPr>
              <w:t>Exhibit No.</w:t>
            </w:r>
          </w:p>
        </w:tc>
        <w:tc>
          <w:tcPr>
            <w:tcW w:w="12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b w:val="1"/>
                <w:bCs w:val="1"/>
                <w:color w:val="auto"/>
              </w:rPr>
              <w:t>Description</w:t>
            </w:r>
          </w:p>
        </w:tc>
      </w:tr>
      <w:tr>
        <w:trPr>
          <w:trHeight w:val="230"/>
        </w:trPr>
        <w:tc>
          <w:tcPr>
            <w:tcW w:w="20" w:type="dxa"/>
            <w:vAlign w:val="bottom"/>
          </w:tcPr>
          <w:p>
            <w:pPr>
              <w:spacing w:after="0"/>
              <w:rPr>
                <w:sz w:val="20"/>
                <w:szCs w:val="20"/>
                <w:color w:val="auto"/>
              </w:rPr>
            </w:pPr>
          </w:p>
        </w:tc>
        <w:tc>
          <w:tcPr>
            <w:tcW w:w="124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rPr>
              <w:t>99.1</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Press Release issued on June 19, 2013</w:t>
            </w:r>
          </w:p>
        </w:tc>
      </w:tr>
      <w:tr>
        <w:trPr>
          <w:trHeight w:val="860"/>
        </w:trPr>
        <w:tc>
          <w:tcPr>
            <w:tcW w:w="20" w:type="dxa"/>
            <w:vAlign w:val="bottom"/>
          </w:tcPr>
          <w:p>
            <w:pPr>
              <w:spacing w:after="0"/>
              <w:rPr>
                <w:sz w:val="24"/>
                <w:szCs w:val="24"/>
                <w:color w:val="auto"/>
              </w:rPr>
            </w:pPr>
          </w:p>
        </w:tc>
        <w:tc>
          <w:tcPr>
            <w:tcW w:w="124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98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7880" w:type="dxa"/>
            <w:vAlign w:val="bottom"/>
            <w:gridSpan w:val="2"/>
          </w:tcPr>
          <w:p>
            <w:pPr>
              <w:ind w:left="1960"/>
              <w:spacing w:after="0"/>
              <w:rPr>
                <w:sz w:val="20"/>
                <w:szCs w:val="20"/>
                <w:color w:val="auto"/>
              </w:rPr>
            </w:pPr>
            <w:r>
              <w:rPr>
                <w:rFonts w:ascii="Arial" w:cs="Arial" w:eastAsia="Arial" w:hAnsi="Arial"/>
                <w:sz w:val="18"/>
                <w:szCs w:val="18"/>
                <w:b w:val="1"/>
                <w:bCs w:val="1"/>
                <w:color w:val="auto"/>
              </w:rPr>
              <w:t>MICRON TECHNOLOGY, INC.</w:t>
            </w:r>
          </w:p>
        </w:tc>
      </w:tr>
      <w:tr>
        <w:trPr>
          <w:trHeight w:val="655"/>
        </w:trPr>
        <w:tc>
          <w:tcPr>
            <w:tcW w:w="3540" w:type="dxa"/>
            <w:vAlign w:val="bottom"/>
          </w:tcPr>
          <w:p>
            <w:pPr>
              <w:spacing w:after="0"/>
              <w:rPr>
                <w:sz w:val="20"/>
                <w:szCs w:val="20"/>
                <w:color w:val="auto"/>
              </w:rPr>
            </w:pPr>
            <w:r>
              <w:rPr>
                <w:rFonts w:ascii="Arial" w:cs="Arial" w:eastAsia="Arial" w:hAnsi="Arial"/>
                <w:sz w:val="18"/>
                <w:szCs w:val="18"/>
                <w:color w:val="auto"/>
              </w:rPr>
              <w:t>Date:  June 19, 2013</w:t>
            </w:r>
          </w:p>
        </w:tc>
        <w:tc>
          <w:tcPr>
            <w:tcW w:w="2740" w:type="dxa"/>
            <w:vAlign w:val="bottom"/>
          </w:tcPr>
          <w:p>
            <w:pPr>
              <w:ind w:left="196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Ronald C. Foster</w:t>
            </w:r>
          </w:p>
        </w:tc>
      </w:tr>
      <w:tr>
        <w:trPr>
          <w:trHeight w:val="202"/>
        </w:trPr>
        <w:tc>
          <w:tcPr>
            <w:tcW w:w="3540" w:type="dxa"/>
            <w:vAlign w:val="bottom"/>
          </w:tcPr>
          <w:p>
            <w:pPr>
              <w:spacing w:after="0"/>
              <w:rPr>
                <w:sz w:val="17"/>
                <w:szCs w:val="17"/>
                <w:color w:val="auto"/>
              </w:rPr>
            </w:pPr>
          </w:p>
        </w:tc>
        <w:tc>
          <w:tcPr>
            <w:tcW w:w="2740" w:type="dxa"/>
            <w:vAlign w:val="bottom"/>
          </w:tcPr>
          <w:p>
            <w:pPr>
              <w:ind w:left="1960"/>
              <w:spacing w:after="0" w:line="201" w:lineRule="exact"/>
              <w:rPr>
                <w:sz w:val="20"/>
                <w:szCs w:val="20"/>
                <w:color w:val="auto"/>
              </w:rPr>
            </w:pPr>
            <w:r>
              <w:rPr>
                <w:rFonts w:ascii="Arial" w:cs="Arial" w:eastAsia="Arial" w:hAnsi="Arial"/>
                <w:sz w:val="18"/>
                <w:szCs w:val="18"/>
                <w:color w:val="auto"/>
              </w:rPr>
              <w:t>Name:</w:t>
            </w:r>
          </w:p>
        </w:tc>
        <w:tc>
          <w:tcPr>
            <w:tcW w:w="5140" w:type="dxa"/>
            <w:vAlign w:val="bottom"/>
          </w:tcPr>
          <w:p>
            <w:pPr>
              <w:spacing w:after="0" w:line="201" w:lineRule="exact"/>
              <w:rPr>
                <w:sz w:val="20"/>
                <w:szCs w:val="20"/>
                <w:color w:val="auto"/>
              </w:rPr>
            </w:pPr>
            <w:r>
              <w:rPr>
                <w:rFonts w:ascii="Arial" w:cs="Arial" w:eastAsia="Arial" w:hAnsi="Arial"/>
                <w:sz w:val="18"/>
                <w:szCs w:val="18"/>
                <w:color w:val="auto"/>
              </w:rPr>
              <w:t>Ronald C. Foster</w:t>
            </w:r>
          </w:p>
        </w:tc>
      </w:tr>
      <w:tr>
        <w:trPr>
          <w:trHeight w:val="216"/>
        </w:trPr>
        <w:tc>
          <w:tcPr>
            <w:tcW w:w="3540" w:type="dxa"/>
            <w:vAlign w:val="bottom"/>
          </w:tcPr>
          <w:p>
            <w:pPr>
              <w:spacing w:after="0"/>
              <w:rPr>
                <w:sz w:val="18"/>
                <w:szCs w:val="18"/>
                <w:color w:val="auto"/>
              </w:rPr>
            </w:pPr>
          </w:p>
        </w:tc>
        <w:tc>
          <w:tcPr>
            <w:tcW w:w="2740" w:type="dxa"/>
            <w:vAlign w:val="bottom"/>
          </w:tcPr>
          <w:p>
            <w:pPr>
              <w:ind w:left="1960"/>
              <w:spacing w:after="0"/>
              <w:rPr>
                <w:sz w:val="20"/>
                <w:szCs w:val="20"/>
                <w:color w:val="auto"/>
              </w:rPr>
            </w:pPr>
            <w:r>
              <w:rPr>
                <w:rFonts w:ascii="Arial" w:cs="Arial" w:eastAsia="Arial" w:hAnsi="Arial"/>
                <w:sz w:val="18"/>
                <w:szCs w:val="18"/>
                <w:color w:val="auto"/>
              </w:rPr>
              <w:t>Title:</w:t>
            </w:r>
          </w:p>
        </w:tc>
        <w:tc>
          <w:tcPr>
            <w:tcW w:w="5140" w:type="dxa"/>
            <w:vAlign w:val="bottom"/>
          </w:tcPr>
          <w:p>
            <w:pPr>
              <w:spacing w:after="0"/>
              <w:rPr>
                <w:sz w:val="20"/>
                <w:szCs w:val="20"/>
                <w:color w:val="auto"/>
              </w:rPr>
            </w:pPr>
            <w:r>
              <w:rPr>
                <w:rFonts w:ascii="Arial" w:cs="Arial" w:eastAsia="Arial" w:hAnsi="Arial"/>
                <w:sz w:val="18"/>
                <w:szCs w:val="18"/>
                <w:color w:val="auto"/>
              </w:rPr>
              <w:t>Chief Financial Officer and</w:t>
            </w:r>
          </w:p>
        </w:tc>
      </w:tr>
      <w:tr>
        <w:trPr>
          <w:trHeight w:val="230"/>
        </w:trPr>
        <w:tc>
          <w:tcPr>
            <w:tcW w:w="354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Vice President of Finance</w:t>
            </w:r>
          </w:p>
        </w:tc>
      </w:tr>
      <w:tr>
        <w:trPr>
          <w:trHeight w:val="902"/>
        </w:trPr>
        <w:tc>
          <w:tcPr>
            <w:tcW w:w="3540" w:type="dxa"/>
            <w:vAlign w:val="bottom"/>
            <w:tcBorders>
              <w:bottom w:val="single" w:sz="8" w:color="808080"/>
            </w:tcBorders>
          </w:tcPr>
          <w:p>
            <w:pPr>
              <w:spacing w:after="0"/>
              <w:rPr>
                <w:sz w:val="24"/>
                <w:szCs w:val="24"/>
                <w:color w:val="auto"/>
              </w:rPr>
            </w:pPr>
          </w:p>
        </w:tc>
        <w:tc>
          <w:tcPr>
            <w:tcW w:w="2740" w:type="dxa"/>
            <w:vAlign w:val="bottom"/>
            <w:tcBorders>
              <w:bottom w:val="single" w:sz="8" w:color="808080"/>
            </w:tcBorders>
          </w:tcPr>
          <w:p>
            <w:pPr>
              <w:spacing w:after="0"/>
              <w:rPr>
                <w:sz w:val="24"/>
                <w:szCs w:val="24"/>
                <w:color w:val="auto"/>
              </w:rPr>
            </w:pPr>
          </w:p>
        </w:tc>
        <w:tc>
          <w:tcPr>
            <w:tcW w:w="51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 w:name="page4"/>
    <w:bookmarkEnd w:id="3"/>
    <w:p>
      <w:pPr>
        <w:jc w:val="center"/>
        <w:ind w:right="-880"/>
        <w:spacing w:after="0"/>
        <w:rPr>
          <w:sz w:val="20"/>
          <w:szCs w:val="20"/>
          <w:color w:val="auto"/>
        </w:rPr>
      </w:pPr>
      <w:r>
        <w:rPr>
          <w:rFonts w:ascii="Arial" w:cs="Arial" w:eastAsia="Arial" w:hAnsi="Arial"/>
          <w:sz w:val="18"/>
          <w:szCs w:val="18"/>
          <w:b w:val="1"/>
          <w:bCs w:val="1"/>
          <w:color w:val="auto"/>
        </w:rPr>
        <w:t>INDEX TO EXHIBITS FILED WITH</w:t>
      </w:r>
    </w:p>
    <w:p>
      <w:pPr>
        <w:spacing w:after="0" w:line="27" w:lineRule="exact"/>
        <w:rPr>
          <w:sz w:val="20"/>
          <w:szCs w:val="20"/>
          <w:color w:val="auto"/>
        </w:rPr>
      </w:pPr>
    </w:p>
    <w:p>
      <w:pPr>
        <w:jc w:val="center"/>
        <w:ind w:right="-880"/>
        <w:spacing w:after="0"/>
        <w:rPr>
          <w:sz w:val="20"/>
          <w:szCs w:val="20"/>
          <w:color w:val="auto"/>
        </w:rPr>
      </w:pPr>
      <w:r>
        <w:rPr>
          <w:rFonts w:ascii="Arial" w:cs="Arial" w:eastAsia="Arial" w:hAnsi="Arial"/>
          <w:sz w:val="17"/>
          <w:szCs w:val="17"/>
          <w:b w:val="1"/>
          <w:bCs w:val="1"/>
          <w:color w:val="auto"/>
        </w:rPr>
        <w:t>THE CURRENT REPORT ON FORM 8-K DATED JUNE 19, 2013</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Exhibit</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17145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0"/>
          <w:szCs w:val="20"/>
          <w:color w:val="auto"/>
        </w:rPr>
      </w:pPr>
    </w:p>
    <w:p>
      <w:pPr>
        <w:ind w:left="140"/>
        <w:spacing w:after="0"/>
        <w:tabs>
          <w:tab w:leader="none" w:pos="11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issued on June 19, 2013</w:t>
      </w:r>
    </w:p>
    <w:p>
      <w:pPr>
        <w:sectPr>
          <w:pgSz w:w="11900" w:h="16838" w:orient="portrait"/>
          <w:cols w:equalWidth="0" w:num="1">
            <w:col w:w="9879"/>
          </w:cols>
          <w:pgMar w:left="580" w:top="756"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4000" w:type="dxa"/>
            <w:vAlign w:val="bottom"/>
            <w:gridSpan w:val="2"/>
          </w:tcPr>
          <w:p>
            <w:pPr>
              <w:spacing w:after="0"/>
              <w:rPr>
                <w:sz w:val="20"/>
                <w:szCs w:val="20"/>
                <w:color w:val="auto"/>
              </w:rPr>
            </w:pPr>
            <w:r>
              <w:rPr>
                <w:rFonts w:ascii="Arial" w:cs="Arial" w:eastAsia="Arial" w:hAnsi="Arial"/>
                <w:sz w:val="22"/>
                <w:szCs w:val="22"/>
                <w:b w:val="1"/>
                <w:bCs w:val="1"/>
                <w:color w:val="auto"/>
              </w:rPr>
              <w:t>FOR IMMEDIATE RELEASE</w:t>
            </w:r>
          </w:p>
        </w:tc>
        <w:tc>
          <w:tcPr>
            <w:tcW w:w="2500" w:type="dxa"/>
            <w:vAlign w:val="bottom"/>
          </w:tcPr>
          <w:p>
            <w:pPr>
              <w:spacing w:after="0"/>
              <w:rPr>
                <w:sz w:val="24"/>
                <w:szCs w:val="24"/>
                <w:color w:val="auto"/>
              </w:rPr>
            </w:pPr>
          </w:p>
        </w:tc>
      </w:tr>
      <w:tr>
        <w:trPr>
          <w:trHeight w:val="431"/>
        </w:trPr>
        <w:tc>
          <w:tcPr>
            <w:tcW w:w="1280" w:type="dxa"/>
            <w:vAlign w:val="bottom"/>
          </w:tcPr>
          <w:p>
            <w:pPr>
              <w:spacing w:after="0"/>
              <w:rPr>
                <w:sz w:val="20"/>
                <w:szCs w:val="20"/>
                <w:color w:val="auto"/>
              </w:rPr>
            </w:pPr>
            <w:r>
              <w:rPr>
                <w:rFonts w:ascii="Arial" w:cs="Arial" w:eastAsia="Arial" w:hAnsi="Arial"/>
                <w:sz w:val="22"/>
                <w:szCs w:val="22"/>
                <w:color w:val="auto"/>
              </w:rPr>
              <w:t>Contacts:</w:t>
            </w:r>
          </w:p>
        </w:tc>
        <w:tc>
          <w:tcPr>
            <w:tcW w:w="2720" w:type="dxa"/>
            <w:vAlign w:val="bottom"/>
          </w:tcPr>
          <w:p>
            <w:pPr>
              <w:ind w:left="440"/>
              <w:spacing w:after="0"/>
              <w:rPr>
                <w:sz w:val="20"/>
                <w:szCs w:val="20"/>
                <w:color w:val="auto"/>
              </w:rPr>
            </w:pPr>
            <w:r>
              <w:rPr>
                <w:rFonts w:ascii="Arial" w:cs="Arial" w:eastAsia="Arial" w:hAnsi="Arial"/>
                <w:sz w:val="22"/>
                <w:szCs w:val="22"/>
                <w:color w:val="auto"/>
              </w:rPr>
              <w:t>Kipp A. Bedard</w:t>
            </w:r>
          </w:p>
        </w:tc>
        <w:tc>
          <w:tcPr>
            <w:tcW w:w="2500" w:type="dxa"/>
            <w:vAlign w:val="bottom"/>
          </w:tcPr>
          <w:p>
            <w:pPr>
              <w:ind w:left="360"/>
              <w:spacing w:after="0"/>
              <w:rPr>
                <w:sz w:val="20"/>
                <w:szCs w:val="20"/>
                <w:color w:val="auto"/>
              </w:rPr>
            </w:pPr>
            <w:r>
              <w:rPr>
                <w:rFonts w:ascii="Arial" w:cs="Arial" w:eastAsia="Arial" w:hAnsi="Arial"/>
                <w:sz w:val="22"/>
                <w:szCs w:val="22"/>
                <w:color w:val="auto"/>
              </w:rPr>
              <w:t>Daniel Francisco</w:t>
            </w:r>
          </w:p>
        </w:tc>
      </w:tr>
      <w:tr>
        <w:trPr>
          <w:trHeight w:val="243"/>
        </w:trPr>
        <w:tc>
          <w:tcPr>
            <w:tcW w:w="1280" w:type="dxa"/>
            <w:vAlign w:val="bottom"/>
          </w:tcPr>
          <w:p>
            <w:pPr>
              <w:spacing w:after="0"/>
              <w:rPr>
                <w:sz w:val="21"/>
                <w:szCs w:val="21"/>
                <w:color w:val="auto"/>
              </w:rPr>
            </w:pPr>
          </w:p>
        </w:tc>
        <w:tc>
          <w:tcPr>
            <w:tcW w:w="2720" w:type="dxa"/>
            <w:vAlign w:val="bottom"/>
          </w:tcPr>
          <w:p>
            <w:pPr>
              <w:ind w:left="440"/>
              <w:spacing w:after="0" w:line="243" w:lineRule="exact"/>
              <w:rPr>
                <w:sz w:val="20"/>
                <w:szCs w:val="20"/>
                <w:color w:val="auto"/>
              </w:rPr>
            </w:pPr>
            <w:r>
              <w:rPr>
                <w:rFonts w:ascii="Arial" w:cs="Arial" w:eastAsia="Arial" w:hAnsi="Arial"/>
                <w:sz w:val="22"/>
                <w:szCs w:val="22"/>
                <w:color w:val="auto"/>
              </w:rPr>
              <w:t>Investor Relations</w:t>
            </w:r>
          </w:p>
        </w:tc>
        <w:tc>
          <w:tcPr>
            <w:tcW w:w="2500" w:type="dxa"/>
            <w:vAlign w:val="bottom"/>
          </w:tcPr>
          <w:p>
            <w:pPr>
              <w:ind w:left="360"/>
              <w:spacing w:after="0" w:line="243" w:lineRule="exact"/>
              <w:rPr>
                <w:sz w:val="20"/>
                <w:szCs w:val="20"/>
                <w:color w:val="auto"/>
              </w:rPr>
            </w:pPr>
            <w:r>
              <w:rPr>
                <w:rFonts w:ascii="Arial" w:cs="Arial" w:eastAsia="Arial" w:hAnsi="Arial"/>
                <w:sz w:val="22"/>
                <w:szCs w:val="22"/>
                <w:color w:val="auto"/>
              </w:rPr>
              <w:t>Media Relations</w:t>
            </w:r>
          </w:p>
        </w:tc>
      </w:tr>
      <w:tr>
        <w:trPr>
          <w:trHeight w:val="243"/>
        </w:trPr>
        <w:tc>
          <w:tcPr>
            <w:tcW w:w="1280" w:type="dxa"/>
            <w:vAlign w:val="bottom"/>
          </w:tcPr>
          <w:p>
            <w:pPr>
              <w:spacing w:after="0"/>
              <w:rPr>
                <w:sz w:val="21"/>
                <w:szCs w:val="21"/>
                <w:color w:val="auto"/>
              </w:rPr>
            </w:pPr>
          </w:p>
        </w:tc>
        <w:tc>
          <w:tcPr>
            <w:tcW w:w="2720" w:type="dxa"/>
            <w:vAlign w:val="bottom"/>
          </w:tcPr>
          <w:p>
            <w:pPr>
              <w:ind w:left="440"/>
              <w:spacing w:after="0" w:line="243" w:lineRule="exact"/>
              <w:rPr>
                <w:sz w:val="20"/>
                <w:szCs w:val="20"/>
                <w:color w:val="auto"/>
              </w:rPr>
            </w:pPr>
            <w:r>
              <w:rPr>
                <w:rFonts w:ascii="Arial" w:cs="Arial" w:eastAsia="Arial" w:hAnsi="Arial"/>
                <w:sz w:val="22"/>
                <w:szCs w:val="22"/>
                <w:color w:val="auto"/>
              </w:rPr>
              <w:t>kbedard@micron.com</w:t>
            </w:r>
          </w:p>
        </w:tc>
        <w:tc>
          <w:tcPr>
            <w:tcW w:w="2500" w:type="dxa"/>
            <w:vAlign w:val="bottom"/>
          </w:tcPr>
          <w:p>
            <w:pPr>
              <w:ind w:left="360"/>
              <w:spacing w:after="0" w:line="243" w:lineRule="exact"/>
              <w:rPr>
                <w:sz w:val="20"/>
                <w:szCs w:val="20"/>
                <w:color w:val="auto"/>
              </w:rPr>
            </w:pPr>
            <w:r>
              <w:rPr>
                <w:rFonts w:ascii="Arial" w:cs="Arial" w:eastAsia="Arial" w:hAnsi="Arial"/>
                <w:sz w:val="22"/>
                <w:szCs w:val="22"/>
                <w:color w:val="auto"/>
                <w:w w:val="89"/>
              </w:rPr>
              <w:t>dfrancisco@micron.com</w:t>
            </w:r>
          </w:p>
        </w:tc>
      </w:tr>
      <w:tr>
        <w:trPr>
          <w:trHeight w:val="275"/>
        </w:trPr>
        <w:tc>
          <w:tcPr>
            <w:tcW w:w="1280" w:type="dxa"/>
            <w:vAlign w:val="bottom"/>
          </w:tcPr>
          <w:p>
            <w:pPr>
              <w:spacing w:after="0"/>
              <w:rPr>
                <w:sz w:val="23"/>
                <w:szCs w:val="23"/>
                <w:color w:val="auto"/>
              </w:rPr>
            </w:pPr>
          </w:p>
        </w:tc>
        <w:tc>
          <w:tcPr>
            <w:tcW w:w="2720" w:type="dxa"/>
            <w:vAlign w:val="bottom"/>
          </w:tcPr>
          <w:p>
            <w:pPr>
              <w:ind w:left="440"/>
              <w:spacing w:after="0"/>
              <w:rPr>
                <w:sz w:val="20"/>
                <w:szCs w:val="20"/>
                <w:color w:val="auto"/>
              </w:rPr>
            </w:pPr>
            <w:r>
              <w:rPr>
                <w:rFonts w:ascii="Arial" w:cs="Arial" w:eastAsia="Arial" w:hAnsi="Arial"/>
                <w:sz w:val="22"/>
                <w:szCs w:val="22"/>
                <w:color w:val="auto"/>
              </w:rPr>
              <w:t>(208) 368-4465</w:t>
            </w:r>
          </w:p>
        </w:tc>
        <w:tc>
          <w:tcPr>
            <w:tcW w:w="2500" w:type="dxa"/>
            <w:vAlign w:val="bottom"/>
          </w:tcPr>
          <w:p>
            <w:pPr>
              <w:ind w:left="360"/>
              <w:spacing w:after="0"/>
              <w:rPr>
                <w:sz w:val="20"/>
                <w:szCs w:val="20"/>
                <w:color w:val="auto"/>
              </w:rPr>
            </w:pPr>
            <w:r>
              <w:rPr>
                <w:rFonts w:ascii="Arial" w:cs="Arial" w:eastAsia="Arial" w:hAnsi="Arial"/>
                <w:sz w:val="22"/>
                <w:szCs w:val="22"/>
                <w:color w:val="auto"/>
              </w:rPr>
              <w:t>(208) 368-5584</w:t>
            </w:r>
          </w:p>
        </w:tc>
      </w:tr>
    </w:tbl>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MICRON TECHNOLOGY, INC., REPORTS RESULTS FOR THE</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THIRD QUARTER OF FISCAL 2013</w:t>
      </w:r>
    </w:p>
    <w:p>
      <w:pPr>
        <w:spacing w:after="0" w:line="200" w:lineRule="exact"/>
        <w:rPr>
          <w:sz w:val="20"/>
          <w:szCs w:val="20"/>
          <w:color w:val="auto"/>
        </w:rPr>
      </w:pPr>
    </w:p>
    <w:p>
      <w:pPr>
        <w:spacing w:after="0" w:line="252" w:lineRule="exact"/>
        <w:rPr>
          <w:sz w:val="20"/>
          <w:szCs w:val="20"/>
          <w:color w:val="auto"/>
        </w:rPr>
      </w:pPr>
    </w:p>
    <w:p>
      <w:pPr>
        <w:ind w:right="80" w:firstLine="324"/>
        <w:spacing w:after="0" w:line="284" w:lineRule="auto"/>
        <w:rPr>
          <w:sz w:val="20"/>
          <w:szCs w:val="20"/>
          <w:color w:val="auto"/>
        </w:rPr>
      </w:pPr>
      <w:r>
        <w:rPr>
          <w:rFonts w:ascii="Arial" w:cs="Arial" w:eastAsia="Arial" w:hAnsi="Arial"/>
          <w:sz w:val="19"/>
          <w:szCs w:val="19"/>
          <w:b w:val="1"/>
          <w:bCs w:val="1"/>
          <w:color w:val="auto"/>
        </w:rPr>
        <w:t xml:space="preserve">BOISE, Idaho, </w:t>
      </w:r>
      <w:r>
        <w:rPr>
          <w:rFonts w:ascii="Arial" w:cs="Arial" w:eastAsia="Arial" w:hAnsi="Arial"/>
          <w:sz w:val="19"/>
          <w:szCs w:val="19"/>
          <w:color w:val="auto"/>
        </w:rPr>
        <w:t>June 19, 2013 – Micron Technology, Inc., (NASDAQ: MU) today announced results of operations for its third</w:t>
      </w:r>
      <w:r>
        <w:rPr>
          <w:rFonts w:ascii="Arial" w:cs="Arial" w:eastAsia="Arial" w:hAnsi="Arial"/>
          <w:sz w:val="19"/>
          <w:szCs w:val="19"/>
          <w:b w:val="1"/>
          <w:bCs w:val="1"/>
          <w:color w:val="auto"/>
        </w:rPr>
        <w:t xml:space="preserve"> </w:t>
      </w:r>
      <w:r>
        <w:rPr>
          <w:rFonts w:ascii="Arial" w:cs="Arial" w:eastAsia="Arial" w:hAnsi="Arial"/>
          <w:sz w:val="19"/>
          <w:szCs w:val="19"/>
          <w:color w:val="auto"/>
        </w:rPr>
        <w:t>quarter of fiscal 2013, which ended May 30, 2013. For the third quarter, the company had net income attributable to Micron shareholders of $43 million, or $0.04 per diluted share, on net sales of $2.3 billion. The results for the third quarter of fiscal 2013 compare to a net loss of $286 million, or ($0.28) per diluted share, on net sales of $2.1 billion for the second quarter of fiscal 2013, and a net loss of $320 million, or ($0.32) per diluted share, on net sales of $2.2 billion for the third quarter of fiscal 2012.</w:t>
      </w:r>
    </w:p>
    <w:p>
      <w:pPr>
        <w:spacing w:after="0" w:line="172" w:lineRule="exact"/>
        <w:rPr>
          <w:sz w:val="20"/>
          <w:szCs w:val="20"/>
          <w:color w:val="auto"/>
        </w:rPr>
      </w:pPr>
    </w:p>
    <w:p>
      <w:pPr>
        <w:jc w:val="both"/>
        <w:ind w:right="160" w:firstLine="324"/>
        <w:spacing w:after="0" w:line="258" w:lineRule="auto"/>
        <w:rPr>
          <w:sz w:val="20"/>
          <w:szCs w:val="20"/>
          <w:color w:val="auto"/>
        </w:rPr>
      </w:pPr>
      <w:r>
        <w:rPr>
          <w:rFonts w:ascii="Arial" w:cs="Arial" w:eastAsia="Arial" w:hAnsi="Arial"/>
          <w:sz w:val="21"/>
          <w:szCs w:val="21"/>
          <w:color w:val="auto"/>
        </w:rPr>
        <w:t>The company’s consolidated gross margin improved to 24 percent in the third quarter of fiscal 2013 compared to 18 percent in the second quarter of fiscal 2013. Gross margins for both DRAM and NAND Flash products improved due to increases in average selling prices. DRAM gross margins also benefited from decreases in manufacturing costs.</w:t>
      </w:r>
    </w:p>
    <w:p>
      <w:pPr>
        <w:spacing w:after="0" w:line="194" w:lineRule="exact"/>
        <w:rPr>
          <w:sz w:val="20"/>
          <w:szCs w:val="20"/>
          <w:color w:val="auto"/>
        </w:rPr>
      </w:pPr>
    </w:p>
    <w:p>
      <w:pPr>
        <w:ind w:right="160" w:firstLine="324"/>
        <w:spacing w:after="0" w:line="238" w:lineRule="auto"/>
        <w:rPr>
          <w:sz w:val="20"/>
          <w:szCs w:val="20"/>
          <w:color w:val="auto"/>
        </w:rPr>
      </w:pPr>
      <w:r>
        <w:rPr>
          <w:rFonts w:ascii="Arial" w:cs="Arial" w:eastAsia="Arial" w:hAnsi="Arial"/>
          <w:sz w:val="22"/>
          <w:szCs w:val="22"/>
          <w:color w:val="auto"/>
        </w:rPr>
        <w:t>Revenues from sales of DRAM products in the third quarter of fiscal 2013 were 23 percent higher compared to the second quarter due to a 16 percent increase in average selling prices and a 6 percent increase in sales volume. Revenues from sales of NAND Flash products were 7 percent higher in the third quarter of fiscal 2013 compared to the second quarter primarily due to an 8 percent increase in Trade NAND Flash average selling prices.</w:t>
      </w:r>
    </w:p>
    <w:p>
      <w:pPr>
        <w:spacing w:after="0" w:line="212" w:lineRule="exact"/>
        <w:rPr>
          <w:sz w:val="20"/>
          <w:szCs w:val="20"/>
          <w:color w:val="auto"/>
        </w:rPr>
      </w:pPr>
    </w:p>
    <w:p>
      <w:pPr>
        <w:ind w:right="380" w:firstLine="324"/>
        <w:spacing w:after="0" w:line="274" w:lineRule="auto"/>
        <w:rPr>
          <w:sz w:val="20"/>
          <w:szCs w:val="20"/>
          <w:color w:val="auto"/>
        </w:rPr>
      </w:pPr>
      <w:r>
        <w:rPr>
          <w:rFonts w:ascii="Arial" w:cs="Arial" w:eastAsia="Arial" w:hAnsi="Arial"/>
          <w:sz w:val="21"/>
          <w:szCs w:val="21"/>
          <w:color w:val="auto"/>
        </w:rPr>
        <w:t>Cash flows from operations for the third quarter of fiscal 2013 were $624 million, while investments in capital expenditures were $235 million. The company ended the third fiscal quarter with cash and investments of $2.9 billion.</w:t>
      </w:r>
    </w:p>
    <w:p>
      <w:pPr>
        <w:spacing w:after="0" w:line="178" w:lineRule="exact"/>
        <w:rPr>
          <w:sz w:val="20"/>
          <w:szCs w:val="20"/>
          <w:color w:val="auto"/>
        </w:rPr>
      </w:pPr>
    </w:p>
    <w:p>
      <w:pPr>
        <w:jc w:val="both"/>
        <w:ind w:right="420" w:firstLine="324"/>
        <w:spacing w:after="0" w:line="238" w:lineRule="auto"/>
        <w:rPr>
          <w:sz w:val="20"/>
          <w:szCs w:val="20"/>
          <w:color w:val="auto"/>
        </w:rPr>
      </w:pPr>
      <w:r>
        <w:rPr>
          <w:rFonts w:ascii="Arial" w:cs="Arial" w:eastAsia="Arial" w:hAnsi="Arial"/>
          <w:sz w:val="22"/>
          <w:szCs w:val="22"/>
          <w:color w:val="auto"/>
        </w:rPr>
        <w:t>“As the memory market shows improvement in both DRAM and NAND fundamentals, we continue to focus our efforts on advancing our operational efficiency,” said Micron CEO Mark Durcan. “We have also made progress in securing the necessary approvals related to the Elpida acquisition and are optimistic we will be able to close the transaction in our fiscal fourth quarter ending August 29, 2013.”</w:t>
      </w:r>
    </w:p>
    <w:p>
      <w:pPr>
        <w:spacing w:after="0" w:line="212" w:lineRule="exact"/>
        <w:rPr>
          <w:sz w:val="20"/>
          <w:szCs w:val="20"/>
          <w:color w:val="auto"/>
        </w:rPr>
      </w:pPr>
    </w:p>
    <w:p>
      <w:pPr>
        <w:ind w:right="160" w:firstLine="324"/>
        <w:spacing w:after="0" w:line="236" w:lineRule="auto"/>
        <w:rPr>
          <w:sz w:val="20"/>
          <w:szCs w:val="20"/>
          <w:color w:val="auto"/>
        </w:rPr>
      </w:pPr>
      <w:r>
        <w:rPr>
          <w:rFonts w:ascii="Arial" w:cs="Arial" w:eastAsia="Arial" w:hAnsi="Arial"/>
          <w:sz w:val="22"/>
          <w:szCs w:val="22"/>
          <w:color w:val="auto"/>
        </w:rPr>
        <w:t xml:space="preserve">The company will host a conference call Wednesday, June 19 at 2:30 p.m. MDT to discuss its financial results. The call, audio and slides will be available online at </w:t>
      </w:r>
      <w:r>
        <w:rPr>
          <w:rFonts w:ascii="Arial" w:cs="Arial" w:eastAsia="Arial" w:hAnsi="Arial"/>
          <w:sz w:val="22"/>
          <w:szCs w:val="22"/>
          <w:u w:val="single" w:color="auto"/>
          <w:color w:val="auto"/>
        </w:rPr>
        <w:t>http://investors.micron.com/events.cfm</w:t>
      </w:r>
      <w:r>
        <w:rPr>
          <w:rFonts w:ascii="Arial" w:cs="Arial" w:eastAsia="Arial" w:hAnsi="Arial"/>
          <w:sz w:val="22"/>
          <w:szCs w:val="22"/>
          <w:color w:val="auto"/>
        </w:rPr>
        <w:t>. A webcast replay will be available on the company’s website until June 25, 2014. A taped audio replay of the conference call will also be available at 1-404-537-3406 or 1-855-859-2056 (conference number: 91862727) beginning at 5:30 p.m. MDT, Wednesday, June 19, 2013 and continuing until 5:30 p.m. MDT, Wednesday, June 26,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405130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5" w:name="page6"/>
    <w:bookmarkEnd w:id="5"/>
    <w:p>
      <w:pPr>
        <w:ind w:right="80" w:firstLine="324"/>
        <w:spacing w:after="0" w:line="236" w:lineRule="auto"/>
        <w:rPr>
          <w:sz w:val="20"/>
          <w:szCs w:val="20"/>
          <w:color w:val="auto"/>
        </w:rPr>
      </w:pPr>
      <w:r>
        <w:rPr>
          <w:rFonts w:ascii="Arial" w:cs="Arial" w:eastAsia="Arial" w:hAnsi="Arial"/>
          <w:sz w:val="22"/>
          <w:szCs w:val="22"/>
          <w:color w:val="auto"/>
        </w:rPr>
        <w:t xml:space="preserve">Micron Technology, Inc., is one of the world’s leading providers of advanced semiconductor solutions. Through its worldwide operations, Micron manufactures and markets a full range of DRAM, NAND Flash and NOR Flash memory, as well as other innovative memory technologies, packaging solutions and semiconductor systems for use in leading-edge computing, consumer, networking, embedded and mobile products. Micron’s common stock is traded on the NASDAQ under the MU symbol. To learn more about Micron Technology, Inc., visit </w:t>
      </w:r>
      <w:r>
        <w:rPr>
          <w:rFonts w:ascii="Arial" w:cs="Arial" w:eastAsia="Arial" w:hAnsi="Arial"/>
          <w:sz w:val="22"/>
          <w:szCs w:val="22"/>
          <w:u w:val="single" w:color="auto"/>
          <w:color w:val="auto"/>
        </w:rPr>
        <w:t>www.micron.com</w:t>
      </w:r>
      <w:r>
        <w:rPr>
          <w:rFonts w:ascii="Arial" w:cs="Arial" w:eastAsia="Arial" w:hAnsi="Arial"/>
          <w:sz w:val="22"/>
          <w:szCs w:val="22"/>
          <w:color w:val="auto"/>
        </w:rPr>
        <w:t>.</w:t>
      </w:r>
    </w:p>
    <w:p>
      <w:pPr>
        <w:spacing w:after="0" w:line="215" w:lineRule="exact"/>
        <w:rPr>
          <w:sz w:val="20"/>
          <w:szCs w:val="20"/>
          <w:color w:val="auto"/>
        </w:rPr>
      </w:pPr>
    </w:p>
    <w:p>
      <w:pPr>
        <w:ind w:firstLine="324"/>
        <w:spacing w:after="0" w:line="246" w:lineRule="auto"/>
        <w:rPr>
          <w:sz w:val="20"/>
          <w:szCs w:val="20"/>
          <w:color w:val="auto"/>
        </w:rPr>
      </w:pPr>
      <w:r>
        <w:rPr>
          <w:rFonts w:ascii="Arial" w:cs="Arial" w:eastAsia="Arial" w:hAnsi="Arial"/>
          <w:sz w:val="21"/>
          <w:szCs w:val="21"/>
          <w:i w:val="1"/>
          <w:iCs w:val="1"/>
          <w:color w:val="auto"/>
        </w:rPr>
        <w:t>This press release contains forward-looking statements regarding future events that involve risks and uncertainties. For example, statements related to our expectations regarding the timing of the closing of the Elpida transaction are forward-looking statements. Various factors, including the possibility that the conditions to closing are not met, could cause actual events or results to differ materially from those anticipated by the forward-looking statements. Please refer to the Risk Factors section of our most recently filed Form 10-K and Form 10-Q for information on important factors that could cause the actual results for Micron on a consolidated basis to differ materially from those contained in our forward-looking statements. Although we believe that the expectations reflected in the forward-looking statements are reasonable, we cannot guarantee future results, levels of activity, performance or achievements.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400685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510" w:right="339" w:bottom="1440" w:gutter="0" w:footer="0" w:header="0"/>
        </w:sectPr>
      </w:pPr>
    </w:p>
    <w:bookmarkStart w:id="6" w:name="page7"/>
    <w:bookmarkEnd w:id="6"/>
    <w:p>
      <w:pPr>
        <w:jc w:val="center"/>
        <w:ind w:right="240"/>
        <w:spacing w:after="0"/>
        <w:rPr>
          <w:sz w:val="20"/>
          <w:szCs w:val="20"/>
          <w:color w:val="auto"/>
        </w:rPr>
      </w:pPr>
      <w:r>
        <w:rPr>
          <w:rFonts w:ascii="Arial" w:cs="Arial" w:eastAsia="Arial" w:hAnsi="Arial"/>
          <w:sz w:val="22"/>
          <w:szCs w:val="22"/>
          <w:b w:val="1"/>
          <w:bCs w:val="1"/>
          <w:color w:val="auto"/>
        </w:rPr>
        <w:t>MICRON TECHNOLOGY, INC.</w:t>
      </w:r>
    </w:p>
    <w:p>
      <w:pPr>
        <w:spacing w:after="0" w:line="4" w:lineRule="exact"/>
        <w:rPr>
          <w:sz w:val="20"/>
          <w:szCs w:val="20"/>
          <w:color w:val="auto"/>
        </w:rPr>
      </w:pPr>
    </w:p>
    <w:p>
      <w:pPr>
        <w:jc w:val="center"/>
        <w:ind w:right="240"/>
        <w:spacing w:after="0"/>
        <w:rPr>
          <w:sz w:val="20"/>
          <w:szCs w:val="20"/>
          <w:color w:val="auto"/>
        </w:rPr>
      </w:pPr>
      <w:r>
        <w:rPr>
          <w:rFonts w:ascii="Arial" w:cs="Arial" w:eastAsia="Arial" w:hAnsi="Arial"/>
          <w:sz w:val="22"/>
          <w:szCs w:val="22"/>
          <w:b w:val="1"/>
          <w:bCs w:val="1"/>
          <w:color w:val="auto"/>
        </w:rPr>
        <w:t>CONSOLIDATED FINANCIAL SUMMARY</w:t>
      </w:r>
    </w:p>
    <w:tbl>
      <w:tblPr>
        <w:tblLayout w:type="fixed"/>
        <w:tblInd w:w="0" w:type="dxa"/>
        <w:tblCellMar>
          <w:top w:w="0" w:type="dxa"/>
          <w:left w:w="0" w:type="dxa"/>
          <w:bottom w:w="0" w:type="dxa"/>
          <w:right w:w="0" w:type="dxa"/>
        </w:tblCellMar>
      </w:tblPr>
      <w:tr>
        <w:trPr>
          <w:trHeight w:val="281"/>
        </w:trPr>
        <w:tc>
          <w:tcPr>
            <w:tcW w:w="20" w:type="dxa"/>
            <w:vAlign w:val="bottom"/>
          </w:tcPr>
          <w:p>
            <w:pPr>
              <w:spacing w:after="0"/>
              <w:rPr>
                <w:sz w:val="24"/>
                <w:szCs w:val="24"/>
                <w:color w:val="auto"/>
              </w:rPr>
            </w:pPr>
          </w:p>
        </w:tc>
        <w:tc>
          <w:tcPr>
            <w:tcW w:w="7620" w:type="dxa"/>
            <w:vAlign w:val="bottom"/>
            <w:gridSpan w:val="11"/>
          </w:tcPr>
          <w:p>
            <w:pPr>
              <w:jc w:val="right"/>
              <w:ind w:right="140"/>
              <w:spacing w:after="0"/>
              <w:rPr>
                <w:sz w:val="20"/>
                <w:szCs w:val="20"/>
                <w:color w:val="auto"/>
              </w:rPr>
            </w:pPr>
            <w:r>
              <w:rPr>
                <w:rFonts w:ascii="Arial" w:cs="Arial" w:eastAsia="Arial" w:hAnsi="Arial"/>
                <w:sz w:val="22"/>
                <w:szCs w:val="22"/>
                <w:b w:val="1"/>
                <w:bCs w:val="1"/>
                <w:color w:val="auto"/>
              </w:rPr>
              <w:t>(in millions except per share amounts)</w:t>
            </w: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22"/>
                <w:szCs w:val="22"/>
                <w:b w:val="1"/>
                <w:bCs w:val="1"/>
                <w:color w:val="auto"/>
                <w:w w:val="95"/>
              </w:rPr>
              <w:t>3rd Qtr.</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22"/>
                <w:szCs w:val="22"/>
                <w:b w:val="1"/>
                <w:bCs w:val="1"/>
                <w:color w:val="auto"/>
                <w:w w:val="90"/>
              </w:rPr>
              <w:t>2nd Qtr.</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22"/>
                <w:szCs w:val="22"/>
                <w:b w:val="1"/>
                <w:bCs w:val="1"/>
                <w:color w:val="auto"/>
                <w:w w:val="95"/>
              </w:rPr>
              <w:t>3rd Qtr.</w:t>
            </w:r>
          </w:p>
        </w:tc>
        <w:tc>
          <w:tcPr>
            <w:tcW w:w="160" w:type="dxa"/>
            <w:vAlign w:val="bottom"/>
          </w:tcPr>
          <w:p>
            <w:pPr>
              <w:spacing w:after="0"/>
              <w:rPr>
                <w:sz w:val="24"/>
                <w:szCs w:val="24"/>
                <w:color w:val="auto"/>
              </w:rPr>
            </w:pPr>
          </w:p>
        </w:tc>
        <w:tc>
          <w:tcPr>
            <w:tcW w:w="2440" w:type="dxa"/>
            <w:vAlign w:val="bottom"/>
            <w:gridSpan w:val="6"/>
          </w:tcPr>
          <w:p>
            <w:pPr>
              <w:jc w:val="right"/>
              <w:ind w:right="420"/>
              <w:spacing w:after="0"/>
              <w:rPr>
                <w:sz w:val="20"/>
                <w:szCs w:val="20"/>
                <w:color w:val="auto"/>
              </w:rPr>
            </w:pPr>
            <w:r>
              <w:rPr>
                <w:rFonts w:ascii="Arial" w:cs="Arial" w:eastAsia="Arial" w:hAnsi="Arial"/>
                <w:sz w:val="22"/>
                <w:szCs w:val="22"/>
                <w:b w:val="1"/>
                <w:bCs w:val="1"/>
                <w:color w:val="auto"/>
                <w:w w:val="97"/>
              </w:rPr>
              <w:t>Nine Months Ended</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gridSpan w:val="2"/>
          </w:tcPr>
          <w:p>
            <w:pPr>
              <w:jc w:val="center"/>
              <w:ind w:right="280"/>
              <w:spacing w:after="0" w:line="243" w:lineRule="exact"/>
              <w:rPr>
                <w:sz w:val="20"/>
                <w:szCs w:val="20"/>
                <w:color w:val="auto"/>
              </w:rPr>
            </w:pPr>
            <w:r>
              <w:rPr>
                <w:rFonts w:ascii="Arial" w:cs="Arial" w:eastAsia="Arial" w:hAnsi="Arial"/>
                <w:sz w:val="22"/>
                <w:szCs w:val="22"/>
                <w:b w:val="1"/>
                <w:bCs w:val="1"/>
                <w:color w:val="auto"/>
                <w:w w:val="93"/>
              </w:rPr>
              <w:t>May 30,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center"/>
              <w:ind w:right="260"/>
              <w:spacing w:after="0" w:line="243" w:lineRule="exact"/>
              <w:rPr>
                <w:sz w:val="20"/>
                <w:szCs w:val="20"/>
                <w:color w:val="auto"/>
              </w:rPr>
            </w:pPr>
            <w:r>
              <w:rPr>
                <w:rFonts w:ascii="Arial" w:cs="Arial" w:eastAsia="Arial" w:hAnsi="Arial"/>
                <w:sz w:val="22"/>
                <w:szCs w:val="22"/>
                <w:b w:val="1"/>
                <w:bCs w:val="1"/>
                <w:color w:val="auto"/>
                <w:w w:val="87"/>
              </w:rPr>
              <w:t>Feb. 28,</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center"/>
              <w:ind w:right="340"/>
              <w:spacing w:after="0" w:line="243" w:lineRule="exact"/>
              <w:rPr>
                <w:sz w:val="20"/>
                <w:szCs w:val="20"/>
                <w:color w:val="auto"/>
              </w:rPr>
            </w:pPr>
            <w:r>
              <w:rPr>
                <w:rFonts w:ascii="Arial" w:cs="Arial" w:eastAsia="Arial" w:hAnsi="Arial"/>
                <w:sz w:val="22"/>
                <w:szCs w:val="22"/>
                <w:b w:val="1"/>
                <w:bCs w:val="1"/>
                <w:color w:val="auto"/>
                <w:w w:val="95"/>
              </w:rPr>
              <w:t>May 31,</w:t>
            </w:r>
          </w:p>
        </w:tc>
        <w:tc>
          <w:tcPr>
            <w:tcW w:w="160" w:type="dxa"/>
            <w:vAlign w:val="bottom"/>
          </w:tcPr>
          <w:p>
            <w:pPr>
              <w:spacing w:after="0"/>
              <w:rPr>
                <w:sz w:val="21"/>
                <w:szCs w:val="21"/>
                <w:color w:val="auto"/>
              </w:rPr>
            </w:pPr>
          </w:p>
        </w:tc>
        <w:tc>
          <w:tcPr>
            <w:tcW w:w="1120" w:type="dxa"/>
            <w:vAlign w:val="bottom"/>
            <w:gridSpan w:val="2"/>
          </w:tcPr>
          <w:p>
            <w:pPr>
              <w:jc w:val="center"/>
              <w:ind w:right="260"/>
              <w:spacing w:after="0" w:line="243" w:lineRule="exact"/>
              <w:rPr>
                <w:sz w:val="20"/>
                <w:szCs w:val="20"/>
                <w:color w:val="auto"/>
              </w:rPr>
            </w:pPr>
            <w:r>
              <w:rPr>
                <w:rFonts w:ascii="Arial" w:cs="Arial" w:eastAsia="Arial" w:hAnsi="Arial"/>
                <w:sz w:val="22"/>
                <w:szCs w:val="22"/>
                <w:b w:val="1"/>
                <w:bCs w:val="1"/>
                <w:color w:val="auto"/>
                <w:w w:val="93"/>
              </w:rPr>
              <w:t>May 30,</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80"/>
              <w:spacing w:after="0" w:line="243" w:lineRule="exact"/>
              <w:rPr>
                <w:sz w:val="20"/>
                <w:szCs w:val="20"/>
                <w:color w:val="auto"/>
              </w:rPr>
            </w:pPr>
            <w:r>
              <w:rPr>
                <w:rFonts w:ascii="Arial" w:cs="Arial" w:eastAsia="Arial" w:hAnsi="Arial"/>
                <w:sz w:val="22"/>
                <w:szCs w:val="22"/>
                <w:b w:val="1"/>
                <w:bCs w:val="1"/>
                <w:color w:val="auto"/>
                <w:w w:val="98"/>
              </w:rPr>
              <w:t>May 31,</w:t>
            </w: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center"/>
              <w:ind w:right="32"/>
              <w:spacing w:after="0"/>
              <w:rPr>
                <w:sz w:val="20"/>
                <w:szCs w:val="20"/>
                <w:color w:val="auto"/>
              </w:rPr>
            </w:pPr>
            <w:r>
              <w:rPr>
                <w:rFonts w:ascii="Arial" w:cs="Arial" w:eastAsia="Arial" w:hAnsi="Arial"/>
                <w:sz w:val="22"/>
                <w:szCs w:val="22"/>
                <w:b w:val="1"/>
                <w:bCs w:val="1"/>
                <w:color w:val="auto"/>
                <w:w w:val="89"/>
              </w:rPr>
              <w:t>2013</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center"/>
              <w:ind w:right="12"/>
              <w:spacing w:after="0"/>
              <w:rPr>
                <w:sz w:val="20"/>
                <w:szCs w:val="20"/>
                <w:color w:val="auto"/>
              </w:rPr>
            </w:pPr>
            <w:r>
              <w:rPr>
                <w:rFonts w:ascii="Arial" w:cs="Arial" w:eastAsia="Arial" w:hAnsi="Arial"/>
                <w:sz w:val="22"/>
                <w:szCs w:val="22"/>
                <w:b w:val="1"/>
                <w:bCs w:val="1"/>
                <w:color w:val="auto"/>
                <w:w w:val="89"/>
              </w:rPr>
              <w:t>2013</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center"/>
              <w:ind w:right="72"/>
              <w:spacing w:after="0"/>
              <w:rPr>
                <w:sz w:val="20"/>
                <w:szCs w:val="20"/>
                <w:color w:val="auto"/>
              </w:rPr>
            </w:pPr>
            <w:r>
              <w:rPr>
                <w:rFonts w:ascii="Arial" w:cs="Arial" w:eastAsia="Arial" w:hAnsi="Arial"/>
                <w:sz w:val="22"/>
                <w:szCs w:val="22"/>
                <w:b w:val="1"/>
                <w:bCs w:val="1"/>
                <w:color w:val="auto"/>
                <w:w w:val="89"/>
              </w:rPr>
              <w:t>2012</w:t>
            </w:r>
          </w:p>
        </w:tc>
        <w:tc>
          <w:tcPr>
            <w:tcW w:w="2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232"/>
              <w:spacing w:after="0"/>
              <w:rPr>
                <w:sz w:val="20"/>
                <w:szCs w:val="20"/>
                <w:color w:val="auto"/>
              </w:rPr>
            </w:pPr>
            <w:r>
              <w:rPr>
                <w:rFonts w:ascii="Arial" w:cs="Arial" w:eastAsia="Arial" w:hAnsi="Arial"/>
                <w:sz w:val="22"/>
                <w:szCs w:val="22"/>
                <w:b w:val="1"/>
                <w:bCs w:val="1"/>
                <w:color w:val="auto"/>
              </w:rPr>
              <w:t>2013</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232"/>
              <w:spacing w:after="0"/>
              <w:rPr>
                <w:sz w:val="20"/>
                <w:szCs w:val="20"/>
                <w:color w:val="auto"/>
              </w:rPr>
            </w:pPr>
            <w:r>
              <w:rPr>
                <w:rFonts w:ascii="Arial" w:cs="Arial" w:eastAsia="Arial" w:hAnsi="Arial"/>
                <w:sz w:val="22"/>
                <w:szCs w:val="22"/>
                <w:b w:val="1"/>
                <w:bCs w:val="1"/>
                <w:color w:val="auto"/>
              </w:rPr>
              <w:t>2012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4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Net sales</w:t>
            </w:r>
          </w:p>
        </w:tc>
        <w:tc>
          <w:tcPr>
            <w:tcW w:w="420" w:type="dxa"/>
            <w:vAlign w:val="bottom"/>
            <w:gridSpan w:val="2"/>
            <w:shd w:val="clear" w:color="auto" w:fill="CCEEFF"/>
          </w:tcPr>
          <w:p>
            <w:pPr>
              <w:jc w:val="right"/>
              <w:spacing w:after="0" w:line="243" w:lineRule="exact"/>
              <w:rPr>
                <w:sz w:val="20"/>
                <w:szCs w:val="20"/>
                <w:color w:val="auto"/>
              </w:rPr>
            </w:pPr>
            <w:r>
              <w:rPr>
                <w:rFonts w:ascii="Arial" w:cs="Arial" w:eastAsia="Arial" w:hAnsi="Arial"/>
                <w:sz w:val="22"/>
                <w:szCs w:val="22"/>
                <w:color w:val="auto"/>
              </w:rPr>
              <w:t>$</w:t>
            </w:r>
          </w:p>
        </w:tc>
        <w:tc>
          <w:tcPr>
            <w:tcW w:w="1140" w:type="dxa"/>
            <w:vAlign w:val="bottom"/>
            <w:gridSpan w:val="2"/>
            <w:shd w:val="clear" w:color="auto" w:fill="CCEEFF"/>
          </w:tcPr>
          <w:p>
            <w:pPr>
              <w:jc w:val="right"/>
              <w:ind w:right="160"/>
              <w:spacing w:after="0" w:line="243" w:lineRule="exact"/>
              <w:rPr>
                <w:sz w:val="20"/>
                <w:szCs w:val="20"/>
                <w:color w:val="auto"/>
              </w:rPr>
            </w:pPr>
            <w:r>
              <w:rPr>
                <w:rFonts w:ascii="Arial" w:cs="Arial" w:eastAsia="Arial" w:hAnsi="Arial"/>
                <w:sz w:val="22"/>
                <w:szCs w:val="22"/>
                <w:color w:val="auto"/>
              </w:rPr>
              <w:t>2,318</w:t>
            </w:r>
          </w:p>
        </w:tc>
        <w:tc>
          <w:tcPr>
            <w:tcW w:w="240" w:type="dxa"/>
            <w:vAlign w:val="bottom"/>
            <w:gridSpan w:val="2"/>
            <w:shd w:val="clear" w:color="auto" w:fill="CCEEFF"/>
          </w:tcPr>
          <w:p>
            <w:pPr>
              <w:jc w:val="right"/>
              <w:ind w:right="40"/>
              <w:spacing w:after="0" w:line="243" w:lineRule="exact"/>
              <w:rPr>
                <w:sz w:val="20"/>
                <w:szCs w:val="20"/>
                <w:color w:val="auto"/>
              </w:rPr>
            </w:pPr>
            <w:r>
              <w:rPr>
                <w:rFonts w:ascii="Arial" w:cs="Arial" w:eastAsia="Arial" w:hAnsi="Arial"/>
                <w:sz w:val="22"/>
                <w:szCs w:val="22"/>
                <w:color w:val="auto"/>
              </w:rPr>
              <w:t>$</w:t>
            </w:r>
          </w:p>
        </w:tc>
        <w:tc>
          <w:tcPr>
            <w:tcW w:w="114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2,078</w:t>
            </w:r>
          </w:p>
        </w:tc>
        <w:tc>
          <w:tcPr>
            <w:tcW w:w="240" w:type="dxa"/>
            <w:vAlign w:val="bottom"/>
            <w:gridSpan w:val="2"/>
            <w:shd w:val="clear" w:color="auto" w:fill="CCEEFF"/>
          </w:tcPr>
          <w:p>
            <w:pPr>
              <w:jc w:val="right"/>
              <w:ind w:right="60"/>
              <w:spacing w:after="0" w:line="243" w:lineRule="exact"/>
              <w:rPr>
                <w:sz w:val="20"/>
                <w:szCs w:val="20"/>
                <w:color w:val="auto"/>
              </w:rPr>
            </w:pPr>
            <w:r>
              <w:rPr>
                <w:rFonts w:ascii="Arial" w:cs="Arial" w:eastAsia="Arial" w:hAnsi="Arial"/>
                <w:sz w:val="22"/>
                <w:szCs w:val="22"/>
                <w:color w:val="auto"/>
              </w:rPr>
              <w:t>$</w:t>
            </w:r>
          </w:p>
        </w:tc>
        <w:tc>
          <w:tcPr>
            <w:tcW w:w="98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2,172</w:t>
            </w: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w w:val="81"/>
              </w:rPr>
              <w:t>$</w:t>
            </w:r>
          </w:p>
        </w:tc>
        <w:tc>
          <w:tcPr>
            <w:tcW w:w="112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6,230</w:t>
            </w:r>
          </w:p>
        </w:tc>
        <w:tc>
          <w:tcPr>
            <w:tcW w:w="240" w:type="dxa"/>
            <w:vAlign w:val="bottom"/>
            <w:gridSpan w:val="2"/>
            <w:shd w:val="clear" w:color="auto" w:fill="CCEEFF"/>
          </w:tcPr>
          <w:p>
            <w:pPr>
              <w:jc w:val="right"/>
              <w:ind w:right="60"/>
              <w:spacing w:after="0" w:line="243" w:lineRule="exact"/>
              <w:rPr>
                <w:sz w:val="20"/>
                <w:szCs w:val="20"/>
                <w:color w:val="auto"/>
              </w:rPr>
            </w:pPr>
            <w:r>
              <w:rPr>
                <w:rFonts w:ascii="Arial" w:cs="Arial" w:eastAsia="Arial" w:hAnsi="Arial"/>
                <w:sz w:val="22"/>
                <w:szCs w:val="22"/>
                <w:color w:val="auto"/>
              </w:rPr>
              <w:t>$</w:t>
            </w:r>
          </w:p>
        </w:tc>
        <w:tc>
          <w:tcPr>
            <w:tcW w:w="108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6,271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40" w:type="dxa"/>
            <w:vAlign w:val="bottom"/>
          </w:tcPr>
          <w:p>
            <w:pPr>
              <w:spacing w:after="0" w:line="243" w:lineRule="exact"/>
              <w:rPr>
                <w:sz w:val="20"/>
                <w:szCs w:val="20"/>
                <w:color w:val="auto"/>
              </w:rPr>
            </w:pPr>
            <w:r>
              <w:rPr>
                <w:rFonts w:ascii="Arial" w:cs="Arial" w:eastAsia="Arial" w:hAnsi="Arial"/>
                <w:sz w:val="22"/>
                <w:szCs w:val="22"/>
                <w:color w:val="auto"/>
              </w:rPr>
              <w:t>Cost of goods sold</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gridSpan w:val="2"/>
          </w:tcPr>
          <w:p>
            <w:pPr>
              <w:jc w:val="right"/>
              <w:ind w:right="160"/>
              <w:spacing w:after="0" w:line="243" w:lineRule="exact"/>
              <w:rPr>
                <w:sz w:val="20"/>
                <w:szCs w:val="20"/>
                <w:color w:val="auto"/>
              </w:rPr>
            </w:pPr>
            <w:r>
              <w:rPr>
                <w:rFonts w:ascii="Arial" w:cs="Arial" w:eastAsia="Arial" w:hAnsi="Arial"/>
                <w:sz w:val="22"/>
                <w:szCs w:val="22"/>
                <w:color w:val="auto"/>
              </w:rPr>
              <w:t>1,762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1,712</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line="243" w:lineRule="exact"/>
              <w:rPr>
                <w:sz w:val="20"/>
                <w:szCs w:val="20"/>
                <w:color w:val="auto"/>
              </w:rPr>
            </w:pPr>
            <w:r>
              <w:rPr>
                <w:rFonts w:ascii="Arial" w:cs="Arial" w:eastAsia="Arial" w:hAnsi="Arial"/>
                <w:sz w:val="22"/>
                <w:szCs w:val="22"/>
                <w:color w:val="auto"/>
              </w:rPr>
              <w:t>1,938</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5,091</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5,522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vMerge w:val="continue"/>
          </w:tcPr>
          <w:p>
            <w:pPr>
              <w:spacing w:after="0"/>
              <w:rPr>
                <w:sz w:val="21"/>
                <w:szCs w:val="21"/>
                <w:color w:val="auto"/>
              </w:rPr>
            </w:pPr>
          </w:p>
        </w:tc>
        <w:tc>
          <w:tcPr>
            <w:tcW w:w="444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Gross margin</w:t>
            </w:r>
          </w:p>
        </w:tc>
        <w:tc>
          <w:tcPr>
            <w:tcW w:w="2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60"/>
              <w:spacing w:after="0" w:line="243" w:lineRule="exact"/>
              <w:rPr>
                <w:sz w:val="20"/>
                <w:szCs w:val="20"/>
                <w:color w:val="auto"/>
              </w:rPr>
            </w:pPr>
            <w:r>
              <w:rPr>
                <w:rFonts w:ascii="Arial" w:cs="Arial" w:eastAsia="Arial" w:hAnsi="Arial"/>
                <w:sz w:val="22"/>
                <w:szCs w:val="22"/>
                <w:color w:val="auto"/>
              </w:rPr>
              <w:t>556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366</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234</w:t>
            </w: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1,139</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749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40" w:type="dxa"/>
            <w:vAlign w:val="bottom"/>
          </w:tcPr>
          <w:p>
            <w:pPr>
              <w:spacing w:after="0" w:line="243" w:lineRule="exact"/>
              <w:rPr>
                <w:sz w:val="20"/>
                <w:szCs w:val="20"/>
                <w:color w:val="auto"/>
              </w:rPr>
            </w:pPr>
            <w:r>
              <w:rPr>
                <w:rFonts w:ascii="Arial" w:cs="Arial" w:eastAsia="Arial" w:hAnsi="Arial"/>
                <w:sz w:val="22"/>
                <w:szCs w:val="22"/>
                <w:color w:val="auto"/>
              </w:rPr>
              <w:t>Selling, general and administrative</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gridSpan w:val="2"/>
          </w:tcPr>
          <w:p>
            <w:pPr>
              <w:jc w:val="right"/>
              <w:ind w:right="160"/>
              <w:spacing w:after="0" w:line="243" w:lineRule="exact"/>
              <w:rPr>
                <w:sz w:val="20"/>
                <w:szCs w:val="20"/>
                <w:color w:val="auto"/>
              </w:rPr>
            </w:pPr>
            <w:r>
              <w:rPr>
                <w:rFonts w:ascii="Arial" w:cs="Arial" w:eastAsia="Arial" w:hAnsi="Arial"/>
                <w:sz w:val="22"/>
                <w:szCs w:val="22"/>
                <w:color w:val="auto"/>
              </w:rPr>
              <w:t>127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123</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line="243" w:lineRule="exact"/>
              <w:rPr>
                <w:sz w:val="20"/>
                <w:szCs w:val="20"/>
                <w:color w:val="auto"/>
              </w:rPr>
            </w:pPr>
            <w:r>
              <w:rPr>
                <w:rFonts w:ascii="Arial" w:cs="Arial" w:eastAsia="Arial" w:hAnsi="Arial"/>
                <w:sz w:val="22"/>
                <w:szCs w:val="22"/>
                <w:color w:val="auto"/>
              </w:rPr>
              <w:t>156</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369</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481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4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Research and development</w:t>
            </w:r>
          </w:p>
        </w:tc>
        <w:tc>
          <w:tcPr>
            <w:tcW w:w="2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60"/>
              <w:spacing w:after="0" w:line="243" w:lineRule="exact"/>
              <w:rPr>
                <w:sz w:val="20"/>
                <w:szCs w:val="20"/>
                <w:color w:val="auto"/>
              </w:rPr>
            </w:pPr>
            <w:r>
              <w:rPr>
                <w:rFonts w:ascii="Arial" w:cs="Arial" w:eastAsia="Arial" w:hAnsi="Arial"/>
                <w:sz w:val="22"/>
                <w:szCs w:val="22"/>
                <w:color w:val="auto"/>
              </w:rPr>
              <w:t>226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214</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231</w:t>
            </w: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664</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683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40" w:type="dxa"/>
            <w:vAlign w:val="bottom"/>
          </w:tcPr>
          <w:p>
            <w:pPr>
              <w:spacing w:after="0" w:line="243" w:lineRule="exact"/>
              <w:rPr>
                <w:sz w:val="20"/>
                <w:szCs w:val="20"/>
                <w:color w:val="auto"/>
              </w:rPr>
            </w:pPr>
            <w:r>
              <w:rPr>
                <w:rFonts w:ascii="Arial" w:cs="Arial" w:eastAsia="Arial" w:hAnsi="Arial"/>
                <w:sz w:val="22"/>
                <w:szCs w:val="22"/>
                <w:color w:val="auto"/>
              </w:rPr>
              <w:t>Restructure and asset impairments (1)</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gridSpan w:val="2"/>
          </w:tcPr>
          <w:p>
            <w:pPr>
              <w:jc w:val="right"/>
              <w:ind w:right="160"/>
              <w:spacing w:after="0" w:line="243" w:lineRule="exact"/>
              <w:rPr>
                <w:sz w:val="20"/>
                <w:szCs w:val="20"/>
                <w:color w:val="auto"/>
              </w:rPr>
            </w:pPr>
            <w:r>
              <w:rPr>
                <w:rFonts w:ascii="Arial" w:cs="Arial" w:eastAsia="Arial" w:hAnsi="Arial"/>
                <w:sz w:val="22"/>
                <w:szCs w:val="22"/>
                <w:color w:val="auto"/>
              </w:rPr>
              <w:t>55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60</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line="243" w:lineRule="exact"/>
              <w:rPr>
                <w:sz w:val="20"/>
                <w:szCs w:val="20"/>
                <w:color w:val="auto"/>
              </w:rPr>
            </w:pPr>
            <w:r>
              <w:rPr>
                <w:rFonts w:ascii="Arial" w:cs="Arial" w:eastAsia="Arial" w:hAnsi="Arial"/>
                <w:sz w:val="22"/>
                <w:szCs w:val="22"/>
                <w:color w:val="auto"/>
              </w:rPr>
              <w:t>5</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94</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11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4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Other operating (income) expense, net (2)</w:t>
            </w:r>
          </w:p>
        </w:tc>
        <w:tc>
          <w:tcPr>
            <w:tcW w:w="2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80"/>
              <w:spacing w:after="0" w:line="243" w:lineRule="exact"/>
              <w:rPr>
                <w:sz w:val="20"/>
                <w:szCs w:val="20"/>
                <w:color w:val="auto"/>
              </w:rPr>
            </w:pPr>
            <w:r>
              <w:rPr>
                <w:rFonts w:ascii="Arial" w:cs="Arial" w:eastAsia="Arial" w:hAnsi="Arial"/>
                <w:sz w:val="22"/>
                <w:szCs w:val="22"/>
                <w:color w:val="auto"/>
              </w:rPr>
              <w:t>(1)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60"/>
              <w:spacing w:after="0" w:line="243" w:lineRule="exact"/>
              <w:rPr>
                <w:sz w:val="20"/>
                <w:szCs w:val="20"/>
                <w:color w:val="auto"/>
              </w:rPr>
            </w:pPr>
            <w:r>
              <w:rPr>
                <w:rFonts w:ascii="Arial" w:cs="Arial" w:eastAsia="Arial" w:hAnsi="Arial"/>
                <w:sz w:val="22"/>
                <w:szCs w:val="22"/>
                <w:color w:val="auto"/>
              </w:rPr>
              <w:t>(8)</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30</w:t>
            </w: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60"/>
              <w:spacing w:after="0" w:line="243" w:lineRule="exact"/>
              <w:rPr>
                <w:sz w:val="20"/>
                <w:szCs w:val="20"/>
                <w:color w:val="auto"/>
              </w:rPr>
            </w:pPr>
            <w:r>
              <w:rPr>
                <w:rFonts w:ascii="Arial" w:cs="Arial" w:eastAsia="Arial" w:hAnsi="Arial"/>
                <w:sz w:val="22"/>
                <w:szCs w:val="22"/>
                <w:color w:val="auto"/>
              </w:rPr>
              <w:t>(17)</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37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vMerge w:val="continue"/>
          </w:tcPr>
          <w:p>
            <w:pPr>
              <w:spacing w:after="0"/>
              <w:rPr>
                <w:sz w:val="21"/>
                <w:szCs w:val="21"/>
                <w:color w:val="auto"/>
              </w:rPr>
            </w:pPr>
          </w:p>
        </w:tc>
        <w:tc>
          <w:tcPr>
            <w:tcW w:w="4440" w:type="dxa"/>
            <w:vAlign w:val="bottom"/>
          </w:tcPr>
          <w:p>
            <w:pPr>
              <w:spacing w:after="0" w:line="243" w:lineRule="exact"/>
              <w:rPr>
                <w:sz w:val="20"/>
                <w:szCs w:val="20"/>
                <w:color w:val="auto"/>
              </w:rPr>
            </w:pPr>
            <w:r>
              <w:rPr>
                <w:rFonts w:ascii="Arial" w:cs="Arial" w:eastAsia="Arial" w:hAnsi="Arial"/>
                <w:sz w:val="22"/>
                <w:szCs w:val="22"/>
                <w:color w:val="auto"/>
              </w:rPr>
              <w:t>Operating income (loss)</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gridSpan w:val="2"/>
          </w:tcPr>
          <w:p>
            <w:pPr>
              <w:jc w:val="right"/>
              <w:ind w:right="160"/>
              <w:spacing w:after="0" w:line="243" w:lineRule="exact"/>
              <w:rPr>
                <w:sz w:val="20"/>
                <w:szCs w:val="20"/>
                <w:color w:val="auto"/>
              </w:rPr>
            </w:pPr>
            <w:r>
              <w:rPr>
                <w:rFonts w:ascii="Arial" w:cs="Arial" w:eastAsia="Arial" w:hAnsi="Arial"/>
                <w:sz w:val="22"/>
                <w:szCs w:val="22"/>
                <w:color w:val="auto"/>
              </w:rPr>
              <w:t>149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right"/>
              <w:ind w:right="60"/>
              <w:spacing w:after="0" w:line="243" w:lineRule="exact"/>
              <w:rPr>
                <w:sz w:val="20"/>
                <w:szCs w:val="20"/>
                <w:color w:val="auto"/>
              </w:rPr>
            </w:pPr>
            <w:r>
              <w:rPr>
                <w:rFonts w:ascii="Arial" w:cs="Arial" w:eastAsia="Arial" w:hAnsi="Arial"/>
                <w:sz w:val="22"/>
                <w:szCs w:val="22"/>
                <w:color w:val="auto"/>
              </w:rPr>
              <w:t>(23)</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(188)</w:t>
            </w:r>
          </w:p>
        </w:tc>
        <w:tc>
          <w:tcPr>
            <w:tcW w:w="160" w:type="dxa"/>
            <w:vAlign w:val="bottom"/>
          </w:tcPr>
          <w:p>
            <w:pPr>
              <w:spacing w:after="0"/>
              <w:rPr>
                <w:sz w:val="21"/>
                <w:szCs w:val="21"/>
                <w:color w:val="auto"/>
              </w:rPr>
            </w:pPr>
          </w:p>
        </w:tc>
        <w:tc>
          <w:tcPr>
            <w:tcW w:w="112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29</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40"/>
              <w:spacing w:after="0" w:line="243" w:lineRule="exact"/>
              <w:rPr>
                <w:sz w:val="20"/>
                <w:szCs w:val="20"/>
                <w:color w:val="auto"/>
              </w:rPr>
            </w:pPr>
            <w:r>
              <w:rPr>
                <w:rFonts w:ascii="Arial" w:cs="Arial" w:eastAsia="Arial" w:hAnsi="Arial"/>
                <w:sz w:val="22"/>
                <w:szCs w:val="22"/>
                <w:color w:val="auto"/>
              </w:rPr>
              <w:t>(463)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4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Interest income (expense), net</w:t>
            </w:r>
          </w:p>
        </w:tc>
        <w:tc>
          <w:tcPr>
            <w:tcW w:w="2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80"/>
              <w:spacing w:after="0" w:line="243" w:lineRule="exact"/>
              <w:rPr>
                <w:sz w:val="20"/>
                <w:szCs w:val="20"/>
                <w:color w:val="auto"/>
              </w:rPr>
            </w:pPr>
            <w:r>
              <w:rPr>
                <w:rFonts w:ascii="Arial" w:cs="Arial" w:eastAsia="Arial" w:hAnsi="Arial"/>
                <w:sz w:val="22"/>
                <w:szCs w:val="22"/>
                <w:color w:val="auto"/>
              </w:rPr>
              <w:t>(52)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60"/>
              <w:spacing w:after="0" w:line="243" w:lineRule="exact"/>
              <w:rPr>
                <w:sz w:val="20"/>
                <w:szCs w:val="20"/>
                <w:color w:val="auto"/>
              </w:rPr>
            </w:pPr>
            <w:r>
              <w:rPr>
                <w:rFonts w:ascii="Arial" w:cs="Arial" w:eastAsia="Arial" w:hAnsi="Arial"/>
                <w:sz w:val="22"/>
                <w:szCs w:val="22"/>
                <w:color w:val="auto"/>
              </w:rPr>
              <w:t>(53)</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(53)</w:t>
            </w:r>
          </w:p>
        </w:tc>
        <w:tc>
          <w:tcPr>
            <w:tcW w:w="16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60"/>
              <w:spacing w:after="0" w:line="243" w:lineRule="exact"/>
              <w:rPr>
                <w:sz w:val="20"/>
                <w:szCs w:val="20"/>
                <w:color w:val="auto"/>
              </w:rPr>
            </w:pPr>
            <w:r>
              <w:rPr>
                <w:rFonts w:ascii="Arial" w:cs="Arial" w:eastAsia="Arial" w:hAnsi="Arial"/>
                <w:sz w:val="22"/>
                <w:szCs w:val="22"/>
                <w:color w:val="auto"/>
              </w:rPr>
              <w:t>(159)</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40"/>
              <w:spacing w:after="0" w:line="243" w:lineRule="exact"/>
              <w:rPr>
                <w:sz w:val="20"/>
                <w:szCs w:val="20"/>
                <w:color w:val="auto"/>
              </w:rPr>
            </w:pPr>
            <w:r>
              <w:rPr>
                <w:rFonts w:ascii="Arial" w:cs="Arial" w:eastAsia="Arial" w:hAnsi="Arial"/>
                <w:sz w:val="22"/>
                <w:szCs w:val="22"/>
                <w:color w:val="auto"/>
              </w:rPr>
              <w:t>(119)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40" w:type="dxa"/>
            <w:vAlign w:val="bottom"/>
          </w:tcPr>
          <w:p>
            <w:pPr>
              <w:spacing w:after="0" w:line="243" w:lineRule="exact"/>
              <w:rPr>
                <w:sz w:val="20"/>
                <w:szCs w:val="20"/>
                <w:color w:val="auto"/>
              </w:rPr>
            </w:pPr>
            <w:r>
              <w:rPr>
                <w:rFonts w:ascii="Arial" w:cs="Arial" w:eastAsia="Arial" w:hAnsi="Arial"/>
                <w:sz w:val="22"/>
                <w:szCs w:val="22"/>
                <w:color w:val="auto"/>
                <w:w w:val="97"/>
              </w:rPr>
              <w:t>Other non-operating income (expense), net (3)</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gridSpan w:val="2"/>
          </w:tcPr>
          <w:p>
            <w:pPr>
              <w:jc w:val="right"/>
              <w:ind w:right="80"/>
              <w:spacing w:after="0" w:line="243" w:lineRule="exact"/>
              <w:rPr>
                <w:sz w:val="20"/>
                <w:szCs w:val="20"/>
                <w:color w:val="auto"/>
              </w:rPr>
            </w:pPr>
            <w:r>
              <w:rPr>
                <w:rFonts w:ascii="Arial" w:cs="Arial" w:eastAsia="Arial" w:hAnsi="Arial"/>
                <w:sz w:val="22"/>
                <w:szCs w:val="22"/>
                <w:color w:val="auto"/>
              </w:rPr>
              <w:t>(45)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right"/>
              <w:ind w:right="60"/>
              <w:spacing w:after="0" w:line="243" w:lineRule="exact"/>
              <w:rPr>
                <w:sz w:val="20"/>
                <w:szCs w:val="20"/>
                <w:color w:val="auto"/>
              </w:rPr>
            </w:pPr>
            <w:r>
              <w:rPr>
                <w:rFonts w:ascii="Arial" w:cs="Arial" w:eastAsia="Arial" w:hAnsi="Arial"/>
                <w:sz w:val="22"/>
                <w:szCs w:val="22"/>
                <w:color w:val="auto"/>
              </w:rPr>
              <w:t>(159)</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(2)</w:t>
            </w:r>
          </w:p>
        </w:tc>
        <w:tc>
          <w:tcPr>
            <w:tcW w:w="160" w:type="dxa"/>
            <w:vAlign w:val="bottom"/>
          </w:tcPr>
          <w:p>
            <w:pPr>
              <w:spacing w:after="0"/>
              <w:rPr>
                <w:sz w:val="21"/>
                <w:szCs w:val="21"/>
                <w:color w:val="auto"/>
              </w:rPr>
            </w:pPr>
          </w:p>
        </w:tc>
        <w:tc>
          <w:tcPr>
            <w:tcW w:w="1120" w:type="dxa"/>
            <w:vAlign w:val="bottom"/>
            <w:gridSpan w:val="2"/>
          </w:tcPr>
          <w:p>
            <w:pPr>
              <w:jc w:val="right"/>
              <w:ind w:right="60"/>
              <w:spacing w:after="0" w:line="243" w:lineRule="exact"/>
              <w:rPr>
                <w:sz w:val="20"/>
                <w:szCs w:val="20"/>
                <w:color w:val="auto"/>
              </w:rPr>
            </w:pPr>
            <w:r>
              <w:rPr>
                <w:rFonts w:ascii="Arial" w:cs="Arial" w:eastAsia="Arial" w:hAnsi="Arial"/>
                <w:sz w:val="22"/>
                <w:szCs w:val="22"/>
                <w:color w:val="auto"/>
              </w:rPr>
              <w:t>(263)</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24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4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Income tax (provision) benefit (4)</w:t>
            </w:r>
          </w:p>
        </w:tc>
        <w:tc>
          <w:tcPr>
            <w:tcW w:w="2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60"/>
              <w:spacing w:after="0" w:line="243" w:lineRule="exact"/>
              <w:rPr>
                <w:sz w:val="20"/>
                <w:szCs w:val="20"/>
                <w:color w:val="auto"/>
              </w:rPr>
            </w:pPr>
            <w:r>
              <w:rPr>
                <w:rFonts w:ascii="Arial" w:cs="Arial" w:eastAsia="Arial" w:hAnsi="Arial"/>
                <w:sz w:val="22"/>
                <w:szCs w:val="22"/>
                <w:color w:val="auto"/>
              </w:rPr>
              <w:t>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9</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38</w:t>
            </w: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60"/>
              <w:spacing w:after="0" w:line="243" w:lineRule="exact"/>
              <w:rPr>
                <w:sz w:val="20"/>
                <w:szCs w:val="20"/>
                <w:color w:val="auto"/>
              </w:rPr>
            </w:pPr>
            <w:r>
              <w:rPr>
                <w:rFonts w:ascii="Arial" w:cs="Arial" w:eastAsia="Arial" w:hAnsi="Arial"/>
                <w:sz w:val="22"/>
                <w:szCs w:val="22"/>
                <w:color w:val="auto"/>
              </w:rPr>
              <w:t>(3)</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31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40" w:type="dxa"/>
            <w:vAlign w:val="bottom"/>
          </w:tcPr>
          <w:p>
            <w:pPr>
              <w:spacing w:after="0" w:line="222" w:lineRule="exact"/>
              <w:rPr>
                <w:sz w:val="20"/>
                <w:szCs w:val="20"/>
                <w:color w:val="auto"/>
              </w:rPr>
            </w:pPr>
            <w:r>
              <w:rPr>
                <w:rFonts w:ascii="Arial" w:cs="Arial" w:eastAsia="Arial" w:hAnsi="Arial"/>
                <w:sz w:val="22"/>
                <w:szCs w:val="22"/>
                <w:color w:val="auto"/>
              </w:rPr>
              <w:t>Equity in net losses of equity method</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4440" w:type="dxa"/>
            <w:vAlign w:val="bottom"/>
          </w:tcPr>
          <w:p>
            <w:pPr>
              <w:ind w:left="160"/>
              <w:spacing w:after="0"/>
              <w:rPr>
                <w:sz w:val="20"/>
                <w:szCs w:val="20"/>
                <w:color w:val="auto"/>
              </w:rPr>
            </w:pPr>
            <w:r>
              <w:rPr>
                <w:rFonts w:ascii="Arial" w:cs="Arial" w:eastAsia="Arial" w:hAnsi="Arial"/>
                <w:sz w:val="22"/>
                <w:szCs w:val="22"/>
                <w:color w:val="auto"/>
              </w:rPr>
              <w:t>investees</w:t>
            </w: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22"/>
                <w:szCs w:val="22"/>
                <w:color w:val="auto"/>
              </w:rPr>
              <w:t>(10)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22"/>
                <w:szCs w:val="22"/>
                <w:color w:val="auto"/>
              </w:rPr>
              <w:t>(58)</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22"/>
                <w:szCs w:val="22"/>
                <w:color w:val="auto"/>
              </w:rPr>
              <w:t>(115)</w:t>
            </w:r>
          </w:p>
        </w:tc>
        <w:tc>
          <w:tcPr>
            <w:tcW w:w="160" w:type="dxa"/>
            <w:vAlign w:val="bottom"/>
          </w:tcPr>
          <w:p>
            <w:pPr>
              <w:spacing w:after="0"/>
              <w:rPr>
                <w:sz w:val="23"/>
                <w:szCs w:val="23"/>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22"/>
                <w:szCs w:val="22"/>
                <w:color w:val="auto"/>
              </w:rPr>
              <w:t>(120)</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22"/>
                <w:szCs w:val="22"/>
                <w:color w:val="auto"/>
              </w:rPr>
              <w:t>(262)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40" w:type="dxa"/>
            <w:vAlign w:val="bottom"/>
            <w:shd w:val="clear" w:color="auto" w:fill="CCEEFF"/>
          </w:tcPr>
          <w:p>
            <w:pPr>
              <w:spacing w:after="0" w:line="222" w:lineRule="exact"/>
              <w:rPr>
                <w:sz w:val="20"/>
                <w:szCs w:val="20"/>
                <w:color w:val="auto"/>
              </w:rPr>
            </w:pPr>
            <w:r>
              <w:rPr>
                <w:rFonts w:ascii="Arial" w:cs="Arial" w:eastAsia="Arial" w:hAnsi="Arial"/>
                <w:sz w:val="22"/>
                <w:szCs w:val="22"/>
                <w:color w:val="auto"/>
              </w:rPr>
              <w:t>Net income attributable to noncontrolling</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4440" w:type="dxa"/>
            <w:vAlign w:val="bottom"/>
            <w:shd w:val="clear" w:color="auto" w:fill="CCEEFF"/>
          </w:tcPr>
          <w:p>
            <w:pPr>
              <w:ind w:left="160"/>
              <w:spacing w:after="0"/>
              <w:rPr>
                <w:sz w:val="20"/>
                <w:szCs w:val="20"/>
                <w:color w:val="auto"/>
              </w:rPr>
            </w:pPr>
            <w:r>
              <w:rPr>
                <w:rFonts w:ascii="Arial" w:cs="Arial" w:eastAsia="Arial" w:hAnsi="Arial"/>
                <w:sz w:val="22"/>
                <w:szCs w:val="22"/>
                <w:color w:val="auto"/>
              </w:rPr>
              <w:t>interests</w:t>
            </w:r>
          </w:p>
        </w:tc>
        <w:tc>
          <w:tcPr>
            <w:tcW w:w="2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22"/>
                <w:szCs w:val="22"/>
                <w:color w:val="auto"/>
              </w:rPr>
              <w:t>--</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22"/>
                <w:szCs w:val="22"/>
                <w:color w:val="auto"/>
              </w:rPr>
              <w:t>(2)</w:t>
            </w: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w:t>
            </w:r>
          </w:p>
        </w:tc>
        <w:tc>
          <w:tcPr>
            <w:tcW w:w="2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22"/>
                <w:szCs w:val="22"/>
                <w:color w:val="auto"/>
              </w:rPr>
              <w:t>(2)</w:t>
            </w: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vMerge w:val="continue"/>
          </w:tcPr>
          <w:p>
            <w:pPr>
              <w:spacing w:after="0"/>
              <w:rPr>
                <w:sz w:val="21"/>
                <w:szCs w:val="21"/>
                <w:color w:val="auto"/>
              </w:rPr>
            </w:pPr>
          </w:p>
        </w:tc>
        <w:tc>
          <w:tcPr>
            <w:tcW w:w="4440" w:type="dxa"/>
            <w:vAlign w:val="bottom"/>
          </w:tcPr>
          <w:p>
            <w:pPr>
              <w:spacing w:after="0" w:line="243" w:lineRule="exact"/>
              <w:rPr>
                <w:sz w:val="20"/>
                <w:szCs w:val="20"/>
                <w:color w:val="auto"/>
              </w:rPr>
            </w:pPr>
            <w:r>
              <w:rPr>
                <w:rFonts w:ascii="Arial" w:cs="Arial" w:eastAsia="Arial" w:hAnsi="Arial"/>
                <w:sz w:val="22"/>
                <w:szCs w:val="22"/>
                <w:color w:val="auto"/>
              </w:rPr>
              <w:t>Net income (loss) attributable to Micron</w:t>
            </w:r>
          </w:p>
        </w:tc>
        <w:tc>
          <w:tcPr>
            <w:tcW w:w="240" w:type="dxa"/>
            <w:vAlign w:val="bottom"/>
          </w:tcPr>
          <w:p>
            <w:pPr>
              <w:spacing w:after="0"/>
              <w:rPr>
                <w:sz w:val="21"/>
                <w:szCs w:val="21"/>
                <w:color w:val="auto"/>
              </w:rPr>
            </w:pPr>
          </w:p>
        </w:tc>
        <w:tc>
          <w:tcPr>
            <w:tcW w:w="180" w:type="dxa"/>
            <w:vAlign w:val="bottom"/>
          </w:tcPr>
          <w:p>
            <w:pPr>
              <w:jc w:val="right"/>
              <w:spacing w:after="0" w:line="243" w:lineRule="exact"/>
              <w:rPr>
                <w:sz w:val="20"/>
                <w:szCs w:val="20"/>
                <w:color w:val="auto"/>
              </w:rPr>
            </w:pPr>
            <w:r>
              <w:rPr>
                <w:rFonts w:ascii="Arial" w:cs="Arial" w:eastAsia="Arial" w:hAnsi="Arial"/>
                <w:sz w:val="22"/>
                <w:szCs w:val="22"/>
                <w:color w:val="auto"/>
                <w:w w:val="81"/>
              </w:rPr>
              <w:t>$</w:t>
            </w:r>
          </w:p>
        </w:tc>
        <w:tc>
          <w:tcPr>
            <w:tcW w:w="1140" w:type="dxa"/>
            <w:vAlign w:val="bottom"/>
            <w:gridSpan w:val="2"/>
          </w:tcPr>
          <w:p>
            <w:pPr>
              <w:jc w:val="right"/>
              <w:ind w:right="160"/>
              <w:spacing w:after="0" w:line="243" w:lineRule="exact"/>
              <w:rPr>
                <w:sz w:val="20"/>
                <w:szCs w:val="20"/>
                <w:color w:val="auto"/>
              </w:rPr>
            </w:pPr>
            <w:r>
              <w:rPr>
                <w:rFonts w:ascii="Arial" w:cs="Arial" w:eastAsia="Arial" w:hAnsi="Arial"/>
                <w:sz w:val="22"/>
                <w:szCs w:val="22"/>
                <w:color w:val="auto"/>
              </w:rPr>
              <w:t>43</w:t>
            </w:r>
          </w:p>
        </w:tc>
        <w:tc>
          <w:tcPr>
            <w:tcW w:w="240" w:type="dxa"/>
            <w:vAlign w:val="bottom"/>
            <w:gridSpan w:val="2"/>
          </w:tcPr>
          <w:p>
            <w:pPr>
              <w:jc w:val="right"/>
              <w:ind w:right="40"/>
              <w:spacing w:after="0" w:line="243" w:lineRule="exact"/>
              <w:rPr>
                <w:sz w:val="20"/>
                <w:szCs w:val="20"/>
                <w:color w:val="auto"/>
              </w:rPr>
            </w:pPr>
            <w:r>
              <w:rPr>
                <w:rFonts w:ascii="Arial" w:cs="Arial" w:eastAsia="Arial" w:hAnsi="Arial"/>
                <w:sz w:val="22"/>
                <w:szCs w:val="22"/>
                <w:color w:val="auto"/>
              </w:rPr>
              <w:t>$</w:t>
            </w:r>
          </w:p>
        </w:tc>
        <w:tc>
          <w:tcPr>
            <w:tcW w:w="1140" w:type="dxa"/>
            <w:vAlign w:val="bottom"/>
            <w:gridSpan w:val="2"/>
          </w:tcPr>
          <w:p>
            <w:pPr>
              <w:jc w:val="right"/>
              <w:ind w:right="60"/>
              <w:spacing w:after="0" w:line="243" w:lineRule="exact"/>
              <w:rPr>
                <w:sz w:val="20"/>
                <w:szCs w:val="20"/>
                <w:color w:val="auto"/>
              </w:rPr>
            </w:pPr>
            <w:r>
              <w:rPr>
                <w:rFonts w:ascii="Arial" w:cs="Arial" w:eastAsia="Arial" w:hAnsi="Arial"/>
                <w:sz w:val="22"/>
                <w:szCs w:val="22"/>
                <w:color w:val="auto"/>
              </w:rPr>
              <w:t>(286)</w:t>
            </w:r>
          </w:p>
        </w:tc>
        <w:tc>
          <w:tcPr>
            <w:tcW w:w="240" w:type="dxa"/>
            <w:vAlign w:val="bottom"/>
            <w:gridSpan w:val="2"/>
          </w:tcPr>
          <w:p>
            <w:pPr>
              <w:jc w:val="right"/>
              <w:ind w:right="60"/>
              <w:spacing w:after="0" w:line="243" w:lineRule="exact"/>
              <w:rPr>
                <w:sz w:val="20"/>
                <w:szCs w:val="20"/>
                <w:color w:val="auto"/>
              </w:rPr>
            </w:pPr>
            <w:r>
              <w:rPr>
                <w:rFonts w:ascii="Arial" w:cs="Arial" w:eastAsia="Arial" w:hAnsi="Arial"/>
                <w:sz w:val="22"/>
                <w:szCs w:val="22"/>
                <w:color w:val="auto"/>
              </w:rPr>
              <w:t>$</w:t>
            </w:r>
          </w:p>
        </w:tc>
        <w:tc>
          <w:tcPr>
            <w:tcW w:w="118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(320)</w:t>
            </w:r>
          </w:p>
        </w:tc>
        <w:tc>
          <w:tcPr>
            <w:tcW w:w="160" w:type="dxa"/>
            <w:vAlign w:val="bottom"/>
          </w:tcPr>
          <w:p>
            <w:pPr>
              <w:jc w:val="right"/>
              <w:spacing w:after="0" w:line="243" w:lineRule="exact"/>
              <w:rPr>
                <w:sz w:val="20"/>
                <w:szCs w:val="20"/>
                <w:color w:val="auto"/>
              </w:rPr>
            </w:pPr>
            <w:r>
              <w:rPr>
                <w:rFonts w:ascii="Arial" w:cs="Arial" w:eastAsia="Arial" w:hAnsi="Arial"/>
                <w:sz w:val="22"/>
                <w:szCs w:val="22"/>
                <w:color w:val="auto"/>
                <w:w w:val="81"/>
              </w:rPr>
              <w:t>$</w:t>
            </w:r>
          </w:p>
        </w:tc>
        <w:tc>
          <w:tcPr>
            <w:tcW w:w="1120" w:type="dxa"/>
            <w:vAlign w:val="bottom"/>
            <w:gridSpan w:val="2"/>
          </w:tcPr>
          <w:p>
            <w:pPr>
              <w:jc w:val="right"/>
              <w:ind w:right="60"/>
              <w:spacing w:after="0" w:line="243" w:lineRule="exact"/>
              <w:rPr>
                <w:sz w:val="20"/>
                <w:szCs w:val="20"/>
                <w:color w:val="auto"/>
              </w:rPr>
            </w:pPr>
            <w:r>
              <w:rPr>
                <w:rFonts w:ascii="Arial" w:cs="Arial" w:eastAsia="Arial" w:hAnsi="Arial"/>
                <w:sz w:val="22"/>
                <w:szCs w:val="22"/>
                <w:color w:val="auto"/>
              </w:rPr>
              <w:t>(518)</w:t>
            </w:r>
          </w:p>
        </w:tc>
        <w:tc>
          <w:tcPr>
            <w:tcW w:w="240" w:type="dxa"/>
            <w:vAlign w:val="bottom"/>
            <w:gridSpan w:val="2"/>
          </w:tcPr>
          <w:p>
            <w:pPr>
              <w:jc w:val="right"/>
              <w:ind w:right="60"/>
              <w:spacing w:after="0" w:line="243" w:lineRule="exact"/>
              <w:rPr>
                <w:sz w:val="20"/>
                <w:szCs w:val="20"/>
                <w:color w:val="auto"/>
              </w:rPr>
            </w:pPr>
            <w:r>
              <w:rPr>
                <w:rFonts w:ascii="Arial" w:cs="Arial" w:eastAsia="Arial" w:hAnsi="Arial"/>
                <w:sz w:val="22"/>
                <w:szCs w:val="22"/>
                <w:color w:val="auto"/>
              </w:rPr>
              <w:t>$</w:t>
            </w:r>
          </w:p>
        </w:tc>
        <w:tc>
          <w:tcPr>
            <w:tcW w:w="1080" w:type="dxa"/>
            <w:vAlign w:val="bottom"/>
            <w:gridSpan w:val="2"/>
          </w:tcPr>
          <w:p>
            <w:pPr>
              <w:jc w:val="right"/>
              <w:ind w:right="40"/>
              <w:spacing w:after="0" w:line="243" w:lineRule="exact"/>
              <w:rPr>
                <w:sz w:val="20"/>
                <w:szCs w:val="20"/>
                <w:color w:val="auto"/>
              </w:rPr>
            </w:pPr>
            <w:r>
              <w:rPr>
                <w:rFonts w:ascii="Arial" w:cs="Arial" w:eastAsia="Arial" w:hAnsi="Arial"/>
                <w:sz w:val="22"/>
                <w:szCs w:val="22"/>
                <w:color w:val="auto"/>
              </w:rPr>
              <w:t>(789)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440" w:type="dxa"/>
            <w:vAlign w:val="bottom"/>
          </w:tcPr>
          <w:p>
            <w:pPr>
              <w:spacing w:after="0" w:line="243" w:lineRule="exact"/>
              <w:rPr>
                <w:sz w:val="20"/>
                <w:szCs w:val="20"/>
                <w:color w:val="auto"/>
              </w:rPr>
            </w:pPr>
            <w:r>
              <w:rPr>
                <w:rFonts w:ascii="Arial" w:cs="Arial" w:eastAsia="Arial" w:hAnsi="Arial"/>
                <w:sz w:val="22"/>
                <w:szCs w:val="22"/>
                <w:color w:val="auto"/>
              </w:rPr>
              <w:t>Earnings (loss) per share:</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4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Basic</w:t>
            </w:r>
          </w:p>
        </w:tc>
        <w:tc>
          <w:tcPr>
            <w:tcW w:w="420" w:type="dxa"/>
            <w:vAlign w:val="bottom"/>
            <w:gridSpan w:val="2"/>
            <w:shd w:val="clear" w:color="auto" w:fill="CCEEFF"/>
          </w:tcPr>
          <w:p>
            <w:pPr>
              <w:jc w:val="right"/>
              <w:spacing w:after="0" w:line="243" w:lineRule="exact"/>
              <w:rPr>
                <w:sz w:val="20"/>
                <w:szCs w:val="20"/>
                <w:color w:val="auto"/>
              </w:rPr>
            </w:pPr>
            <w:r>
              <w:rPr>
                <w:rFonts w:ascii="Arial" w:cs="Arial" w:eastAsia="Arial" w:hAnsi="Arial"/>
                <w:sz w:val="22"/>
                <w:szCs w:val="22"/>
                <w:color w:val="auto"/>
              </w:rPr>
              <w:t>$</w:t>
            </w:r>
          </w:p>
        </w:tc>
        <w:tc>
          <w:tcPr>
            <w:tcW w:w="1140" w:type="dxa"/>
            <w:vAlign w:val="bottom"/>
            <w:gridSpan w:val="2"/>
            <w:shd w:val="clear" w:color="auto" w:fill="CCEEFF"/>
          </w:tcPr>
          <w:p>
            <w:pPr>
              <w:jc w:val="right"/>
              <w:ind w:right="160"/>
              <w:spacing w:after="0" w:line="243" w:lineRule="exact"/>
              <w:rPr>
                <w:sz w:val="20"/>
                <w:szCs w:val="20"/>
                <w:color w:val="auto"/>
              </w:rPr>
            </w:pPr>
            <w:r>
              <w:rPr>
                <w:rFonts w:ascii="Arial" w:cs="Arial" w:eastAsia="Arial" w:hAnsi="Arial"/>
                <w:sz w:val="22"/>
                <w:szCs w:val="22"/>
                <w:color w:val="auto"/>
              </w:rPr>
              <w:t>0.04</w:t>
            </w:r>
          </w:p>
        </w:tc>
        <w:tc>
          <w:tcPr>
            <w:tcW w:w="240" w:type="dxa"/>
            <w:vAlign w:val="bottom"/>
            <w:gridSpan w:val="2"/>
            <w:shd w:val="clear" w:color="auto" w:fill="CCEEFF"/>
          </w:tcPr>
          <w:p>
            <w:pPr>
              <w:jc w:val="right"/>
              <w:ind w:right="40"/>
              <w:spacing w:after="0" w:line="243" w:lineRule="exact"/>
              <w:rPr>
                <w:sz w:val="20"/>
                <w:szCs w:val="20"/>
                <w:color w:val="auto"/>
              </w:rPr>
            </w:pPr>
            <w:r>
              <w:rPr>
                <w:rFonts w:ascii="Arial" w:cs="Arial" w:eastAsia="Arial" w:hAnsi="Arial"/>
                <w:sz w:val="22"/>
                <w:szCs w:val="22"/>
                <w:color w:val="auto"/>
              </w:rPr>
              <w:t>$</w:t>
            </w:r>
          </w:p>
        </w:tc>
        <w:tc>
          <w:tcPr>
            <w:tcW w:w="1140" w:type="dxa"/>
            <w:vAlign w:val="bottom"/>
            <w:gridSpan w:val="2"/>
            <w:shd w:val="clear" w:color="auto" w:fill="CCEEFF"/>
          </w:tcPr>
          <w:p>
            <w:pPr>
              <w:jc w:val="right"/>
              <w:ind w:right="60"/>
              <w:spacing w:after="0" w:line="243" w:lineRule="exact"/>
              <w:rPr>
                <w:sz w:val="20"/>
                <w:szCs w:val="20"/>
                <w:color w:val="auto"/>
              </w:rPr>
            </w:pPr>
            <w:r>
              <w:rPr>
                <w:rFonts w:ascii="Arial" w:cs="Arial" w:eastAsia="Arial" w:hAnsi="Arial"/>
                <w:sz w:val="22"/>
                <w:szCs w:val="22"/>
                <w:color w:val="auto"/>
              </w:rPr>
              <w:t>(0.28)</w:t>
            </w:r>
          </w:p>
        </w:tc>
        <w:tc>
          <w:tcPr>
            <w:tcW w:w="240" w:type="dxa"/>
            <w:vAlign w:val="bottom"/>
            <w:gridSpan w:val="2"/>
            <w:shd w:val="clear" w:color="auto" w:fill="CCEEFF"/>
          </w:tcPr>
          <w:p>
            <w:pPr>
              <w:jc w:val="right"/>
              <w:ind w:right="60"/>
              <w:spacing w:after="0" w:line="243" w:lineRule="exact"/>
              <w:rPr>
                <w:sz w:val="20"/>
                <w:szCs w:val="20"/>
                <w:color w:val="auto"/>
              </w:rPr>
            </w:pPr>
            <w:r>
              <w:rPr>
                <w:rFonts w:ascii="Arial" w:cs="Arial" w:eastAsia="Arial" w:hAnsi="Arial"/>
                <w:sz w:val="22"/>
                <w:szCs w:val="22"/>
                <w:color w:val="auto"/>
              </w:rPr>
              <w:t>$</w:t>
            </w:r>
          </w:p>
        </w:tc>
        <w:tc>
          <w:tcPr>
            <w:tcW w:w="118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(0.32)</w:t>
            </w:r>
          </w:p>
        </w:tc>
        <w:tc>
          <w:tcPr>
            <w:tcW w:w="16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w w:val="81"/>
              </w:rPr>
              <w:t>$</w:t>
            </w:r>
          </w:p>
        </w:tc>
        <w:tc>
          <w:tcPr>
            <w:tcW w:w="1120" w:type="dxa"/>
            <w:vAlign w:val="bottom"/>
            <w:gridSpan w:val="2"/>
            <w:shd w:val="clear" w:color="auto" w:fill="CCEEFF"/>
          </w:tcPr>
          <w:p>
            <w:pPr>
              <w:jc w:val="right"/>
              <w:ind w:right="60"/>
              <w:spacing w:after="0" w:line="243" w:lineRule="exact"/>
              <w:rPr>
                <w:sz w:val="20"/>
                <w:szCs w:val="20"/>
                <w:color w:val="auto"/>
              </w:rPr>
            </w:pPr>
            <w:r>
              <w:rPr>
                <w:rFonts w:ascii="Arial" w:cs="Arial" w:eastAsia="Arial" w:hAnsi="Arial"/>
                <w:sz w:val="22"/>
                <w:szCs w:val="22"/>
                <w:color w:val="auto"/>
              </w:rPr>
              <w:t>(0.51)</w:t>
            </w:r>
          </w:p>
        </w:tc>
        <w:tc>
          <w:tcPr>
            <w:tcW w:w="240" w:type="dxa"/>
            <w:vAlign w:val="bottom"/>
            <w:gridSpan w:val="2"/>
            <w:shd w:val="clear" w:color="auto" w:fill="CCEEFF"/>
          </w:tcPr>
          <w:p>
            <w:pPr>
              <w:jc w:val="right"/>
              <w:ind w:right="60"/>
              <w:spacing w:after="0" w:line="243" w:lineRule="exact"/>
              <w:rPr>
                <w:sz w:val="20"/>
                <w:szCs w:val="20"/>
                <w:color w:val="auto"/>
              </w:rPr>
            </w:pPr>
            <w:r>
              <w:rPr>
                <w:rFonts w:ascii="Arial" w:cs="Arial" w:eastAsia="Arial" w:hAnsi="Arial"/>
                <w:sz w:val="22"/>
                <w:szCs w:val="22"/>
                <w:color w:val="auto"/>
              </w:rPr>
              <w:t>$</w:t>
            </w:r>
          </w:p>
        </w:tc>
        <w:tc>
          <w:tcPr>
            <w:tcW w:w="1080" w:type="dxa"/>
            <w:vAlign w:val="bottom"/>
            <w:gridSpan w:val="2"/>
            <w:shd w:val="clear" w:color="auto" w:fill="CCEEFF"/>
          </w:tcPr>
          <w:p>
            <w:pPr>
              <w:jc w:val="right"/>
              <w:ind w:right="40"/>
              <w:spacing w:after="0" w:line="243" w:lineRule="exact"/>
              <w:rPr>
                <w:sz w:val="20"/>
                <w:szCs w:val="20"/>
                <w:color w:val="auto"/>
              </w:rPr>
            </w:pPr>
            <w:r>
              <w:rPr>
                <w:rFonts w:ascii="Arial" w:cs="Arial" w:eastAsia="Arial" w:hAnsi="Arial"/>
                <w:sz w:val="22"/>
                <w:szCs w:val="22"/>
                <w:color w:val="auto"/>
              </w:rPr>
              <w:t>(0.80)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40" w:type="dxa"/>
            <w:vAlign w:val="bottom"/>
          </w:tcPr>
          <w:p>
            <w:pPr>
              <w:spacing w:after="0" w:line="243" w:lineRule="exact"/>
              <w:rPr>
                <w:sz w:val="20"/>
                <w:szCs w:val="20"/>
                <w:color w:val="auto"/>
              </w:rPr>
            </w:pPr>
            <w:r>
              <w:rPr>
                <w:rFonts w:ascii="Arial" w:cs="Arial" w:eastAsia="Arial" w:hAnsi="Arial"/>
                <w:sz w:val="22"/>
                <w:szCs w:val="22"/>
                <w:color w:val="auto"/>
              </w:rPr>
              <w:t>Diluted</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gridSpan w:val="2"/>
          </w:tcPr>
          <w:p>
            <w:pPr>
              <w:jc w:val="right"/>
              <w:ind w:right="160"/>
              <w:spacing w:after="0" w:line="243" w:lineRule="exact"/>
              <w:rPr>
                <w:sz w:val="20"/>
                <w:szCs w:val="20"/>
                <w:color w:val="auto"/>
              </w:rPr>
            </w:pPr>
            <w:r>
              <w:rPr>
                <w:rFonts w:ascii="Arial" w:cs="Arial" w:eastAsia="Arial" w:hAnsi="Arial"/>
                <w:sz w:val="22"/>
                <w:szCs w:val="22"/>
                <w:color w:val="auto"/>
              </w:rPr>
              <w:t>0.04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right"/>
              <w:ind w:right="60"/>
              <w:spacing w:after="0" w:line="243" w:lineRule="exact"/>
              <w:rPr>
                <w:sz w:val="20"/>
                <w:szCs w:val="20"/>
                <w:color w:val="auto"/>
              </w:rPr>
            </w:pPr>
            <w:r>
              <w:rPr>
                <w:rFonts w:ascii="Arial" w:cs="Arial" w:eastAsia="Arial" w:hAnsi="Arial"/>
                <w:sz w:val="22"/>
                <w:szCs w:val="22"/>
                <w:color w:val="auto"/>
              </w:rPr>
              <w:t>(0.28)</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(0.32)</w:t>
            </w:r>
          </w:p>
        </w:tc>
        <w:tc>
          <w:tcPr>
            <w:tcW w:w="160" w:type="dxa"/>
            <w:vAlign w:val="bottom"/>
          </w:tcPr>
          <w:p>
            <w:pPr>
              <w:spacing w:after="0"/>
              <w:rPr>
                <w:sz w:val="21"/>
                <w:szCs w:val="21"/>
                <w:color w:val="auto"/>
              </w:rPr>
            </w:pPr>
          </w:p>
        </w:tc>
        <w:tc>
          <w:tcPr>
            <w:tcW w:w="1120" w:type="dxa"/>
            <w:vAlign w:val="bottom"/>
            <w:gridSpan w:val="2"/>
          </w:tcPr>
          <w:p>
            <w:pPr>
              <w:jc w:val="right"/>
              <w:ind w:right="60"/>
              <w:spacing w:after="0" w:line="243" w:lineRule="exact"/>
              <w:rPr>
                <w:sz w:val="20"/>
                <w:szCs w:val="20"/>
                <w:color w:val="auto"/>
              </w:rPr>
            </w:pPr>
            <w:r>
              <w:rPr>
                <w:rFonts w:ascii="Arial" w:cs="Arial" w:eastAsia="Arial" w:hAnsi="Arial"/>
                <w:sz w:val="22"/>
                <w:szCs w:val="22"/>
                <w:color w:val="auto"/>
              </w:rPr>
              <w:t>(0.51)</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40"/>
              <w:spacing w:after="0" w:line="243" w:lineRule="exact"/>
              <w:rPr>
                <w:sz w:val="20"/>
                <w:szCs w:val="20"/>
                <w:color w:val="auto"/>
              </w:rPr>
            </w:pPr>
            <w:r>
              <w:rPr>
                <w:rFonts w:ascii="Arial" w:cs="Arial" w:eastAsia="Arial" w:hAnsi="Arial"/>
                <w:sz w:val="22"/>
                <w:szCs w:val="22"/>
                <w:color w:val="auto"/>
              </w:rPr>
              <w:t>(0.80)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440" w:type="dxa"/>
            <w:vAlign w:val="bottom"/>
          </w:tcPr>
          <w:p>
            <w:pPr>
              <w:spacing w:after="0" w:line="243" w:lineRule="exact"/>
              <w:rPr>
                <w:sz w:val="20"/>
                <w:szCs w:val="20"/>
                <w:color w:val="auto"/>
              </w:rPr>
            </w:pPr>
            <w:r>
              <w:rPr>
                <w:rFonts w:ascii="Arial" w:cs="Arial" w:eastAsia="Arial" w:hAnsi="Arial"/>
                <w:sz w:val="22"/>
                <w:szCs w:val="22"/>
                <w:color w:val="auto"/>
                <w:w w:val="92"/>
              </w:rPr>
              <w:t>Number of shares used in per share calculations:</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4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Basic</w:t>
            </w:r>
          </w:p>
        </w:tc>
        <w:tc>
          <w:tcPr>
            <w:tcW w:w="2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60"/>
              <w:spacing w:after="0" w:line="243" w:lineRule="exact"/>
              <w:rPr>
                <w:sz w:val="20"/>
                <w:szCs w:val="20"/>
                <w:color w:val="auto"/>
              </w:rPr>
            </w:pPr>
            <w:r>
              <w:rPr>
                <w:rFonts w:ascii="Arial" w:cs="Arial" w:eastAsia="Arial" w:hAnsi="Arial"/>
                <w:sz w:val="22"/>
                <w:szCs w:val="22"/>
                <w:color w:val="auto"/>
              </w:rPr>
              <w:t>1,024.0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1,016.0</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987.3</w:t>
            </w: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1,017.9</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983.9</w:t>
            </w: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4440" w:type="dxa"/>
            <w:vAlign w:val="bottom"/>
          </w:tcPr>
          <w:p>
            <w:pPr>
              <w:spacing w:after="0"/>
              <w:rPr>
                <w:sz w:val="20"/>
                <w:szCs w:val="20"/>
                <w:color w:val="auto"/>
              </w:rPr>
            </w:pPr>
            <w:r>
              <w:rPr>
                <w:rFonts w:ascii="Arial" w:cs="Arial" w:eastAsia="Arial" w:hAnsi="Arial"/>
                <w:sz w:val="22"/>
                <w:szCs w:val="22"/>
                <w:color w:val="auto"/>
              </w:rPr>
              <w:t>Diluted</w:t>
            </w: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22"/>
                <w:szCs w:val="22"/>
                <w:color w:val="auto"/>
              </w:rPr>
              <w:t>1,046.6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22"/>
                <w:szCs w:val="22"/>
                <w:color w:val="auto"/>
              </w:rPr>
              <w:t>1,016.0</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22"/>
                <w:szCs w:val="22"/>
                <w:color w:val="auto"/>
              </w:rPr>
              <w:t>987.3</w:t>
            </w: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22"/>
                <w:szCs w:val="22"/>
                <w:color w:val="auto"/>
              </w:rPr>
              <w:t>1,017.9</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22"/>
                <w:szCs w:val="22"/>
                <w:color w:val="auto"/>
              </w:rPr>
              <w:t>983.9</w:t>
            </w:r>
          </w:p>
        </w:tc>
        <w:tc>
          <w:tcPr>
            <w:tcW w:w="0" w:type="dxa"/>
            <w:vAlign w:val="bottom"/>
          </w:tcPr>
          <w:p>
            <w:pPr>
              <w:spacing w:after="0"/>
              <w:rPr>
                <w:sz w:val="1"/>
                <w:szCs w:val="1"/>
                <w:color w:val="auto"/>
              </w:rPr>
            </w:pPr>
          </w:p>
        </w:tc>
      </w:tr>
      <w:tr>
        <w:trPr>
          <w:trHeight w:val="870"/>
        </w:trPr>
        <w:tc>
          <w:tcPr>
            <w:tcW w:w="20" w:type="dxa"/>
            <w:vAlign w:val="bottom"/>
            <w:tcBorders>
              <w:bottom w:val="single" w:sz="8" w:color="808080"/>
            </w:tcBorders>
          </w:tcPr>
          <w:p>
            <w:pPr>
              <w:spacing w:after="0"/>
              <w:rPr>
                <w:sz w:val="24"/>
                <w:szCs w:val="24"/>
                <w:color w:val="auto"/>
              </w:rPr>
            </w:pPr>
          </w:p>
        </w:tc>
        <w:tc>
          <w:tcPr>
            <w:tcW w:w="444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00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47"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81"/>
        </w:trPr>
        <w:tc>
          <w:tcPr>
            <w:tcW w:w="7440" w:type="dxa"/>
            <w:vAlign w:val="bottom"/>
            <w:gridSpan w:val="2"/>
          </w:tcPr>
          <w:p>
            <w:pPr>
              <w:spacing w:after="0"/>
              <w:rPr>
                <w:sz w:val="20"/>
                <w:szCs w:val="20"/>
                <w:color w:val="auto"/>
              </w:rPr>
            </w:pPr>
            <w:r>
              <w:rPr>
                <w:rFonts w:ascii="Arial" w:cs="Arial" w:eastAsia="Arial" w:hAnsi="Arial"/>
                <w:sz w:val="22"/>
                <w:szCs w:val="22"/>
                <w:b w:val="1"/>
                <w:bCs w:val="1"/>
                <w:color w:val="auto"/>
              </w:rPr>
              <w:t>CONSOLIDATED FINANCIAL SUMMARY, Continued</w:t>
            </w: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9"/>
        </w:trPr>
        <w:tc>
          <w:tcPr>
            <w:tcW w:w="2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22"/>
                <w:szCs w:val="22"/>
                <w:b w:val="1"/>
                <w:bCs w:val="1"/>
                <w:color w:val="auto"/>
                <w:w w:val="83"/>
              </w:rPr>
              <w:t>As of</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ind w:left="60"/>
              <w:spacing w:after="0" w:line="243" w:lineRule="exact"/>
              <w:rPr>
                <w:sz w:val="20"/>
                <w:szCs w:val="20"/>
                <w:color w:val="auto"/>
              </w:rPr>
            </w:pPr>
            <w:r>
              <w:rPr>
                <w:rFonts w:ascii="Arial" w:cs="Arial" w:eastAsia="Arial" w:hAnsi="Arial"/>
                <w:sz w:val="22"/>
                <w:szCs w:val="22"/>
                <w:b w:val="1"/>
                <w:bCs w:val="1"/>
                <w:color w:val="auto"/>
              </w:rPr>
              <w:t>May 30,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gridSpan w:val="2"/>
          </w:tcPr>
          <w:p>
            <w:pPr>
              <w:jc w:val="center"/>
              <w:ind w:right="260"/>
              <w:spacing w:after="0" w:line="243" w:lineRule="exact"/>
              <w:rPr>
                <w:sz w:val="20"/>
                <w:szCs w:val="20"/>
                <w:color w:val="auto"/>
              </w:rPr>
            </w:pPr>
            <w:r>
              <w:rPr>
                <w:rFonts w:ascii="Arial" w:cs="Arial" w:eastAsia="Arial" w:hAnsi="Arial"/>
                <w:sz w:val="22"/>
                <w:szCs w:val="22"/>
                <w:b w:val="1"/>
                <w:bCs w:val="1"/>
                <w:color w:val="auto"/>
                <w:w w:val="90"/>
              </w:rPr>
              <w:t>Feb. 28,</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center"/>
              <w:ind w:right="240"/>
              <w:spacing w:after="0" w:line="243" w:lineRule="exact"/>
              <w:rPr>
                <w:sz w:val="20"/>
                <w:szCs w:val="20"/>
                <w:color w:val="auto"/>
              </w:rPr>
            </w:pPr>
            <w:r>
              <w:rPr>
                <w:rFonts w:ascii="Arial" w:cs="Arial" w:eastAsia="Arial" w:hAnsi="Arial"/>
                <w:sz w:val="22"/>
                <w:szCs w:val="22"/>
                <w:b w:val="1"/>
                <w:bCs w:val="1"/>
                <w:color w:val="auto"/>
                <w:w w:val="88"/>
              </w:rPr>
              <w:t>Aug. 30,</w:t>
            </w: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52"/>
              <w:spacing w:after="0"/>
              <w:rPr>
                <w:sz w:val="20"/>
                <w:szCs w:val="20"/>
                <w:color w:val="auto"/>
              </w:rPr>
            </w:pPr>
            <w:r>
              <w:rPr>
                <w:rFonts w:ascii="Arial" w:cs="Arial" w:eastAsia="Arial" w:hAnsi="Arial"/>
                <w:sz w:val="22"/>
                <w:szCs w:val="22"/>
                <w:b w:val="1"/>
                <w:bCs w:val="1"/>
                <w:color w:val="auto"/>
              </w:rPr>
              <w:t>2013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center"/>
              <w:ind w:right="12"/>
              <w:spacing w:after="0"/>
              <w:rPr>
                <w:sz w:val="20"/>
                <w:szCs w:val="20"/>
                <w:color w:val="auto"/>
              </w:rPr>
            </w:pPr>
            <w:r>
              <w:rPr>
                <w:rFonts w:ascii="Arial" w:cs="Arial" w:eastAsia="Arial" w:hAnsi="Arial"/>
                <w:sz w:val="22"/>
                <w:szCs w:val="22"/>
                <w:b w:val="1"/>
                <w:bCs w:val="1"/>
                <w:color w:val="auto"/>
                <w:w w:val="85"/>
              </w:rPr>
              <w:t>2013</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center"/>
              <w:ind w:right="32"/>
              <w:spacing w:after="0"/>
              <w:rPr>
                <w:sz w:val="20"/>
                <w:szCs w:val="20"/>
                <w:color w:val="auto"/>
              </w:rPr>
            </w:pPr>
            <w:r>
              <w:rPr>
                <w:rFonts w:ascii="Arial" w:cs="Arial" w:eastAsia="Arial" w:hAnsi="Arial"/>
                <w:sz w:val="22"/>
                <w:szCs w:val="22"/>
                <w:b w:val="1"/>
                <w:bCs w:val="1"/>
                <w:color w:val="auto"/>
                <w:w w:val="89"/>
              </w:rPr>
              <w:t>2012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Cash and short-term investments</w:t>
            </w:r>
          </w:p>
        </w:tc>
        <w:tc>
          <w:tcPr>
            <w:tcW w:w="160" w:type="dxa"/>
            <w:vAlign w:val="bottom"/>
            <w:shd w:val="clear" w:color="auto" w:fill="CCEEFF"/>
          </w:tcPr>
          <w:p>
            <w:pPr>
              <w:jc w:val="right"/>
              <w:spacing w:after="0"/>
              <w:rPr>
                <w:sz w:val="20"/>
                <w:szCs w:val="20"/>
                <w:color w:val="auto"/>
              </w:rPr>
            </w:pPr>
            <w:r>
              <w:rPr>
                <w:rFonts w:ascii="Arial" w:cs="Arial" w:eastAsia="Arial" w:hAnsi="Arial"/>
                <w:sz w:val="19"/>
                <w:szCs w:val="19"/>
                <w:color w:val="auto"/>
                <w:w w:val="75"/>
              </w:rPr>
              <w:t>$</w:t>
            </w:r>
          </w:p>
        </w:tc>
        <w:tc>
          <w:tcPr>
            <w:tcW w:w="110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2,552</w:t>
            </w:r>
          </w:p>
        </w:tc>
        <w:tc>
          <w:tcPr>
            <w:tcW w:w="280" w:type="dxa"/>
            <w:vAlign w:val="bottom"/>
            <w:gridSpan w:val="2"/>
            <w:shd w:val="clear" w:color="auto" w:fill="CCEEFF"/>
          </w:tcPr>
          <w:p>
            <w:pPr>
              <w:jc w:val="right"/>
              <w:ind w:right="40"/>
              <w:spacing w:after="0" w:line="243" w:lineRule="exact"/>
              <w:rPr>
                <w:sz w:val="20"/>
                <w:szCs w:val="20"/>
                <w:color w:val="auto"/>
              </w:rPr>
            </w:pPr>
            <w:r>
              <w:rPr>
                <w:rFonts w:ascii="Arial" w:cs="Arial" w:eastAsia="Arial" w:hAnsi="Arial"/>
                <w:sz w:val="22"/>
                <w:szCs w:val="22"/>
                <w:color w:val="auto"/>
              </w:rPr>
              <w:t>$</w:t>
            </w:r>
          </w:p>
        </w:tc>
        <w:tc>
          <w:tcPr>
            <w:tcW w:w="112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2,228</w:t>
            </w:r>
          </w:p>
        </w:tc>
        <w:tc>
          <w:tcPr>
            <w:tcW w:w="240" w:type="dxa"/>
            <w:vAlign w:val="bottom"/>
            <w:gridSpan w:val="2"/>
            <w:shd w:val="clear" w:color="auto" w:fill="CCEEFF"/>
          </w:tcPr>
          <w:p>
            <w:pPr>
              <w:jc w:val="right"/>
              <w:ind w:right="60"/>
              <w:spacing w:after="0" w:line="243" w:lineRule="exact"/>
              <w:rPr>
                <w:sz w:val="20"/>
                <w:szCs w:val="20"/>
                <w:color w:val="auto"/>
              </w:rPr>
            </w:pPr>
            <w:r>
              <w:rPr>
                <w:rFonts w:ascii="Arial" w:cs="Arial" w:eastAsia="Arial" w:hAnsi="Arial"/>
                <w:sz w:val="22"/>
                <w:szCs w:val="22"/>
                <w:color w:val="auto"/>
              </w:rPr>
              <w:t>$</w:t>
            </w:r>
          </w:p>
        </w:tc>
        <w:tc>
          <w:tcPr>
            <w:tcW w:w="108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2,559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tcPr>
          <w:p>
            <w:pPr>
              <w:spacing w:after="0" w:line="243" w:lineRule="exact"/>
              <w:rPr>
                <w:sz w:val="20"/>
                <w:szCs w:val="20"/>
                <w:color w:val="auto"/>
              </w:rPr>
            </w:pPr>
            <w:r>
              <w:rPr>
                <w:rFonts w:ascii="Arial" w:cs="Arial" w:eastAsia="Arial" w:hAnsi="Arial"/>
                <w:sz w:val="22"/>
                <w:szCs w:val="22"/>
                <w:color w:val="auto"/>
              </w:rPr>
              <w:t>Receivables</w:t>
            </w:r>
          </w:p>
        </w:tc>
        <w:tc>
          <w:tcPr>
            <w:tcW w:w="160" w:type="dxa"/>
            <w:vAlign w:val="bottom"/>
          </w:tcPr>
          <w:p>
            <w:pPr>
              <w:spacing w:after="0"/>
              <w:rPr>
                <w:sz w:val="21"/>
                <w:szCs w:val="21"/>
                <w:color w:val="auto"/>
              </w:rPr>
            </w:pPr>
          </w:p>
        </w:tc>
        <w:tc>
          <w:tcPr>
            <w:tcW w:w="110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1,503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1,226</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1,289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Inventories</w:t>
            </w:r>
          </w:p>
        </w:tc>
        <w:tc>
          <w:tcPr>
            <w:tcW w:w="16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1,732</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1,721</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1,812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tcPr>
          <w:p>
            <w:pPr>
              <w:spacing w:after="0" w:line="243" w:lineRule="exact"/>
              <w:rPr>
                <w:sz w:val="20"/>
                <w:szCs w:val="20"/>
                <w:color w:val="auto"/>
              </w:rPr>
            </w:pPr>
            <w:r>
              <w:rPr>
                <w:rFonts w:ascii="Arial" w:cs="Arial" w:eastAsia="Arial" w:hAnsi="Arial"/>
                <w:sz w:val="22"/>
                <w:szCs w:val="22"/>
                <w:color w:val="auto"/>
              </w:rPr>
              <w:t>Total current assets</w:t>
            </w:r>
          </w:p>
        </w:tc>
        <w:tc>
          <w:tcPr>
            <w:tcW w:w="160" w:type="dxa"/>
            <w:vAlign w:val="bottom"/>
          </w:tcPr>
          <w:p>
            <w:pPr>
              <w:spacing w:after="0"/>
              <w:rPr>
                <w:sz w:val="21"/>
                <w:szCs w:val="21"/>
                <w:color w:val="auto"/>
              </w:rPr>
            </w:pPr>
          </w:p>
        </w:tc>
        <w:tc>
          <w:tcPr>
            <w:tcW w:w="110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5,886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5,364</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5,758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Long-term marketable investments</w:t>
            </w:r>
          </w:p>
        </w:tc>
        <w:tc>
          <w:tcPr>
            <w:tcW w:w="16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347</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546</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374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tcPr>
          <w:p>
            <w:pPr>
              <w:spacing w:after="0" w:line="243" w:lineRule="exact"/>
              <w:rPr>
                <w:sz w:val="20"/>
                <w:szCs w:val="20"/>
                <w:color w:val="auto"/>
              </w:rPr>
            </w:pPr>
            <w:r>
              <w:rPr>
                <w:rFonts w:ascii="Arial" w:cs="Arial" w:eastAsia="Arial" w:hAnsi="Arial"/>
                <w:sz w:val="22"/>
                <w:szCs w:val="22"/>
                <w:color w:val="auto"/>
              </w:rPr>
              <w:t>Property, plant and equipment, net</w:t>
            </w:r>
          </w:p>
        </w:tc>
        <w:tc>
          <w:tcPr>
            <w:tcW w:w="160" w:type="dxa"/>
            <w:vAlign w:val="bottom"/>
          </w:tcPr>
          <w:p>
            <w:pPr>
              <w:spacing w:after="0"/>
              <w:rPr>
                <w:sz w:val="21"/>
                <w:szCs w:val="21"/>
                <w:color w:val="auto"/>
              </w:rPr>
            </w:pPr>
          </w:p>
        </w:tc>
        <w:tc>
          <w:tcPr>
            <w:tcW w:w="110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6,830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6,973</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7,103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Total assets</w:t>
            </w:r>
          </w:p>
        </w:tc>
        <w:tc>
          <w:tcPr>
            <w:tcW w:w="16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14,055</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13,912</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14,328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42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Accounts payable and accrued expenses</w:t>
            </w:r>
          </w:p>
        </w:tc>
        <w:tc>
          <w:tcPr>
            <w:tcW w:w="16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1,590</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1,498</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1,641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tcPr>
          <w:p>
            <w:pPr>
              <w:spacing w:after="0" w:line="243" w:lineRule="exact"/>
              <w:rPr>
                <w:sz w:val="20"/>
                <w:szCs w:val="20"/>
                <w:color w:val="auto"/>
              </w:rPr>
            </w:pPr>
            <w:r>
              <w:rPr>
                <w:rFonts w:ascii="Arial" w:cs="Arial" w:eastAsia="Arial" w:hAnsi="Arial"/>
                <w:sz w:val="22"/>
                <w:szCs w:val="22"/>
                <w:color w:val="auto"/>
              </w:rPr>
              <w:t>Current portion of long-term debt</w:t>
            </w:r>
          </w:p>
        </w:tc>
        <w:tc>
          <w:tcPr>
            <w:tcW w:w="160" w:type="dxa"/>
            <w:vAlign w:val="bottom"/>
          </w:tcPr>
          <w:p>
            <w:pPr>
              <w:spacing w:after="0"/>
              <w:rPr>
                <w:sz w:val="21"/>
                <w:szCs w:val="21"/>
                <w:color w:val="auto"/>
              </w:rPr>
            </w:pPr>
          </w:p>
        </w:tc>
        <w:tc>
          <w:tcPr>
            <w:tcW w:w="110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357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350</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224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Total current liabilities</w:t>
            </w:r>
          </w:p>
        </w:tc>
        <w:tc>
          <w:tcPr>
            <w:tcW w:w="16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2,342</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2,117</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2,243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tcPr>
          <w:p>
            <w:pPr>
              <w:spacing w:after="0" w:line="243" w:lineRule="exact"/>
              <w:rPr>
                <w:sz w:val="20"/>
                <w:szCs w:val="20"/>
                <w:color w:val="auto"/>
              </w:rPr>
            </w:pPr>
            <w:r>
              <w:rPr>
                <w:rFonts w:ascii="Arial" w:cs="Arial" w:eastAsia="Arial" w:hAnsi="Arial"/>
                <w:sz w:val="22"/>
                <w:szCs w:val="22"/>
                <w:color w:val="auto"/>
              </w:rPr>
              <w:t>Long-term debt (5)(6)</w:t>
            </w:r>
          </w:p>
        </w:tc>
        <w:tc>
          <w:tcPr>
            <w:tcW w:w="160" w:type="dxa"/>
            <w:vAlign w:val="bottom"/>
          </w:tcPr>
          <w:p>
            <w:pPr>
              <w:spacing w:after="0"/>
              <w:rPr>
                <w:sz w:val="21"/>
                <w:szCs w:val="21"/>
                <w:color w:val="auto"/>
              </w:rPr>
            </w:pPr>
          </w:p>
        </w:tc>
        <w:tc>
          <w:tcPr>
            <w:tcW w:w="110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3,267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3,301</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3,038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420" w:type="dxa"/>
            <w:vAlign w:val="bottom"/>
          </w:tcPr>
          <w:p>
            <w:pPr>
              <w:spacing w:after="0" w:line="243" w:lineRule="exact"/>
              <w:rPr>
                <w:sz w:val="20"/>
                <w:szCs w:val="20"/>
                <w:color w:val="auto"/>
              </w:rPr>
            </w:pPr>
            <w:r>
              <w:rPr>
                <w:rFonts w:ascii="Arial" w:cs="Arial" w:eastAsia="Arial" w:hAnsi="Arial"/>
                <w:sz w:val="22"/>
                <w:szCs w:val="22"/>
                <w:color w:val="auto"/>
              </w:rPr>
              <w:t>Total Micron shareholders’ equity</w:t>
            </w:r>
          </w:p>
        </w:tc>
        <w:tc>
          <w:tcPr>
            <w:tcW w:w="160" w:type="dxa"/>
            <w:vAlign w:val="bottom"/>
          </w:tcPr>
          <w:p>
            <w:pPr>
              <w:spacing w:after="0"/>
              <w:rPr>
                <w:sz w:val="21"/>
                <w:szCs w:val="21"/>
                <w:color w:val="auto"/>
              </w:rPr>
            </w:pPr>
          </w:p>
        </w:tc>
        <w:tc>
          <w:tcPr>
            <w:tcW w:w="110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7,328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7,231</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7,700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Noncontrolling interests in subsidiaries</w:t>
            </w:r>
          </w:p>
        </w:tc>
        <w:tc>
          <w:tcPr>
            <w:tcW w:w="16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698</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729</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717</w:t>
            </w: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7420" w:type="dxa"/>
            <w:vAlign w:val="bottom"/>
          </w:tcPr>
          <w:p>
            <w:pPr>
              <w:spacing w:after="0"/>
              <w:rPr>
                <w:sz w:val="20"/>
                <w:szCs w:val="20"/>
                <w:color w:val="auto"/>
              </w:rPr>
            </w:pPr>
            <w:r>
              <w:rPr>
                <w:rFonts w:ascii="Arial" w:cs="Arial" w:eastAsia="Arial" w:hAnsi="Arial"/>
                <w:sz w:val="22"/>
                <w:szCs w:val="22"/>
                <w:color w:val="auto"/>
              </w:rPr>
              <w:t>Total equity (5)(6)</w:t>
            </w:r>
          </w:p>
        </w:tc>
        <w:tc>
          <w:tcPr>
            <w:tcW w:w="160" w:type="dxa"/>
            <w:vAlign w:val="bottom"/>
          </w:tcPr>
          <w:p>
            <w:pPr>
              <w:spacing w:after="0"/>
              <w:rPr>
                <w:sz w:val="23"/>
                <w:szCs w:val="23"/>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22"/>
                <w:szCs w:val="22"/>
                <w:color w:val="auto"/>
              </w:rPr>
              <w:t>8,026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22"/>
                <w:szCs w:val="22"/>
                <w:color w:val="auto"/>
              </w:rPr>
              <w:t>7,960</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22"/>
                <w:szCs w:val="22"/>
                <w:color w:val="auto"/>
              </w:rPr>
              <w:t>8,417</w:t>
            </w:r>
          </w:p>
        </w:tc>
        <w:tc>
          <w:tcPr>
            <w:tcW w:w="0" w:type="dxa"/>
            <w:vAlign w:val="bottom"/>
          </w:tcPr>
          <w:p>
            <w:pPr>
              <w:spacing w:after="0"/>
              <w:rPr>
                <w:sz w:val="1"/>
                <w:szCs w:val="1"/>
                <w:color w:val="auto"/>
              </w:rPr>
            </w:pPr>
          </w:p>
        </w:tc>
      </w:tr>
      <w:tr>
        <w:trPr>
          <w:trHeight w:val="670"/>
        </w:trPr>
        <w:tc>
          <w:tcPr>
            <w:tcW w:w="2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40" w:type="dxa"/>
            <w:vAlign w:val="bottom"/>
            <w:gridSpan w:val="6"/>
          </w:tcPr>
          <w:p>
            <w:pPr>
              <w:jc w:val="right"/>
              <w:ind w:right="420"/>
              <w:spacing w:after="0"/>
              <w:rPr>
                <w:sz w:val="20"/>
                <w:szCs w:val="20"/>
                <w:color w:val="auto"/>
              </w:rPr>
            </w:pPr>
            <w:r>
              <w:rPr>
                <w:rFonts w:ascii="Arial" w:cs="Arial" w:eastAsia="Arial" w:hAnsi="Arial"/>
                <w:sz w:val="22"/>
                <w:szCs w:val="22"/>
                <w:b w:val="1"/>
                <w:bCs w:val="1"/>
                <w:color w:val="auto"/>
                <w:w w:val="97"/>
              </w:rPr>
              <w:t>Nine Months Ended</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gridSpan w:val="2"/>
          </w:tcPr>
          <w:p>
            <w:pPr>
              <w:jc w:val="center"/>
              <w:ind w:right="280"/>
              <w:spacing w:after="0" w:line="243" w:lineRule="exact"/>
              <w:rPr>
                <w:sz w:val="20"/>
                <w:szCs w:val="20"/>
                <w:color w:val="auto"/>
              </w:rPr>
            </w:pPr>
            <w:r>
              <w:rPr>
                <w:rFonts w:ascii="Arial" w:cs="Arial" w:eastAsia="Arial" w:hAnsi="Arial"/>
                <w:sz w:val="22"/>
                <w:szCs w:val="22"/>
                <w:b w:val="1"/>
                <w:bCs w:val="1"/>
                <w:color w:val="auto"/>
                <w:w w:val="95"/>
              </w:rPr>
              <w:t>May 30,</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center"/>
              <w:ind w:right="240"/>
              <w:spacing w:after="0" w:line="243" w:lineRule="exact"/>
              <w:rPr>
                <w:sz w:val="20"/>
                <w:szCs w:val="20"/>
                <w:color w:val="auto"/>
              </w:rPr>
            </w:pPr>
            <w:r>
              <w:rPr>
                <w:rFonts w:ascii="Arial" w:cs="Arial" w:eastAsia="Arial" w:hAnsi="Arial"/>
                <w:sz w:val="22"/>
                <w:szCs w:val="22"/>
                <w:b w:val="1"/>
                <w:bCs w:val="1"/>
                <w:color w:val="auto"/>
                <w:w w:val="95"/>
              </w:rPr>
              <w:t>May 31,</w:t>
            </w: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center"/>
              <w:ind w:right="52"/>
              <w:spacing w:after="0"/>
              <w:rPr>
                <w:sz w:val="20"/>
                <w:szCs w:val="20"/>
                <w:color w:val="auto"/>
              </w:rPr>
            </w:pPr>
            <w:r>
              <w:rPr>
                <w:rFonts w:ascii="Arial" w:cs="Arial" w:eastAsia="Arial" w:hAnsi="Arial"/>
                <w:sz w:val="22"/>
                <w:szCs w:val="22"/>
                <w:b w:val="1"/>
                <w:bCs w:val="1"/>
                <w:color w:val="auto"/>
                <w:w w:val="85"/>
              </w:rPr>
              <w:t>2013</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center"/>
              <w:ind w:right="72"/>
              <w:spacing w:after="0"/>
              <w:rPr>
                <w:sz w:val="20"/>
                <w:szCs w:val="20"/>
                <w:color w:val="auto"/>
              </w:rPr>
            </w:pPr>
            <w:r>
              <w:rPr>
                <w:rFonts w:ascii="Arial" w:cs="Arial" w:eastAsia="Arial" w:hAnsi="Arial"/>
                <w:sz w:val="22"/>
                <w:szCs w:val="22"/>
                <w:b w:val="1"/>
                <w:bCs w:val="1"/>
                <w:color w:val="auto"/>
                <w:w w:val="89"/>
              </w:rPr>
              <w:t>2012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Net cash provided by operating activities</w:t>
            </w:r>
          </w:p>
        </w:tc>
        <w:tc>
          <w:tcPr>
            <w:tcW w:w="1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gridSpan w:val="2"/>
            <w:shd w:val="clear" w:color="auto" w:fill="CCEEFF"/>
          </w:tcPr>
          <w:p>
            <w:pPr>
              <w:jc w:val="right"/>
              <w:ind w:right="60"/>
              <w:spacing w:after="0" w:line="243" w:lineRule="exact"/>
              <w:rPr>
                <w:sz w:val="20"/>
                <w:szCs w:val="20"/>
                <w:color w:val="auto"/>
              </w:rPr>
            </w:pPr>
            <w:r>
              <w:rPr>
                <w:rFonts w:ascii="Arial" w:cs="Arial" w:eastAsia="Arial" w:hAnsi="Arial"/>
                <w:sz w:val="22"/>
                <w:szCs w:val="22"/>
                <w:color w:val="auto"/>
              </w:rPr>
              <w:t>$</w:t>
            </w:r>
          </w:p>
        </w:tc>
        <w:tc>
          <w:tcPr>
            <w:tcW w:w="112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1,094</w:t>
            </w:r>
          </w:p>
        </w:tc>
        <w:tc>
          <w:tcPr>
            <w:tcW w:w="240" w:type="dxa"/>
            <w:vAlign w:val="bottom"/>
            <w:gridSpan w:val="2"/>
            <w:shd w:val="clear" w:color="auto" w:fill="CCEEFF"/>
          </w:tcPr>
          <w:p>
            <w:pPr>
              <w:jc w:val="right"/>
              <w:ind w:right="60"/>
              <w:spacing w:after="0" w:line="243" w:lineRule="exact"/>
              <w:rPr>
                <w:sz w:val="20"/>
                <w:szCs w:val="20"/>
                <w:color w:val="auto"/>
              </w:rPr>
            </w:pPr>
            <w:r>
              <w:rPr>
                <w:rFonts w:ascii="Arial" w:cs="Arial" w:eastAsia="Arial" w:hAnsi="Arial"/>
                <w:sz w:val="22"/>
                <w:szCs w:val="22"/>
                <w:color w:val="auto"/>
              </w:rPr>
              <w:t>$</w:t>
            </w:r>
          </w:p>
        </w:tc>
        <w:tc>
          <w:tcPr>
            <w:tcW w:w="108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1,664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tcPr>
          <w:p>
            <w:pPr>
              <w:spacing w:after="0" w:line="243" w:lineRule="exact"/>
              <w:rPr>
                <w:sz w:val="20"/>
                <w:szCs w:val="20"/>
                <w:color w:val="auto"/>
              </w:rPr>
            </w:pPr>
            <w:r>
              <w:rPr>
                <w:rFonts w:ascii="Arial" w:cs="Arial" w:eastAsia="Arial" w:hAnsi="Arial"/>
                <w:sz w:val="22"/>
                <w:szCs w:val="22"/>
                <w:color w:val="auto"/>
              </w:rPr>
              <w:t>Net cash used for investing activities</w:t>
            </w: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gridSpan w:val="2"/>
          </w:tcPr>
          <w:p>
            <w:pPr>
              <w:jc w:val="right"/>
              <w:ind w:right="60"/>
              <w:spacing w:after="0" w:line="243" w:lineRule="exact"/>
              <w:rPr>
                <w:sz w:val="20"/>
                <w:szCs w:val="20"/>
                <w:color w:val="auto"/>
              </w:rPr>
            </w:pPr>
            <w:r>
              <w:rPr>
                <w:rFonts w:ascii="Arial" w:cs="Arial" w:eastAsia="Arial" w:hAnsi="Arial"/>
                <w:sz w:val="22"/>
                <w:szCs w:val="22"/>
                <w:color w:val="auto"/>
              </w:rPr>
              <w:t>(1,170)</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40"/>
              <w:spacing w:after="0" w:line="243" w:lineRule="exact"/>
              <w:rPr>
                <w:sz w:val="20"/>
                <w:szCs w:val="20"/>
                <w:color w:val="auto"/>
              </w:rPr>
            </w:pPr>
            <w:r>
              <w:rPr>
                <w:rFonts w:ascii="Arial" w:cs="Arial" w:eastAsia="Arial" w:hAnsi="Arial"/>
                <w:sz w:val="22"/>
                <w:szCs w:val="22"/>
                <w:color w:val="auto"/>
              </w:rPr>
              <w:t>(1,980)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Net cash provided by financing activities</w:t>
            </w:r>
          </w:p>
        </w:tc>
        <w:tc>
          <w:tcPr>
            <w:tcW w:w="1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57</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347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42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Depreciation and amortization</w:t>
            </w:r>
          </w:p>
        </w:tc>
        <w:tc>
          <w:tcPr>
            <w:tcW w:w="1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1,440</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1,713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tcPr>
          <w:p>
            <w:pPr>
              <w:spacing w:after="0" w:line="243" w:lineRule="exact"/>
              <w:rPr>
                <w:sz w:val="20"/>
                <w:szCs w:val="20"/>
                <w:color w:val="auto"/>
              </w:rPr>
            </w:pPr>
            <w:r>
              <w:rPr>
                <w:rFonts w:ascii="Arial" w:cs="Arial" w:eastAsia="Arial" w:hAnsi="Arial"/>
                <w:sz w:val="22"/>
                <w:szCs w:val="22"/>
                <w:color w:val="auto"/>
              </w:rPr>
              <w:t>Expenditures for property, plant and equipment</w:t>
            </w: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gridSpan w:val="2"/>
          </w:tcPr>
          <w:p>
            <w:pPr>
              <w:jc w:val="right"/>
              <w:ind w:right="60"/>
              <w:spacing w:after="0" w:line="243" w:lineRule="exact"/>
              <w:rPr>
                <w:sz w:val="20"/>
                <w:szCs w:val="20"/>
                <w:color w:val="auto"/>
              </w:rPr>
            </w:pPr>
            <w:r>
              <w:rPr>
                <w:rFonts w:ascii="Arial" w:cs="Arial" w:eastAsia="Arial" w:hAnsi="Arial"/>
                <w:sz w:val="22"/>
                <w:szCs w:val="22"/>
                <w:color w:val="auto"/>
              </w:rPr>
              <w:t>(964)</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40"/>
              <w:spacing w:after="0" w:line="243" w:lineRule="exact"/>
              <w:rPr>
                <w:sz w:val="20"/>
                <w:szCs w:val="20"/>
                <w:color w:val="auto"/>
              </w:rPr>
            </w:pPr>
            <w:r>
              <w:rPr>
                <w:rFonts w:ascii="Arial" w:cs="Arial" w:eastAsia="Arial" w:hAnsi="Arial"/>
                <w:sz w:val="22"/>
                <w:szCs w:val="22"/>
                <w:color w:val="auto"/>
              </w:rPr>
              <w:t>(1,367)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Payments on equipment purchase contracts</w:t>
            </w:r>
          </w:p>
        </w:tc>
        <w:tc>
          <w:tcPr>
            <w:tcW w:w="1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60"/>
              <w:spacing w:after="0" w:line="243" w:lineRule="exact"/>
              <w:rPr>
                <w:sz w:val="20"/>
                <w:szCs w:val="20"/>
                <w:color w:val="auto"/>
              </w:rPr>
            </w:pPr>
            <w:r>
              <w:rPr>
                <w:rFonts w:ascii="Arial" w:cs="Arial" w:eastAsia="Arial" w:hAnsi="Arial"/>
                <w:sz w:val="22"/>
                <w:szCs w:val="22"/>
                <w:color w:val="auto"/>
              </w:rPr>
              <w:t>(162)</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40"/>
              <w:spacing w:after="0" w:line="243" w:lineRule="exact"/>
              <w:rPr>
                <w:sz w:val="20"/>
                <w:szCs w:val="20"/>
                <w:color w:val="auto"/>
              </w:rPr>
            </w:pPr>
            <w:r>
              <w:rPr>
                <w:rFonts w:ascii="Arial" w:cs="Arial" w:eastAsia="Arial" w:hAnsi="Arial"/>
                <w:sz w:val="22"/>
                <w:szCs w:val="22"/>
                <w:color w:val="auto"/>
              </w:rPr>
              <w:t>(132)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tcPr>
          <w:p>
            <w:pPr>
              <w:spacing w:after="0" w:line="243" w:lineRule="exact"/>
              <w:rPr>
                <w:sz w:val="20"/>
                <w:szCs w:val="20"/>
                <w:color w:val="auto"/>
              </w:rPr>
            </w:pPr>
            <w:r>
              <w:rPr>
                <w:rFonts w:ascii="Arial" w:cs="Arial" w:eastAsia="Arial" w:hAnsi="Arial"/>
                <w:sz w:val="22"/>
                <w:szCs w:val="22"/>
                <w:color w:val="auto"/>
                <w:w w:val="97"/>
              </w:rPr>
              <w:t>Net contributions from (distributions to/acquisitions of) noncontrolling interests</w:t>
            </w: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gridSpan w:val="2"/>
          </w:tcPr>
          <w:p>
            <w:pPr>
              <w:jc w:val="right"/>
              <w:ind w:right="60"/>
              <w:spacing w:after="0" w:line="243" w:lineRule="exact"/>
              <w:rPr>
                <w:sz w:val="20"/>
                <w:szCs w:val="20"/>
                <w:color w:val="auto"/>
              </w:rPr>
            </w:pPr>
            <w:r>
              <w:rPr>
                <w:rFonts w:ascii="Arial" w:cs="Arial" w:eastAsia="Arial" w:hAnsi="Arial"/>
                <w:sz w:val="22"/>
                <w:szCs w:val="22"/>
                <w:color w:val="auto"/>
              </w:rPr>
              <w:t>(22)</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40"/>
              <w:spacing w:after="0" w:line="243" w:lineRule="exact"/>
              <w:rPr>
                <w:sz w:val="20"/>
                <w:szCs w:val="20"/>
                <w:color w:val="auto"/>
              </w:rPr>
            </w:pPr>
            <w:r>
              <w:rPr>
                <w:rFonts w:ascii="Arial" w:cs="Arial" w:eastAsia="Arial" w:hAnsi="Arial"/>
                <w:sz w:val="22"/>
                <w:szCs w:val="22"/>
                <w:color w:val="auto"/>
              </w:rPr>
              <w:t>(702)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Noncash equipment acquisitions on contracts payable and capital leases</w:t>
            </w:r>
          </w:p>
        </w:tc>
        <w:tc>
          <w:tcPr>
            <w:tcW w:w="1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387</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643</w:t>
            </w:r>
          </w:p>
        </w:tc>
        <w:tc>
          <w:tcPr>
            <w:tcW w:w="0" w:type="dxa"/>
            <w:vAlign w:val="bottom"/>
          </w:tcPr>
          <w:p>
            <w:pPr>
              <w:spacing w:after="0"/>
              <w:rPr>
                <w:sz w:val="1"/>
                <w:szCs w:val="1"/>
                <w:color w:val="auto"/>
              </w:rPr>
            </w:pPr>
          </w:p>
        </w:tc>
      </w:tr>
      <w:tr>
        <w:trPr>
          <w:trHeight w:val="659"/>
        </w:trPr>
        <w:tc>
          <w:tcPr>
            <w:tcW w:w="20" w:type="dxa"/>
            <w:vAlign w:val="bottom"/>
          </w:tcPr>
          <w:p>
            <w:pPr>
              <w:spacing w:after="0"/>
              <w:rPr>
                <w:sz w:val="24"/>
                <w:szCs w:val="24"/>
                <w:color w:val="auto"/>
              </w:rPr>
            </w:pPr>
          </w:p>
        </w:tc>
        <w:tc>
          <w:tcPr>
            <w:tcW w:w="742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100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47" w:right="239" w:bottom="1440" w:gutter="0" w:footer="0" w:header="0"/>
        </w:sectPr>
      </w:pPr>
    </w:p>
    <w:bookmarkStart w:id="8" w:name="page9"/>
    <w:bookmarkEnd w:id="8"/>
    <w:p>
      <w:pPr>
        <w:ind w:left="20"/>
        <w:spacing w:after="0"/>
        <w:rPr>
          <w:sz w:val="20"/>
          <w:szCs w:val="20"/>
          <w:color w:val="auto"/>
        </w:rPr>
      </w:pPr>
      <w:r>
        <w:rPr>
          <w:rFonts w:ascii="Arial" w:cs="Arial" w:eastAsia="Arial" w:hAnsi="Arial"/>
          <w:sz w:val="22"/>
          <w:szCs w:val="22"/>
          <w:color w:val="auto"/>
        </w:rPr>
        <w:t>(1) Restructure and asset impairments consisted of the following: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center"/>
              <w:ind w:right="32"/>
              <w:spacing w:after="0"/>
              <w:rPr>
                <w:sz w:val="20"/>
                <w:szCs w:val="20"/>
                <w:color w:val="auto"/>
              </w:rPr>
            </w:pPr>
            <w:r>
              <w:rPr>
                <w:rFonts w:ascii="Arial" w:cs="Arial" w:eastAsia="Arial" w:hAnsi="Arial"/>
                <w:sz w:val="22"/>
                <w:szCs w:val="22"/>
                <w:b w:val="1"/>
                <w:bCs w:val="1"/>
                <w:color w:val="auto"/>
                <w:w w:val="93"/>
              </w:rPr>
              <w:t>3rd Qtr.</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22"/>
                <w:szCs w:val="22"/>
                <w:b w:val="1"/>
                <w:bCs w:val="1"/>
                <w:color w:val="auto"/>
                <w:w w:val="92"/>
              </w:rPr>
              <w:t>2nd Qtr.</w:t>
            </w:r>
          </w:p>
        </w:tc>
        <w:tc>
          <w:tcPr>
            <w:tcW w:w="80" w:type="dxa"/>
            <w:vAlign w:val="bottom"/>
          </w:tcPr>
          <w:p>
            <w:pPr>
              <w:spacing w:after="0"/>
              <w:rPr>
                <w:sz w:val="21"/>
                <w:szCs w:val="21"/>
                <w:color w:val="auto"/>
              </w:rPr>
            </w:pPr>
          </w:p>
        </w:tc>
        <w:tc>
          <w:tcPr>
            <w:tcW w:w="960" w:type="dxa"/>
            <w:vAlign w:val="bottom"/>
          </w:tcPr>
          <w:p>
            <w:pPr>
              <w:jc w:val="center"/>
              <w:ind w:left="52"/>
              <w:spacing w:after="0"/>
              <w:rPr>
                <w:sz w:val="20"/>
                <w:szCs w:val="20"/>
                <w:color w:val="auto"/>
              </w:rPr>
            </w:pPr>
            <w:r>
              <w:rPr>
                <w:rFonts w:ascii="Arial" w:cs="Arial" w:eastAsia="Arial" w:hAnsi="Arial"/>
                <w:sz w:val="22"/>
                <w:szCs w:val="22"/>
                <w:b w:val="1"/>
                <w:bCs w:val="1"/>
                <w:color w:val="auto"/>
                <w:w w:val="95"/>
              </w:rPr>
              <w:t>3rd Qtr.</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40" w:type="dxa"/>
            <w:vAlign w:val="bottom"/>
            <w:gridSpan w:val="6"/>
          </w:tcPr>
          <w:p>
            <w:pPr>
              <w:ind w:left="160"/>
              <w:spacing w:after="0"/>
              <w:rPr>
                <w:sz w:val="20"/>
                <w:szCs w:val="20"/>
                <w:color w:val="auto"/>
              </w:rPr>
            </w:pPr>
            <w:r>
              <w:rPr>
                <w:rFonts w:ascii="Arial" w:cs="Arial" w:eastAsia="Arial" w:hAnsi="Arial"/>
                <w:sz w:val="22"/>
                <w:szCs w:val="22"/>
                <w:b w:val="1"/>
                <w:bCs w:val="1"/>
                <w:color w:val="auto"/>
              </w:rPr>
              <w:t>Nine Months Ended</w:t>
            </w:r>
          </w:p>
        </w:tc>
      </w:tr>
      <w:tr>
        <w:trPr>
          <w:trHeight w:val="243"/>
        </w:trPr>
        <w:tc>
          <w:tcPr>
            <w:tcW w:w="4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center"/>
              <w:ind w:right="32"/>
              <w:spacing w:after="0" w:line="243" w:lineRule="exact"/>
              <w:rPr>
                <w:sz w:val="20"/>
                <w:szCs w:val="20"/>
                <w:color w:val="auto"/>
              </w:rPr>
            </w:pPr>
            <w:r>
              <w:rPr>
                <w:rFonts w:ascii="Arial" w:cs="Arial" w:eastAsia="Arial" w:hAnsi="Arial"/>
                <w:sz w:val="22"/>
                <w:szCs w:val="22"/>
                <w:b w:val="1"/>
                <w:bCs w:val="1"/>
                <w:color w:val="auto"/>
                <w:w w:val="93"/>
              </w:rPr>
              <w:t>May 30,</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center"/>
              <w:ind w:right="300"/>
              <w:spacing w:after="0" w:line="243" w:lineRule="exact"/>
              <w:rPr>
                <w:sz w:val="20"/>
                <w:szCs w:val="20"/>
                <w:color w:val="auto"/>
              </w:rPr>
            </w:pPr>
            <w:r>
              <w:rPr>
                <w:rFonts w:ascii="Arial" w:cs="Arial" w:eastAsia="Arial" w:hAnsi="Arial"/>
                <w:sz w:val="22"/>
                <w:szCs w:val="22"/>
                <w:b w:val="1"/>
                <w:bCs w:val="1"/>
                <w:color w:val="auto"/>
                <w:w w:val="87"/>
              </w:rPr>
              <w:t>Feb. 28,</w:t>
            </w:r>
          </w:p>
        </w:tc>
        <w:tc>
          <w:tcPr>
            <w:tcW w:w="80" w:type="dxa"/>
            <w:vAlign w:val="bottom"/>
          </w:tcPr>
          <w:p>
            <w:pPr>
              <w:spacing w:after="0"/>
              <w:rPr>
                <w:sz w:val="21"/>
                <w:szCs w:val="21"/>
                <w:color w:val="auto"/>
              </w:rPr>
            </w:pPr>
          </w:p>
        </w:tc>
        <w:tc>
          <w:tcPr>
            <w:tcW w:w="960" w:type="dxa"/>
            <w:vAlign w:val="bottom"/>
          </w:tcPr>
          <w:p>
            <w:pPr>
              <w:jc w:val="center"/>
              <w:ind w:left="72"/>
              <w:spacing w:after="0" w:line="243" w:lineRule="exact"/>
              <w:rPr>
                <w:sz w:val="20"/>
                <w:szCs w:val="20"/>
                <w:color w:val="auto"/>
              </w:rPr>
            </w:pPr>
            <w:r>
              <w:rPr>
                <w:rFonts w:ascii="Arial" w:cs="Arial" w:eastAsia="Arial" w:hAnsi="Arial"/>
                <w:sz w:val="22"/>
                <w:szCs w:val="22"/>
                <w:b w:val="1"/>
                <w:bCs w:val="1"/>
                <w:color w:val="auto"/>
                <w:w w:val="93"/>
              </w:rPr>
              <w:t>May 31,</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gridSpan w:val="2"/>
          </w:tcPr>
          <w:p>
            <w:pPr>
              <w:jc w:val="center"/>
              <w:ind w:right="300"/>
              <w:spacing w:after="0" w:line="243" w:lineRule="exact"/>
              <w:rPr>
                <w:sz w:val="20"/>
                <w:szCs w:val="20"/>
                <w:color w:val="auto"/>
              </w:rPr>
            </w:pPr>
            <w:r>
              <w:rPr>
                <w:rFonts w:ascii="Arial" w:cs="Arial" w:eastAsia="Arial" w:hAnsi="Arial"/>
                <w:sz w:val="22"/>
                <w:szCs w:val="22"/>
                <w:b w:val="1"/>
                <w:bCs w:val="1"/>
                <w:color w:val="auto"/>
                <w:w w:val="93"/>
              </w:rPr>
              <w:t>May 30,</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ind w:left="60"/>
              <w:spacing w:after="0" w:line="243" w:lineRule="exact"/>
              <w:rPr>
                <w:sz w:val="20"/>
                <w:szCs w:val="20"/>
                <w:color w:val="auto"/>
              </w:rPr>
            </w:pPr>
            <w:r>
              <w:rPr>
                <w:rFonts w:ascii="Arial" w:cs="Arial" w:eastAsia="Arial" w:hAnsi="Arial"/>
                <w:sz w:val="22"/>
                <w:szCs w:val="22"/>
                <w:b w:val="1"/>
                <w:bCs w:val="1"/>
                <w:color w:val="auto"/>
              </w:rPr>
              <w:t>May 31,</w:t>
            </w:r>
          </w:p>
        </w:tc>
      </w:tr>
      <w:tr>
        <w:trPr>
          <w:trHeight w:val="278"/>
        </w:trPr>
        <w:tc>
          <w:tcPr>
            <w:tcW w:w="47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center"/>
              <w:ind w:right="32"/>
              <w:spacing w:after="0"/>
              <w:rPr>
                <w:sz w:val="20"/>
                <w:szCs w:val="20"/>
                <w:color w:val="auto"/>
              </w:rPr>
            </w:pPr>
            <w:r>
              <w:rPr>
                <w:rFonts w:ascii="Arial" w:cs="Arial" w:eastAsia="Arial" w:hAnsi="Arial"/>
                <w:sz w:val="22"/>
                <w:szCs w:val="22"/>
                <w:b w:val="1"/>
                <w:bCs w:val="1"/>
                <w:color w:val="auto"/>
                <w:w w:val="85"/>
              </w:rPr>
              <w:t>2013</w:t>
            </w:r>
          </w:p>
        </w:tc>
        <w:tc>
          <w:tcPr>
            <w:tcW w:w="2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center"/>
              <w:ind w:right="32"/>
              <w:spacing w:after="0"/>
              <w:rPr>
                <w:sz w:val="20"/>
                <w:szCs w:val="20"/>
                <w:color w:val="auto"/>
              </w:rPr>
            </w:pPr>
            <w:r>
              <w:rPr>
                <w:rFonts w:ascii="Arial" w:cs="Arial" w:eastAsia="Arial" w:hAnsi="Arial"/>
                <w:sz w:val="22"/>
                <w:szCs w:val="22"/>
                <w:b w:val="1"/>
                <w:bCs w:val="1"/>
                <w:color w:val="auto"/>
                <w:w w:val="85"/>
              </w:rPr>
              <w:t>2013</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Borders>
              <w:bottom w:val="single" w:sz="8" w:color="auto"/>
            </w:tcBorders>
          </w:tcPr>
          <w:p>
            <w:pPr>
              <w:jc w:val="center"/>
              <w:ind w:left="52"/>
              <w:spacing w:after="0"/>
              <w:rPr>
                <w:sz w:val="20"/>
                <w:szCs w:val="20"/>
                <w:color w:val="auto"/>
              </w:rPr>
            </w:pPr>
            <w:r>
              <w:rPr>
                <w:rFonts w:ascii="Arial" w:cs="Arial" w:eastAsia="Arial" w:hAnsi="Arial"/>
                <w:sz w:val="22"/>
                <w:szCs w:val="22"/>
                <w:b w:val="1"/>
                <w:bCs w:val="1"/>
                <w:color w:val="auto"/>
                <w:w w:val="89"/>
              </w:rPr>
              <w:t>2012</w:t>
            </w:r>
          </w:p>
        </w:tc>
        <w:tc>
          <w:tcPr>
            <w:tcW w:w="18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232"/>
              <w:spacing w:after="0"/>
              <w:rPr>
                <w:sz w:val="20"/>
                <w:szCs w:val="20"/>
                <w:color w:val="auto"/>
              </w:rPr>
            </w:pPr>
            <w:r>
              <w:rPr>
                <w:rFonts w:ascii="Arial" w:cs="Arial" w:eastAsia="Arial" w:hAnsi="Arial"/>
                <w:sz w:val="22"/>
                <w:szCs w:val="22"/>
                <w:b w:val="1"/>
                <w:bCs w:val="1"/>
                <w:color w:val="auto"/>
              </w:rPr>
              <w:t>2013</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52"/>
              <w:spacing w:after="0"/>
              <w:rPr>
                <w:sz w:val="20"/>
                <w:szCs w:val="20"/>
                <w:color w:val="auto"/>
              </w:rPr>
            </w:pPr>
            <w:r>
              <w:rPr>
                <w:rFonts w:ascii="Arial" w:cs="Arial" w:eastAsia="Arial" w:hAnsi="Arial"/>
                <w:sz w:val="22"/>
                <w:szCs w:val="22"/>
                <w:b w:val="1"/>
                <w:bCs w:val="1"/>
                <w:color w:val="auto"/>
              </w:rPr>
              <w:t>2012</w:t>
            </w:r>
          </w:p>
        </w:tc>
        <w:tc>
          <w:tcPr>
            <w:tcW w:w="100" w:type="dxa"/>
            <w:vAlign w:val="bottom"/>
          </w:tcPr>
          <w:p>
            <w:pPr>
              <w:spacing w:after="0"/>
              <w:rPr>
                <w:sz w:val="24"/>
                <w:szCs w:val="24"/>
                <w:color w:val="auto"/>
              </w:rPr>
            </w:pPr>
          </w:p>
        </w:tc>
      </w:tr>
      <w:tr>
        <w:trPr>
          <w:trHeight w:val="243"/>
        </w:trPr>
        <w:tc>
          <w:tcPr>
            <w:tcW w:w="4700" w:type="dxa"/>
            <w:vAlign w:val="bottom"/>
            <w:shd w:val="clear" w:color="auto" w:fill="CCEEFF"/>
          </w:tcPr>
          <w:p>
            <w:pPr>
              <w:ind w:left="340"/>
              <w:spacing w:after="0" w:line="243" w:lineRule="exact"/>
              <w:rPr>
                <w:sz w:val="20"/>
                <w:szCs w:val="20"/>
                <w:color w:val="auto"/>
              </w:rPr>
            </w:pPr>
            <w:r>
              <w:rPr>
                <w:rFonts w:ascii="Arial" w:cs="Arial" w:eastAsia="Arial" w:hAnsi="Arial"/>
                <w:sz w:val="22"/>
                <w:szCs w:val="22"/>
                <w:color w:val="auto"/>
                <w:w w:val="99"/>
              </w:rPr>
              <w:t>Loss on restructure of consortium agreement</w:t>
            </w:r>
          </w:p>
        </w:tc>
        <w:tc>
          <w:tcPr>
            <w:tcW w:w="16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w w:val="81"/>
              </w:rPr>
              <w:t>$</w:t>
            </w:r>
          </w:p>
        </w:tc>
        <w:tc>
          <w:tcPr>
            <w:tcW w:w="100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26</w:t>
            </w:r>
          </w:p>
        </w:tc>
        <w:tc>
          <w:tcPr>
            <w:tcW w:w="400" w:type="dxa"/>
            <w:vAlign w:val="bottom"/>
            <w:gridSpan w:val="2"/>
            <w:shd w:val="clear" w:color="auto" w:fill="CCEEFF"/>
          </w:tcPr>
          <w:p>
            <w:pPr>
              <w:jc w:val="right"/>
              <w:ind w:right="40"/>
              <w:spacing w:after="0" w:line="243" w:lineRule="exact"/>
              <w:rPr>
                <w:sz w:val="20"/>
                <w:szCs w:val="20"/>
                <w:color w:val="auto"/>
              </w:rPr>
            </w:pPr>
            <w:r>
              <w:rPr>
                <w:rFonts w:ascii="Arial" w:cs="Arial" w:eastAsia="Arial" w:hAnsi="Arial"/>
                <w:sz w:val="22"/>
                <w:szCs w:val="22"/>
                <w:color w:val="auto"/>
              </w:rPr>
              <w:t>$</w:t>
            </w:r>
          </w:p>
        </w:tc>
        <w:tc>
          <w:tcPr>
            <w:tcW w:w="114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w:t>
            </w:r>
          </w:p>
        </w:tc>
        <w:tc>
          <w:tcPr>
            <w:tcW w:w="1040" w:type="dxa"/>
            <w:vAlign w:val="bottom"/>
            <w:gridSpan w:val="2"/>
            <w:shd w:val="clear" w:color="auto" w:fill="CCEEFF"/>
          </w:tcPr>
          <w:p>
            <w:pPr>
              <w:jc w:val="right"/>
              <w:ind w:right="752"/>
              <w:spacing w:after="0" w:line="243" w:lineRule="exact"/>
              <w:rPr>
                <w:sz w:val="20"/>
                <w:szCs w:val="20"/>
                <w:color w:val="auto"/>
              </w:rPr>
            </w:pPr>
            <w:r>
              <w:rPr>
                <w:rFonts w:ascii="Arial" w:cs="Arial" w:eastAsia="Arial" w:hAnsi="Arial"/>
                <w:sz w:val="22"/>
                <w:szCs w:val="22"/>
                <w:color w:val="auto"/>
              </w:rPr>
              <w:t>$</w:t>
            </w:r>
          </w:p>
        </w:tc>
        <w:tc>
          <w:tcPr>
            <w:tcW w:w="18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w:t>
            </w:r>
          </w:p>
        </w:tc>
        <w:tc>
          <w:tcPr>
            <w:tcW w:w="360" w:type="dxa"/>
            <w:vAlign w:val="bottom"/>
            <w:gridSpan w:val="2"/>
            <w:shd w:val="clear" w:color="auto" w:fill="CCEEFF"/>
          </w:tcPr>
          <w:p>
            <w:pPr>
              <w:jc w:val="right"/>
              <w:ind w:right="40"/>
              <w:spacing w:after="0" w:line="243" w:lineRule="exact"/>
              <w:rPr>
                <w:sz w:val="20"/>
                <w:szCs w:val="20"/>
                <w:color w:val="auto"/>
              </w:rPr>
            </w:pPr>
            <w:r>
              <w:rPr>
                <w:rFonts w:ascii="Arial" w:cs="Arial" w:eastAsia="Arial" w:hAnsi="Arial"/>
                <w:sz w:val="22"/>
                <w:szCs w:val="22"/>
                <w:color w:val="auto"/>
              </w:rPr>
              <w:t>$</w:t>
            </w:r>
          </w:p>
        </w:tc>
        <w:tc>
          <w:tcPr>
            <w:tcW w:w="112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26</w:t>
            </w:r>
          </w:p>
        </w:tc>
        <w:tc>
          <w:tcPr>
            <w:tcW w:w="220" w:type="dxa"/>
            <w:vAlign w:val="bottom"/>
            <w:gridSpan w:val="2"/>
            <w:shd w:val="clear" w:color="auto" w:fill="CCEEFF"/>
          </w:tcPr>
          <w:p>
            <w:pPr>
              <w:jc w:val="right"/>
              <w:ind w:right="40"/>
              <w:spacing w:after="0" w:line="243" w:lineRule="exact"/>
              <w:rPr>
                <w:sz w:val="20"/>
                <w:szCs w:val="20"/>
                <w:color w:val="auto"/>
              </w:rPr>
            </w:pPr>
            <w:r>
              <w:rPr>
                <w:rFonts w:ascii="Arial" w:cs="Arial" w:eastAsia="Arial" w:hAnsi="Arial"/>
                <w:sz w:val="22"/>
                <w:szCs w:val="22"/>
                <w:color w:val="auto"/>
              </w:rPr>
              <w:t>$</w:t>
            </w:r>
          </w:p>
        </w:tc>
        <w:tc>
          <w:tcPr>
            <w:tcW w:w="110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w:t>
            </w:r>
          </w:p>
        </w:tc>
      </w:tr>
      <w:tr>
        <w:trPr>
          <w:trHeight w:val="243"/>
        </w:trPr>
        <w:tc>
          <w:tcPr>
            <w:tcW w:w="4700" w:type="dxa"/>
            <w:vAlign w:val="bottom"/>
          </w:tcPr>
          <w:p>
            <w:pPr>
              <w:ind w:left="340"/>
              <w:spacing w:after="0" w:line="243" w:lineRule="exact"/>
              <w:rPr>
                <w:sz w:val="20"/>
                <w:szCs w:val="20"/>
                <w:color w:val="auto"/>
              </w:rPr>
            </w:pPr>
            <w:r>
              <w:rPr>
                <w:rFonts w:ascii="Arial" w:cs="Arial" w:eastAsia="Arial" w:hAnsi="Arial"/>
                <w:sz w:val="22"/>
                <w:szCs w:val="22"/>
                <w:color w:val="auto"/>
              </w:rPr>
              <w:t>Loss on impairment of LED assets</w:t>
            </w:r>
          </w:p>
        </w:tc>
        <w:tc>
          <w:tcPr>
            <w:tcW w:w="160" w:type="dxa"/>
            <w:vAlign w:val="bottom"/>
          </w:tcPr>
          <w:p>
            <w:pPr>
              <w:spacing w:after="0"/>
              <w:rPr>
                <w:sz w:val="21"/>
                <w:szCs w:val="21"/>
                <w:color w:val="auto"/>
              </w:rPr>
            </w:pPr>
          </w:p>
        </w:tc>
        <w:tc>
          <w:tcPr>
            <w:tcW w:w="1000" w:type="dxa"/>
            <w:vAlign w:val="bottom"/>
          </w:tcPr>
          <w:p>
            <w:pPr>
              <w:jc w:val="right"/>
              <w:spacing w:after="0" w:line="243" w:lineRule="exact"/>
              <w:rPr>
                <w:sz w:val="20"/>
                <w:szCs w:val="20"/>
                <w:color w:val="auto"/>
              </w:rPr>
            </w:pPr>
            <w:r>
              <w:rPr>
                <w:rFonts w:ascii="Arial" w:cs="Arial" w:eastAsia="Arial" w:hAnsi="Arial"/>
                <w:sz w:val="22"/>
                <w:szCs w:val="22"/>
                <w:color w:val="auto"/>
              </w:rPr>
              <w:t>25</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1</w:t>
            </w: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80" w:type="dxa"/>
            <w:vAlign w:val="bottom"/>
          </w:tcPr>
          <w:p>
            <w:pPr>
              <w:jc w:val="right"/>
              <w:spacing w:after="0" w:line="243" w:lineRule="exact"/>
              <w:rPr>
                <w:sz w:val="20"/>
                <w:szCs w:val="20"/>
                <w:color w:val="auto"/>
              </w:rPr>
            </w:pPr>
            <w:r>
              <w:rPr>
                <w:rFonts w:ascii="Arial" w:cs="Arial" w:eastAsia="Arial" w:hAnsi="Arial"/>
                <w:sz w:val="22"/>
                <w:szCs w:val="22"/>
                <w:color w:val="auto"/>
              </w:rPr>
              <w:t>--</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29</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w:t>
            </w:r>
          </w:p>
        </w:tc>
      </w:tr>
      <w:tr>
        <w:trPr>
          <w:trHeight w:val="243"/>
        </w:trPr>
        <w:tc>
          <w:tcPr>
            <w:tcW w:w="4700" w:type="dxa"/>
            <w:vAlign w:val="bottom"/>
            <w:shd w:val="clear" w:color="auto" w:fill="CCEEFF"/>
          </w:tcPr>
          <w:p>
            <w:pPr>
              <w:ind w:left="340"/>
              <w:spacing w:after="0" w:line="243" w:lineRule="exact"/>
              <w:rPr>
                <w:sz w:val="20"/>
                <w:szCs w:val="20"/>
                <w:color w:val="auto"/>
              </w:rPr>
            </w:pPr>
            <w:r>
              <w:rPr>
                <w:rFonts w:ascii="Arial" w:cs="Arial" w:eastAsia="Arial" w:hAnsi="Arial"/>
                <w:sz w:val="22"/>
                <w:szCs w:val="22"/>
                <w:color w:val="auto"/>
              </w:rPr>
              <w:t>Loss on impairment of MIT assets</w:t>
            </w:r>
          </w:p>
        </w:tc>
        <w:tc>
          <w:tcPr>
            <w:tcW w:w="1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w:t>
            </w:r>
          </w:p>
        </w:tc>
        <w:tc>
          <w:tcPr>
            <w:tcW w:w="2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62</w:t>
            </w:r>
          </w:p>
        </w:tc>
        <w:tc>
          <w:tcPr>
            <w:tcW w:w="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w:t>
            </w: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62</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w:t>
            </w:r>
          </w:p>
        </w:tc>
      </w:tr>
      <w:tr>
        <w:trPr>
          <w:trHeight w:val="243"/>
        </w:trPr>
        <w:tc>
          <w:tcPr>
            <w:tcW w:w="4700" w:type="dxa"/>
            <w:vAlign w:val="bottom"/>
          </w:tcPr>
          <w:p>
            <w:pPr>
              <w:ind w:left="340"/>
              <w:spacing w:after="0" w:line="243" w:lineRule="exact"/>
              <w:rPr>
                <w:sz w:val="20"/>
                <w:szCs w:val="20"/>
                <w:color w:val="auto"/>
              </w:rPr>
            </w:pPr>
            <w:r>
              <w:rPr>
                <w:rFonts w:ascii="Arial" w:cs="Arial" w:eastAsia="Arial" w:hAnsi="Arial"/>
                <w:sz w:val="22"/>
                <w:szCs w:val="22"/>
                <w:color w:val="auto"/>
              </w:rPr>
              <w:t>Gain on termination of Transform lease</w:t>
            </w:r>
          </w:p>
        </w:tc>
        <w:tc>
          <w:tcPr>
            <w:tcW w:w="160" w:type="dxa"/>
            <w:vAlign w:val="bottom"/>
          </w:tcPr>
          <w:p>
            <w:pPr>
              <w:spacing w:after="0"/>
              <w:rPr>
                <w:sz w:val="21"/>
                <w:szCs w:val="21"/>
                <w:color w:val="auto"/>
              </w:rPr>
            </w:pPr>
          </w:p>
        </w:tc>
        <w:tc>
          <w:tcPr>
            <w:tcW w:w="1000" w:type="dxa"/>
            <w:vAlign w:val="bottom"/>
          </w:tcPr>
          <w:p>
            <w:pPr>
              <w:jc w:val="right"/>
              <w:spacing w:after="0" w:line="243" w:lineRule="exact"/>
              <w:rPr>
                <w:sz w:val="20"/>
                <w:szCs w:val="20"/>
                <w:color w:val="auto"/>
              </w:rPr>
            </w:pPr>
            <w:r>
              <w:rPr>
                <w:rFonts w:ascii="Arial" w:cs="Arial" w:eastAsia="Arial" w:hAnsi="Arial"/>
                <w:sz w:val="22"/>
                <w:szCs w:val="22"/>
                <w:color w:val="auto"/>
              </w:rPr>
              <w:t>--</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w:t>
            </w: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80" w:type="dxa"/>
            <w:vAlign w:val="bottom"/>
          </w:tcPr>
          <w:p>
            <w:pPr>
              <w:jc w:val="right"/>
              <w:spacing w:after="0" w:line="243" w:lineRule="exact"/>
              <w:rPr>
                <w:sz w:val="20"/>
                <w:szCs w:val="20"/>
                <w:color w:val="auto"/>
              </w:rPr>
            </w:pPr>
            <w:r>
              <w:rPr>
                <w:rFonts w:ascii="Arial" w:cs="Arial" w:eastAsia="Arial" w:hAnsi="Arial"/>
                <w:sz w:val="22"/>
                <w:szCs w:val="22"/>
                <w:color w:val="auto"/>
              </w:rPr>
              <w:t>--</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gridSpan w:val="2"/>
          </w:tcPr>
          <w:p>
            <w:pPr>
              <w:jc w:val="right"/>
              <w:ind w:right="60"/>
              <w:spacing w:after="0" w:line="243" w:lineRule="exact"/>
              <w:rPr>
                <w:sz w:val="20"/>
                <w:szCs w:val="20"/>
                <w:color w:val="auto"/>
              </w:rPr>
            </w:pPr>
            <w:r>
              <w:rPr>
                <w:rFonts w:ascii="Arial" w:cs="Arial" w:eastAsia="Arial" w:hAnsi="Arial"/>
                <w:sz w:val="22"/>
                <w:szCs w:val="22"/>
                <w:color w:val="auto"/>
              </w:rPr>
              <w:t>(25)</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w:t>
            </w:r>
          </w:p>
        </w:tc>
      </w:tr>
      <w:tr>
        <w:trPr>
          <w:trHeight w:val="243"/>
        </w:trPr>
        <w:tc>
          <w:tcPr>
            <w:tcW w:w="4700" w:type="dxa"/>
            <w:vAlign w:val="bottom"/>
            <w:shd w:val="clear" w:color="auto" w:fill="CCEEFF"/>
          </w:tcPr>
          <w:p>
            <w:pPr>
              <w:ind w:left="340"/>
              <w:spacing w:after="0" w:line="243" w:lineRule="exact"/>
              <w:rPr>
                <w:sz w:val="20"/>
                <w:szCs w:val="20"/>
                <w:color w:val="auto"/>
              </w:rPr>
            </w:pPr>
            <w:r>
              <w:rPr>
                <w:rFonts w:ascii="Arial" w:cs="Arial" w:eastAsia="Arial" w:hAnsi="Arial"/>
                <w:sz w:val="22"/>
                <w:szCs w:val="22"/>
                <w:color w:val="auto"/>
              </w:rPr>
              <w:t>Other</w:t>
            </w:r>
          </w:p>
        </w:tc>
        <w:tc>
          <w:tcPr>
            <w:tcW w:w="1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4</w:t>
            </w:r>
          </w:p>
        </w:tc>
        <w:tc>
          <w:tcPr>
            <w:tcW w:w="2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60"/>
              <w:spacing w:after="0" w:line="243" w:lineRule="exact"/>
              <w:rPr>
                <w:sz w:val="20"/>
                <w:szCs w:val="20"/>
                <w:color w:val="auto"/>
              </w:rPr>
            </w:pPr>
            <w:r>
              <w:rPr>
                <w:rFonts w:ascii="Arial" w:cs="Arial" w:eastAsia="Arial" w:hAnsi="Arial"/>
                <w:sz w:val="22"/>
                <w:szCs w:val="22"/>
                <w:color w:val="auto"/>
              </w:rPr>
              <w:t>(3)</w:t>
            </w:r>
          </w:p>
        </w:tc>
        <w:tc>
          <w:tcPr>
            <w:tcW w:w="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5</w:t>
            </w: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2</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11</w:t>
            </w:r>
          </w:p>
        </w:tc>
      </w:tr>
      <w:tr>
        <w:trPr>
          <w:trHeight w:val="27"/>
        </w:trPr>
        <w:tc>
          <w:tcPr>
            <w:tcW w:w="47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43"/>
        </w:trPr>
        <w:tc>
          <w:tcPr>
            <w:tcW w:w="4700" w:type="dxa"/>
            <w:vAlign w:val="bottom"/>
          </w:tcPr>
          <w:p>
            <w:pPr>
              <w:spacing w:after="0"/>
              <w:rPr>
                <w:sz w:val="21"/>
                <w:szCs w:val="21"/>
                <w:color w:val="auto"/>
              </w:rPr>
            </w:pPr>
          </w:p>
        </w:tc>
        <w:tc>
          <w:tcPr>
            <w:tcW w:w="160" w:type="dxa"/>
            <w:vAlign w:val="bottom"/>
          </w:tcPr>
          <w:p>
            <w:pPr>
              <w:jc w:val="right"/>
              <w:spacing w:after="0" w:line="243" w:lineRule="exact"/>
              <w:rPr>
                <w:sz w:val="20"/>
                <w:szCs w:val="20"/>
                <w:color w:val="auto"/>
              </w:rPr>
            </w:pPr>
            <w:r>
              <w:rPr>
                <w:rFonts w:ascii="Arial" w:cs="Arial" w:eastAsia="Arial" w:hAnsi="Arial"/>
                <w:sz w:val="22"/>
                <w:szCs w:val="22"/>
                <w:color w:val="auto"/>
                <w:w w:val="81"/>
              </w:rPr>
              <w:t>$</w:t>
            </w:r>
          </w:p>
        </w:tc>
        <w:tc>
          <w:tcPr>
            <w:tcW w:w="1000" w:type="dxa"/>
            <w:vAlign w:val="bottom"/>
          </w:tcPr>
          <w:p>
            <w:pPr>
              <w:jc w:val="right"/>
              <w:spacing w:after="0" w:line="243" w:lineRule="exact"/>
              <w:rPr>
                <w:sz w:val="20"/>
                <w:szCs w:val="20"/>
                <w:color w:val="auto"/>
              </w:rPr>
            </w:pPr>
            <w:r>
              <w:rPr>
                <w:rFonts w:ascii="Arial" w:cs="Arial" w:eastAsia="Arial" w:hAnsi="Arial"/>
                <w:sz w:val="22"/>
                <w:szCs w:val="22"/>
                <w:color w:val="auto"/>
              </w:rPr>
              <w:t>55</w:t>
            </w:r>
          </w:p>
        </w:tc>
        <w:tc>
          <w:tcPr>
            <w:tcW w:w="400" w:type="dxa"/>
            <w:vAlign w:val="bottom"/>
            <w:gridSpan w:val="2"/>
          </w:tcPr>
          <w:p>
            <w:pPr>
              <w:jc w:val="right"/>
              <w:ind w:right="40"/>
              <w:spacing w:after="0" w:line="243" w:lineRule="exact"/>
              <w:rPr>
                <w:sz w:val="20"/>
                <w:szCs w:val="20"/>
                <w:color w:val="auto"/>
              </w:rPr>
            </w:pPr>
            <w:r>
              <w:rPr>
                <w:rFonts w:ascii="Arial" w:cs="Arial" w:eastAsia="Arial" w:hAnsi="Arial"/>
                <w:sz w:val="22"/>
                <w:szCs w:val="22"/>
                <w:color w:val="auto"/>
              </w:rPr>
              <w:t>$</w:t>
            </w:r>
          </w:p>
        </w:tc>
        <w:tc>
          <w:tcPr>
            <w:tcW w:w="114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60</w:t>
            </w:r>
          </w:p>
        </w:tc>
        <w:tc>
          <w:tcPr>
            <w:tcW w:w="1040" w:type="dxa"/>
            <w:vAlign w:val="bottom"/>
            <w:gridSpan w:val="2"/>
          </w:tcPr>
          <w:p>
            <w:pPr>
              <w:jc w:val="right"/>
              <w:ind w:right="752"/>
              <w:spacing w:after="0" w:line="243" w:lineRule="exact"/>
              <w:rPr>
                <w:sz w:val="20"/>
                <w:szCs w:val="20"/>
                <w:color w:val="auto"/>
              </w:rPr>
            </w:pPr>
            <w:r>
              <w:rPr>
                <w:rFonts w:ascii="Arial" w:cs="Arial" w:eastAsia="Arial" w:hAnsi="Arial"/>
                <w:sz w:val="22"/>
                <w:szCs w:val="22"/>
                <w:color w:val="auto"/>
              </w:rPr>
              <w:t>$</w:t>
            </w:r>
          </w:p>
        </w:tc>
        <w:tc>
          <w:tcPr>
            <w:tcW w:w="180" w:type="dxa"/>
            <w:vAlign w:val="bottom"/>
          </w:tcPr>
          <w:p>
            <w:pPr>
              <w:jc w:val="right"/>
              <w:spacing w:after="0" w:line="243" w:lineRule="exact"/>
              <w:rPr>
                <w:sz w:val="20"/>
                <w:szCs w:val="20"/>
                <w:color w:val="auto"/>
              </w:rPr>
            </w:pPr>
            <w:r>
              <w:rPr>
                <w:rFonts w:ascii="Arial" w:cs="Arial" w:eastAsia="Arial" w:hAnsi="Arial"/>
                <w:sz w:val="22"/>
                <w:szCs w:val="22"/>
                <w:color w:val="auto"/>
              </w:rPr>
              <w:t>5</w:t>
            </w:r>
          </w:p>
        </w:tc>
        <w:tc>
          <w:tcPr>
            <w:tcW w:w="360" w:type="dxa"/>
            <w:vAlign w:val="bottom"/>
            <w:gridSpan w:val="2"/>
          </w:tcPr>
          <w:p>
            <w:pPr>
              <w:jc w:val="right"/>
              <w:ind w:right="40"/>
              <w:spacing w:after="0" w:line="243" w:lineRule="exact"/>
              <w:rPr>
                <w:sz w:val="20"/>
                <w:szCs w:val="20"/>
                <w:color w:val="auto"/>
              </w:rPr>
            </w:pPr>
            <w:r>
              <w:rPr>
                <w:rFonts w:ascii="Arial" w:cs="Arial" w:eastAsia="Arial" w:hAnsi="Arial"/>
                <w:sz w:val="22"/>
                <w:szCs w:val="22"/>
                <w:color w:val="auto"/>
              </w:rPr>
              <w:t>$</w:t>
            </w:r>
          </w:p>
        </w:tc>
        <w:tc>
          <w:tcPr>
            <w:tcW w:w="112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94</w:t>
            </w:r>
          </w:p>
        </w:tc>
        <w:tc>
          <w:tcPr>
            <w:tcW w:w="220" w:type="dxa"/>
            <w:vAlign w:val="bottom"/>
            <w:gridSpan w:val="2"/>
          </w:tcPr>
          <w:p>
            <w:pPr>
              <w:jc w:val="right"/>
              <w:ind w:right="40"/>
              <w:spacing w:after="0" w:line="243" w:lineRule="exact"/>
              <w:rPr>
                <w:sz w:val="20"/>
                <w:szCs w:val="20"/>
                <w:color w:val="auto"/>
              </w:rPr>
            </w:pPr>
            <w:r>
              <w:rPr>
                <w:rFonts w:ascii="Arial" w:cs="Arial" w:eastAsia="Arial" w:hAnsi="Arial"/>
                <w:sz w:val="22"/>
                <w:szCs w:val="22"/>
                <w:color w:val="auto"/>
              </w:rPr>
              <w:t>$</w:t>
            </w:r>
          </w:p>
        </w:tc>
        <w:tc>
          <w:tcPr>
            <w:tcW w:w="110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11</w:t>
            </w:r>
          </w:p>
        </w:tc>
      </w:tr>
      <w:tr>
        <w:trPr>
          <w:trHeight w:val="21"/>
        </w:trPr>
        <w:tc>
          <w:tcPr>
            <w:tcW w:w="4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2" w:lineRule="exact"/>
        <w:rPr>
          <w:sz w:val="20"/>
          <w:szCs w:val="20"/>
          <w:color w:val="auto"/>
        </w:rPr>
      </w:pPr>
    </w:p>
    <w:p>
      <w:pPr>
        <w:ind w:left="260" w:right="160"/>
        <w:spacing w:after="0" w:line="236" w:lineRule="auto"/>
        <w:rPr>
          <w:sz w:val="20"/>
          <w:szCs w:val="20"/>
          <w:color w:val="auto"/>
        </w:rPr>
      </w:pPr>
      <w:r>
        <w:rPr>
          <w:rFonts w:ascii="Arial" w:cs="Arial" w:eastAsia="Arial" w:hAnsi="Arial"/>
          <w:sz w:val="22"/>
          <w:szCs w:val="22"/>
          <w:color w:val="auto"/>
        </w:rPr>
        <w:t>In the third quarter of fiscal 2013, the company restructured a consortium agreement with STMicroelectronics S.r.l. (“ST”) whereby certain assets and approximately 500 employees from the company’s Agrate, Italy fabrication facility were transferred to ST. The consortium agreement supports the R&amp;D activities of the company and ST and the manufacturing of semi-finished and advanced commercial semiconductor devices. In connection therewith, the company recognized a charge of $26 million in the third quarter of fiscal 2013.</w:t>
      </w:r>
    </w:p>
    <w:p>
      <w:pPr>
        <w:spacing w:after="0" w:line="215" w:lineRule="exact"/>
        <w:rPr>
          <w:sz w:val="20"/>
          <w:szCs w:val="20"/>
          <w:color w:val="auto"/>
        </w:rPr>
      </w:pPr>
    </w:p>
    <w:p>
      <w:pPr>
        <w:ind w:left="260" w:right="60"/>
        <w:spacing w:after="0"/>
        <w:rPr>
          <w:sz w:val="20"/>
          <w:szCs w:val="20"/>
          <w:color w:val="auto"/>
        </w:rPr>
      </w:pPr>
      <w:r>
        <w:rPr>
          <w:rFonts w:ascii="Arial" w:cs="Arial" w:eastAsia="Arial" w:hAnsi="Arial"/>
          <w:sz w:val="22"/>
          <w:szCs w:val="22"/>
          <w:color w:val="auto"/>
        </w:rPr>
        <w:t>In the third quarter of fiscal 2013, the company discontinued the development activities of its Light-emitting Diode (“LED”) operations. In connection therewith, the company recognized a charge of $25 million primarily to write down certain production assets used in the development of LED technology.</w:t>
      </w:r>
    </w:p>
    <w:p>
      <w:pPr>
        <w:spacing w:after="0" w:line="213" w:lineRule="exact"/>
        <w:rPr>
          <w:sz w:val="20"/>
          <w:szCs w:val="20"/>
          <w:color w:val="auto"/>
        </w:rPr>
      </w:pPr>
    </w:p>
    <w:p>
      <w:pPr>
        <w:ind w:left="260" w:right="60"/>
        <w:spacing w:after="0" w:line="277" w:lineRule="auto"/>
        <w:rPr>
          <w:sz w:val="20"/>
          <w:szCs w:val="20"/>
          <w:color w:val="auto"/>
        </w:rPr>
      </w:pPr>
      <w:r>
        <w:rPr>
          <w:rFonts w:ascii="Arial" w:cs="Arial" w:eastAsia="Arial" w:hAnsi="Arial"/>
          <w:sz w:val="19"/>
          <w:szCs w:val="19"/>
          <w:color w:val="auto"/>
        </w:rPr>
        <w:t>On February 25, 2013, the company entered into an agreement to sell Micron Technology Italia, S.r.l. (“MIT”), a wholly-owned subsidiary, including its 200 millimeter wafer fabrication facility assets in Avezzano, Italy, to LFoundry Marsica S.r.l. (“LFoundry”). The transaction closed on May 3, 2013. In exchange for the shares of MIT, the company received a long-term note from LFoundry. Under the terms of the agreements, the company assigned to LFoundry its supply agreement with Aptina Imaging Corporation (“Aptina”) for CMOS image sensors manufactured at the Avezzano facility. The assets and liabilities of MIT were classified as held for sale in the second quarter of fiscal 2013 and were written down to their estimated fair values. As a result, in the second quarter of fiscal 2013, the company recorded an impairment loss of $62 million.</w:t>
      </w:r>
    </w:p>
    <w:p>
      <w:pPr>
        <w:spacing w:after="0" w:line="180" w:lineRule="exact"/>
        <w:rPr>
          <w:sz w:val="20"/>
          <w:szCs w:val="20"/>
          <w:color w:val="auto"/>
        </w:rPr>
      </w:pPr>
    </w:p>
    <w:p>
      <w:pPr>
        <w:ind w:left="20"/>
        <w:spacing w:after="0"/>
        <w:rPr>
          <w:sz w:val="20"/>
          <w:szCs w:val="20"/>
          <w:color w:val="auto"/>
        </w:rPr>
      </w:pPr>
      <w:r>
        <w:rPr>
          <w:rFonts w:ascii="Arial" w:cs="Arial" w:eastAsia="Arial" w:hAnsi="Arial"/>
          <w:sz w:val="22"/>
          <w:szCs w:val="22"/>
          <w:color w:val="auto"/>
        </w:rPr>
        <w:t>(2) Other operating (income) expense consisted of the following: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center"/>
              <w:ind w:left="92"/>
              <w:spacing w:after="0"/>
              <w:rPr>
                <w:sz w:val="20"/>
                <w:szCs w:val="20"/>
                <w:color w:val="auto"/>
              </w:rPr>
            </w:pPr>
            <w:r>
              <w:rPr>
                <w:rFonts w:ascii="Arial" w:cs="Arial" w:eastAsia="Arial" w:hAnsi="Arial"/>
                <w:sz w:val="22"/>
                <w:szCs w:val="22"/>
                <w:b w:val="1"/>
                <w:bCs w:val="1"/>
                <w:color w:val="auto"/>
                <w:w w:val="93"/>
              </w:rPr>
              <w:t>3rd Qtr.</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22"/>
                <w:szCs w:val="22"/>
                <w:b w:val="1"/>
                <w:bCs w:val="1"/>
                <w:color w:val="auto"/>
                <w:w w:val="92"/>
              </w:rPr>
              <w:t>2nd Qtr.</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center"/>
              <w:ind w:right="52"/>
              <w:spacing w:after="0"/>
              <w:rPr>
                <w:sz w:val="20"/>
                <w:szCs w:val="20"/>
                <w:color w:val="auto"/>
              </w:rPr>
            </w:pPr>
            <w:r>
              <w:rPr>
                <w:rFonts w:ascii="Arial" w:cs="Arial" w:eastAsia="Arial" w:hAnsi="Arial"/>
                <w:sz w:val="22"/>
                <w:szCs w:val="22"/>
                <w:b w:val="1"/>
                <w:bCs w:val="1"/>
                <w:color w:val="auto"/>
                <w:w w:val="95"/>
              </w:rPr>
              <w:t>3rd Qtr.</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40" w:type="dxa"/>
            <w:vAlign w:val="bottom"/>
            <w:gridSpan w:val="6"/>
          </w:tcPr>
          <w:p>
            <w:pPr>
              <w:ind w:left="160"/>
              <w:spacing w:after="0"/>
              <w:rPr>
                <w:sz w:val="20"/>
                <w:szCs w:val="20"/>
                <w:color w:val="auto"/>
              </w:rPr>
            </w:pPr>
            <w:r>
              <w:rPr>
                <w:rFonts w:ascii="Arial" w:cs="Arial" w:eastAsia="Arial" w:hAnsi="Arial"/>
                <w:sz w:val="22"/>
                <w:szCs w:val="22"/>
                <w:b w:val="1"/>
                <w:bCs w:val="1"/>
                <w:color w:val="auto"/>
              </w:rPr>
              <w:t>Nine Months Ended</w:t>
            </w:r>
          </w:p>
        </w:tc>
      </w:tr>
      <w:tr>
        <w:trPr>
          <w:trHeight w:val="243"/>
        </w:trPr>
        <w:tc>
          <w:tcPr>
            <w:tcW w:w="4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center"/>
              <w:ind w:left="92"/>
              <w:spacing w:after="0" w:line="243" w:lineRule="exact"/>
              <w:rPr>
                <w:sz w:val="20"/>
                <w:szCs w:val="20"/>
                <w:color w:val="auto"/>
              </w:rPr>
            </w:pPr>
            <w:r>
              <w:rPr>
                <w:rFonts w:ascii="Arial" w:cs="Arial" w:eastAsia="Arial" w:hAnsi="Arial"/>
                <w:sz w:val="22"/>
                <w:szCs w:val="22"/>
                <w:b w:val="1"/>
                <w:bCs w:val="1"/>
                <w:color w:val="auto"/>
                <w:w w:val="93"/>
              </w:rPr>
              <w:t>May 30,</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center"/>
              <w:ind w:right="300"/>
              <w:spacing w:after="0" w:line="243" w:lineRule="exact"/>
              <w:rPr>
                <w:sz w:val="20"/>
                <w:szCs w:val="20"/>
                <w:color w:val="auto"/>
              </w:rPr>
            </w:pPr>
            <w:r>
              <w:rPr>
                <w:rFonts w:ascii="Arial" w:cs="Arial" w:eastAsia="Arial" w:hAnsi="Arial"/>
                <w:sz w:val="22"/>
                <w:szCs w:val="22"/>
                <w:b w:val="1"/>
                <w:bCs w:val="1"/>
                <w:color w:val="auto"/>
                <w:w w:val="87"/>
              </w:rPr>
              <w:t>Feb. 28,</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center"/>
              <w:ind w:right="32"/>
              <w:spacing w:after="0" w:line="243" w:lineRule="exact"/>
              <w:rPr>
                <w:sz w:val="20"/>
                <w:szCs w:val="20"/>
                <w:color w:val="auto"/>
              </w:rPr>
            </w:pPr>
            <w:r>
              <w:rPr>
                <w:rFonts w:ascii="Arial" w:cs="Arial" w:eastAsia="Arial" w:hAnsi="Arial"/>
                <w:sz w:val="22"/>
                <w:szCs w:val="22"/>
                <w:b w:val="1"/>
                <w:bCs w:val="1"/>
                <w:color w:val="auto"/>
                <w:w w:val="93"/>
              </w:rPr>
              <w:t>May 31,</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gridSpan w:val="2"/>
          </w:tcPr>
          <w:p>
            <w:pPr>
              <w:jc w:val="center"/>
              <w:ind w:right="300"/>
              <w:spacing w:after="0" w:line="243" w:lineRule="exact"/>
              <w:rPr>
                <w:sz w:val="20"/>
                <w:szCs w:val="20"/>
                <w:color w:val="auto"/>
              </w:rPr>
            </w:pPr>
            <w:r>
              <w:rPr>
                <w:rFonts w:ascii="Arial" w:cs="Arial" w:eastAsia="Arial" w:hAnsi="Arial"/>
                <w:sz w:val="22"/>
                <w:szCs w:val="22"/>
                <w:b w:val="1"/>
                <w:bCs w:val="1"/>
                <w:color w:val="auto"/>
                <w:w w:val="93"/>
              </w:rPr>
              <w:t>May 30,</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ind w:left="60"/>
              <w:spacing w:after="0" w:line="243" w:lineRule="exact"/>
              <w:rPr>
                <w:sz w:val="20"/>
                <w:szCs w:val="20"/>
                <w:color w:val="auto"/>
              </w:rPr>
            </w:pPr>
            <w:r>
              <w:rPr>
                <w:rFonts w:ascii="Arial" w:cs="Arial" w:eastAsia="Arial" w:hAnsi="Arial"/>
                <w:sz w:val="22"/>
                <w:szCs w:val="22"/>
                <w:b w:val="1"/>
                <w:bCs w:val="1"/>
                <w:color w:val="auto"/>
              </w:rPr>
              <w:t>May 31,</w:t>
            </w:r>
          </w:p>
        </w:tc>
      </w:tr>
      <w:tr>
        <w:trPr>
          <w:trHeight w:val="278"/>
        </w:trPr>
        <w:tc>
          <w:tcPr>
            <w:tcW w:w="4580" w:type="dxa"/>
            <w:vAlign w:val="bottom"/>
          </w:tcPr>
          <w:p>
            <w:pPr>
              <w:spacing w:after="0"/>
              <w:rPr>
                <w:sz w:val="24"/>
                <w:szCs w:val="24"/>
                <w:color w:val="auto"/>
              </w:rPr>
            </w:pPr>
          </w:p>
        </w:tc>
        <w:tc>
          <w:tcPr>
            <w:tcW w:w="1100" w:type="dxa"/>
            <w:vAlign w:val="bottom"/>
            <w:gridSpan w:val="2"/>
          </w:tcPr>
          <w:p>
            <w:pPr>
              <w:jc w:val="center"/>
              <w:ind w:left="212"/>
              <w:spacing w:after="0"/>
              <w:rPr>
                <w:sz w:val="20"/>
                <w:szCs w:val="20"/>
                <w:color w:val="auto"/>
              </w:rPr>
            </w:pPr>
            <w:r>
              <w:rPr>
                <w:rFonts w:ascii="Arial" w:cs="Arial" w:eastAsia="Arial" w:hAnsi="Arial"/>
                <w:sz w:val="22"/>
                <w:szCs w:val="22"/>
                <w:b w:val="1"/>
                <w:bCs w:val="1"/>
                <w:color w:val="auto"/>
                <w:w w:val="85"/>
              </w:rPr>
              <w:t>2013</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center"/>
              <w:ind w:right="32"/>
              <w:spacing w:after="0"/>
              <w:rPr>
                <w:sz w:val="20"/>
                <w:szCs w:val="20"/>
                <w:color w:val="auto"/>
              </w:rPr>
            </w:pPr>
            <w:r>
              <w:rPr>
                <w:rFonts w:ascii="Arial" w:cs="Arial" w:eastAsia="Arial" w:hAnsi="Arial"/>
                <w:sz w:val="22"/>
                <w:szCs w:val="22"/>
                <w:b w:val="1"/>
                <w:bCs w:val="1"/>
                <w:color w:val="auto"/>
                <w:w w:val="85"/>
              </w:rPr>
              <w:t>2013</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center"/>
              <w:ind w:right="52"/>
              <w:spacing w:after="0"/>
              <w:rPr>
                <w:sz w:val="20"/>
                <w:szCs w:val="20"/>
                <w:color w:val="auto"/>
              </w:rPr>
            </w:pPr>
            <w:r>
              <w:rPr>
                <w:rFonts w:ascii="Arial" w:cs="Arial" w:eastAsia="Arial" w:hAnsi="Arial"/>
                <w:sz w:val="22"/>
                <w:szCs w:val="22"/>
                <w:b w:val="1"/>
                <w:bCs w:val="1"/>
                <w:color w:val="auto"/>
                <w:w w:val="89"/>
              </w:rPr>
              <w:t>2012</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ind w:right="232"/>
              <w:spacing w:after="0"/>
              <w:rPr>
                <w:sz w:val="20"/>
                <w:szCs w:val="20"/>
                <w:color w:val="auto"/>
              </w:rPr>
            </w:pPr>
            <w:r>
              <w:rPr>
                <w:rFonts w:ascii="Arial" w:cs="Arial" w:eastAsia="Arial" w:hAnsi="Arial"/>
                <w:sz w:val="22"/>
                <w:szCs w:val="22"/>
                <w:b w:val="1"/>
                <w:bCs w:val="1"/>
                <w:color w:val="auto"/>
              </w:rPr>
              <w:t>2013</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right"/>
              <w:ind w:right="252"/>
              <w:spacing w:after="0"/>
              <w:rPr>
                <w:sz w:val="20"/>
                <w:szCs w:val="20"/>
                <w:color w:val="auto"/>
              </w:rPr>
            </w:pPr>
            <w:r>
              <w:rPr>
                <w:rFonts w:ascii="Arial" w:cs="Arial" w:eastAsia="Arial" w:hAnsi="Arial"/>
                <w:sz w:val="22"/>
                <w:szCs w:val="22"/>
                <w:b w:val="1"/>
                <w:bCs w:val="1"/>
                <w:color w:val="auto"/>
              </w:rPr>
              <w:t>2012</w:t>
            </w:r>
          </w:p>
        </w:tc>
        <w:tc>
          <w:tcPr>
            <w:tcW w:w="100" w:type="dxa"/>
            <w:vAlign w:val="bottom"/>
          </w:tcPr>
          <w:p>
            <w:pPr>
              <w:spacing w:after="0"/>
              <w:rPr>
                <w:sz w:val="24"/>
                <w:szCs w:val="24"/>
                <w:color w:val="auto"/>
              </w:rPr>
            </w:pPr>
          </w:p>
        </w:tc>
      </w:tr>
      <w:tr>
        <w:trPr>
          <w:trHeight w:val="222"/>
        </w:trPr>
        <w:tc>
          <w:tcPr>
            <w:tcW w:w="4580" w:type="dxa"/>
            <w:vAlign w:val="bottom"/>
            <w:shd w:val="clear" w:color="auto" w:fill="CCEEFF"/>
          </w:tcPr>
          <w:p>
            <w:pPr>
              <w:ind w:left="340"/>
              <w:spacing w:after="0" w:line="222" w:lineRule="exact"/>
              <w:rPr>
                <w:sz w:val="20"/>
                <w:szCs w:val="20"/>
                <w:color w:val="auto"/>
              </w:rPr>
            </w:pPr>
            <w:r>
              <w:rPr>
                <w:rFonts w:ascii="Arial" w:cs="Arial" w:eastAsia="Arial" w:hAnsi="Arial"/>
                <w:sz w:val="22"/>
                <w:szCs w:val="22"/>
                <w:color w:val="auto"/>
                <w:w w:val="91"/>
              </w:rPr>
              <w:t>(Gain) loss on disposition of property, plant and</w:t>
            </w:r>
          </w:p>
        </w:tc>
        <w:tc>
          <w:tcPr>
            <w:tcW w:w="120" w:type="dxa"/>
            <w:vAlign w:val="bottom"/>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65"/>
        </w:trPr>
        <w:tc>
          <w:tcPr>
            <w:tcW w:w="4580" w:type="dxa"/>
            <w:vAlign w:val="bottom"/>
            <w:shd w:val="clear" w:color="auto" w:fill="CCEEFF"/>
          </w:tcPr>
          <w:p>
            <w:pPr>
              <w:ind w:left="660"/>
              <w:spacing w:after="0"/>
              <w:rPr>
                <w:sz w:val="20"/>
                <w:szCs w:val="20"/>
                <w:color w:val="auto"/>
              </w:rPr>
            </w:pPr>
            <w:r>
              <w:rPr>
                <w:rFonts w:ascii="Arial" w:cs="Arial" w:eastAsia="Arial" w:hAnsi="Arial"/>
                <w:sz w:val="22"/>
                <w:szCs w:val="22"/>
                <w:color w:val="auto"/>
              </w:rPr>
              <w:t>equipment</w:t>
            </w:r>
          </w:p>
        </w:tc>
        <w:tc>
          <w:tcPr>
            <w:tcW w:w="1100" w:type="dxa"/>
            <w:vAlign w:val="bottom"/>
            <w:gridSpan w:val="2"/>
            <w:shd w:val="clear" w:color="auto" w:fill="CCEEFF"/>
          </w:tcPr>
          <w:p>
            <w:pPr>
              <w:jc w:val="right"/>
              <w:ind w:right="752"/>
              <w:spacing w:after="0"/>
              <w:rPr>
                <w:sz w:val="20"/>
                <w:szCs w:val="20"/>
                <w:color w:val="auto"/>
              </w:rPr>
            </w:pPr>
            <w:r>
              <w:rPr>
                <w:rFonts w:ascii="Arial" w:cs="Arial" w:eastAsia="Arial" w:hAnsi="Arial"/>
                <w:sz w:val="22"/>
                <w:szCs w:val="22"/>
                <w:color w:val="auto"/>
              </w:rPr>
              <w:t>$</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22"/>
                <w:szCs w:val="22"/>
                <w:color w:val="auto"/>
              </w:rPr>
              <w:t>5</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22"/>
                <w:szCs w:val="22"/>
                <w:color w:val="auto"/>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22"/>
                <w:szCs w:val="22"/>
                <w:color w:val="auto"/>
              </w:rPr>
              <w:t>(10)</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22"/>
                <w:szCs w:val="22"/>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4</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22"/>
                <w:szCs w:val="22"/>
                <w:color w:val="auto"/>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22"/>
                <w:szCs w:val="22"/>
                <w:color w:val="auto"/>
              </w:rPr>
              <w:t>(10)</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22"/>
                <w:szCs w:val="22"/>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22"/>
                <w:szCs w:val="22"/>
                <w:color w:val="auto"/>
              </w:rPr>
              <w:t>10</w:t>
            </w:r>
          </w:p>
        </w:tc>
      </w:tr>
      <w:tr>
        <w:trPr>
          <w:trHeight w:val="243"/>
        </w:trPr>
        <w:tc>
          <w:tcPr>
            <w:tcW w:w="4580" w:type="dxa"/>
            <w:vAlign w:val="bottom"/>
          </w:tcPr>
          <w:p>
            <w:pPr>
              <w:ind w:left="340"/>
              <w:spacing w:after="0" w:line="243" w:lineRule="exact"/>
              <w:rPr>
                <w:sz w:val="20"/>
                <w:szCs w:val="20"/>
                <w:color w:val="auto"/>
              </w:rPr>
            </w:pPr>
            <w:r>
              <w:rPr>
                <w:rFonts w:ascii="Arial" w:cs="Arial" w:eastAsia="Arial" w:hAnsi="Arial"/>
                <w:sz w:val="22"/>
                <w:szCs w:val="22"/>
                <w:color w:val="auto"/>
              </w:rPr>
              <w:t>Other</w:t>
            </w: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40" w:type="dxa"/>
            <w:vAlign w:val="bottom"/>
            <w:gridSpan w:val="2"/>
          </w:tcPr>
          <w:p>
            <w:pPr>
              <w:jc w:val="right"/>
              <w:ind w:right="80"/>
              <w:spacing w:after="0" w:line="243" w:lineRule="exact"/>
              <w:rPr>
                <w:sz w:val="20"/>
                <w:szCs w:val="20"/>
                <w:color w:val="auto"/>
              </w:rPr>
            </w:pPr>
            <w:r>
              <w:rPr>
                <w:rFonts w:ascii="Arial" w:cs="Arial" w:eastAsia="Arial" w:hAnsi="Arial"/>
                <w:sz w:val="22"/>
                <w:szCs w:val="22"/>
                <w:color w:val="auto"/>
                <w:w w:val="89"/>
              </w:rPr>
              <w:t>(6)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2</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line="243" w:lineRule="exact"/>
              <w:rPr>
                <w:sz w:val="20"/>
                <w:szCs w:val="20"/>
                <w:color w:val="auto"/>
              </w:rPr>
            </w:pPr>
            <w:r>
              <w:rPr>
                <w:rFonts w:ascii="Arial" w:cs="Arial" w:eastAsia="Arial" w:hAnsi="Arial"/>
                <w:sz w:val="22"/>
                <w:szCs w:val="22"/>
                <w:color w:val="auto"/>
              </w:rPr>
              <w:t>26</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gridSpan w:val="2"/>
          </w:tcPr>
          <w:p>
            <w:pPr>
              <w:jc w:val="right"/>
              <w:ind w:right="60"/>
              <w:spacing w:after="0" w:line="243" w:lineRule="exact"/>
              <w:rPr>
                <w:sz w:val="20"/>
                <w:szCs w:val="20"/>
                <w:color w:val="auto"/>
              </w:rPr>
            </w:pPr>
            <w:r>
              <w:rPr>
                <w:rFonts w:ascii="Arial" w:cs="Arial" w:eastAsia="Arial" w:hAnsi="Arial"/>
                <w:sz w:val="22"/>
                <w:szCs w:val="22"/>
                <w:color w:val="auto"/>
              </w:rPr>
              <w:t>(7)</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27</w:t>
            </w: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64"/>
        </w:trPr>
        <w:tc>
          <w:tcPr>
            <w:tcW w:w="4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752"/>
              <w:spacing w:after="0" w:line="243" w:lineRule="exact"/>
              <w:rPr>
                <w:sz w:val="20"/>
                <w:szCs w:val="20"/>
                <w:color w:val="auto"/>
              </w:rPr>
            </w:pPr>
            <w:r>
              <w:rPr>
                <w:rFonts w:ascii="Arial" w:cs="Arial" w:eastAsia="Arial" w:hAnsi="Arial"/>
                <w:sz w:val="22"/>
                <w:szCs w:val="22"/>
                <w:color w:val="auto"/>
                <w:w w:val="81"/>
              </w:rPr>
              <w:t>$</w:t>
            </w:r>
          </w:p>
        </w:tc>
        <w:tc>
          <w:tcPr>
            <w:tcW w:w="340" w:type="dxa"/>
            <w:vAlign w:val="bottom"/>
            <w:gridSpan w:val="2"/>
            <w:shd w:val="clear" w:color="auto" w:fill="CCEEFF"/>
          </w:tcPr>
          <w:p>
            <w:pPr>
              <w:jc w:val="right"/>
              <w:ind w:right="80"/>
              <w:spacing w:after="0" w:line="243" w:lineRule="exact"/>
              <w:rPr>
                <w:sz w:val="20"/>
                <w:szCs w:val="20"/>
                <w:color w:val="auto"/>
              </w:rPr>
            </w:pPr>
            <w:r>
              <w:rPr>
                <w:rFonts w:ascii="Arial" w:cs="Arial" w:eastAsia="Arial" w:hAnsi="Arial"/>
                <w:sz w:val="22"/>
                <w:szCs w:val="22"/>
                <w:color w:val="auto"/>
                <w:w w:val="89"/>
              </w:rPr>
              <w:t>(1)</w:t>
            </w:r>
          </w:p>
        </w:tc>
        <w:tc>
          <w:tcPr>
            <w:tcW w:w="240" w:type="dxa"/>
            <w:vAlign w:val="bottom"/>
            <w:gridSpan w:val="2"/>
            <w:shd w:val="clear" w:color="auto" w:fill="CCEEFF"/>
          </w:tcPr>
          <w:p>
            <w:pPr>
              <w:jc w:val="right"/>
              <w:ind w:right="40"/>
              <w:spacing w:after="0" w:line="243" w:lineRule="exact"/>
              <w:rPr>
                <w:sz w:val="20"/>
                <w:szCs w:val="20"/>
                <w:color w:val="auto"/>
              </w:rPr>
            </w:pPr>
            <w:r>
              <w:rPr>
                <w:rFonts w:ascii="Arial" w:cs="Arial" w:eastAsia="Arial" w:hAnsi="Arial"/>
                <w:sz w:val="22"/>
                <w:szCs w:val="22"/>
                <w:color w:val="auto"/>
              </w:rPr>
              <w:t>$</w:t>
            </w:r>
          </w:p>
        </w:tc>
        <w:tc>
          <w:tcPr>
            <w:tcW w:w="1140" w:type="dxa"/>
            <w:vAlign w:val="bottom"/>
            <w:gridSpan w:val="2"/>
            <w:shd w:val="clear" w:color="auto" w:fill="CCEEFF"/>
          </w:tcPr>
          <w:p>
            <w:pPr>
              <w:jc w:val="right"/>
              <w:ind w:right="60"/>
              <w:spacing w:after="0" w:line="243" w:lineRule="exact"/>
              <w:rPr>
                <w:sz w:val="20"/>
                <w:szCs w:val="20"/>
                <w:color w:val="auto"/>
              </w:rPr>
            </w:pPr>
            <w:r>
              <w:rPr>
                <w:rFonts w:ascii="Arial" w:cs="Arial" w:eastAsia="Arial" w:hAnsi="Arial"/>
                <w:sz w:val="22"/>
                <w:szCs w:val="22"/>
                <w:color w:val="auto"/>
              </w:rPr>
              <w:t>(8)</w:t>
            </w:r>
          </w:p>
        </w:tc>
        <w:tc>
          <w:tcPr>
            <w:tcW w:w="220" w:type="dxa"/>
            <w:vAlign w:val="bottom"/>
            <w:gridSpan w:val="2"/>
            <w:shd w:val="clear" w:color="auto" w:fill="CCEEFF"/>
          </w:tcPr>
          <w:p>
            <w:pPr>
              <w:jc w:val="right"/>
              <w:ind w:right="40"/>
              <w:spacing w:after="0" w:line="243" w:lineRule="exact"/>
              <w:rPr>
                <w:sz w:val="20"/>
                <w:szCs w:val="20"/>
                <w:color w:val="auto"/>
              </w:rPr>
            </w:pPr>
            <w:r>
              <w:rPr>
                <w:rFonts w:ascii="Arial" w:cs="Arial" w:eastAsia="Arial" w:hAnsi="Arial"/>
                <w:sz w:val="22"/>
                <w:szCs w:val="22"/>
                <w:color w:val="auto"/>
              </w:rPr>
              <w:t>$</w:t>
            </w:r>
          </w:p>
        </w:tc>
        <w:tc>
          <w:tcPr>
            <w:tcW w:w="100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30</w:t>
            </w:r>
          </w:p>
        </w:tc>
        <w:tc>
          <w:tcPr>
            <w:tcW w:w="360" w:type="dxa"/>
            <w:vAlign w:val="bottom"/>
            <w:gridSpan w:val="2"/>
            <w:shd w:val="clear" w:color="auto" w:fill="CCEEFF"/>
          </w:tcPr>
          <w:p>
            <w:pPr>
              <w:jc w:val="right"/>
              <w:ind w:right="40"/>
              <w:spacing w:after="0" w:line="243" w:lineRule="exact"/>
              <w:rPr>
                <w:sz w:val="20"/>
                <w:szCs w:val="20"/>
                <w:color w:val="auto"/>
              </w:rPr>
            </w:pPr>
            <w:r>
              <w:rPr>
                <w:rFonts w:ascii="Arial" w:cs="Arial" w:eastAsia="Arial" w:hAnsi="Arial"/>
                <w:sz w:val="22"/>
                <w:szCs w:val="22"/>
                <w:color w:val="auto"/>
              </w:rPr>
              <w:t>$</w:t>
            </w:r>
          </w:p>
        </w:tc>
        <w:tc>
          <w:tcPr>
            <w:tcW w:w="1120" w:type="dxa"/>
            <w:vAlign w:val="bottom"/>
            <w:gridSpan w:val="2"/>
            <w:shd w:val="clear" w:color="auto" w:fill="CCEEFF"/>
          </w:tcPr>
          <w:p>
            <w:pPr>
              <w:jc w:val="right"/>
              <w:ind w:right="60"/>
              <w:spacing w:after="0" w:line="243" w:lineRule="exact"/>
              <w:rPr>
                <w:sz w:val="20"/>
                <w:szCs w:val="20"/>
                <w:color w:val="auto"/>
              </w:rPr>
            </w:pPr>
            <w:r>
              <w:rPr>
                <w:rFonts w:ascii="Arial" w:cs="Arial" w:eastAsia="Arial" w:hAnsi="Arial"/>
                <w:sz w:val="22"/>
                <w:szCs w:val="22"/>
                <w:color w:val="auto"/>
              </w:rPr>
              <w:t>(17)</w:t>
            </w:r>
          </w:p>
        </w:tc>
        <w:tc>
          <w:tcPr>
            <w:tcW w:w="220" w:type="dxa"/>
            <w:vAlign w:val="bottom"/>
            <w:gridSpan w:val="2"/>
            <w:shd w:val="clear" w:color="auto" w:fill="CCEEFF"/>
          </w:tcPr>
          <w:p>
            <w:pPr>
              <w:jc w:val="right"/>
              <w:ind w:right="40"/>
              <w:spacing w:after="0" w:line="243" w:lineRule="exact"/>
              <w:rPr>
                <w:sz w:val="20"/>
                <w:szCs w:val="20"/>
                <w:color w:val="auto"/>
              </w:rPr>
            </w:pPr>
            <w:r>
              <w:rPr>
                <w:rFonts w:ascii="Arial" w:cs="Arial" w:eastAsia="Arial" w:hAnsi="Arial"/>
                <w:sz w:val="22"/>
                <w:szCs w:val="22"/>
                <w:color w:val="auto"/>
              </w:rPr>
              <w:t>$</w:t>
            </w:r>
          </w:p>
        </w:tc>
        <w:tc>
          <w:tcPr>
            <w:tcW w:w="110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37</w:t>
            </w:r>
          </w:p>
        </w:tc>
      </w:tr>
      <w:tr>
        <w:trPr>
          <w:trHeight w:val="20"/>
        </w:trPr>
        <w:tc>
          <w:tcPr>
            <w:tcW w:w="45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2" w:lineRule="exact"/>
        <w:rPr>
          <w:sz w:val="20"/>
          <w:szCs w:val="20"/>
          <w:color w:val="auto"/>
        </w:rPr>
      </w:pPr>
    </w:p>
    <w:p>
      <w:pPr>
        <w:ind w:left="340" w:right="240"/>
        <w:spacing w:after="0"/>
        <w:rPr>
          <w:sz w:val="20"/>
          <w:szCs w:val="20"/>
          <w:color w:val="auto"/>
        </w:rPr>
      </w:pPr>
      <w:r>
        <w:rPr>
          <w:rFonts w:ascii="Arial" w:cs="Arial" w:eastAsia="Arial" w:hAnsi="Arial"/>
          <w:sz w:val="22"/>
          <w:szCs w:val="22"/>
          <w:color w:val="auto"/>
        </w:rPr>
        <w:t>Other operating expense in the third quarter of fiscal 2012 includes $17 million from the termination of a lease with IM Flash Technologies, LLC (“IMFT”), a joint venture of the company, and a charge of $10 million to write off a receivable in connection with resolution of certain prior year tax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558800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9" w:name="page10"/>
    <w:bookmarkEnd w:id="9"/>
    <w:p>
      <w:pPr>
        <w:ind w:left="20"/>
        <w:spacing w:after="0"/>
        <w:rPr>
          <w:sz w:val="20"/>
          <w:szCs w:val="20"/>
          <w:color w:val="auto"/>
        </w:rPr>
      </w:pPr>
      <w:r>
        <w:rPr>
          <w:rFonts w:ascii="Arial" w:cs="Arial" w:eastAsia="Arial" w:hAnsi="Arial"/>
          <w:sz w:val="22"/>
          <w:szCs w:val="22"/>
          <w:color w:val="auto"/>
        </w:rPr>
        <w:t>(3) Other non-operating income (expense) consisted of the following: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22"/>
                <w:szCs w:val="22"/>
                <w:b w:val="1"/>
                <w:bCs w:val="1"/>
                <w:color w:val="auto"/>
                <w:w w:val="93"/>
              </w:rPr>
              <w:t>3rd Qtr.</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22"/>
                <w:szCs w:val="22"/>
                <w:b w:val="1"/>
                <w:bCs w:val="1"/>
                <w:color w:val="auto"/>
                <w:w w:val="92"/>
              </w:rPr>
              <w:t>2nd Qtr.</w:t>
            </w:r>
          </w:p>
        </w:tc>
        <w:tc>
          <w:tcPr>
            <w:tcW w:w="80" w:type="dxa"/>
            <w:vAlign w:val="bottom"/>
          </w:tcPr>
          <w:p>
            <w:pPr>
              <w:spacing w:after="0"/>
              <w:rPr>
                <w:sz w:val="21"/>
                <w:szCs w:val="21"/>
                <w:color w:val="auto"/>
              </w:rPr>
            </w:pPr>
          </w:p>
        </w:tc>
        <w:tc>
          <w:tcPr>
            <w:tcW w:w="940" w:type="dxa"/>
            <w:vAlign w:val="bottom"/>
          </w:tcPr>
          <w:p>
            <w:pPr>
              <w:jc w:val="center"/>
              <w:ind w:left="72"/>
              <w:spacing w:after="0"/>
              <w:rPr>
                <w:sz w:val="20"/>
                <w:szCs w:val="20"/>
                <w:color w:val="auto"/>
              </w:rPr>
            </w:pPr>
            <w:r>
              <w:rPr>
                <w:rFonts w:ascii="Arial" w:cs="Arial" w:eastAsia="Arial" w:hAnsi="Arial"/>
                <w:sz w:val="22"/>
                <w:szCs w:val="22"/>
                <w:b w:val="1"/>
                <w:bCs w:val="1"/>
                <w:color w:val="auto"/>
                <w:w w:val="95"/>
              </w:rPr>
              <w:t>3rd Qtr.</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40" w:type="dxa"/>
            <w:vAlign w:val="bottom"/>
            <w:gridSpan w:val="6"/>
          </w:tcPr>
          <w:p>
            <w:pPr>
              <w:jc w:val="right"/>
              <w:ind w:right="420"/>
              <w:spacing w:after="0"/>
              <w:rPr>
                <w:sz w:val="20"/>
                <w:szCs w:val="20"/>
                <w:color w:val="auto"/>
              </w:rPr>
            </w:pPr>
            <w:r>
              <w:rPr>
                <w:rFonts w:ascii="Arial" w:cs="Arial" w:eastAsia="Arial" w:hAnsi="Arial"/>
                <w:sz w:val="22"/>
                <w:szCs w:val="22"/>
                <w:b w:val="1"/>
                <w:bCs w:val="1"/>
                <w:color w:val="auto"/>
                <w:w w:val="97"/>
              </w:rPr>
              <w:t>Nine Months Ended</w:t>
            </w:r>
          </w:p>
        </w:tc>
      </w:tr>
      <w:tr>
        <w:trPr>
          <w:trHeight w:val="243"/>
        </w:trPr>
        <w:tc>
          <w:tcPr>
            <w:tcW w:w="4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jc w:val="center"/>
              <w:ind w:right="300"/>
              <w:spacing w:after="0" w:line="243" w:lineRule="exact"/>
              <w:rPr>
                <w:sz w:val="20"/>
                <w:szCs w:val="20"/>
                <w:color w:val="auto"/>
              </w:rPr>
            </w:pPr>
            <w:r>
              <w:rPr>
                <w:rFonts w:ascii="Arial" w:cs="Arial" w:eastAsia="Arial" w:hAnsi="Arial"/>
                <w:sz w:val="22"/>
                <w:szCs w:val="22"/>
                <w:b w:val="1"/>
                <w:bCs w:val="1"/>
                <w:color w:val="auto"/>
                <w:w w:val="93"/>
              </w:rPr>
              <w:t>May 30,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center"/>
              <w:ind w:right="300"/>
              <w:spacing w:after="0" w:line="243" w:lineRule="exact"/>
              <w:rPr>
                <w:sz w:val="20"/>
                <w:szCs w:val="20"/>
                <w:color w:val="auto"/>
              </w:rPr>
            </w:pPr>
            <w:r>
              <w:rPr>
                <w:rFonts w:ascii="Arial" w:cs="Arial" w:eastAsia="Arial" w:hAnsi="Arial"/>
                <w:sz w:val="22"/>
                <w:szCs w:val="22"/>
                <w:b w:val="1"/>
                <w:bCs w:val="1"/>
                <w:color w:val="auto"/>
                <w:w w:val="87"/>
              </w:rPr>
              <w:t>Feb. 28,</w:t>
            </w:r>
          </w:p>
        </w:tc>
        <w:tc>
          <w:tcPr>
            <w:tcW w:w="80" w:type="dxa"/>
            <w:vAlign w:val="bottom"/>
          </w:tcPr>
          <w:p>
            <w:pPr>
              <w:spacing w:after="0"/>
              <w:rPr>
                <w:sz w:val="21"/>
                <w:szCs w:val="21"/>
                <w:color w:val="auto"/>
              </w:rPr>
            </w:pPr>
          </w:p>
        </w:tc>
        <w:tc>
          <w:tcPr>
            <w:tcW w:w="940" w:type="dxa"/>
            <w:vAlign w:val="bottom"/>
          </w:tcPr>
          <w:p>
            <w:pPr>
              <w:jc w:val="center"/>
              <w:ind w:left="92"/>
              <w:spacing w:after="0" w:line="243" w:lineRule="exact"/>
              <w:rPr>
                <w:sz w:val="20"/>
                <w:szCs w:val="20"/>
                <w:color w:val="auto"/>
              </w:rPr>
            </w:pPr>
            <w:r>
              <w:rPr>
                <w:rFonts w:ascii="Arial" w:cs="Arial" w:eastAsia="Arial" w:hAnsi="Arial"/>
                <w:sz w:val="22"/>
                <w:szCs w:val="22"/>
                <w:b w:val="1"/>
                <w:bCs w:val="1"/>
                <w:color w:val="auto"/>
                <w:w w:val="93"/>
              </w:rPr>
              <w:t>May 31,</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gridSpan w:val="2"/>
          </w:tcPr>
          <w:p>
            <w:pPr>
              <w:jc w:val="center"/>
              <w:ind w:right="300"/>
              <w:spacing w:after="0" w:line="243" w:lineRule="exact"/>
              <w:rPr>
                <w:sz w:val="20"/>
                <w:szCs w:val="20"/>
                <w:color w:val="auto"/>
              </w:rPr>
            </w:pPr>
            <w:r>
              <w:rPr>
                <w:rFonts w:ascii="Arial" w:cs="Arial" w:eastAsia="Arial" w:hAnsi="Arial"/>
                <w:sz w:val="22"/>
                <w:szCs w:val="22"/>
                <w:b w:val="1"/>
                <w:bCs w:val="1"/>
                <w:color w:val="auto"/>
                <w:w w:val="93"/>
              </w:rPr>
              <w:t>May 30,</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300"/>
              <w:spacing w:after="0" w:line="243" w:lineRule="exact"/>
              <w:rPr>
                <w:sz w:val="20"/>
                <w:szCs w:val="20"/>
                <w:color w:val="auto"/>
              </w:rPr>
            </w:pPr>
            <w:r>
              <w:rPr>
                <w:rFonts w:ascii="Arial" w:cs="Arial" w:eastAsia="Arial" w:hAnsi="Arial"/>
                <w:sz w:val="22"/>
                <w:szCs w:val="22"/>
                <w:b w:val="1"/>
                <w:bCs w:val="1"/>
                <w:color w:val="auto"/>
                <w:w w:val="98"/>
              </w:rPr>
              <w:t>May 31,</w:t>
            </w:r>
          </w:p>
        </w:tc>
      </w:tr>
      <w:tr>
        <w:trPr>
          <w:trHeight w:val="278"/>
        </w:trPr>
        <w:tc>
          <w:tcPr>
            <w:tcW w:w="4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center"/>
              <w:ind w:right="32"/>
              <w:spacing w:after="0"/>
              <w:rPr>
                <w:sz w:val="20"/>
                <w:szCs w:val="20"/>
                <w:color w:val="auto"/>
              </w:rPr>
            </w:pPr>
            <w:r>
              <w:rPr>
                <w:rFonts w:ascii="Arial" w:cs="Arial" w:eastAsia="Arial" w:hAnsi="Arial"/>
                <w:sz w:val="22"/>
                <w:szCs w:val="22"/>
                <w:b w:val="1"/>
                <w:bCs w:val="1"/>
                <w:color w:val="auto"/>
                <w:w w:val="85"/>
              </w:rPr>
              <w:t>2013</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center"/>
              <w:ind w:right="32"/>
              <w:spacing w:after="0"/>
              <w:rPr>
                <w:sz w:val="20"/>
                <w:szCs w:val="20"/>
                <w:color w:val="auto"/>
              </w:rPr>
            </w:pPr>
            <w:r>
              <w:rPr>
                <w:rFonts w:ascii="Arial" w:cs="Arial" w:eastAsia="Arial" w:hAnsi="Arial"/>
                <w:sz w:val="22"/>
                <w:szCs w:val="22"/>
                <w:b w:val="1"/>
                <w:bCs w:val="1"/>
                <w:color w:val="auto"/>
                <w:w w:val="85"/>
              </w:rPr>
              <w:t>2013</w:t>
            </w:r>
          </w:p>
        </w:tc>
        <w:tc>
          <w:tcPr>
            <w:tcW w:w="140" w:type="dxa"/>
            <w:vAlign w:val="bottom"/>
          </w:tcPr>
          <w:p>
            <w:pPr>
              <w:spacing w:after="0"/>
              <w:rPr>
                <w:sz w:val="24"/>
                <w:szCs w:val="24"/>
                <w:color w:val="auto"/>
              </w:rPr>
            </w:pPr>
          </w:p>
        </w:tc>
        <w:tc>
          <w:tcPr>
            <w:tcW w:w="1020" w:type="dxa"/>
            <w:vAlign w:val="bottom"/>
            <w:gridSpan w:val="2"/>
          </w:tcPr>
          <w:p>
            <w:pPr>
              <w:jc w:val="center"/>
              <w:ind w:left="152"/>
              <w:spacing w:after="0"/>
              <w:rPr>
                <w:sz w:val="20"/>
                <w:szCs w:val="20"/>
                <w:color w:val="auto"/>
              </w:rPr>
            </w:pPr>
            <w:r>
              <w:rPr>
                <w:rFonts w:ascii="Arial" w:cs="Arial" w:eastAsia="Arial" w:hAnsi="Arial"/>
                <w:sz w:val="22"/>
                <w:szCs w:val="22"/>
                <w:b w:val="1"/>
                <w:bCs w:val="1"/>
                <w:color w:val="auto"/>
                <w:w w:val="89"/>
              </w:rPr>
              <w:t>2012</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ind w:right="232"/>
              <w:spacing w:after="0"/>
              <w:rPr>
                <w:sz w:val="20"/>
                <w:szCs w:val="20"/>
                <w:color w:val="auto"/>
              </w:rPr>
            </w:pPr>
            <w:r>
              <w:rPr>
                <w:rFonts w:ascii="Arial" w:cs="Arial" w:eastAsia="Arial" w:hAnsi="Arial"/>
                <w:sz w:val="22"/>
                <w:szCs w:val="22"/>
                <w:b w:val="1"/>
                <w:bCs w:val="1"/>
                <w:color w:val="auto"/>
              </w:rPr>
              <w:t>2013</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right"/>
              <w:ind w:right="252"/>
              <w:spacing w:after="0"/>
              <w:rPr>
                <w:sz w:val="20"/>
                <w:szCs w:val="20"/>
                <w:color w:val="auto"/>
              </w:rPr>
            </w:pPr>
            <w:r>
              <w:rPr>
                <w:rFonts w:ascii="Arial" w:cs="Arial" w:eastAsia="Arial" w:hAnsi="Arial"/>
                <w:sz w:val="22"/>
                <w:szCs w:val="22"/>
                <w:b w:val="1"/>
                <w:bCs w:val="1"/>
                <w:color w:val="auto"/>
              </w:rPr>
              <w:t>2012</w:t>
            </w:r>
          </w:p>
        </w:tc>
        <w:tc>
          <w:tcPr>
            <w:tcW w:w="100" w:type="dxa"/>
            <w:vAlign w:val="bottom"/>
          </w:tcPr>
          <w:p>
            <w:pPr>
              <w:spacing w:after="0"/>
              <w:rPr>
                <w:sz w:val="24"/>
                <w:szCs w:val="24"/>
                <w:color w:val="auto"/>
              </w:rPr>
            </w:pPr>
          </w:p>
        </w:tc>
      </w:tr>
      <w:tr>
        <w:trPr>
          <w:trHeight w:val="222"/>
        </w:trPr>
        <w:tc>
          <w:tcPr>
            <w:tcW w:w="4560" w:type="dxa"/>
            <w:vAlign w:val="bottom"/>
            <w:shd w:val="clear" w:color="auto" w:fill="CCEEFF"/>
          </w:tcPr>
          <w:p>
            <w:pPr>
              <w:ind w:left="340"/>
              <w:spacing w:after="0" w:line="222" w:lineRule="exact"/>
              <w:rPr>
                <w:sz w:val="20"/>
                <w:szCs w:val="20"/>
                <w:color w:val="auto"/>
              </w:rPr>
            </w:pPr>
            <w:r>
              <w:rPr>
                <w:rFonts w:ascii="Arial" w:cs="Arial" w:eastAsia="Arial" w:hAnsi="Arial"/>
                <w:sz w:val="22"/>
                <w:szCs w:val="22"/>
                <w:color w:val="auto"/>
                <w:w w:val="91"/>
              </w:rPr>
              <w:t>Gain (loss) from changes in currency exchange</w:t>
            </w:r>
          </w:p>
        </w:tc>
        <w:tc>
          <w:tcPr>
            <w:tcW w:w="140" w:type="dxa"/>
            <w:vAlign w:val="bottom"/>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65"/>
        </w:trPr>
        <w:tc>
          <w:tcPr>
            <w:tcW w:w="4560" w:type="dxa"/>
            <w:vAlign w:val="bottom"/>
            <w:shd w:val="clear" w:color="auto" w:fill="CCEEFF"/>
          </w:tcPr>
          <w:p>
            <w:pPr>
              <w:ind w:left="500"/>
              <w:spacing w:after="0"/>
              <w:rPr>
                <w:sz w:val="20"/>
                <w:szCs w:val="20"/>
                <w:color w:val="auto"/>
              </w:rPr>
            </w:pPr>
            <w:r>
              <w:rPr>
                <w:rFonts w:ascii="Arial" w:cs="Arial" w:eastAsia="Arial" w:hAnsi="Arial"/>
                <w:sz w:val="22"/>
                <w:szCs w:val="22"/>
                <w:color w:val="auto"/>
              </w:rPr>
              <w:t>rates</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22"/>
                <w:szCs w:val="22"/>
                <w:color w:val="auto"/>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22"/>
                <w:szCs w:val="22"/>
                <w:color w:val="auto"/>
              </w:rPr>
              <w:t>(45)</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22"/>
                <w:szCs w:val="22"/>
                <w:color w:val="auto"/>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22"/>
                <w:szCs w:val="22"/>
                <w:color w:val="auto"/>
              </w:rPr>
              <w:t>(127)</w:t>
            </w:r>
          </w:p>
        </w:tc>
        <w:tc>
          <w:tcPr>
            <w:tcW w:w="1020" w:type="dxa"/>
            <w:vAlign w:val="bottom"/>
            <w:gridSpan w:val="2"/>
            <w:shd w:val="clear" w:color="auto" w:fill="CCEEFF"/>
          </w:tcPr>
          <w:p>
            <w:pPr>
              <w:jc w:val="right"/>
              <w:ind w:right="732"/>
              <w:spacing w:after="0"/>
              <w:rPr>
                <w:sz w:val="20"/>
                <w:szCs w:val="20"/>
                <w:color w:val="auto"/>
              </w:rPr>
            </w:pPr>
            <w:r>
              <w:rPr>
                <w:rFonts w:ascii="Arial" w:cs="Arial" w:eastAsia="Arial" w:hAnsi="Arial"/>
                <w:sz w:val="22"/>
                <w:szCs w:val="22"/>
                <w:color w:val="auto"/>
              </w:rPr>
              <w:t>$</w:t>
            </w: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22"/>
                <w:szCs w:val="22"/>
                <w:color w:val="auto"/>
                <w:w w:val="89"/>
              </w:rPr>
              <w:t>(1)</w:t>
            </w:r>
          </w:p>
        </w:tc>
        <w:tc>
          <w:tcPr>
            <w:tcW w:w="160" w:type="dxa"/>
            <w:vAlign w:val="bottom"/>
            <w:shd w:val="clear" w:color="auto" w:fill="CCEEFF"/>
          </w:tcPr>
          <w:p>
            <w:pPr>
              <w:jc w:val="right"/>
              <w:spacing w:after="0"/>
              <w:rPr>
                <w:sz w:val="20"/>
                <w:szCs w:val="20"/>
                <w:color w:val="auto"/>
              </w:rPr>
            </w:pPr>
            <w:r>
              <w:rPr>
                <w:rFonts w:ascii="Arial" w:cs="Arial" w:eastAsia="Arial" w:hAnsi="Arial"/>
                <w:sz w:val="22"/>
                <w:szCs w:val="22"/>
                <w:color w:val="auto"/>
                <w:w w:val="81"/>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22"/>
                <w:szCs w:val="22"/>
                <w:color w:val="auto"/>
              </w:rPr>
              <w:t>(231)</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22"/>
                <w:szCs w:val="22"/>
                <w:color w:val="auto"/>
              </w:rPr>
              <w:t>$</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22"/>
                <w:szCs w:val="22"/>
                <w:color w:val="auto"/>
              </w:rPr>
              <w:t>(14)</w:t>
            </w:r>
          </w:p>
        </w:tc>
      </w:tr>
      <w:tr>
        <w:trPr>
          <w:trHeight w:val="243"/>
        </w:trPr>
        <w:tc>
          <w:tcPr>
            <w:tcW w:w="4560" w:type="dxa"/>
            <w:vAlign w:val="bottom"/>
          </w:tcPr>
          <w:p>
            <w:pPr>
              <w:ind w:left="340"/>
              <w:spacing w:after="0" w:line="243" w:lineRule="exact"/>
              <w:rPr>
                <w:sz w:val="20"/>
                <w:szCs w:val="20"/>
                <w:color w:val="auto"/>
              </w:rPr>
            </w:pPr>
            <w:r>
              <w:rPr>
                <w:rFonts w:ascii="Arial" w:cs="Arial" w:eastAsia="Arial" w:hAnsi="Arial"/>
                <w:sz w:val="22"/>
                <w:szCs w:val="22"/>
                <w:color w:val="auto"/>
              </w:rPr>
              <w:t>Loss on extinguishment of debt</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jc w:val="right"/>
              <w:ind w:right="160"/>
              <w:spacing w:after="0" w:line="243" w:lineRule="exact"/>
              <w:rPr>
                <w:sz w:val="20"/>
                <w:szCs w:val="20"/>
                <w:color w:val="auto"/>
              </w:rPr>
            </w:pPr>
            <w:r>
              <w:rPr>
                <w:rFonts w:ascii="Arial" w:cs="Arial" w:eastAsia="Arial" w:hAnsi="Arial"/>
                <w:sz w:val="22"/>
                <w:szCs w:val="22"/>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right"/>
              <w:ind w:right="60"/>
              <w:spacing w:after="0" w:line="243" w:lineRule="exact"/>
              <w:rPr>
                <w:sz w:val="20"/>
                <w:szCs w:val="20"/>
                <w:color w:val="auto"/>
              </w:rPr>
            </w:pPr>
            <w:r>
              <w:rPr>
                <w:rFonts w:ascii="Arial" w:cs="Arial" w:eastAsia="Arial" w:hAnsi="Arial"/>
                <w:sz w:val="22"/>
                <w:szCs w:val="22"/>
                <w:color w:val="auto"/>
              </w:rPr>
              <w:t>(31)</w:t>
            </w:r>
          </w:p>
        </w:tc>
        <w:tc>
          <w:tcPr>
            <w:tcW w:w="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0" w:type="dxa"/>
            <w:vAlign w:val="bottom"/>
          </w:tcPr>
          <w:p>
            <w:pPr>
              <w:jc w:val="right"/>
              <w:spacing w:after="0" w:line="243" w:lineRule="exact"/>
              <w:rPr>
                <w:sz w:val="20"/>
                <w:szCs w:val="20"/>
                <w:color w:val="auto"/>
              </w:rPr>
            </w:pPr>
            <w:r>
              <w:rPr>
                <w:rFonts w:ascii="Arial" w:cs="Arial" w:eastAsia="Arial" w:hAnsi="Arial"/>
                <w:sz w:val="22"/>
                <w:szCs w:val="22"/>
                <w:color w:val="auto"/>
              </w:rPr>
              <w:t>--</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gridSpan w:val="2"/>
          </w:tcPr>
          <w:p>
            <w:pPr>
              <w:jc w:val="right"/>
              <w:ind w:right="60"/>
              <w:spacing w:after="0" w:line="243" w:lineRule="exact"/>
              <w:rPr>
                <w:sz w:val="20"/>
                <w:szCs w:val="20"/>
                <w:color w:val="auto"/>
              </w:rPr>
            </w:pPr>
            <w:r>
              <w:rPr>
                <w:rFonts w:ascii="Arial" w:cs="Arial" w:eastAsia="Arial" w:hAnsi="Arial"/>
                <w:sz w:val="22"/>
                <w:szCs w:val="22"/>
                <w:color w:val="auto"/>
              </w:rPr>
              <w:t>(31)</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w:t>
            </w:r>
          </w:p>
        </w:tc>
      </w:tr>
      <w:tr>
        <w:trPr>
          <w:trHeight w:val="243"/>
        </w:trPr>
        <w:tc>
          <w:tcPr>
            <w:tcW w:w="4560" w:type="dxa"/>
            <w:vAlign w:val="bottom"/>
            <w:shd w:val="clear" w:color="auto" w:fill="CCEEFF"/>
          </w:tcPr>
          <w:p>
            <w:pPr>
              <w:ind w:left="340"/>
              <w:spacing w:after="0" w:line="243" w:lineRule="exact"/>
              <w:rPr>
                <w:sz w:val="20"/>
                <w:szCs w:val="20"/>
                <w:color w:val="auto"/>
              </w:rPr>
            </w:pPr>
            <w:r>
              <w:rPr>
                <w:rFonts w:ascii="Arial" w:cs="Arial" w:eastAsia="Arial" w:hAnsi="Arial"/>
                <w:sz w:val="22"/>
                <w:szCs w:val="22"/>
                <w:color w:val="auto"/>
              </w:rPr>
              <w:t>Gain from disposition of investments</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80"/>
              <w:spacing w:after="0" w:line="243" w:lineRule="exact"/>
              <w:rPr>
                <w:sz w:val="20"/>
                <w:szCs w:val="20"/>
                <w:color w:val="auto"/>
              </w:rPr>
            </w:pPr>
            <w:r>
              <w:rPr>
                <w:rFonts w:ascii="Arial" w:cs="Arial" w:eastAsia="Arial" w:hAnsi="Arial"/>
                <w:sz w:val="22"/>
                <w:szCs w:val="22"/>
                <w:color w:val="auto"/>
              </w:rPr>
              <w:t>(1)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w:t>
            </w:r>
          </w:p>
        </w:tc>
        <w:tc>
          <w:tcPr>
            <w:tcW w:w="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w:t>
            </w: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60"/>
              <w:spacing w:after="0" w:line="243" w:lineRule="exact"/>
              <w:rPr>
                <w:sz w:val="20"/>
                <w:szCs w:val="20"/>
                <w:color w:val="auto"/>
              </w:rPr>
            </w:pPr>
            <w:r>
              <w:rPr>
                <w:rFonts w:ascii="Arial" w:cs="Arial" w:eastAsia="Arial" w:hAnsi="Arial"/>
                <w:sz w:val="22"/>
                <w:szCs w:val="22"/>
                <w:color w:val="auto"/>
              </w:rPr>
              <w:t>(1)</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39</w:t>
            </w:r>
          </w:p>
        </w:tc>
      </w:tr>
      <w:tr>
        <w:trPr>
          <w:trHeight w:val="243"/>
        </w:trPr>
        <w:tc>
          <w:tcPr>
            <w:tcW w:w="4560" w:type="dxa"/>
            <w:vAlign w:val="bottom"/>
          </w:tcPr>
          <w:p>
            <w:pPr>
              <w:ind w:left="340"/>
              <w:spacing w:after="0" w:line="243" w:lineRule="exact"/>
              <w:rPr>
                <w:sz w:val="20"/>
                <w:szCs w:val="20"/>
                <w:color w:val="auto"/>
              </w:rPr>
            </w:pPr>
            <w:r>
              <w:rPr>
                <w:rFonts w:ascii="Arial" w:cs="Arial" w:eastAsia="Arial" w:hAnsi="Arial"/>
                <w:sz w:val="22"/>
                <w:szCs w:val="22"/>
                <w:color w:val="auto"/>
              </w:rPr>
              <w:t>Other</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jc w:val="right"/>
              <w:ind w:right="160"/>
              <w:spacing w:after="0" w:line="243" w:lineRule="exact"/>
              <w:rPr>
                <w:sz w:val="20"/>
                <w:szCs w:val="20"/>
                <w:color w:val="auto"/>
              </w:rPr>
            </w:pPr>
            <w:r>
              <w:rPr>
                <w:rFonts w:ascii="Arial" w:cs="Arial" w:eastAsia="Arial" w:hAnsi="Arial"/>
                <w:sz w:val="22"/>
                <w:szCs w:val="22"/>
                <w:color w:val="auto"/>
              </w:rPr>
              <w:t>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right"/>
              <w:ind w:right="60"/>
              <w:spacing w:after="0" w:line="243" w:lineRule="exact"/>
              <w:rPr>
                <w:sz w:val="20"/>
                <w:szCs w:val="20"/>
                <w:color w:val="auto"/>
              </w:rPr>
            </w:pPr>
            <w:r>
              <w:rPr>
                <w:rFonts w:ascii="Arial" w:cs="Arial" w:eastAsia="Arial" w:hAnsi="Arial"/>
                <w:sz w:val="22"/>
                <w:szCs w:val="22"/>
                <w:color w:val="auto"/>
              </w:rPr>
              <w:t>(1)</w:t>
            </w:r>
          </w:p>
        </w:tc>
        <w:tc>
          <w:tcPr>
            <w:tcW w:w="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0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w w:val="89"/>
              </w:rPr>
              <w:t>(1)</w:t>
            </w:r>
          </w:p>
        </w:tc>
        <w:tc>
          <w:tcPr>
            <w:tcW w:w="160" w:type="dxa"/>
            <w:vAlign w:val="bottom"/>
          </w:tcPr>
          <w:p>
            <w:pPr>
              <w:spacing w:after="0"/>
              <w:rPr>
                <w:sz w:val="21"/>
                <w:szCs w:val="21"/>
                <w:color w:val="auto"/>
              </w:rPr>
            </w:pPr>
          </w:p>
        </w:tc>
        <w:tc>
          <w:tcPr>
            <w:tcW w:w="112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40"/>
              <w:spacing w:after="0" w:line="243" w:lineRule="exact"/>
              <w:rPr>
                <w:sz w:val="20"/>
                <w:szCs w:val="20"/>
                <w:color w:val="auto"/>
              </w:rPr>
            </w:pPr>
            <w:r>
              <w:rPr>
                <w:rFonts w:ascii="Arial" w:cs="Arial" w:eastAsia="Arial" w:hAnsi="Arial"/>
                <w:sz w:val="22"/>
                <w:szCs w:val="22"/>
                <w:color w:val="auto"/>
              </w:rPr>
              <w:t>(1)</w:t>
            </w:r>
          </w:p>
        </w:tc>
      </w:tr>
      <w:tr>
        <w:trPr>
          <w:trHeight w:val="27"/>
        </w:trPr>
        <w:tc>
          <w:tcPr>
            <w:tcW w:w="4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64"/>
        </w:trPr>
        <w:tc>
          <w:tcPr>
            <w:tcW w:w="45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w w:val="81"/>
              </w:rPr>
              <w:t>$</w:t>
            </w:r>
          </w:p>
        </w:tc>
        <w:tc>
          <w:tcPr>
            <w:tcW w:w="1160" w:type="dxa"/>
            <w:vAlign w:val="bottom"/>
            <w:gridSpan w:val="2"/>
            <w:shd w:val="clear" w:color="auto" w:fill="CCEEFF"/>
          </w:tcPr>
          <w:p>
            <w:pPr>
              <w:jc w:val="right"/>
              <w:ind w:right="80"/>
              <w:spacing w:after="0" w:line="243" w:lineRule="exact"/>
              <w:rPr>
                <w:sz w:val="20"/>
                <w:szCs w:val="20"/>
                <w:color w:val="auto"/>
              </w:rPr>
            </w:pPr>
            <w:r>
              <w:rPr>
                <w:rFonts w:ascii="Arial" w:cs="Arial" w:eastAsia="Arial" w:hAnsi="Arial"/>
                <w:sz w:val="22"/>
                <w:szCs w:val="22"/>
                <w:color w:val="auto"/>
              </w:rPr>
              <w:t>(45)</w:t>
            </w:r>
          </w:p>
        </w:tc>
        <w:tc>
          <w:tcPr>
            <w:tcW w:w="240" w:type="dxa"/>
            <w:vAlign w:val="bottom"/>
            <w:gridSpan w:val="2"/>
            <w:shd w:val="clear" w:color="auto" w:fill="CCEEFF"/>
          </w:tcPr>
          <w:p>
            <w:pPr>
              <w:jc w:val="right"/>
              <w:ind w:right="40"/>
              <w:spacing w:after="0" w:line="243" w:lineRule="exact"/>
              <w:rPr>
                <w:sz w:val="20"/>
                <w:szCs w:val="20"/>
                <w:color w:val="auto"/>
              </w:rPr>
            </w:pPr>
            <w:r>
              <w:rPr>
                <w:rFonts w:ascii="Arial" w:cs="Arial" w:eastAsia="Arial" w:hAnsi="Arial"/>
                <w:sz w:val="22"/>
                <w:szCs w:val="22"/>
                <w:color w:val="auto"/>
              </w:rPr>
              <w:t>$</w:t>
            </w:r>
          </w:p>
        </w:tc>
        <w:tc>
          <w:tcPr>
            <w:tcW w:w="1140" w:type="dxa"/>
            <w:vAlign w:val="bottom"/>
            <w:gridSpan w:val="2"/>
            <w:shd w:val="clear" w:color="auto" w:fill="CCEEFF"/>
          </w:tcPr>
          <w:p>
            <w:pPr>
              <w:jc w:val="right"/>
              <w:ind w:right="60"/>
              <w:spacing w:after="0" w:line="243" w:lineRule="exact"/>
              <w:rPr>
                <w:sz w:val="20"/>
                <w:szCs w:val="20"/>
                <w:color w:val="auto"/>
              </w:rPr>
            </w:pPr>
            <w:r>
              <w:rPr>
                <w:rFonts w:ascii="Arial" w:cs="Arial" w:eastAsia="Arial" w:hAnsi="Arial"/>
                <w:sz w:val="22"/>
                <w:szCs w:val="22"/>
                <w:color w:val="auto"/>
              </w:rPr>
              <w:t>(159)</w:t>
            </w:r>
          </w:p>
        </w:tc>
        <w:tc>
          <w:tcPr>
            <w:tcW w:w="1020" w:type="dxa"/>
            <w:vAlign w:val="bottom"/>
            <w:gridSpan w:val="2"/>
            <w:shd w:val="clear" w:color="auto" w:fill="CCEEFF"/>
          </w:tcPr>
          <w:p>
            <w:pPr>
              <w:jc w:val="right"/>
              <w:ind w:right="732"/>
              <w:spacing w:after="0" w:line="243" w:lineRule="exact"/>
              <w:rPr>
                <w:sz w:val="20"/>
                <w:szCs w:val="20"/>
                <w:color w:val="auto"/>
              </w:rPr>
            </w:pPr>
            <w:r>
              <w:rPr>
                <w:rFonts w:ascii="Arial" w:cs="Arial" w:eastAsia="Arial" w:hAnsi="Arial"/>
                <w:sz w:val="22"/>
                <w:szCs w:val="22"/>
                <w:color w:val="auto"/>
              </w:rPr>
              <w:t>$</w:t>
            </w:r>
          </w:p>
        </w:tc>
        <w:tc>
          <w:tcPr>
            <w:tcW w:w="40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w w:val="89"/>
              </w:rPr>
              <w:t>(2)</w:t>
            </w:r>
          </w:p>
        </w:tc>
        <w:tc>
          <w:tcPr>
            <w:tcW w:w="16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w w:val="81"/>
              </w:rPr>
              <w:t>$</w:t>
            </w:r>
          </w:p>
        </w:tc>
        <w:tc>
          <w:tcPr>
            <w:tcW w:w="1120" w:type="dxa"/>
            <w:vAlign w:val="bottom"/>
            <w:gridSpan w:val="2"/>
            <w:shd w:val="clear" w:color="auto" w:fill="CCEEFF"/>
          </w:tcPr>
          <w:p>
            <w:pPr>
              <w:jc w:val="right"/>
              <w:ind w:right="60"/>
              <w:spacing w:after="0" w:line="243" w:lineRule="exact"/>
              <w:rPr>
                <w:sz w:val="20"/>
                <w:szCs w:val="20"/>
                <w:color w:val="auto"/>
              </w:rPr>
            </w:pPr>
            <w:r>
              <w:rPr>
                <w:rFonts w:ascii="Arial" w:cs="Arial" w:eastAsia="Arial" w:hAnsi="Arial"/>
                <w:sz w:val="22"/>
                <w:szCs w:val="22"/>
                <w:color w:val="auto"/>
              </w:rPr>
              <w:t>(263)</w:t>
            </w:r>
          </w:p>
        </w:tc>
        <w:tc>
          <w:tcPr>
            <w:tcW w:w="220" w:type="dxa"/>
            <w:vAlign w:val="bottom"/>
            <w:gridSpan w:val="2"/>
            <w:shd w:val="clear" w:color="auto" w:fill="CCEEFF"/>
          </w:tcPr>
          <w:p>
            <w:pPr>
              <w:jc w:val="right"/>
              <w:ind w:right="40"/>
              <w:spacing w:after="0" w:line="243" w:lineRule="exact"/>
              <w:rPr>
                <w:sz w:val="20"/>
                <w:szCs w:val="20"/>
                <w:color w:val="auto"/>
              </w:rPr>
            </w:pPr>
            <w:r>
              <w:rPr>
                <w:rFonts w:ascii="Arial" w:cs="Arial" w:eastAsia="Arial" w:hAnsi="Arial"/>
                <w:sz w:val="22"/>
                <w:szCs w:val="22"/>
                <w:color w:val="auto"/>
              </w:rPr>
              <w:t>$</w:t>
            </w:r>
          </w:p>
        </w:tc>
        <w:tc>
          <w:tcPr>
            <w:tcW w:w="110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24</w:t>
            </w:r>
          </w:p>
        </w:tc>
      </w:tr>
      <w:tr>
        <w:trPr>
          <w:trHeight w:val="20"/>
        </w:trPr>
        <w:tc>
          <w:tcPr>
            <w:tcW w:w="45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2" w:lineRule="exact"/>
        <w:rPr>
          <w:sz w:val="20"/>
          <w:szCs w:val="20"/>
          <w:color w:val="auto"/>
        </w:rPr>
      </w:pPr>
    </w:p>
    <w:p>
      <w:pPr>
        <w:ind w:left="260" w:right="460"/>
        <w:spacing w:after="0" w:line="238" w:lineRule="auto"/>
        <w:rPr>
          <w:sz w:val="20"/>
          <w:szCs w:val="20"/>
          <w:color w:val="auto"/>
        </w:rPr>
      </w:pPr>
      <w:r>
        <w:rPr>
          <w:rFonts w:ascii="Arial" w:cs="Arial" w:eastAsia="Arial" w:hAnsi="Arial"/>
          <w:sz w:val="22"/>
          <w:szCs w:val="22"/>
          <w:color w:val="auto"/>
        </w:rPr>
        <w:t>Gain (loss) from changes in currency exchange rates in the third quarter, second quarter and first nine months of fiscal 2013 included currency losses of $47 million, $120 million and $225 million, respectively, from changes in the market value of currency hedges executed in connection with the company’s planned acquisition of Elpida Memory, Inc. and Rexchip Electronics Corporation.</w:t>
      </w:r>
    </w:p>
    <w:p>
      <w:pPr>
        <w:spacing w:after="0" w:line="212" w:lineRule="exact"/>
        <w:rPr>
          <w:sz w:val="20"/>
          <w:szCs w:val="20"/>
          <w:color w:val="auto"/>
        </w:rPr>
      </w:pPr>
    </w:p>
    <w:p>
      <w:pPr>
        <w:ind w:left="260" w:right="300"/>
        <w:spacing w:after="0" w:line="251" w:lineRule="auto"/>
        <w:rPr>
          <w:sz w:val="20"/>
          <w:szCs w:val="20"/>
          <w:color w:val="auto"/>
        </w:rPr>
      </w:pPr>
      <w:r>
        <w:rPr>
          <w:rFonts w:ascii="Arial" w:cs="Arial" w:eastAsia="Arial" w:hAnsi="Arial"/>
          <w:sz w:val="22"/>
          <w:szCs w:val="22"/>
          <w:color w:val="auto"/>
        </w:rPr>
        <w:t>Loss from extinguishment of debt in the second quarter of fiscal 2013 included $31 million recognized in connection with the partial repurchase of the company’s 2014 Notes.</w:t>
      </w:r>
    </w:p>
    <w:p>
      <w:pPr>
        <w:spacing w:after="0" w:line="200" w:lineRule="exact"/>
        <w:rPr>
          <w:sz w:val="20"/>
          <w:szCs w:val="20"/>
          <w:color w:val="auto"/>
        </w:rPr>
      </w:pPr>
    </w:p>
    <w:p>
      <w:pPr>
        <w:ind w:left="260" w:right="140"/>
        <w:spacing w:after="0" w:line="287" w:lineRule="auto"/>
        <w:rPr>
          <w:sz w:val="20"/>
          <w:szCs w:val="20"/>
          <w:color w:val="auto"/>
        </w:rPr>
      </w:pPr>
      <w:r>
        <w:rPr>
          <w:rFonts w:ascii="Arial" w:cs="Arial" w:eastAsia="Arial" w:hAnsi="Arial"/>
          <w:sz w:val="19"/>
          <w:szCs w:val="19"/>
          <w:color w:val="auto"/>
        </w:rPr>
        <w:t>In order to improve comparability with the company’s industry peers, gains and losses from currency exchange rates have been reclassified from operating to non-operating. As a result, $59 million of losses for the first quarter of fiscal 2013 and $1 million and $14 million of losses for the third quarter and first nine months of fiscal 2012, respectively, were reclassified from the amounts previously reported in other operating (income) expense to other non-operating income (expense).</w:t>
      </w:r>
    </w:p>
    <w:p>
      <w:pPr>
        <w:spacing w:after="0" w:line="170" w:lineRule="exact"/>
        <w:rPr>
          <w:sz w:val="20"/>
          <w:szCs w:val="20"/>
          <w:color w:val="auto"/>
        </w:rPr>
      </w:pPr>
    </w:p>
    <w:p>
      <w:pPr>
        <w:jc w:val="both"/>
        <w:ind w:left="380" w:hanging="367"/>
        <w:spacing w:after="0" w:line="245" w:lineRule="auto"/>
        <w:tabs>
          <w:tab w:leader="none" w:pos="380" w:val="left"/>
        </w:tabs>
        <w:numPr>
          <w:ilvl w:val="0"/>
          <w:numId w:val="1"/>
        </w:numPr>
        <w:rPr>
          <w:rFonts w:ascii="Arial" w:cs="Arial" w:eastAsia="Arial" w:hAnsi="Arial"/>
          <w:sz w:val="21"/>
          <w:szCs w:val="21"/>
          <w:color w:val="auto"/>
        </w:rPr>
      </w:pPr>
      <w:r>
        <w:rPr>
          <w:rFonts w:ascii="Arial" w:cs="Arial" w:eastAsia="Arial" w:hAnsi="Arial"/>
          <w:sz w:val="21"/>
          <w:szCs w:val="21"/>
          <w:color w:val="auto"/>
        </w:rPr>
        <w:t>Income taxes for the third quarter of fiscal 2013 included an $8 million tax benefit related to the sale of non-U.S. assets. Income taxes for the second quarter of fiscal 2013 included tax benefits related to two non-U.S. jurisdictions of $10 million for the favorable resolution of certain prior year tax matters, which was previously reserved as an uncertain tax position, and $9 million for a favorable change in tax law applicable to prior years. Income taxes for the third quarter and first nine months of fiscal 2012 included tax benefits of $42 million and $56 million, respectively, related to the favorable resolution of certain prior year tax matters, which were previously reserved as an uncertain tax position. Remaining taxes for the third quarters and first nine months of fiscal 2013 and 2012, respectively, primarily reflect taxes on the company’s non-U.S. operations. The company has a valuation allowance for its net deferred tax asset associated with its U.S. operations. The (provision) benefit for taxes on U.S. operations in the third quarters and first nine months of fiscal 2013 and 2012 was substantially offset by changes in the valuation allowance.</w:t>
      </w:r>
    </w:p>
    <w:p>
      <w:pPr>
        <w:spacing w:after="0" w:line="208" w:lineRule="exact"/>
        <w:rPr>
          <w:rFonts w:ascii="Arial" w:cs="Arial" w:eastAsia="Arial" w:hAnsi="Arial"/>
          <w:sz w:val="21"/>
          <w:szCs w:val="21"/>
          <w:color w:val="auto"/>
        </w:rPr>
      </w:pPr>
    </w:p>
    <w:p>
      <w:pPr>
        <w:jc w:val="both"/>
        <w:ind w:left="380" w:hanging="367"/>
        <w:spacing w:after="0" w:line="274" w:lineRule="auto"/>
        <w:tabs>
          <w:tab w:leader="none" w:pos="380" w:val="left"/>
        </w:tabs>
        <w:numPr>
          <w:ilvl w:val="0"/>
          <w:numId w:val="1"/>
        </w:numPr>
        <w:rPr>
          <w:rFonts w:ascii="Arial" w:cs="Arial" w:eastAsia="Arial" w:hAnsi="Arial"/>
          <w:sz w:val="19"/>
          <w:szCs w:val="19"/>
          <w:color w:val="auto"/>
        </w:rPr>
      </w:pPr>
      <w:r>
        <w:rPr>
          <w:rFonts w:ascii="Arial" w:cs="Arial" w:eastAsia="Arial" w:hAnsi="Arial"/>
          <w:sz w:val="19"/>
          <w:szCs w:val="19"/>
          <w:color w:val="auto"/>
        </w:rPr>
        <w:t>On February 12, 2013, the company issued $300 million of 1.625% Convertible Senior Notes due February 2033 (the “2033E Notes”) and $300 million of 2.125% Convertible Senior Notes due February 2033 (the “2033F Notes” and together with the 2033E Notes, the “2033 Notes”). Issuance costs for the 2033 Notes totaled $16 million. The initial conversion rate for the 2033 Notes is 91.4808 shares of common stock per $1,000 principal amount, equivalent to an initial conversion price of approximately $10.93 per share of common stock. Upon issuance of the 2033 Notes, the company recorded $526 million of debt, $72 million of additional capital and $14 million of deferred debt issuance costs (included in other noncurrent assets). The difference between the debt recorded at inception and the principal amount ($31 million for the 2033E Notes and $43 million for the 2033F Notes) is being accreted to principal as interest expense through February 2018 for the 2033E Notes and February 2020 for the 2033F Notes, the expected life of the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386715</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10" w:name="page11"/>
    <w:bookmarkEnd w:id="10"/>
    <w:p>
      <w:pPr>
        <w:ind w:left="247" w:right="80"/>
        <w:spacing w:after="0" w:line="279" w:lineRule="auto"/>
        <w:rPr>
          <w:sz w:val="20"/>
          <w:szCs w:val="20"/>
          <w:color w:val="auto"/>
        </w:rPr>
      </w:pPr>
      <w:r>
        <w:rPr>
          <w:rFonts w:ascii="Arial" w:cs="Arial" w:eastAsia="Arial" w:hAnsi="Arial"/>
          <w:sz w:val="19"/>
          <w:szCs w:val="19"/>
          <w:color w:val="auto"/>
        </w:rPr>
        <w:t>Concurrent with the issuance of the 2033 Notes, the company entered into capped call transactions (the “2013 Capped Calls”) that have initial strike prices of approximately $10.93 per share, subject to certain adjustments, which was set to equal the initial conversion price of the 2033 Notes. The 2013 Capped Calls have a cap price of $14.51 per share and cover an approximate combined total of 54.9 million shares of common stock. The 2013 Capped Calls are intended to reduce the potential dilution upon conversion of the 2033 Notes. The company paid $48 million to purchase the 2013 Capped Calls. The 2013 Capped Calls are considered capital transactions and the related cost was recorded as a charge to additional capital.</w:t>
      </w:r>
    </w:p>
    <w:p>
      <w:pPr>
        <w:spacing w:after="0" w:line="178" w:lineRule="exact"/>
        <w:rPr>
          <w:sz w:val="20"/>
          <w:szCs w:val="20"/>
          <w:color w:val="auto"/>
        </w:rPr>
      </w:pPr>
    </w:p>
    <w:p>
      <w:pPr>
        <w:ind w:left="247" w:right="60"/>
        <w:spacing w:after="0" w:line="248" w:lineRule="auto"/>
        <w:rPr>
          <w:sz w:val="20"/>
          <w:szCs w:val="20"/>
          <w:color w:val="auto"/>
        </w:rPr>
      </w:pPr>
      <w:r>
        <w:rPr>
          <w:rFonts w:ascii="Arial" w:cs="Arial" w:eastAsia="Arial" w:hAnsi="Arial"/>
          <w:sz w:val="21"/>
          <w:szCs w:val="21"/>
          <w:color w:val="auto"/>
        </w:rPr>
        <w:t>During the first quarter of fiscal 2013, the company entered into two credit facilities. The first was a three-year revolving credit facility. Under this credit facility, the company can draw up to $255 million. Amounts drawn would be collateralized by a security interest in certain accounts receivables. As of May 30, 2013, the company had not drawn any amounts under this facility. The second was a term note providing for borrowing of up to $214 million. Amounts drawn are payable in 10 equal semi-annual installments beginning six months after the draw date. As of the end of the third quarter of fiscal 2013, the note had been fully drawn and the outstanding balance was $195 million.</w:t>
      </w:r>
    </w:p>
    <w:p>
      <w:pPr>
        <w:spacing w:after="0" w:line="204" w:lineRule="exact"/>
        <w:rPr>
          <w:sz w:val="20"/>
          <w:szCs w:val="20"/>
          <w:color w:val="auto"/>
        </w:rPr>
      </w:pPr>
    </w:p>
    <w:p>
      <w:pPr>
        <w:jc w:val="both"/>
        <w:ind w:left="367" w:hanging="367"/>
        <w:spacing w:after="0" w:line="236" w:lineRule="auto"/>
        <w:tabs>
          <w:tab w:leader="none" w:pos="367" w:val="left"/>
        </w:tabs>
        <w:numPr>
          <w:ilvl w:val="0"/>
          <w:numId w:val="2"/>
        </w:numPr>
        <w:rPr>
          <w:rFonts w:ascii="Arial" w:cs="Arial" w:eastAsia="Arial" w:hAnsi="Arial"/>
          <w:sz w:val="22"/>
          <w:szCs w:val="22"/>
          <w:color w:val="auto"/>
        </w:rPr>
      </w:pPr>
      <w:r>
        <w:rPr>
          <w:rFonts w:ascii="Arial" w:cs="Arial" w:eastAsia="Arial" w:hAnsi="Arial"/>
          <w:sz w:val="22"/>
          <w:szCs w:val="22"/>
          <w:color w:val="auto"/>
        </w:rPr>
        <w:t>In connection with the offering of the 2033 Notes, on February 12, 2013, the company repurchased $464 million of aggregate principal amount of its 1.875% Convertible Senior Notes due June 2014 (the “2014 Notes”) for $477 million. The repurchase resulted in the derecognition of $431 million in debt for the principal amount (net of $33 million of debt discount) and $15 million in additional capital. The company recognized a charge of $31 million in the second quarter of fiscal 2013 associated with the early repurchase.</w:t>
      </w:r>
    </w:p>
    <w:sectPr>
      <w:pgSz w:w="11900" w:h="16838" w:orient="portrait"/>
      <w:cols w:equalWidth="0" w:num="1">
        <w:col w:w="11407"/>
      </w:cols>
      <w:pgMar w:left="253" w:top="26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4"/>
    </w:lvl>
  </w:abstractNum>
  <w:abstractNum w:abstractNumId="1">
    <w:nsid w:val="66334873"/>
    <w:multiLevelType w:val="hybridMultilevel"/>
    <w:lvl w:ilvl="0">
      <w:lvlJc w:val="left"/>
      <w:lvlText w:val="(%1)"/>
      <w:numFmt w:val="decimal"/>
      <w:start w:val="6"/>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2019-12-05T20:22:18Z</dcterms:created>
  <dcterms:modified xsi:type="dcterms:W3CDTF">2019-12-05T20:22:18Z</dcterms:modified>
</cp:coreProperties>
</file>