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243205</wp:posOffset>
            </wp:positionH>
            <wp:positionV relativeFrom="page">
              <wp:posOffset>612140</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page">
              <wp:posOffset>243205</wp:posOffset>
            </wp:positionH>
            <wp:positionV relativeFrom="page">
              <wp:posOffset>629285</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00" w:lineRule="exact"/>
        <w:rPr>
          <w:sz w:val="24"/>
          <w:szCs w:val="24"/>
          <w:color w:val="auto"/>
        </w:rPr>
      </w:pPr>
    </w:p>
    <w:p>
      <w:pPr>
        <w:spacing w:after="0" w:line="37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February 1, 2018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35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1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3180" w:type="dxa"/>
            <w:vAlign w:val="bottom"/>
          </w:tcPr>
          <w:p>
            <w:pPr>
              <w:jc w:val="right"/>
              <w:ind w:right="1250"/>
              <w:spacing w:after="0"/>
              <w:rPr>
                <w:sz w:val="20"/>
                <w:szCs w:val="20"/>
                <w:color w:val="auto"/>
              </w:rPr>
            </w:pPr>
            <w:r>
              <w:rPr>
                <w:rFonts w:ascii="Arial" w:cs="Arial" w:eastAsia="Arial" w:hAnsi="Arial"/>
                <w:sz w:val="18"/>
                <w:szCs w:val="18"/>
                <w:b w:val="1"/>
                <w:bCs w:val="1"/>
                <w:color w:val="auto"/>
              </w:rPr>
              <w:t>1-10658</w:t>
            </w:r>
          </w:p>
        </w:tc>
        <w:tc>
          <w:tcPr>
            <w:tcW w:w="4000" w:type="dxa"/>
            <w:vAlign w:val="bottom"/>
          </w:tcPr>
          <w:p>
            <w:pPr>
              <w:jc w:val="right"/>
              <w:ind w:right="1530"/>
              <w:spacing w:after="0"/>
              <w:rPr>
                <w:sz w:val="20"/>
                <w:szCs w:val="20"/>
                <w:color w:val="auto"/>
              </w:rPr>
            </w:pPr>
            <w:r>
              <w:rPr>
                <w:rFonts w:ascii="Arial" w:cs="Arial" w:eastAsia="Arial" w:hAnsi="Arial"/>
                <w:sz w:val="18"/>
                <w:szCs w:val="18"/>
                <w:b w:val="1"/>
                <w:bCs w:val="1"/>
                <w:color w:val="auto"/>
              </w:rPr>
              <w:t>75-1618004</w:t>
            </w:r>
          </w:p>
        </w:tc>
      </w:tr>
      <w:tr>
        <w:trPr>
          <w:trHeight w:val="27"/>
        </w:trPr>
        <w:tc>
          <w:tcPr>
            <w:tcW w:w="424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237"/>
        </w:trPr>
        <w:tc>
          <w:tcPr>
            <w:tcW w:w="424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3180" w:type="dxa"/>
            <w:vAlign w:val="bottom"/>
          </w:tcPr>
          <w:p>
            <w:pPr>
              <w:jc w:val="center"/>
              <w:ind w:right="10"/>
              <w:spacing w:after="0"/>
              <w:rPr>
                <w:sz w:val="20"/>
                <w:szCs w:val="20"/>
                <w:color w:val="auto"/>
              </w:rPr>
            </w:pPr>
            <w:r>
              <w:rPr>
                <w:rFonts w:ascii="Arial" w:cs="Arial" w:eastAsia="Arial" w:hAnsi="Arial"/>
                <w:sz w:val="18"/>
                <w:szCs w:val="18"/>
                <w:color w:val="auto"/>
                <w:w w:val="93"/>
              </w:rPr>
              <w:t>(Commission File Number)</w:t>
            </w:r>
          </w:p>
        </w:tc>
        <w:tc>
          <w:tcPr>
            <w:tcW w:w="4000" w:type="dxa"/>
            <w:vAlign w:val="bottom"/>
          </w:tcPr>
          <w:p>
            <w:pPr>
              <w:jc w:val="center"/>
              <w:ind w:right="10"/>
              <w:spacing w:after="0"/>
              <w:rPr>
                <w:sz w:val="20"/>
                <w:szCs w:val="20"/>
                <w:color w:val="auto"/>
              </w:rPr>
            </w:pPr>
            <w:r>
              <w:rPr>
                <w:rFonts w:ascii="Arial" w:cs="Arial" w:eastAsia="Arial" w:hAnsi="Arial"/>
                <w:sz w:val="18"/>
                <w:szCs w:val="18"/>
                <w:color w:val="auto"/>
                <w:w w:val="94"/>
              </w:rPr>
              <w:t>(I.R.S. Employer Identification No.)</w:t>
            </w:r>
          </w:p>
        </w:tc>
      </w:tr>
    </w:tbl>
    <w:p>
      <w:pPr>
        <w:spacing w:after="0" w:line="38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8000 South Federal Way</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34290</wp:posOffset>
            </wp:positionV>
            <wp:extent cx="267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34290</wp:posOffset>
            </wp:positionV>
            <wp:extent cx="26670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68" w:lineRule="exact"/>
        <w:rPr>
          <w:sz w:val="24"/>
          <w:szCs w:val="24"/>
          <w:color w:val="auto"/>
        </w:rPr>
      </w:pPr>
    </w:p>
    <w:p>
      <w:pPr>
        <w:ind w:right="540"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360" w:firstLine="324"/>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20"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150495</wp:posOffset>
            </wp:positionV>
            <wp:extent cx="70751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167640</wp:posOffset>
            </wp:positionV>
            <wp:extent cx="70751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ectPr>
          <w:pgSz w:w="11900" w:h="16838" w:orient="portrait"/>
          <w:cols w:equalWidth="0" w:num="1">
            <w:col w:w="11420"/>
          </w:cols>
          <w:pgMar w:left="240" w:top="1188" w:right="239" w:bottom="1440" w:gutter="0" w:footer="0" w:header="0"/>
        </w:sectPr>
      </w:pPr>
    </w:p>
    <w:bookmarkStart w:id="1" w:name="page2"/>
    <w:bookmarkEnd w:id="1"/>
    <w:p>
      <w:pPr>
        <w:ind w:left="1400" w:right="1180" w:hanging="1309"/>
        <w:spacing w:after="0" w:line="282" w:lineRule="auto"/>
        <w:tabs>
          <w:tab w:leader="none" w:pos="13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Resignation of Ernest E. Maddock</w:t>
      </w:r>
    </w:p>
    <w:p>
      <w:pPr>
        <w:spacing w:after="0" w:line="229"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On February 1, 2018, Ernest E. Maddock announced his intention to retire from Micron Technology, Inc. (the "Company") on June 8, 2018. Mr. Maddock will serve as the Company's Senior Vice President and Chief Financial Officer until February 19, 2018 and, to provide for an orderly transition of duties, as an advisor to the Company from February 19, 2018 to June 8, 2018. The press release related to Mr. Maddock's retirement is included as Exhibit 99.1 to this Current Report on Form 8-K. In addition to the severance and other benefits that Mr. Maddock will receive pursuant to his existing executive agreement, the Compensation Committee of the Company's Board of Directors approved that the equity awards granted to Mr. Maddock on October 24, 2017 will be eligible for vesting credit during the one-year severance period under his executive agreement.</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Appointment of David A. Zinsner</w:t>
      </w:r>
    </w:p>
    <w:p>
      <w:pPr>
        <w:spacing w:after="0" w:line="229" w:lineRule="exact"/>
        <w:rPr>
          <w:sz w:val="20"/>
          <w:szCs w:val="20"/>
          <w:color w:val="auto"/>
        </w:rPr>
      </w:pPr>
    </w:p>
    <w:p>
      <w:pPr>
        <w:ind w:right="60" w:firstLine="324"/>
        <w:spacing w:after="0" w:line="312" w:lineRule="auto"/>
        <w:rPr>
          <w:sz w:val="20"/>
          <w:szCs w:val="20"/>
          <w:color w:val="auto"/>
        </w:rPr>
      </w:pPr>
      <w:r>
        <w:rPr>
          <w:rFonts w:ascii="Arial" w:cs="Arial" w:eastAsia="Arial" w:hAnsi="Arial"/>
          <w:sz w:val="16"/>
          <w:szCs w:val="16"/>
          <w:color w:val="auto"/>
        </w:rPr>
        <w:t>On February 1, 2018, the Board of Directors of the Company appointed David A. Zinsner (49) to serve as Senior Vice President and Chief Financial Officer effective as of February 19, 2018. There are no arrangements or understandings between Mr. Zinsner and any other persons pursuant to which he was selected as an officer. The press release related to Mr. Zinsner joining the Company is included as Exhibit 99.1 to this Current Report on Form 8-K.</w:t>
      </w:r>
    </w:p>
    <w:p>
      <w:pPr>
        <w:spacing w:after="0" w:line="147"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Prior to joining the Company, Mr. Zinsner served as the President and Chief Operating Officer of Affirmed Networks, a leader in virtualized mobile networks. From 2009 to 2017, Mr. Zinsner served as the Senior Vice President of Finance and Chief Financial Officer of Analog Devices, a global high-performance analog technology company and from 2005 to 2009 he served as the Senior Vice President and Chief Financial Officer of Intersil Corporation, a provider of analog solutions.</w:t>
      </w:r>
    </w:p>
    <w:p>
      <w:pPr>
        <w:spacing w:after="0" w:line="187" w:lineRule="exact"/>
        <w:rPr>
          <w:sz w:val="20"/>
          <w:szCs w:val="20"/>
          <w:color w:val="auto"/>
        </w:rPr>
      </w:pPr>
    </w:p>
    <w:p>
      <w:pPr>
        <w:jc w:val="both"/>
        <w:ind w:right="140" w:firstLine="324"/>
        <w:spacing w:after="0" w:line="264" w:lineRule="auto"/>
        <w:rPr>
          <w:sz w:val="20"/>
          <w:szCs w:val="20"/>
          <w:color w:val="auto"/>
        </w:rPr>
      </w:pPr>
      <w:r>
        <w:rPr>
          <w:rFonts w:ascii="Arial" w:cs="Arial" w:eastAsia="Arial" w:hAnsi="Arial"/>
          <w:sz w:val="18"/>
          <w:szCs w:val="18"/>
          <w:color w:val="auto"/>
        </w:rPr>
        <w:t>Mr. Zinsner will receive an annual base salary of $620,000 and participate in the Company's Executive Officer Performance Incentive Plan (the "EIP") with a target payout percentage of 100% of his annual base salary. Mr. Zinsner's payout under the EIP for fiscal 2018 (commencing September 1, 2017) will be prorated based on his period of employment with the Company during fiscal 2018.</w:t>
      </w:r>
    </w:p>
    <w:p>
      <w:pPr>
        <w:spacing w:after="0" w:line="181" w:lineRule="exact"/>
        <w:rPr>
          <w:sz w:val="20"/>
          <w:szCs w:val="20"/>
          <w:color w:val="auto"/>
        </w:rPr>
      </w:pPr>
    </w:p>
    <w:p>
      <w:pPr>
        <w:jc w:val="both"/>
        <w:ind w:right="80" w:firstLine="324"/>
        <w:spacing w:after="0" w:line="274" w:lineRule="auto"/>
        <w:rPr>
          <w:sz w:val="20"/>
          <w:szCs w:val="20"/>
          <w:color w:val="auto"/>
        </w:rPr>
      </w:pPr>
      <w:r>
        <w:rPr>
          <w:rFonts w:ascii="Arial" w:cs="Arial" w:eastAsia="Arial" w:hAnsi="Arial"/>
          <w:sz w:val="16"/>
          <w:szCs w:val="16"/>
          <w:color w:val="auto"/>
        </w:rPr>
        <w:t>For fiscal 2018, Mr. Zinsner will receive equity awards with an aggregate grant date fair value of approximately $2,250,000 pursuant to the Company's long-term incentive equity program ("Annual Equity"). In addition, Mr. Zinsner will receive a one-time equity inducement award with an approximate grant date fair value of $2,000,000 (the "Inducement Award"). Annual Equity and Inducement Award will vest over four years, with 25% of each award vesting on each of the 1</w:t>
      </w:r>
      <w:r>
        <w:rPr>
          <w:rFonts w:ascii="Arial" w:cs="Arial" w:eastAsia="Arial" w:hAnsi="Arial"/>
          <w:sz w:val="22"/>
          <w:szCs w:val="22"/>
          <w:color w:val="auto"/>
          <w:vertAlign w:val="superscript"/>
        </w:rPr>
        <w:t>st</w:t>
      </w:r>
      <w:r>
        <w:rPr>
          <w:rFonts w:ascii="Arial" w:cs="Arial" w:eastAsia="Arial" w:hAnsi="Arial"/>
          <w:sz w:val="16"/>
          <w:szCs w:val="16"/>
          <w:color w:val="auto"/>
        </w:rPr>
        <w:t>, 2</w:t>
      </w:r>
      <w:r>
        <w:rPr>
          <w:rFonts w:ascii="Arial" w:cs="Arial" w:eastAsia="Arial" w:hAnsi="Arial"/>
          <w:sz w:val="22"/>
          <w:szCs w:val="22"/>
          <w:color w:val="auto"/>
          <w:vertAlign w:val="superscript"/>
        </w:rPr>
        <w:t>nd</w:t>
      </w:r>
      <w:r>
        <w:rPr>
          <w:rFonts w:ascii="Arial" w:cs="Arial" w:eastAsia="Arial" w:hAnsi="Arial"/>
          <w:sz w:val="16"/>
          <w:szCs w:val="16"/>
          <w:color w:val="auto"/>
        </w:rPr>
        <w:t>, 3</w:t>
      </w:r>
      <w:r>
        <w:rPr>
          <w:rFonts w:ascii="Arial" w:cs="Arial" w:eastAsia="Arial" w:hAnsi="Arial"/>
          <w:sz w:val="22"/>
          <w:szCs w:val="22"/>
          <w:color w:val="auto"/>
          <w:vertAlign w:val="superscript"/>
        </w:rPr>
        <w:t>rd</w:t>
      </w:r>
      <w:r>
        <w:rPr>
          <w:rFonts w:ascii="Arial" w:cs="Arial" w:eastAsia="Arial" w:hAnsi="Arial"/>
          <w:sz w:val="16"/>
          <w:szCs w:val="16"/>
          <w:color w:val="auto"/>
        </w:rPr>
        <w:t xml:space="preserve"> and 4</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anniversaries of the date of grant, subject to Mr. Zinsner's continued employment on each vesting date. Approximately 50% of each award will be made in the form of restricted stock and 50% of each award will be made in the form of nonqualified stock options.</w:t>
      </w:r>
    </w:p>
    <w:p>
      <w:pPr>
        <w:spacing w:after="0" w:line="167" w:lineRule="exact"/>
        <w:rPr>
          <w:sz w:val="20"/>
          <w:szCs w:val="20"/>
          <w:color w:val="auto"/>
        </w:rPr>
      </w:pPr>
    </w:p>
    <w:p>
      <w:pPr>
        <w:ind w:right="280" w:firstLine="324"/>
        <w:spacing w:after="0" w:line="264" w:lineRule="auto"/>
        <w:rPr>
          <w:sz w:val="20"/>
          <w:szCs w:val="20"/>
          <w:color w:val="auto"/>
        </w:rPr>
      </w:pPr>
      <w:r>
        <w:rPr>
          <w:rFonts w:ascii="Arial" w:cs="Arial" w:eastAsia="Arial" w:hAnsi="Arial"/>
          <w:sz w:val="18"/>
          <w:szCs w:val="18"/>
          <w:color w:val="auto"/>
        </w:rPr>
        <w:t>Mr. Zinsner's compensation includes a severance benefit. Upon Mr. Zinsner's involuntary termination of employment without "cause" or upon Mr. Zinsner's termination of employment within 12 months of a "change in control" that is either an involuntary termination without "cause" or resignation for "good reason" (a "Change in Control Separation"), Mr. Zinsner will receive the following severance benefits:</w:t>
      </w:r>
    </w:p>
    <w:p>
      <w:pPr>
        <w:spacing w:after="0" w:line="181" w:lineRule="exact"/>
        <w:rPr>
          <w:sz w:val="20"/>
          <w:szCs w:val="20"/>
          <w:color w:val="auto"/>
        </w:rPr>
      </w:pPr>
    </w:p>
    <w:p>
      <w:pPr>
        <w:ind w:left="660" w:right="300" w:hanging="328"/>
        <w:spacing w:after="0" w:line="256"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cash amount equal to one times Mr. Zinsner's annual base salary in effect upon the date of termination paid in installments during the one year period following termination (or, in the case of a Change in Control Separation, one and one-half times Mr. Zinsner's annual base salary paid in a lump sum following termination);</w:t>
      </w:r>
    </w:p>
    <w:p>
      <w:pPr>
        <w:ind w:left="660" w:right="120" w:hanging="328"/>
        <w:spacing w:after="0" w:line="281"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a cash amount equal to the medical benefits and employer qualified plan matching contributions Mr. Zinsner would have received had Mr. Zinsner remained employed for an additional 12 months, paid in installments during the 12-month period following termination (or, in the case of a Change in Control Separation, such benefits as if Mr. Zinsner remained employed for an additional 18 months paid in a lump sum following termination);</w:t>
      </w:r>
    </w:p>
    <w:p>
      <w:pPr>
        <w:spacing w:after="0" w:line="2" w:lineRule="exact"/>
        <w:rPr>
          <w:rFonts w:ascii="Arial" w:cs="Arial" w:eastAsia="Arial" w:hAnsi="Arial"/>
          <w:sz w:val="16"/>
          <w:szCs w:val="16"/>
          <w:color w:val="auto"/>
        </w:rPr>
      </w:pPr>
    </w:p>
    <w:p>
      <w:pPr>
        <w:ind w:left="660" w:hanging="328"/>
        <w:spacing w:after="0" w:line="265"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annual bonus Mr. Zinsner would have received under the EIP for the year of termination, subject to achievement of applicable performance criteria, paid in accordance with the terms of the EIP for the performance period in which the termination occurs (or, in the case of a Change in Control Separation, Mr. Zinsner's target annual bonus for the performance period in which the termination occurs, reduced by any amount previously paid to Mr. Zinsner under the EIP for that same performance period as a result of the change in control); and</w:t>
      </w:r>
    </w:p>
    <w:p>
      <w:pPr>
        <w:ind w:left="660" w:right="200" w:hanging="328"/>
        <w:spacing w:after="0" w:line="255"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continued vesting and exercisability of any options, restricted stock or other time-based equity, and, subject to achievement of applicable performance criteria, performance-based equity for the one-year period following Mr. Zinsner's termination (or, in the case of a Change in Control Separation, accelerated vesting, and exercisability, of any</w:t>
      </w:r>
    </w:p>
    <w:p>
      <w:pPr>
        <w:sectPr>
          <w:pgSz w:w="11900" w:h="16838" w:orient="portrait"/>
          <w:cols w:equalWidth="0" w:num="1">
            <w:col w:w="11400"/>
          </w:cols>
          <w:pgMar w:left="240" w:top="742" w:right="259" w:bottom="1440" w:gutter="0" w:footer="0" w:header="0"/>
        </w:sectPr>
      </w:pPr>
    </w:p>
    <w:bookmarkStart w:id="2" w:name="page3"/>
    <w:bookmarkEnd w:id="2"/>
    <w:p>
      <w:pPr>
        <w:ind w:left="660"/>
        <w:spacing w:after="0"/>
        <w:rPr>
          <w:sz w:val="20"/>
          <w:szCs w:val="20"/>
          <w:color w:val="auto"/>
        </w:rPr>
      </w:pPr>
      <w:r>
        <w:rPr>
          <w:rFonts w:ascii="Arial" w:cs="Arial" w:eastAsia="Arial" w:hAnsi="Arial"/>
          <w:sz w:val="16"/>
          <w:szCs w:val="16"/>
          <w:color w:val="auto"/>
        </w:rPr>
        <w:t>options, restricted stock or other time-based equity, and subject to achievement of applicable performance objectives, performance-based equity).</w:t>
      </w:r>
    </w:p>
    <w:p>
      <w:pPr>
        <w:spacing w:after="0" w:line="262"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Mr. Zinsner's compensation agreement also includes an Internal Revenue Code Section 280G ("Section 280G") "cut-back" provision, which provides that Mr. Zinsner's benefits under the agreement will be reduced so that no Section 280G excise tax will apply, if such reduction will result in a higher net after-tax benefit to Mr. Zinsner; provided that the Company shall provide no tax gross-up under the agreement. Mr. Zinsner's entitlement to the foregoing severance benefits are conditioned on Mr. Zinsner signing a release of claims in favor of the Company and on Mr. Zinsner's compliance with the terms of the Company's non-competition, non-solicitation, and non-disclosure agreement.</w:t>
      </w:r>
    </w:p>
    <w:p>
      <w:pPr>
        <w:spacing w:after="0" w:line="188"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Mr. Zinsner's compensation agreement also provides for relocation assistance, including home sales and purchase assistance, incidental expense coverage, temporary housing, vehicle shipment, storage rental, home sale loss protection, and duplicate housing expense coverage. Mr. Zinsner will be subject to the Company's compensation recoupment policies as in effect from time to time.</w:t>
      </w:r>
    </w:p>
    <w:p>
      <w:pPr>
        <w:spacing w:after="0" w:line="200" w:lineRule="exact"/>
        <w:rPr>
          <w:sz w:val="20"/>
          <w:szCs w:val="20"/>
          <w:color w:val="auto"/>
        </w:rPr>
      </w:pPr>
    </w:p>
    <w:p>
      <w:pPr>
        <w:spacing w:after="0" w:line="355" w:lineRule="exact"/>
        <w:rPr>
          <w:sz w:val="20"/>
          <w:szCs w:val="20"/>
          <w:color w:val="auto"/>
        </w:rPr>
      </w:pPr>
    </w:p>
    <w:p>
      <w:pPr>
        <w:ind w:left="80"/>
        <w:spacing w:after="0"/>
        <w:tabs>
          <w:tab w:leader="none" w:pos="13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83"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On February 5, 2018, the Company issued a press release updating its guidance for the second quarter of fiscal 2018. A copy of the Company's press release is included as Exhibit 99.2 to this Current Report on Form 8-K.</w:t>
      </w:r>
    </w:p>
    <w:p>
      <w:pPr>
        <w:spacing w:after="0" w:line="170"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The information set forth in this Item 8.01 is intended to be "furnished" and shall not be deemed "filed" for purposes of Section 18 of the Securities Exchange Act of 1934, as amended (the "Exchange Act"), or otherwise subject to the liabilities of that section. In addition, this information shall not be incorporated by reference into any registration statement filing under the Securities Act of 1933, as amended, or the Exchange Act, regardless of any general incorporation language in such filing, unless it is specifically incorporated by reference in such filing.</w:t>
      </w: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80" w:type="dxa"/>
            <w:vAlign w:val="bottom"/>
          </w:tcPr>
          <w:p>
            <w:pPr>
              <w:ind w:left="80"/>
              <w:spacing w:after="0"/>
              <w:rPr>
                <w:sz w:val="20"/>
                <w:szCs w:val="20"/>
                <w:color w:val="auto"/>
              </w:rPr>
            </w:pPr>
            <w:r>
              <w:rPr>
                <w:rFonts w:ascii="Arial" w:cs="Arial" w:eastAsia="Arial" w:hAnsi="Arial"/>
                <w:sz w:val="18"/>
                <w:szCs w:val="18"/>
                <w:b w:val="1"/>
                <w:bCs w:val="1"/>
                <w:color w:val="auto"/>
              </w:rPr>
              <w:t>Item 9.01.</w:t>
            </w:r>
          </w:p>
        </w:tc>
        <w:tc>
          <w:tcPr>
            <w:tcW w:w="10040" w:type="dxa"/>
            <w:vAlign w:val="bottom"/>
            <w:gridSpan w:val="2"/>
          </w:tcPr>
          <w:p>
            <w:pPr>
              <w:ind w:left="40"/>
              <w:spacing w:after="0"/>
              <w:rPr>
                <w:sz w:val="20"/>
                <w:szCs w:val="20"/>
                <w:color w:val="auto"/>
              </w:rPr>
            </w:pPr>
            <w:r>
              <w:rPr>
                <w:rFonts w:ascii="Arial" w:cs="Arial" w:eastAsia="Arial" w:hAnsi="Arial"/>
                <w:sz w:val="18"/>
                <w:szCs w:val="18"/>
                <w:b w:val="1"/>
                <w:bCs w:val="1"/>
                <w:color w:val="auto"/>
              </w:rPr>
              <w:t>Financial Statements and Exhibits.</w:t>
            </w:r>
          </w:p>
        </w:tc>
      </w:tr>
      <w:tr>
        <w:trPr>
          <w:trHeight w:val="594"/>
        </w:trPr>
        <w:tc>
          <w:tcPr>
            <w:tcW w:w="1380" w:type="dxa"/>
            <w:vAlign w:val="bottom"/>
          </w:tcPr>
          <w:p>
            <w:pPr>
              <w:spacing w:after="0"/>
              <w:rPr>
                <w:sz w:val="24"/>
                <w:szCs w:val="24"/>
                <w:color w:val="auto"/>
              </w:rPr>
            </w:pPr>
          </w:p>
        </w:tc>
        <w:tc>
          <w:tcPr>
            <w:tcW w:w="10040" w:type="dxa"/>
            <w:vAlign w:val="bottom"/>
            <w:gridSpan w:val="2"/>
          </w:tcPr>
          <w:p>
            <w:pPr>
              <w:ind w:left="40"/>
              <w:spacing w:after="0"/>
              <w:rPr>
                <w:sz w:val="20"/>
                <w:szCs w:val="20"/>
                <w:color w:val="auto"/>
              </w:rPr>
            </w:pPr>
            <w:r>
              <w:rPr>
                <w:rFonts w:ascii="Arial" w:cs="Arial" w:eastAsia="Arial" w:hAnsi="Arial"/>
                <w:sz w:val="18"/>
                <w:szCs w:val="18"/>
                <w:color w:val="auto"/>
              </w:rPr>
              <w:t>(d) Exhibits.</w:t>
            </w:r>
          </w:p>
        </w:tc>
      </w:tr>
      <w:tr>
        <w:trPr>
          <w:trHeight w:val="743"/>
        </w:trPr>
        <w:tc>
          <w:tcPr>
            <w:tcW w:w="1380" w:type="dxa"/>
            <w:vAlign w:val="bottom"/>
          </w:tcPr>
          <w:p>
            <w:pPr>
              <w:ind w:left="80"/>
              <w:spacing w:after="0"/>
              <w:rPr>
                <w:sz w:val="20"/>
                <w:szCs w:val="20"/>
                <w:color w:val="auto"/>
              </w:rPr>
            </w:pPr>
            <w:r>
              <w:rPr>
                <w:rFonts w:ascii="Arial" w:cs="Arial" w:eastAsia="Arial" w:hAnsi="Arial"/>
                <w:sz w:val="18"/>
                <w:szCs w:val="18"/>
                <w:b w:val="1"/>
                <w:bCs w:val="1"/>
                <w:color w:val="auto"/>
              </w:rPr>
              <w:t>Exhibit No.</w:t>
            </w:r>
          </w:p>
        </w:tc>
        <w:tc>
          <w:tcPr>
            <w:tcW w:w="240" w:type="dxa"/>
            <w:vAlign w:val="bottom"/>
          </w:tcPr>
          <w:p>
            <w:pPr>
              <w:spacing w:after="0"/>
              <w:rPr>
                <w:sz w:val="24"/>
                <w:szCs w:val="24"/>
                <w:color w:val="auto"/>
              </w:rPr>
            </w:pPr>
          </w:p>
        </w:tc>
        <w:tc>
          <w:tcPr>
            <w:tcW w:w="9800" w:type="dxa"/>
            <w:vAlign w:val="bottom"/>
          </w:tcPr>
          <w:p>
            <w:pPr>
              <w:ind w:left="80"/>
              <w:spacing w:after="0"/>
              <w:rPr>
                <w:sz w:val="20"/>
                <w:szCs w:val="20"/>
                <w:color w:val="auto"/>
              </w:rPr>
            </w:pPr>
            <w:r>
              <w:rPr>
                <w:rFonts w:ascii="Arial" w:cs="Arial" w:eastAsia="Arial" w:hAnsi="Arial"/>
                <w:sz w:val="18"/>
                <w:szCs w:val="18"/>
                <w:b w:val="1"/>
                <w:bCs w:val="1"/>
                <w:color w:val="auto"/>
              </w:rPr>
              <w:t>Description.</w:t>
            </w:r>
          </w:p>
        </w:tc>
      </w:tr>
      <w:tr>
        <w:trPr>
          <w:trHeight w:val="54"/>
        </w:trPr>
        <w:tc>
          <w:tcPr>
            <w:tcW w:w="138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9800" w:type="dxa"/>
            <w:vAlign w:val="bottom"/>
            <w:tcBorders>
              <w:bottom w:val="single" w:sz="8" w:color="auto"/>
            </w:tcBorders>
          </w:tcPr>
          <w:p>
            <w:pPr>
              <w:spacing w:after="0"/>
              <w:rPr>
                <w:sz w:val="4"/>
                <w:szCs w:val="4"/>
                <w:color w:val="auto"/>
              </w:rPr>
            </w:pPr>
          </w:p>
        </w:tc>
      </w:tr>
      <w:tr>
        <w:trPr>
          <w:trHeight w:val="264"/>
        </w:trPr>
        <w:tc>
          <w:tcPr>
            <w:tcW w:w="1380" w:type="dxa"/>
            <w:vAlign w:val="bottom"/>
          </w:tcPr>
          <w:p>
            <w:pPr>
              <w:jc w:val="right"/>
              <w:ind w:right="410"/>
              <w:spacing w:after="0"/>
              <w:rPr>
                <w:sz w:val="20"/>
                <w:szCs w:val="20"/>
                <w:color w:val="auto"/>
              </w:rPr>
            </w:pPr>
            <w:r>
              <w:rPr>
                <w:rFonts w:ascii="Arial" w:cs="Arial" w:eastAsia="Arial" w:hAnsi="Arial"/>
                <w:sz w:val="18"/>
                <w:szCs w:val="18"/>
                <w:color w:val="auto"/>
              </w:rPr>
              <w:t>99.1</w:t>
            </w:r>
          </w:p>
        </w:tc>
        <w:tc>
          <w:tcPr>
            <w:tcW w:w="240" w:type="dxa"/>
            <w:vAlign w:val="bottom"/>
          </w:tcPr>
          <w:p>
            <w:pPr>
              <w:spacing w:after="0"/>
              <w:rPr>
                <w:sz w:val="22"/>
                <w:szCs w:val="22"/>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Press release issued on February 5, 2018 related to Chief Financial Officer transition.</w:t>
            </w:r>
          </w:p>
        </w:tc>
      </w:tr>
      <w:tr>
        <w:trPr>
          <w:trHeight w:val="297"/>
        </w:trPr>
        <w:tc>
          <w:tcPr>
            <w:tcW w:w="1380" w:type="dxa"/>
            <w:vAlign w:val="bottom"/>
          </w:tcPr>
          <w:p>
            <w:pPr>
              <w:jc w:val="right"/>
              <w:ind w:right="410"/>
              <w:spacing w:after="0"/>
              <w:rPr>
                <w:sz w:val="20"/>
                <w:szCs w:val="20"/>
                <w:color w:val="auto"/>
              </w:rPr>
            </w:pPr>
            <w:r>
              <w:rPr>
                <w:rFonts w:ascii="Arial" w:cs="Arial" w:eastAsia="Arial" w:hAnsi="Arial"/>
                <w:sz w:val="18"/>
                <w:szCs w:val="18"/>
                <w:color w:val="auto"/>
              </w:rPr>
              <w:t>99.2</w:t>
            </w:r>
          </w:p>
        </w:tc>
        <w:tc>
          <w:tcPr>
            <w:tcW w:w="24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Press release issued on February 5, 2018 related to updated guidance for the second quarter of fiscal 2018.</w:t>
            </w:r>
          </w:p>
        </w:tc>
      </w:tr>
    </w:tbl>
    <w:p>
      <w:pPr>
        <w:sectPr>
          <w:pgSz w:w="11900" w:h="16838" w:orient="portrait"/>
          <w:cols w:equalWidth="0" w:num="1">
            <w:col w:w="11420"/>
          </w:cols>
          <w:pgMar w:left="240" w:top="611" w:right="239" w:bottom="1440" w:gutter="0" w:footer="0" w:header="0"/>
        </w:sectPr>
      </w:pPr>
    </w:p>
    <w:bookmarkStart w:id="3" w:name="page4"/>
    <w:bookmarkEnd w:id="3"/>
    <w:p>
      <w:pPr>
        <w:jc w:val="center"/>
        <w:ind w:right="-5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7060" w:type="dxa"/>
            <w:vAlign w:val="bottom"/>
            <w:gridSpan w:val="2"/>
          </w:tcPr>
          <w:p>
            <w:pPr>
              <w:ind w:left="1780"/>
              <w:spacing w:after="0"/>
              <w:rPr>
                <w:sz w:val="20"/>
                <w:szCs w:val="20"/>
                <w:color w:val="auto"/>
              </w:rPr>
            </w:pPr>
            <w:r>
              <w:rPr>
                <w:rFonts w:ascii="Arial" w:cs="Arial" w:eastAsia="Arial" w:hAnsi="Arial"/>
                <w:sz w:val="18"/>
                <w:szCs w:val="18"/>
                <w:b w:val="1"/>
                <w:bCs w:val="1"/>
                <w:color w:val="auto"/>
              </w:rPr>
              <w:t>MICRON TECHNOLOGY, INC.</w:t>
            </w:r>
          </w:p>
        </w:tc>
        <w:tc>
          <w:tcPr>
            <w:tcW w:w="0" w:type="dxa"/>
            <w:vAlign w:val="bottom"/>
          </w:tcPr>
          <w:p>
            <w:pPr>
              <w:spacing w:after="0"/>
              <w:rPr>
                <w:sz w:val="1"/>
                <w:szCs w:val="1"/>
                <w:color w:val="auto"/>
              </w:rPr>
            </w:pPr>
          </w:p>
        </w:tc>
      </w:tr>
      <w:tr>
        <w:trPr>
          <w:trHeight w:val="864"/>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180" w:type="dxa"/>
            <w:vAlign w:val="bottom"/>
          </w:tcPr>
          <w:p>
            <w:pPr>
              <w:ind w:left="180"/>
              <w:spacing w:after="0"/>
              <w:rPr>
                <w:sz w:val="20"/>
                <w:szCs w:val="20"/>
                <w:color w:val="auto"/>
              </w:rPr>
            </w:pPr>
            <w:r>
              <w:rPr>
                <w:rFonts w:ascii="Arial" w:cs="Arial" w:eastAsia="Arial" w:hAnsi="Arial"/>
                <w:sz w:val="18"/>
                <w:szCs w:val="18"/>
                <w:color w:val="auto"/>
              </w:rPr>
              <w:t>February 5, 2018</w:t>
            </w:r>
          </w:p>
        </w:tc>
        <w:tc>
          <w:tcPr>
            <w:tcW w:w="2720" w:type="dxa"/>
            <w:vAlign w:val="bottom"/>
          </w:tcPr>
          <w:p>
            <w:pPr>
              <w:ind w:left="1780"/>
              <w:spacing w:after="0"/>
              <w:rPr>
                <w:sz w:val="20"/>
                <w:szCs w:val="20"/>
                <w:color w:val="auto"/>
              </w:rPr>
            </w:pPr>
            <w:r>
              <w:rPr>
                <w:rFonts w:ascii="Arial" w:cs="Arial" w:eastAsia="Arial" w:hAnsi="Arial"/>
                <w:sz w:val="18"/>
                <w:szCs w:val="18"/>
                <w:color w:val="auto"/>
              </w:rPr>
              <w:t>By:</w:t>
            </w:r>
          </w:p>
        </w:tc>
        <w:tc>
          <w:tcPr>
            <w:tcW w:w="4340" w:type="dxa"/>
            <w:vAlign w:val="bottom"/>
          </w:tcPr>
          <w:p>
            <w:pPr>
              <w:ind w:left="20"/>
              <w:spacing w:after="0"/>
              <w:rPr>
                <w:sz w:val="20"/>
                <w:szCs w:val="20"/>
                <w:color w:val="auto"/>
              </w:rPr>
            </w:pPr>
            <w:r>
              <w:rPr>
                <w:rFonts w:ascii="Arial" w:cs="Arial" w:eastAsia="Arial" w:hAnsi="Arial"/>
                <w:sz w:val="18"/>
                <w:szCs w:val="18"/>
                <w:i w:val="1"/>
                <w:iCs w:val="1"/>
                <w:color w:val="auto"/>
              </w:rPr>
              <w:t>/s/ Sanjay Mehrotra</w:t>
            </w: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720" w:type="dxa"/>
            <w:vAlign w:val="bottom"/>
            <w:vMerge w:val="restart"/>
          </w:tcPr>
          <w:p>
            <w:pPr>
              <w:ind w:left="1780"/>
              <w:spacing w:after="0"/>
              <w:rPr>
                <w:sz w:val="20"/>
                <w:szCs w:val="20"/>
                <w:color w:val="auto"/>
              </w:rPr>
            </w:pPr>
            <w:r>
              <w:rPr>
                <w:rFonts w:ascii="Arial" w:cs="Arial" w:eastAsia="Arial" w:hAnsi="Arial"/>
                <w:sz w:val="18"/>
                <w:szCs w:val="18"/>
                <w:color w:val="auto"/>
              </w:rPr>
              <w:t>Name:</w:t>
            </w:r>
          </w:p>
        </w:tc>
        <w:tc>
          <w:tcPr>
            <w:tcW w:w="4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720" w:type="dxa"/>
            <w:vAlign w:val="bottom"/>
            <w:vMerge w:val="continue"/>
          </w:tcPr>
          <w:p>
            <w:pPr>
              <w:spacing w:after="0"/>
              <w:rPr>
                <w:sz w:val="20"/>
                <w:szCs w:val="20"/>
                <w:color w:val="auto"/>
              </w:rPr>
            </w:pPr>
          </w:p>
        </w:tc>
        <w:tc>
          <w:tcPr>
            <w:tcW w:w="4340" w:type="dxa"/>
            <w:vAlign w:val="bottom"/>
          </w:tcPr>
          <w:p>
            <w:pPr>
              <w:ind w:left="20"/>
              <w:spacing w:after="0"/>
              <w:rPr>
                <w:sz w:val="20"/>
                <w:szCs w:val="20"/>
                <w:color w:val="auto"/>
              </w:rPr>
            </w:pPr>
            <w:r>
              <w:rPr>
                <w:rFonts w:ascii="Arial" w:cs="Arial" w:eastAsia="Arial" w:hAnsi="Arial"/>
                <w:sz w:val="18"/>
                <w:szCs w:val="18"/>
                <w:color w:val="auto"/>
              </w:rPr>
              <w:t>Sanjay Mehrotra</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3180" w:type="dxa"/>
            <w:vAlign w:val="bottom"/>
          </w:tcPr>
          <w:p>
            <w:pPr>
              <w:spacing w:after="0"/>
              <w:rPr>
                <w:sz w:val="23"/>
                <w:szCs w:val="23"/>
                <w:color w:val="auto"/>
              </w:rPr>
            </w:pPr>
          </w:p>
        </w:tc>
        <w:tc>
          <w:tcPr>
            <w:tcW w:w="2720" w:type="dxa"/>
            <w:vAlign w:val="bottom"/>
          </w:tcPr>
          <w:p>
            <w:pPr>
              <w:ind w:left="1780"/>
              <w:spacing w:after="0"/>
              <w:rPr>
                <w:sz w:val="20"/>
                <w:szCs w:val="20"/>
                <w:color w:val="auto"/>
              </w:rPr>
            </w:pPr>
            <w:r>
              <w:rPr>
                <w:rFonts w:ascii="Arial" w:cs="Arial" w:eastAsia="Arial" w:hAnsi="Arial"/>
                <w:sz w:val="18"/>
                <w:szCs w:val="18"/>
                <w:color w:val="auto"/>
              </w:rPr>
              <w:t>Title:</w:t>
            </w:r>
          </w:p>
        </w:tc>
        <w:tc>
          <w:tcPr>
            <w:tcW w:w="434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bl>
    <w:p>
      <w:pPr>
        <w:sectPr>
          <w:pgSz w:w="11900" w:h="16838" w:orient="portrait"/>
          <w:cols w:equalWidth="0" w:num="1">
            <w:col w:w="10860"/>
          </w:cols>
          <w:pgMar w:left="240" w:top="580" w:right="799" w:bottom="144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Exhibit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66040</wp:posOffset>
            </wp:positionV>
            <wp:extent cx="8750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11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99.1</w:t>
      </w:r>
    </w:p>
    <w:p>
      <w:pPr>
        <w:spacing w:after="0" w:line="9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99.2</w:t>
      </w:r>
    </w:p>
    <w:p>
      <w:pPr>
        <w:spacing w:after="0" w:line="20" w:lineRule="exact"/>
        <w:rPr>
          <w:sz w:val="20"/>
          <w:szCs w:val="20"/>
          <w:color w:val="auto"/>
        </w:rPr>
      </w:pPr>
      <w:r>
        <w:rPr>
          <w:sz w:val="20"/>
          <w:szCs w:val="20"/>
          <w:color w:val="auto"/>
        </w:rPr>
        <w:br w:type="column"/>
      </w:r>
    </w:p>
    <w:p>
      <w:pPr>
        <w:jc w:val="center"/>
        <w:ind w:right="419"/>
        <w:spacing w:after="0"/>
        <w:rPr>
          <w:sz w:val="20"/>
          <w:szCs w:val="20"/>
          <w:color w:val="auto"/>
        </w:rPr>
      </w:pPr>
      <w:r>
        <w:rPr>
          <w:rFonts w:ascii="Arial" w:cs="Arial" w:eastAsia="Arial" w:hAnsi="Arial"/>
          <w:sz w:val="18"/>
          <w:szCs w:val="18"/>
          <w:b w:val="1"/>
          <w:bCs w:val="1"/>
          <w:color w:val="auto"/>
        </w:rPr>
        <w:t>INDEX TO EXHIBITS FILED WITH</w:t>
      </w:r>
    </w:p>
    <w:p>
      <w:pPr>
        <w:spacing w:after="0" w:line="50"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THE CURRENT REPORT ON FORM 8-K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51435</wp:posOffset>
            </wp:positionV>
            <wp:extent cx="62261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26175" cy="8890"/>
                    </a:xfrm>
                    <a:prstGeom prst="rect">
                      <a:avLst/>
                    </a:prstGeom>
                    <a:noFill/>
                  </pic:spPr>
                </pic:pic>
              </a:graphicData>
            </a:graphic>
          </wp:anchor>
        </w:drawing>
      </w:r>
    </w:p>
    <w:p>
      <w:pPr>
        <w:spacing w:after="0" w:line="115" w:lineRule="exact"/>
        <w:rPr>
          <w:sz w:val="20"/>
          <w:szCs w:val="20"/>
          <w:color w:val="auto"/>
        </w:rPr>
      </w:pPr>
    </w:p>
    <w:p>
      <w:pPr>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Press release issued on February 5, 2018 related to Chief Financial Officer transition.</w:t>
        </w:r>
      </w:hyperlink>
    </w:p>
    <w:p>
      <w:pPr>
        <w:spacing w:after="0" w:line="90" w:lineRule="exact"/>
        <w:rPr>
          <w:sz w:val="20"/>
          <w:szCs w:val="20"/>
          <w:color w:val="auto"/>
        </w:rPr>
      </w:pPr>
    </w:p>
    <w:p>
      <w:pPr>
        <w:spacing w:after="0"/>
        <w:rPr>
          <w:rFonts w:ascii="Arial" w:cs="Arial" w:eastAsia="Arial" w:hAnsi="Arial"/>
          <w:sz w:val="16"/>
          <w:szCs w:val="16"/>
          <w:u w:val="single" w:color="auto"/>
          <w:color w:val="0000FF"/>
        </w:rPr>
      </w:pPr>
      <w:hyperlink w:anchor="page7">
        <w:r>
          <w:rPr>
            <w:rFonts w:ascii="Arial" w:cs="Arial" w:eastAsia="Arial" w:hAnsi="Arial"/>
            <w:sz w:val="16"/>
            <w:szCs w:val="16"/>
            <w:u w:val="single" w:color="auto"/>
            <w:color w:val="0000FF"/>
          </w:rPr>
          <w:t>Press release issued on February 5, 2018 related to updated guidance for the second quarter of fiscal 2018.</w:t>
        </w:r>
      </w:hyperlink>
    </w:p>
    <w:p>
      <w:pPr>
        <w:sectPr>
          <w:pgSz w:w="11900" w:h="16838" w:orient="portrait"/>
          <w:cols w:equalWidth="0" w:num="2">
            <w:col w:w="880" w:space="680"/>
            <w:col w:w="8579"/>
          </w:cols>
          <w:pgMar w:left="320" w:top="607" w:right="1440" w:bottom="1440" w:gutter="0" w:footer="0" w:header="0"/>
        </w:sectPr>
      </w:pPr>
    </w:p>
    <w:bookmarkStart w:id="5" w:name="page6"/>
    <w:bookmarkEnd w:id="5"/>
    <w:p>
      <w:pPr>
        <w:jc w:val="right"/>
        <w:spacing w:after="0"/>
        <w:rPr>
          <w:sz w:val="20"/>
          <w:szCs w:val="20"/>
          <w:color w:val="auto"/>
        </w:rPr>
      </w:pPr>
      <w:r>
        <w:rPr>
          <w:rFonts w:ascii="Arial" w:cs="Arial" w:eastAsia="Arial" w:hAnsi="Arial"/>
          <w:sz w:val="20"/>
          <w:szCs w:val="20"/>
          <w:b w:val="1"/>
          <w:bCs w:val="1"/>
          <w:color w:val="auto"/>
        </w:rPr>
        <w:t>Exhibit 99.1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740" w:type="dxa"/>
            <w:vAlign w:val="bottom"/>
            <w:gridSpan w:val="3"/>
          </w:tcPr>
          <w:p>
            <w:pPr>
              <w:spacing w:after="0"/>
              <w:rPr>
                <w:sz w:val="20"/>
                <w:szCs w:val="20"/>
                <w:color w:val="auto"/>
              </w:rPr>
            </w:pPr>
            <w:r>
              <w:rPr>
                <w:rFonts w:ascii="Arial" w:cs="Arial" w:eastAsia="Arial" w:hAnsi="Arial"/>
                <w:sz w:val="20"/>
                <w:szCs w:val="20"/>
                <w:b w:val="1"/>
                <w:bCs w:val="1"/>
                <w:color w:val="auto"/>
              </w:rPr>
              <w:t>FOR IMMEDIATE RELEASE</w:t>
            </w:r>
          </w:p>
        </w:tc>
        <w:tc>
          <w:tcPr>
            <w:tcW w:w="1840" w:type="dxa"/>
            <w:vAlign w:val="bottom"/>
          </w:tcPr>
          <w:p>
            <w:pPr>
              <w:spacing w:after="0"/>
              <w:rPr>
                <w:sz w:val="22"/>
                <w:szCs w:val="22"/>
                <w:color w:val="auto"/>
              </w:rPr>
            </w:pPr>
          </w:p>
        </w:tc>
      </w:tr>
      <w:tr>
        <w:trPr>
          <w:trHeight w:val="599"/>
        </w:trPr>
        <w:tc>
          <w:tcPr>
            <w:tcW w:w="1260" w:type="dxa"/>
            <w:vAlign w:val="bottom"/>
          </w:tcPr>
          <w:p>
            <w:pPr>
              <w:ind w:left="40"/>
              <w:spacing w:after="0"/>
              <w:rPr>
                <w:sz w:val="20"/>
                <w:szCs w:val="20"/>
                <w:color w:val="auto"/>
              </w:rPr>
            </w:pPr>
            <w:r>
              <w:rPr>
                <w:rFonts w:ascii="Arial" w:cs="Arial" w:eastAsia="Arial" w:hAnsi="Arial"/>
                <w:sz w:val="20"/>
                <w:szCs w:val="20"/>
                <w:color w:val="auto"/>
              </w:rPr>
              <w:t>Contacts:</w:t>
            </w:r>
          </w:p>
        </w:tc>
        <w:tc>
          <w:tcPr>
            <w:tcW w:w="2480" w:type="dxa"/>
            <w:vAlign w:val="bottom"/>
            <w:gridSpan w:val="2"/>
          </w:tcPr>
          <w:p>
            <w:pPr>
              <w:spacing w:after="0"/>
              <w:rPr>
                <w:sz w:val="20"/>
                <w:szCs w:val="20"/>
                <w:color w:val="auto"/>
              </w:rPr>
            </w:pPr>
            <w:r>
              <w:rPr>
                <w:rFonts w:ascii="Arial" w:cs="Arial" w:eastAsia="Arial" w:hAnsi="Arial"/>
                <w:sz w:val="20"/>
                <w:szCs w:val="20"/>
                <w:color w:val="auto"/>
              </w:rPr>
              <w:t>Shanye Hudson</w:t>
            </w:r>
          </w:p>
        </w:tc>
        <w:tc>
          <w:tcPr>
            <w:tcW w:w="1840" w:type="dxa"/>
            <w:vAlign w:val="bottom"/>
          </w:tcPr>
          <w:p>
            <w:pPr>
              <w:spacing w:after="0"/>
              <w:rPr>
                <w:sz w:val="20"/>
                <w:szCs w:val="20"/>
                <w:color w:val="auto"/>
              </w:rPr>
            </w:pPr>
            <w:r>
              <w:rPr>
                <w:rFonts w:ascii="Arial" w:cs="Arial" w:eastAsia="Arial" w:hAnsi="Arial"/>
                <w:sz w:val="20"/>
                <w:szCs w:val="20"/>
                <w:color w:val="auto"/>
              </w:rPr>
              <w:t>David Oro</w:t>
            </w:r>
          </w:p>
        </w:tc>
      </w:tr>
      <w:tr>
        <w:trPr>
          <w:trHeight w:val="284"/>
        </w:trPr>
        <w:tc>
          <w:tcPr>
            <w:tcW w:w="1260" w:type="dxa"/>
            <w:vAlign w:val="bottom"/>
          </w:tcPr>
          <w:p>
            <w:pPr>
              <w:spacing w:after="0"/>
              <w:rPr>
                <w:sz w:val="24"/>
                <w:szCs w:val="24"/>
                <w:color w:val="auto"/>
              </w:rPr>
            </w:pPr>
          </w:p>
        </w:tc>
        <w:tc>
          <w:tcPr>
            <w:tcW w:w="2480" w:type="dxa"/>
            <w:vAlign w:val="bottom"/>
            <w:gridSpan w:val="2"/>
          </w:tcPr>
          <w:p>
            <w:pPr>
              <w:spacing w:after="0"/>
              <w:rPr>
                <w:sz w:val="20"/>
                <w:szCs w:val="20"/>
                <w:color w:val="auto"/>
              </w:rPr>
            </w:pPr>
            <w:r>
              <w:rPr>
                <w:rFonts w:ascii="Arial" w:cs="Arial" w:eastAsia="Arial" w:hAnsi="Arial"/>
                <w:sz w:val="20"/>
                <w:szCs w:val="20"/>
                <w:color w:val="auto"/>
              </w:rPr>
              <w:t>Investor Relations</w:t>
            </w:r>
          </w:p>
        </w:tc>
        <w:tc>
          <w:tcPr>
            <w:tcW w:w="1840" w:type="dxa"/>
            <w:vAlign w:val="bottom"/>
          </w:tcPr>
          <w:p>
            <w:pPr>
              <w:spacing w:after="0"/>
              <w:rPr>
                <w:sz w:val="20"/>
                <w:szCs w:val="20"/>
                <w:color w:val="auto"/>
              </w:rPr>
            </w:pPr>
            <w:r>
              <w:rPr>
                <w:rFonts w:ascii="Arial" w:cs="Arial" w:eastAsia="Arial" w:hAnsi="Arial"/>
                <w:sz w:val="20"/>
                <w:szCs w:val="20"/>
                <w:color w:val="auto"/>
              </w:rPr>
              <w:t>Media Relations</w:t>
            </w:r>
          </w:p>
        </w:tc>
      </w:tr>
      <w:tr>
        <w:trPr>
          <w:trHeight w:val="239"/>
        </w:trPr>
        <w:tc>
          <w:tcPr>
            <w:tcW w:w="1260" w:type="dxa"/>
            <w:vAlign w:val="bottom"/>
          </w:tcPr>
          <w:p>
            <w:pPr>
              <w:spacing w:after="0"/>
              <w:rPr>
                <w:sz w:val="20"/>
                <w:szCs w:val="20"/>
                <w:color w:val="auto"/>
              </w:rPr>
            </w:pPr>
          </w:p>
        </w:tc>
        <w:tc>
          <w:tcPr>
            <w:tcW w:w="2480" w:type="dxa"/>
            <w:vAlign w:val="bottom"/>
            <w:gridSpan w:val="2"/>
          </w:tcPr>
          <w:p>
            <w:pPr>
              <w:spacing w:after="0"/>
              <w:rPr>
                <w:sz w:val="20"/>
                <w:szCs w:val="20"/>
                <w:color w:val="auto"/>
              </w:rPr>
            </w:pPr>
            <w:r>
              <w:rPr>
                <w:rFonts w:ascii="Arial" w:cs="Arial" w:eastAsia="Arial" w:hAnsi="Arial"/>
                <w:sz w:val="20"/>
                <w:szCs w:val="20"/>
                <w:color w:val="0000FF"/>
              </w:rPr>
              <w:t>shudson@micron.com</w:t>
            </w:r>
          </w:p>
        </w:tc>
        <w:tc>
          <w:tcPr>
            <w:tcW w:w="1840" w:type="dxa"/>
            <w:vAlign w:val="bottom"/>
          </w:tcPr>
          <w:p>
            <w:pPr>
              <w:spacing w:after="0"/>
              <w:rPr>
                <w:sz w:val="20"/>
                <w:szCs w:val="20"/>
                <w:color w:val="auto"/>
              </w:rPr>
            </w:pPr>
            <w:r>
              <w:rPr>
                <w:rFonts w:ascii="Arial" w:cs="Arial" w:eastAsia="Arial" w:hAnsi="Arial"/>
                <w:sz w:val="20"/>
                <w:szCs w:val="20"/>
                <w:color w:val="0000FF"/>
                <w:w w:val="90"/>
              </w:rPr>
              <w:t>davidoro@micron.com</w:t>
            </w:r>
          </w:p>
        </w:tc>
      </w:tr>
      <w:tr>
        <w:trPr>
          <w:trHeight w:val="308"/>
        </w:trPr>
        <w:tc>
          <w:tcPr>
            <w:tcW w:w="1260" w:type="dxa"/>
            <w:vAlign w:val="bottom"/>
          </w:tcPr>
          <w:p>
            <w:pPr>
              <w:spacing w:after="0"/>
              <w:rPr>
                <w:sz w:val="24"/>
                <w:szCs w:val="24"/>
                <w:color w:val="auto"/>
              </w:rPr>
            </w:pPr>
          </w:p>
        </w:tc>
        <w:tc>
          <w:tcPr>
            <w:tcW w:w="1780" w:type="dxa"/>
            <w:vAlign w:val="bottom"/>
            <w:tcBorders>
              <w:top w:val="single" w:sz="8" w:color="0000FF"/>
            </w:tcBorders>
          </w:tcPr>
          <w:p>
            <w:pPr>
              <w:spacing w:after="0"/>
              <w:rPr>
                <w:sz w:val="20"/>
                <w:szCs w:val="20"/>
                <w:color w:val="auto"/>
              </w:rPr>
            </w:pPr>
            <w:r>
              <w:rPr>
                <w:rFonts w:ascii="Arial" w:cs="Arial" w:eastAsia="Arial" w:hAnsi="Arial"/>
                <w:sz w:val="20"/>
                <w:szCs w:val="20"/>
                <w:color w:val="auto"/>
              </w:rPr>
              <w:t>(208) 492-1205</w:t>
            </w:r>
          </w:p>
        </w:tc>
        <w:tc>
          <w:tcPr>
            <w:tcW w:w="700" w:type="dxa"/>
            <w:vAlign w:val="bottom"/>
          </w:tcPr>
          <w:p>
            <w:pPr>
              <w:spacing w:after="0"/>
              <w:rPr>
                <w:sz w:val="24"/>
                <w:szCs w:val="24"/>
                <w:color w:val="auto"/>
              </w:rPr>
            </w:pPr>
          </w:p>
        </w:tc>
        <w:tc>
          <w:tcPr>
            <w:tcW w:w="1840" w:type="dxa"/>
            <w:vAlign w:val="bottom"/>
            <w:tcBorders>
              <w:top w:val="single" w:sz="8" w:color="0000FF"/>
            </w:tcBorders>
          </w:tcPr>
          <w:p>
            <w:pPr>
              <w:spacing w:after="0"/>
              <w:rPr>
                <w:sz w:val="20"/>
                <w:szCs w:val="20"/>
                <w:color w:val="auto"/>
              </w:rPr>
            </w:pPr>
            <w:r>
              <w:rPr>
                <w:rFonts w:ascii="Arial" w:cs="Arial" w:eastAsia="Arial" w:hAnsi="Arial"/>
                <w:sz w:val="20"/>
                <w:szCs w:val="20"/>
                <w:color w:val="auto"/>
              </w:rPr>
              <w:t>(707) 558-8585</w:t>
            </w:r>
          </w:p>
        </w:tc>
      </w:tr>
    </w:tbl>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Micron Announces Chief Financial Officer Transition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David Zinsner to succeed Ernie Maddock</w:t>
      </w:r>
    </w:p>
    <w:p>
      <w:pPr>
        <w:spacing w:after="0" w:line="153" w:lineRule="exact"/>
        <w:rPr>
          <w:sz w:val="20"/>
          <w:szCs w:val="20"/>
          <w:color w:val="auto"/>
        </w:rPr>
      </w:pPr>
    </w:p>
    <w:p>
      <w:pPr>
        <w:ind w:right="40"/>
        <w:spacing w:after="0" w:line="248" w:lineRule="auto"/>
        <w:rPr>
          <w:sz w:val="20"/>
          <w:szCs w:val="20"/>
          <w:color w:val="auto"/>
        </w:rPr>
      </w:pPr>
      <w:r>
        <w:rPr>
          <w:rFonts w:ascii="Arial" w:cs="Arial" w:eastAsia="Arial" w:hAnsi="Arial"/>
          <w:sz w:val="20"/>
          <w:szCs w:val="20"/>
          <w:b w:val="1"/>
          <w:bCs w:val="1"/>
          <w:color w:val="222222"/>
        </w:rPr>
        <w:t xml:space="preserve">BOISE, Idaho, Feb. 5, 2018 </w:t>
      </w:r>
      <w:r>
        <w:rPr>
          <w:rFonts w:ascii="Arial" w:cs="Arial" w:eastAsia="Arial" w:hAnsi="Arial"/>
          <w:sz w:val="20"/>
          <w:szCs w:val="20"/>
          <w:color w:val="222222"/>
        </w:rPr>
        <w:t>- Micron Technology, Inc., (Nasdaq: MU) announced today that the company has appointed David Zinsner as</w:t>
      </w:r>
      <w:r>
        <w:rPr>
          <w:rFonts w:ascii="Arial" w:cs="Arial" w:eastAsia="Arial" w:hAnsi="Arial"/>
          <w:sz w:val="20"/>
          <w:szCs w:val="20"/>
          <w:b w:val="1"/>
          <w:bCs w:val="1"/>
          <w:color w:val="222222"/>
        </w:rPr>
        <w:t xml:space="preserve"> </w:t>
      </w:r>
      <w:r>
        <w:rPr>
          <w:rFonts w:ascii="Arial" w:cs="Arial" w:eastAsia="Arial" w:hAnsi="Arial"/>
          <w:sz w:val="20"/>
          <w:szCs w:val="20"/>
          <w:color w:val="222222"/>
        </w:rPr>
        <w:t>senior vice president and chief financial officer, effective Feb. 19, 2018. Zinsner succeeds Ernie Maddock, who is retiring from Micron but will remain with the company as an adviser through early June to ensure a smooth transition. Zinsner will report directly to Sanjay Mehrotra, president and CEO.</w:t>
      </w:r>
    </w:p>
    <w:p>
      <w:pPr>
        <w:spacing w:after="0" w:line="149" w:lineRule="exact"/>
        <w:rPr>
          <w:sz w:val="20"/>
          <w:szCs w:val="20"/>
          <w:color w:val="auto"/>
        </w:rPr>
      </w:pPr>
    </w:p>
    <w:p>
      <w:pPr>
        <w:ind w:right="560"/>
        <w:spacing w:after="0" w:line="260" w:lineRule="auto"/>
        <w:rPr>
          <w:sz w:val="20"/>
          <w:szCs w:val="20"/>
          <w:color w:val="auto"/>
        </w:rPr>
      </w:pPr>
      <w:r>
        <w:rPr>
          <w:rFonts w:ascii="Arial" w:cs="Arial" w:eastAsia="Arial" w:hAnsi="Arial"/>
          <w:sz w:val="20"/>
          <w:szCs w:val="20"/>
          <w:color w:val="222222"/>
        </w:rPr>
        <w:t>"On behalf of the company, I want to thank Ernie for his significant contributions to Micron," Mehrotra said. "He has helped position the company for continued strong growth, and we wish him the best in his future endeavors."</w:t>
      </w:r>
    </w:p>
    <w:p>
      <w:pPr>
        <w:spacing w:after="0" w:line="136" w:lineRule="exact"/>
        <w:rPr>
          <w:sz w:val="20"/>
          <w:szCs w:val="20"/>
          <w:color w:val="auto"/>
        </w:rPr>
      </w:pPr>
    </w:p>
    <w:p>
      <w:pPr>
        <w:ind w:right="400"/>
        <w:spacing w:after="0" w:line="260" w:lineRule="auto"/>
        <w:rPr>
          <w:sz w:val="20"/>
          <w:szCs w:val="20"/>
          <w:color w:val="auto"/>
        </w:rPr>
      </w:pPr>
      <w:r>
        <w:rPr>
          <w:rFonts w:ascii="Arial" w:cs="Arial" w:eastAsia="Arial" w:hAnsi="Arial"/>
          <w:sz w:val="20"/>
          <w:szCs w:val="20"/>
          <w:color w:val="222222"/>
        </w:rPr>
        <w:t xml:space="preserve">"I am </w:t>
      </w:r>
      <w:r>
        <w:rPr>
          <w:rFonts w:ascii="Arial" w:cs="Arial" w:eastAsia="Arial" w:hAnsi="Arial"/>
          <w:sz w:val="20"/>
          <w:szCs w:val="20"/>
          <w:color w:val="000000"/>
        </w:rPr>
        <w:t>fortunate to have been a part of Micron's progress over the last few years," Maddock said. "My focus now is on supporting Dave and</w:t>
      </w:r>
      <w:r>
        <w:rPr>
          <w:rFonts w:ascii="Arial" w:cs="Arial" w:eastAsia="Arial" w:hAnsi="Arial"/>
          <w:sz w:val="20"/>
          <w:szCs w:val="20"/>
          <w:color w:val="222222"/>
        </w:rPr>
        <w:t xml:space="preserve"> </w:t>
      </w:r>
      <w:r>
        <w:rPr>
          <w:rFonts w:ascii="Arial" w:cs="Arial" w:eastAsia="Arial" w:hAnsi="Arial"/>
          <w:sz w:val="20"/>
          <w:szCs w:val="20"/>
          <w:color w:val="000000"/>
        </w:rPr>
        <w:t>Sanjay during the transition period to ensure a seamless and effective handoff."</w:t>
      </w:r>
    </w:p>
    <w:p>
      <w:pPr>
        <w:spacing w:after="0" w:line="136" w:lineRule="exact"/>
        <w:rPr>
          <w:sz w:val="20"/>
          <w:szCs w:val="20"/>
          <w:color w:val="auto"/>
        </w:rPr>
      </w:pPr>
    </w:p>
    <w:p>
      <w:pPr>
        <w:ind w:right="40"/>
        <w:spacing w:after="0" w:line="246" w:lineRule="auto"/>
        <w:rPr>
          <w:sz w:val="20"/>
          <w:szCs w:val="20"/>
          <w:color w:val="auto"/>
        </w:rPr>
      </w:pPr>
      <w:r>
        <w:rPr>
          <w:rFonts w:ascii="Arial" w:cs="Arial" w:eastAsia="Arial" w:hAnsi="Arial"/>
          <w:sz w:val="20"/>
          <w:szCs w:val="20"/>
          <w:color w:val="222222"/>
        </w:rPr>
        <w:t>Zinsner joins Micron with over 20 years of financial and operations experience in the semiconductor and technology industry. He most recently served as president and chief operating officer at Affirmed Networks. Prior to that, Zinsner was senior vice president of finance and chief financial officer for eight years at Analog Devices, and before that, he was senior vice president and chief financial officer for four years at Intersil Corp.</w:t>
      </w:r>
    </w:p>
    <w:p>
      <w:pPr>
        <w:spacing w:after="0" w:line="151" w:lineRule="exact"/>
        <w:rPr>
          <w:sz w:val="20"/>
          <w:szCs w:val="20"/>
          <w:color w:val="auto"/>
        </w:rPr>
      </w:pPr>
    </w:p>
    <w:p>
      <w:pPr>
        <w:ind w:right="160"/>
        <w:spacing w:after="0" w:line="250" w:lineRule="auto"/>
        <w:rPr>
          <w:sz w:val="20"/>
          <w:szCs w:val="20"/>
          <w:color w:val="auto"/>
        </w:rPr>
      </w:pPr>
      <w:r>
        <w:rPr>
          <w:rFonts w:ascii="Arial" w:cs="Arial" w:eastAsia="Arial" w:hAnsi="Arial"/>
          <w:sz w:val="20"/>
          <w:szCs w:val="20"/>
          <w:color w:val="222222"/>
        </w:rPr>
        <w:t>"Dave brings a great combination of financial expertise and executive experience to Micron and has a strong track record of achieving outstanding results," Mehrotra said. "We look forward to his leadership in driving our financial strategy and delivering significant value to our shareholders."</w:t>
      </w:r>
    </w:p>
    <w:p>
      <w:pPr>
        <w:spacing w:after="0" w:line="146" w:lineRule="exact"/>
        <w:rPr>
          <w:sz w:val="20"/>
          <w:szCs w:val="20"/>
          <w:color w:val="auto"/>
        </w:rPr>
      </w:pPr>
    </w:p>
    <w:p>
      <w:pPr>
        <w:jc w:val="both"/>
        <w:ind w:right="180"/>
        <w:spacing w:after="0" w:line="250" w:lineRule="auto"/>
        <w:rPr>
          <w:sz w:val="20"/>
          <w:szCs w:val="20"/>
          <w:color w:val="auto"/>
        </w:rPr>
      </w:pPr>
      <w:r>
        <w:rPr>
          <w:rFonts w:ascii="Arial" w:cs="Arial" w:eastAsia="Arial" w:hAnsi="Arial"/>
          <w:sz w:val="20"/>
          <w:szCs w:val="20"/>
          <w:color w:val="auto"/>
        </w:rPr>
        <w:t>"I am very excited to be joining Micron at a time when the company is uniquely positioned to take advantage of growing demand for memory and storage solutions across a wide range of industries," Zinsner said. "I look forward to working with the Micron team to capitalize on those trends and to take the company to the next level."</w:t>
      </w:r>
    </w:p>
    <w:p>
      <w:pPr>
        <w:spacing w:after="0" w:line="146" w:lineRule="exact"/>
        <w:rPr>
          <w:sz w:val="20"/>
          <w:szCs w:val="20"/>
          <w:color w:val="auto"/>
        </w:rPr>
      </w:pPr>
    </w:p>
    <w:p>
      <w:pPr>
        <w:ind w:right="580"/>
        <w:spacing w:after="0" w:line="260" w:lineRule="auto"/>
        <w:rPr>
          <w:sz w:val="20"/>
          <w:szCs w:val="20"/>
          <w:color w:val="auto"/>
        </w:rPr>
      </w:pPr>
      <w:r>
        <w:rPr>
          <w:rFonts w:ascii="Arial" w:cs="Arial" w:eastAsia="Arial" w:hAnsi="Arial"/>
          <w:sz w:val="20"/>
          <w:szCs w:val="20"/>
          <w:color w:val="222222"/>
        </w:rPr>
        <w:t>Zinsner holds a master's degree in business administration, finance and accounting from Vanderbilt University and a bachelor's degree in industrial management from Carnegie Mellon University.</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color w:val="222222"/>
        </w:rPr>
        <w:t xml:space="preserve">In a separate press release, Micron today updated its financial outlook for its fiscal second quarter of 2018: </w:t>
      </w:r>
      <w:r>
        <w:rPr>
          <w:rFonts w:ascii="Arial" w:cs="Arial" w:eastAsia="Arial" w:hAnsi="Arial"/>
          <w:sz w:val="20"/>
          <w:szCs w:val="20"/>
          <w:u w:val="single" w:color="auto"/>
          <w:color w:val="016ABE"/>
        </w:rPr>
        <w:t>investors.micron.com</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Additional information on David Zinsner is available at </w:t>
      </w:r>
      <w:r>
        <w:rPr>
          <w:rFonts w:ascii="Arial" w:cs="Arial" w:eastAsia="Arial" w:hAnsi="Arial"/>
          <w:sz w:val="20"/>
          <w:szCs w:val="20"/>
          <w:u w:val="single" w:color="auto"/>
          <w:color w:val="4F81BD"/>
        </w:rPr>
        <w:t>http://www.micron.com/media</w:t>
      </w:r>
      <w:r>
        <w:rPr>
          <w:rFonts w:ascii="Arial" w:cs="Arial" w:eastAsia="Arial" w:hAnsi="Arial"/>
          <w:sz w:val="20"/>
          <w:szCs w:val="20"/>
          <w:color w:val="auto"/>
        </w:rPr>
        <w:t>.</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222222"/>
        </w:rPr>
        <w:t>About Micron</w:t>
      </w:r>
    </w:p>
    <w:p>
      <w:pPr>
        <w:spacing w:after="0" w:line="22" w:lineRule="exact"/>
        <w:rPr>
          <w:sz w:val="20"/>
          <w:szCs w:val="20"/>
          <w:color w:val="auto"/>
        </w:rPr>
      </w:pPr>
    </w:p>
    <w:p>
      <w:pPr>
        <w:ind w:right="200"/>
        <w:spacing w:after="0"/>
        <w:rPr>
          <w:sz w:val="20"/>
          <w:szCs w:val="20"/>
          <w:color w:val="auto"/>
        </w:rPr>
      </w:pPr>
      <w:r>
        <w:rPr>
          <w:rFonts w:ascii="Arial" w:cs="Arial" w:eastAsia="Arial" w:hAnsi="Arial"/>
          <w:sz w:val="20"/>
          <w:szCs w:val="20"/>
          <w:color w:val="222222"/>
        </w:rPr>
        <w:t xml:space="preserve">We are an industry leader in innovative memory and storage solutions. Through our global brands - Micron®, Crucial® and Ballistix® - our broad portfolio of high-performance memory and storage technologies, including DRAM, NAND, NOR Flash and 3D XPoint™ memory, is transforming how the world uses information to enrich life. Backed by nearly 40 years of technology leadership, our memory and storage solutions enable disruptive trends, including artificial intelligence, machine learning and autonomous vehicles, in key market segments like cloud, data center, networking and mobile. Our common stock is traded on the NASDAQ under the MU symbol. To learn more about Micron Technology, Inc., visit </w:t>
      </w:r>
      <w:r>
        <w:rPr>
          <w:rFonts w:ascii="Arial" w:cs="Arial" w:eastAsia="Arial" w:hAnsi="Arial"/>
          <w:sz w:val="20"/>
          <w:szCs w:val="20"/>
          <w:u w:val="single" w:color="auto"/>
          <w:color w:val="4F81BD"/>
        </w:rPr>
        <w:t>www.micron.com</w:t>
      </w:r>
      <w:r>
        <w:rPr>
          <w:rFonts w:ascii="Arial" w:cs="Arial" w:eastAsia="Arial" w:hAnsi="Arial"/>
          <w:sz w:val="20"/>
          <w:szCs w:val="20"/>
          <w:color w:val="222222"/>
        </w:rPr>
        <w:t>.</w:t>
      </w:r>
    </w:p>
    <w:p>
      <w:pPr>
        <w:spacing w:after="0" w:line="157" w:lineRule="exact"/>
        <w:rPr>
          <w:sz w:val="20"/>
          <w:szCs w:val="20"/>
          <w:color w:val="auto"/>
        </w:rPr>
      </w:pPr>
    </w:p>
    <w:p>
      <w:pPr>
        <w:ind w:right="220"/>
        <w:spacing w:after="0" w:line="260" w:lineRule="auto"/>
        <w:rPr>
          <w:sz w:val="20"/>
          <w:szCs w:val="20"/>
          <w:color w:val="auto"/>
        </w:rPr>
      </w:pPr>
      <w:r>
        <w:rPr>
          <w:rFonts w:ascii="Arial" w:cs="Arial" w:eastAsia="Arial" w:hAnsi="Arial"/>
          <w:sz w:val="20"/>
          <w:szCs w:val="20"/>
          <w:i w:val="1"/>
          <w:iCs w:val="1"/>
          <w:color w:val="auto"/>
        </w:rPr>
        <w:t xml:space="preserve">©2018 Micron Technology, Inc. </w:t>
      </w:r>
      <w:r>
        <w:rPr>
          <w:rFonts w:ascii="Arial" w:cs="Arial" w:eastAsia="Arial" w:hAnsi="Arial"/>
          <w:sz w:val="20"/>
          <w:szCs w:val="20"/>
          <w:i w:val="1"/>
          <w:iCs w:val="1"/>
          <w:color w:val="222222"/>
        </w:rPr>
        <w:t>The Micron logo and Micron symbol are trademarks of Micron Technology, Inc. All other trademarks are the</w:t>
      </w:r>
      <w:r>
        <w:rPr>
          <w:rFonts w:ascii="Arial" w:cs="Arial" w:eastAsia="Arial" w:hAnsi="Arial"/>
          <w:sz w:val="20"/>
          <w:szCs w:val="20"/>
          <w:i w:val="1"/>
          <w:iCs w:val="1"/>
          <w:color w:val="auto"/>
        </w:rPr>
        <w:t xml:space="preserve"> </w:t>
      </w:r>
      <w:r>
        <w:rPr>
          <w:rFonts w:ascii="Arial" w:cs="Arial" w:eastAsia="Arial" w:hAnsi="Arial"/>
          <w:sz w:val="20"/>
          <w:szCs w:val="20"/>
          <w:i w:val="1"/>
          <w:iCs w:val="1"/>
          <w:color w:val="222222"/>
        </w:rPr>
        <w:t>property of their respective owners.</w:t>
      </w:r>
    </w:p>
    <w:p>
      <w:pPr>
        <w:sectPr>
          <w:pgSz w:w="11900" w:h="16838" w:orient="portrait"/>
          <w:cols w:equalWidth="0" w:num="1">
            <w:col w:w="11420"/>
          </w:cols>
          <w:pgMar w:left="240" w:top="576"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20"/>
          <w:szCs w:val="20"/>
          <w:b w:val="1"/>
          <w:bCs w:val="1"/>
          <w:color w:val="auto"/>
        </w:rPr>
        <w:t>Exhibit 99.2</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740" w:type="dxa"/>
            <w:vAlign w:val="bottom"/>
            <w:gridSpan w:val="3"/>
          </w:tcPr>
          <w:p>
            <w:pPr>
              <w:spacing w:after="0"/>
              <w:rPr>
                <w:sz w:val="20"/>
                <w:szCs w:val="20"/>
                <w:color w:val="auto"/>
              </w:rPr>
            </w:pPr>
            <w:r>
              <w:rPr>
                <w:rFonts w:ascii="Arial" w:cs="Arial" w:eastAsia="Arial" w:hAnsi="Arial"/>
                <w:sz w:val="20"/>
                <w:szCs w:val="20"/>
                <w:b w:val="1"/>
                <w:bCs w:val="1"/>
                <w:color w:val="auto"/>
              </w:rPr>
              <w:t>FOR IMMEDIATE RELEASE</w:t>
            </w:r>
          </w:p>
        </w:tc>
        <w:tc>
          <w:tcPr>
            <w:tcW w:w="1840" w:type="dxa"/>
            <w:vAlign w:val="bottom"/>
          </w:tcPr>
          <w:p>
            <w:pPr>
              <w:spacing w:after="0"/>
              <w:rPr>
                <w:sz w:val="22"/>
                <w:szCs w:val="22"/>
                <w:color w:val="auto"/>
              </w:rPr>
            </w:pPr>
          </w:p>
        </w:tc>
      </w:tr>
      <w:tr>
        <w:trPr>
          <w:trHeight w:val="599"/>
        </w:trPr>
        <w:tc>
          <w:tcPr>
            <w:tcW w:w="1260" w:type="dxa"/>
            <w:vAlign w:val="bottom"/>
          </w:tcPr>
          <w:p>
            <w:pPr>
              <w:ind w:left="40"/>
              <w:spacing w:after="0"/>
              <w:rPr>
                <w:sz w:val="20"/>
                <w:szCs w:val="20"/>
                <w:color w:val="auto"/>
              </w:rPr>
            </w:pPr>
            <w:r>
              <w:rPr>
                <w:rFonts w:ascii="Arial" w:cs="Arial" w:eastAsia="Arial" w:hAnsi="Arial"/>
                <w:sz w:val="20"/>
                <w:szCs w:val="20"/>
                <w:color w:val="auto"/>
              </w:rPr>
              <w:t>Contacts:</w:t>
            </w:r>
          </w:p>
        </w:tc>
        <w:tc>
          <w:tcPr>
            <w:tcW w:w="2480" w:type="dxa"/>
            <w:vAlign w:val="bottom"/>
            <w:gridSpan w:val="2"/>
          </w:tcPr>
          <w:p>
            <w:pPr>
              <w:spacing w:after="0"/>
              <w:rPr>
                <w:sz w:val="20"/>
                <w:szCs w:val="20"/>
                <w:color w:val="auto"/>
              </w:rPr>
            </w:pPr>
            <w:r>
              <w:rPr>
                <w:rFonts w:ascii="Arial" w:cs="Arial" w:eastAsia="Arial" w:hAnsi="Arial"/>
                <w:sz w:val="20"/>
                <w:szCs w:val="20"/>
                <w:color w:val="auto"/>
              </w:rPr>
              <w:t>Shanye Hudson</w:t>
            </w:r>
          </w:p>
        </w:tc>
        <w:tc>
          <w:tcPr>
            <w:tcW w:w="1840" w:type="dxa"/>
            <w:vAlign w:val="bottom"/>
          </w:tcPr>
          <w:p>
            <w:pPr>
              <w:spacing w:after="0"/>
              <w:rPr>
                <w:sz w:val="20"/>
                <w:szCs w:val="20"/>
                <w:color w:val="auto"/>
              </w:rPr>
            </w:pPr>
            <w:r>
              <w:rPr>
                <w:rFonts w:ascii="Arial" w:cs="Arial" w:eastAsia="Arial" w:hAnsi="Arial"/>
                <w:sz w:val="20"/>
                <w:szCs w:val="20"/>
                <w:color w:val="auto"/>
              </w:rPr>
              <w:t>David Oro</w:t>
            </w:r>
          </w:p>
        </w:tc>
      </w:tr>
      <w:tr>
        <w:trPr>
          <w:trHeight w:val="284"/>
        </w:trPr>
        <w:tc>
          <w:tcPr>
            <w:tcW w:w="1260" w:type="dxa"/>
            <w:vAlign w:val="bottom"/>
          </w:tcPr>
          <w:p>
            <w:pPr>
              <w:spacing w:after="0"/>
              <w:rPr>
                <w:sz w:val="24"/>
                <w:szCs w:val="24"/>
                <w:color w:val="auto"/>
              </w:rPr>
            </w:pPr>
          </w:p>
        </w:tc>
        <w:tc>
          <w:tcPr>
            <w:tcW w:w="2480" w:type="dxa"/>
            <w:vAlign w:val="bottom"/>
            <w:gridSpan w:val="2"/>
          </w:tcPr>
          <w:p>
            <w:pPr>
              <w:spacing w:after="0"/>
              <w:rPr>
                <w:sz w:val="20"/>
                <w:szCs w:val="20"/>
                <w:color w:val="auto"/>
              </w:rPr>
            </w:pPr>
            <w:r>
              <w:rPr>
                <w:rFonts w:ascii="Arial" w:cs="Arial" w:eastAsia="Arial" w:hAnsi="Arial"/>
                <w:sz w:val="20"/>
                <w:szCs w:val="20"/>
                <w:color w:val="auto"/>
              </w:rPr>
              <w:t>Investor Relations</w:t>
            </w:r>
          </w:p>
        </w:tc>
        <w:tc>
          <w:tcPr>
            <w:tcW w:w="1840" w:type="dxa"/>
            <w:vAlign w:val="bottom"/>
          </w:tcPr>
          <w:p>
            <w:pPr>
              <w:spacing w:after="0"/>
              <w:rPr>
                <w:sz w:val="20"/>
                <w:szCs w:val="20"/>
                <w:color w:val="auto"/>
              </w:rPr>
            </w:pPr>
            <w:r>
              <w:rPr>
                <w:rFonts w:ascii="Arial" w:cs="Arial" w:eastAsia="Arial" w:hAnsi="Arial"/>
                <w:sz w:val="20"/>
                <w:szCs w:val="20"/>
                <w:color w:val="auto"/>
              </w:rPr>
              <w:t>Media Relations</w:t>
            </w:r>
          </w:p>
        </w:tc>
      </w:tr>
      <w:tr>
        <w:trPr>
          <w:trHeight w:val="239"/>
        </w:trPr>
        <w:tc>
          <w:tcPr>
            <w:tcW w:w="1260" w:type="dxa"/>
            <w:vAlign w:val="bottom"/>
          </w:tcPr>
          <w:p>
            <w:pPr>
              <w:spacing w:after="0"/>
              <w:rPr>
                <w:sz w:val="20"/>
                <w:szCs w:val="20"/>
                <w:color w:val="auto"/>
              </w:rPr>
            </w:pPr>
          </w:p>
        </w:tc>
        <w:tc>
          <w:tcPr>
            <w:tcW w:w="2480" w:type="dxa"/>
            <w:vAlign w:val="bottom"/>
            <w:gridSpan w:val="2"/>
          </w:tcPr>
          <w:p>
            <w:pPr>
              <w:spacing w:after="0"/>
              <w:rPr>
                <w:sz w:val="20"/>
                <w:szCs w:val="20"/>
                <w:color w:val="auto"/>
              </w:rPr>
            </w:pPr>
            <w:r>
              <w:rPr>
                <w:rFonts w:ascii="Arial" w:cs="Arial" w:eastAsia="Arial" w:hAnsi="Arial"/>
                <w:sz w:val="20"/>
                <w:szCs w:val="20"/>
                <w:color w:val="0000FF"/>
              </w:rPr>
              <w:t>shudson@micron.com</w:t>
            </w:r>
          </w:p>
        </w:tc>
        <w:tc>
          <w:tcPr>
            <w:tcW w:w="1840" w:type="dxa"/>
            <w:vAlign w:val="bottom"/>
          </w:tcPr>
          <w:p>
            <w:pPr>
              <w:spacing w:after="0"/>
              <w:rPr>
                <w:sz w:val="20"/>
                <w:szCs w:val="20"/>
                <w:color w:val="auto"/>
              </w:rPr>
            </w:pPr>
            <w:r>
              <w:rPr>
                <w:rFonts w:ascii="Arial" w:cs="Arial" w:eastAsia="Arial" w:hAnsi="Arial"/>
                <w:sz w:val="20"/>
                <w:szCs w:val="20"/>
                <w:color w:val="0000FF"/>
                <w:w w:val="90"/>
              </w:rPr>
              <w:t>davidoro@micron.com</w:t>
            </w:r>
          </w:p>
        </w:tc>
      </w:tr>
      <w:tr>
        <w:trPr>
          <w:trHeight w:val="308"/>
        </w:trPr>
        <w:tc>
          <w:tcPr>
            <w:tcW w:w="1260" w:type="dxa"/>
            <w:vAlign w:val="bottom"/>
          </w:tcPr>
          <w:p>
            <w:pPr>
              <w:spacing w:after="0"/>
              <w:rPr>
                <w:sz w:val="24"/>
                <w:szCs w:val="24"/>
                <w:color w:val="auto"/>
              </w:rPr>
            </w:pPr>
          </w:p>
        </w:tc>
        <w:tc>
          <w:tcPr>
            <w:tcW w:w="1780" w:type="dxa"/>
            <w:vAlign w:val="bottom"/>
            <w:tcBorders>
              <w:top w:val="single" w:sz="8" w:color="0000FF"/>
            </w:tcBorders>
          </w:tcPr>
          <w:p>
            <w:pPr>
              <w:spacing w:after="0"/>
              <w:rPr>
                <w:sz w:val="20"/>
                <w:szCs w:val="20"/>
                <w:color w:val="auto"/>
              </w:rPr>
            </w:pPr>
            <w:r>
              <w:rPr>
                <w:rFonts w:ascii="Arial" w:cs="Arial" w:eastAsia="Arial" w:hAnsi="Arial"/>
                <w:sz w:val="20"/>
                <w:szCs w:val="20"/>
                <w:color w:val="auto"/>
              </w:rPr>
              <w:t>(208) 492-1205</w:t>
            </w:r>
          </w:p>
        </w:tc>
        <w:tc>
          <w:tcPr>
            <w:tcW w:w="700" w:type="dxa"/>
            <w:vAlign w:val="bottom"/>
          </w:tcPr>
          <w:p>
            <w:pPr>
              <w:spacing w:after="0"/>
              <w:rPr>
                <w:sz w:val="24"/>
                <w:szCs w:val="24"/>
                <w:color w:val="auto"/>
              </w:rPr>
            </w:pPr>
          </w:p>
        </w:tc>
        <w:tc>
          <w:tcPr>
            <w:tcW w:w="1840" w:type="dxa"/>
            <w:vAlign w:val="bottom"/>
            <w:tcBorders>
              <w:top w:val="single" w:sz="8" w:color="0000FF"/>
            </w:tcBorders>
          </w:tcPr>
          <w:p>
            <w:pPr>
              <w:spacing w:after="0"/>
              <w:rPr>
                <w:sz w:val="20"/>
                <w:szCs w:val="20"/>
                <w:color w:val="auto"/>
              </w:rPr>
            </w:pPr>
            <w:r>
              <w:rPr>
                <w:rFonts w:ascii="Arial" w:cs="Arial" w:eastAsia="Arial" w:hAnsi="Arial"/>
                <w:sz w:val="20"/>
                <w:szCs w:val="20"/>
                <w:color w:val="auto"/>
              </w:rPr>
              <w:t>(707) 558-8585</w:t>
            </w:r>
          </w:p>
        </w:tc>
      </w:tr>
    </w:tbl>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Micron Updates Guidance for Fiscal Second Quarter</w:t>
      </w:r>
    </w:p>
    <w:p>
      <w:pPr>
        <w:spacing w:after="0" w:line="229" w:lineRule="exact"/>
        <w:rPr>
          <w:sz w:val="20"/>
          <w:szCs w:val="20"/>
          <w:color w:val="auto"/>
        </w:rPr>
      </w:pPr>
    </w:p>
    <w:p>
      <w:pPr>
        <w:ind w:right="480"/>
        <w:spacing w:after="0" w:line="267" w:lineRule="auto"/>
        <w:rPr>
          <w:sz w:val="20"/>
          <w:szCs w:val="20"/>
          <w:color w:val="auto"/>
        </w:rPr>
      </w:pPr>
      <w:r>
        <w:rPr>
          <w:rFonts w:ascii="Arial" w:cs="Arial" w:eastAsia="Arial" w:hAnsi="Arial"/>
          <w:sz w:val="20"/>
          <w:szCs w:val="20"/>
          <w:b w:val="1"/>
          <w:bCs w:val="1"/>
          <w:color w:val="222222"/>
        </w:rPr>
        <w:t xml:space="preserve">BOISE, Idaho, Feb. 5, 2018 </w:t>
      </w:r>
      <w:r>
        <w:rPr>
          <w:rFonts w:ascii="Arial" w:cs="Arial" w:eastAsia="Arial" w:hAnsi="Arial"/>
          <w:sz w:val="20"/>
          <w:szCs w:val="20"/>
          <w:color w:val="222222"/>
        </w:rPr>
        <w:t>- Micron Technology, Inc., (Nasdaq: MU) today announced updated guidance for its second quarter of fiscal</w:t>
      </w:r>
      <w:r>
        <w:rPr>
          <w:rFonts w:ascii="Arial" w:cs="Arial" w:eastAsia="Arial" w:hAnsi="Arial"/>
          <w:sz w:val="20"/>
          <w:szCs w:val="20"/>
          <w:b w:val="1"/>
          <w:bCs w:val="1"/>
          <w:color w:val="222222"/>
        </w:rPr>
        <w:t xml:space="preserve"> </w:t>
      </w:r>
      <w:r>
        <w:rPr>
          <w:rFonts w:ascii="Arial" w:cs="Arial" w:eastAsia="Arial" w:hAnsi="Arial"/>
          <w:sz w:val="20"/>
          <w:szCs w:val="20"/>
          <w:color w:val="222222"/>
        </w:rPr>
        <w:t>2018, ending March 1, 2018.</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color w:val="auto"/>
        </w:rPr>
        <w:t>For the fiscal second quarter, on a non-GAAP basis, the company now expects:</w:t>
      </w:r>
    </w:p>
    <w:p>
      <w:pPr>
        <w:spacing w:after="0" w:line="15" w:lineRule="exact"/>
        <w:rPr>
          <w:sz w:val="20"/>
          <w:szCs w:val="20"/>
          <w:color w:val="auto"/>
        </w:rPr>
      </w:pPr>
    </w:p>
    <w:p>
      <w:pPr>
        <w:ind w:left="720" w:hanging="334"/>
        <w:spacing w:after="0"/>
        <w:tabs>
          <w:tab w:leader="none" w:pos="720" w:val="left"/>
        </w:tabs>
        <w:numPr>
          <w:ilvl w:val="0"/>
          <w:numId w:val="3"/>
        </w:numPr>
        <w:rPr>
          <w:rFonts w:ascii="Arial" w:cs="Arial" w:eastAsia="Arial" w:hAnsi="Arial"/>
          <w:sz w:val="20"/>
          <w:szCs w:val="20"/>
          <w:color w:val="auto"/>
        </w:rPr>
      </w:pPr>
      <w:r>
        <w:rPr>
          <w:rFonts w:ascii="Arial" w:cs="Arial" w:eastAsia="Arial" w:hAnsi="Arial"/>
          <w:sz w:val="20"/>
          <w:szCs w:val="20"/>
          <w:color w:val="auto"/>
        </w:rPr>
        <w:t>Revenue in the range of $7.20 billion to $7.35 billion compared to prior guidance of $6.80 billion to $7.20 billion.</w:t>
      </w:r>
    </w:p>
    <w:p>
      <w:pPr>
        <w:ind w:left="720" w:right="80" w:hanging="334"/>
        <w:spacing w:after="0" w:line="244" w:lineRule="auto"/>
        <w:tabs>
          <w:tab w:leader="none" w:pos="720" w:val="left"/>
        </w:tabs>
        <w:numPr>
          <w:ilvl w:val="0"/>
          <w:numId w:val="3"/>
        </w:numPr>
        <w:rPr>
          <w:rFonts w:ascii="Arial" w:cs="Arial" w:eastAsia="Arial" w:hAnsi="Arial"/>
          <w:sz w:val="20"/>
          <w:szCs w:val="20"/>
          <w:color w:val="auto"/>
        </w:rPr>
      </w:pPr>
      <w:r>
        <w:rPr>
          <w:rFonts w:ascii="Arial" w:cs="Arial" w:eastAsia="Arial" w:hAnsi="Arial"/>
          <w:sz w:val="20"/>
          <w:szCs w:val="20"/>
          <w:color w:val="auto"/>
        </w:rPr>
        <w:t>Earnings per share ranging between $2.70 and $2.75 per share compared to prior guidance of $2.51 to $2.65 per share, based on 1,241 million diluted shares.</w:t>
      </w:r>
    </w:p>
    <w:p>
      <w:pPr>
        <w:spacing w:after="0" w:line="205" w:lineRule="exact"/>
        <w:rPr>
          <w:sz w:val="20"/>
          <w:szCs w:val="20"/>
          <w:color w:val="auto"/>
        </w:rPr>
      </w:pPr>
    </w:p>
    <w:p>
      <w:pPr>
        <w:ind w:right="700"/>
        <w:spacing w:after="0" w:line="316" w:lineRule="auto"/>
        <w:rPr>
          <w:sz w:val="20"/>
          <w:szCs w:val="20"/>
          <w:color w:val="auto"/>
        </w:rPr>
      </w:pPr>
      <w:r>
        <w:rPr>
          <w:rFonts w:ascii="Arial" w:cs="Arial" w:eastAsia="Arial" w:hAnsi="Arial"/>
          <w:sz w:val="18"/>
          <w:szCs w:val="18"/>
          <w:color w:val="auto"/>
        </w:rPr>
        <w:t>"We continue to execute well against our strategic priorities as we undergo our chief financial officer transition," said Sanjay Mehrotra, president and CEO of Micron. "We look forward to sharing more details in our fiscal second quarter earnings conference call."</w:t>
      </w:r>
    </w:p>
    <w:p>
      <w:pPr>
        <w:spacing w:after="0" w:line="144" w:lineRule="exact"/>
        <w:rPr>
          <w:sz w:val="20"/>
          <w:szCs w:val="20"/>
          <w:color w:val="auto"/>
        </w:rPr>
      </w:pPr>
    </w:p>
    <w:p>
      <w:pPr>
        <w:jc w:val="both"/>
        <w:ind w:right="40"/>
        <w:spacing w:after="0" w:line="250" w:lineRule="auto"/>
        <w:rPr>
          <w:sz w:val="20"/>
          <w:szCs w:val="20"/>
          <w:color w:val="auto"/>
        </w:rPr>
      </w:pPr>
      <w:r>
        <w:rPr>
          <w:rFonts w:ascii="Arial" w:cs="Arial" w:eastAsia="Arial" w:hAnsi="Arial"/>
          <w:sz w:val="20"/>
          <w:szCs w:val="20"/>
          <w:color w:val="222222"/>
        </w:rPr>
        <w:t xml:space="preserve">Micron will hold its fiscal second quarter earnings conference call at 2:30 p.m. MDT Thursday, March 22, 2018. A live webcast of the call will be available via the Investor Relations website at </w:t>
      </w:r>
      <w:r>
        <w:rPr>
          <w:rFonts w:ascii="Arial" w:cs="Arial" w:eastAsia="Arial" w:hAnsi="Arial"/>
          <w:sz w:val="20"/>
          <w:szCs w:val="20"/>
          <w:u w:val="single" w:color="auto"/>
          <w:color w:val="016ABE"/>
        </w:rPr>
        <w:t>investors.micron.com</w:t>
      </w:r>
      <w:r>
        <w:rPr>
          <w:rFonts w:ascii="Arial" w:cs="Arial" w:eastAsia="Arial" w:hAnsi="Arial"/>
          <w:sz w:val="20"/>
          <w:szCs w:val="20"/>
          <w:color w:val="222222"/>
        </w:rPr>
        <w:t>. A webcast replay will be available for approximately one year after the call.</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In a separate press release, Micron today announced a chief financial officer transition: </w:t>
      </w:r>
      <w:r>
        <w:rPr>
          <w:rFonts w:ascii="Arial" w:cs="Arial" w:eastAsia="Arial" w:hAnsi="Arial"/>
          <w:sz w:val="20"/>
          <w:szCs w:val="20"/>
          <w:u w:val="single" w:color="auto"/>
          <w:color w:val="016ABE"/>
        </w:rPr>
        <w:t>investors.micron.com</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2" w:lineRule="exact"/>
        <w:rPr>
          <w:sz w:val="20"/>
          <w:szCs w:val="20"/>
          <w:color w:val="auto"/>
        </w:rPr>
      </w:pPr>
    </w:p>
    <w:p>
      <w:pPr>
        <w:ind w:right="20"/>
        <w:spacing w:after="0" w:line="254" w:lineRule="auto"/>
        <w:rPr>
          <w:sz w:val="20"/>
          <w:szCs w:val="20"/>
          <w:color w:val="auto"/>
        </w:rPr>
      </w:pPr>
      <w:r>
        <w:rPr>
          <w:rFonts w:ascii="Arial" w:cs="Arial" w:eastAsia="Arial" w:hAnsi="Arial"/>
          <w:sz w:val="19"/>
          <w:szCs w:val="19"/>
          <w:color w:val="auto"/>
        </w:rPr>
        <w:t>This press release contains projections or other forward-looking statements regarding future events, expectations of the company's fiscal second quarter financial performance, or the future financial performance of the company and the industry. These forward-looking statements are predictions subject to a number of risks and uncertainties, and the actual events or results may differ materially. Please refer to the documents the company files with the Securities and Exchange Commission, specifically the company's most recent Form 10-K and Form 10-Q. These documents contain and identify important factors that could cause the company's actual results to differ materially from those contained in projections or forward-looking statements. These certain factors can be found at www.micron.com/certainfactors. Although the company believes that the expectations reflected in the forward-looking statements are reasonable, it cannot guarantee future results, levels of activity, performance or achievements. The company is under no duty to update any of the forward-looking statements after the date of this release to conform these statements to actual results.</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222222"/>
        </w:rPr>
        <w:t>About Micron</w:t>
      </w:r>
    </w:p>
    <w:p>
      <w:pPr>
        <w:spacing w:after="0" w:line="22" w:lineRule="exact"/>
        <w:rPr>
          <w:sz w:val="20"/>
          <w:szCs w:val="20"/>
          <w:color w:val="auto"/>
        </w:rPr>
      </w:pPr>
    </w:p>
    <w:p>
      <w:pPr>
        <w:ind w:right="200"/>
        <w:spacing w:after="0"/>
        <w:rPr>
          <w:sz w:val="20"/>
          <w:szCs w:val="20"/>
          <w:color w:val="auto"/>
        </w:rPr>
      </w:pPr>
      <w:r>
        <w:rPr>
          <w:rFonts w:ascii="Arial" w:cs="Arial" w:eastAsia="Arial" w:hAnsi="Arial"/>
          <w:sz w:val="20"/>
          <w:szCs w:val="20"/>
          <w:color w:val="222222"/>
        </w:rPr>
        <w:t xml:space="preserve">We are an industry leader in innovative memory and storage solutions. Through our global brands - Micron®, Crucial® and Ballistix® - our broad portfolio of high-performance memory and storage technologies, including DRAM, NAND, NOR Flash and 3D XPoint™ memory, is transforming how the world uses information to enrich life. Backed by nearly 40 years of technology leadership, our memory and storage solutions enable disruptive trends, including artificial intelligence, machine learning and autonomous vehicles, in key market segments like cloud, data center, networking and mobile. Our common stock is traded on the NASDAQ under the MU symbol. To learn more about Micron Technology, Inc., visit </w:t>
      </w:r>
      <w:r>
        <w:rPr>
          <w:rFonts w:ascii="Arial" w:cs="Arial" w:eastAsia="Arial" w:hAnsi="Arial"/>
          <w:sz w:val="20"/>
          <w:szCs w:val="20"/>
          <w:u w:val="single" w:color="auto"/>
          <w:color w:val="4F81BD"/>
        </w:rPr>
        <w:t>www.micron.com</w:t>
      </w:r>
      <w:r>
        <w:rPr>
          <w:rFonts w:ascii="Arial" w:cs="Arial" w:eastAsia="Arial" w:hAnsi="Arial"/>
          <w:sz w:val="20"/>
          <w:szCs w:val="20"/>
          <w:color w:val="222222"/>
        </w:rPr>
        <w:t>.</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 xml:space="preserve">©2018 Micron Technology, Inc. </w:t>
      </w:r>
      <w:r>
        <w:rPr>
          <w:rFonts w:ascii="Arial" w:cs="Arial" w:eastAsia="Arial" w:hAnsi="Arial"/>
          <w:sz w:val="20"/>
          <w:szCs w:val="20"/>
          <w:i w:val="1"/>
          <w:iCs w:val="1"/>
          <w:color w:val="222222"/>
        </w:rPr>
        <w:t>The Micron logo and Micron symbol are trademarks of Micron Technology, Inc.</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2019-12-29T01:50:57Z</dcterms:created>
  <dcterms:modified xsi:type="dcterms:W3CDTF">2019-12-29T01:50:57Z</dcterms:modified>
</cp:coreProperties>
</file>