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McCarthy Mary Pat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Awards vest at 100% on one-year anniversary date of award. Shares will be delivered to the reporting person either upon vesting, or if reporting person elected to defer receipt, following cessation as a Director.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557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2022-10-17T08:10:46Z</dcterms:created>
  <dcterms:modified xsi:type="dcterms:W3CDTF">2022-10-17T08:10:46Z</dcterms:modified>
</cp:coreProperties>
</file>