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380365</wp:posOffset>
            </wp:positionV>
            <wp:extent cx="72466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34290"/>
                    </a:xfrm>
                    <a:prstGeom prst="rect">
                      <a:avLst/>
                    </a:prstGeom>
                    <a:noFill/>
                  </pic:spPr>
                </pic:pic>
              </a:graphicData>
            </a:graphic>
          </wp:anchor>
        </w:drawing>
        <w:t>SECURITIES AND EXCHANGE COMMISSION</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39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0" w:lineRule="exact"/>
        <w:rPr>
          <w:sz w:val="24"/>
          <w:szCs w:val="24"/>
          <w:color w:val="auto"/>
        </w:rPr>
      </w:pPr>
    </w:p>
    <w:p>
      <w:pPr>
        <w:spacing w:after="0" w:line="24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w:t>
      </w:r>
    </w:p>
    <w:p>
      <w:pPr>
        <w:jc w:val="center"/>
        <w:spacing w:after="0"/>
        <w:rPr>
          <w:sz w:val="20"/>
          <w:szCs w:val="20"/>
          <w:color w:val="auto"/>
        </w:rPr>
      </w:pPr>
      <w:r>
        <w:rPr>
          <w:rFonts w:ascii="Arial" w:cs="Arial" w:eastAsia="Arial" w:hAnsi="Arial"/>
          <w:sz w:val="22"/>
          <w:szCs w:val="22"/>
          <w:b w:val="1"/>
          <w:bCs w:val="1"/>
          <w:color w:val="auto"/>
        </w:rPr>
        <w:t>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January 29, 2003</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400" w:lineRule="exact"/>
        <w:rPr>
          <w:sz w:val="24"/>
          <w:szCs w:val="24"/>
          <w:color w:val="auto"/>
        </w:rPr>
      </w:pPr>
    </w:p>
    <w:p>
      <w:pPr>
        <w:ind w:left="3720"/>
        <w:spacing w:after="0"/>
        <w:rPr>
          <w:sz w:val="20"/>
          <w:szCs w:val="20"/>
          <w:color w:val="auto"/>
        </w:rPr>
      </w:pPr>
      <w:r>
        <w:rPr>
          <w:rFonts w:ascii="Arial" w:cs="Arial" w:eastAsia="Arial" w:hAnsi="Arial"/>
          <w:sz w:val="32"/>
          <w:szCs w:val="32"/>
          <w:b w:val="1"/>
          <w:bCs w:val="1"/>
          <w:color w:val="auto"/>
        </w:rPr>
        <w:t>MICRON TECHNOLOGY, INC.</w:t>
      </w:r>
    </w:p>
    <w:p>
      <w:pPr>
        <w:spacing w:after="0" w:line="38"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156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4320" w:type="dxa"/>
            <w:vAlign w:val="bottom"/>
            <w:tcBorders>
              <w:top w:val="single" w:sz="8" w:color="auto"/>
            </w:tcBorders>
            <w:gridSpan w:val="3"/>
          </w:tcPr>
          <w:p>
            <w:pPr>
              <w:jc w:val="center"/>
              <w:ind w:right="200"/>
              <w:spacing w:after="0"/>
              <w:rPr>
                <w:sz w:val="20"/>
                <w:szCs w:val="20"/>
                <w:color w:val="auto"/>
              </w:rPr>
            </w:pPr>
            <w:r>
              <w:rPr>
                <w:rFonts w:ascii="Arial" w:cs="Arial" w:eastAsia="Arial" w:hAnsi="Arial"/>
                <w:sz w:val="18"/>
                <w:szCs w:val="18"/>
                <w:color w:val="auto"/>
                <w:w w:val="90"/>
              </w:rPr>
              <w:t>(Exact name of registrant as specified in its charter)</w:t>
            </w:r>
          </w:p>
        </w:tc>
        <w:tc>
          <w:tcPr>
            <w:tcW w:w="11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spacing w:after="0"/>
              <w:rPr>
                <w:sz w:val="20"/>
                <w:szCs w:val="20"/>
                <w:color w:val="auto"/>
              </w:rPr>
            </w:pPr>
          </w:p>
        </w:tc>
      </w:tr>
      <w:tr>
        <w:trPr>
          <w:trHeight w:val="641"/>
        </w:trPr>
        <w:tc>
          <w:tcPr>
            <w:tcW w:w="3660" w:type="dxa"/>
            <w:vAlign w:val="bottom"/>
            <w:gridSpan w:val="4"/>
          </w:tcPr>
          <w:p>
            <w:pPr>
              <w:jc w:val="center"/>
              <w:ind w:left="90"/>
              <w:spacing w:after="0"/>
              <w:rPr>
                <w:sz w:val="20"/>
                <w:szCs w:val="20"/>
                <w:color w:val="auto"/>
              </w:rPr>
            </w:pPr>
            <w:r>
              <w:rPr>
                <w:rFonts w:ascii="Arial" w:cs="Arial" w:eastAsia="Arial" w:hAnsi="Arial"/>
                <w:sz w:val="18"/>
                <w:szCs w:val="18"/>
                <w:b w:val="1"/>
                <w:bCs w:val="1"/>
                <w:color w:val="auto"/>
                <w:w w:val="91"/>
              </w:rPr>
              <w:t>Delaware</w:t>
            </w:r>
          </w:p>
        </w:tc>
        <w:tc>
          <w:tcPr>
            <w:tcW w:w="2460" w:type="dxa"/>
            <w:vAlign w:val="bottom"/>
            <w:gridSpan w:val="2"/>
          </w:tcPr>
          <w:p>
            <w:pPr>
              <w:jc w:val="center"/>
              <w:ind w:left="1590"/>
              <w:spacing w:after="0"/>
              <w:rPr>
                <w:sz w:val="20"/>
                <w:szCs w:val="20"/>
                <w:color w:val="auto"/>
              </w:rPr>
            </w:pPr>
            <w:r>
              <w:rPr>
                <w:rFonts w:ascii="Arial" w:cs="Arial" w:eastAsia="Arial" w:hAnsi="Arial"/>
                <w:sz w:val="18"/>
                <w:szCs w:val="18"/>
                <w:b w:val="1"/>
                <w:bCs w:val="1"/>
                <w:color w:val="auto"/>
                <w:w w:val="90"/>
              </w:rPr>
              <w:t>001-10658</w:t>
            </w:r>
          </w:p>
        </w:tc>
        <w:tc>
          <w:tcPr>
            <w:tcW w:w="1860" w:type="dxa"/>
            <w:vAlign w:val="bottom"/>
          </w:tcPr>
          <w:p>
            <w:pPr>
              <w:spacing w:after="0"/>
              <w:rPr>
                <w:sz w:val="24"/>
                <w:szCs w:val="24"/>
                <w:color w:val="auto"/>
              </w:rPr>
            </w:pPr>
          </w:p>
        </w:tc>
        <w:tc>
          <w:tcPr>
            <w:tcW w:w="3440" w:type="dxa"/>
            <w:vAlign w:val="bottom"/>
            <w:gridSpan w:val="3"/>
          </w:tcPr>
          <w:p>
            <w:pPr>
              <w:jc w:val="right"/>
              <w:ind w:right="1460"/>
              <w:spacing w:after="0"/>
              <w:rPr>
                <w:sz w:val="20"/>
                <w:szCs w:val="20"/>
                <w:color w:val="auto"/>
              </w:rPr>
            </w:pPr>
            <w:r>
              <w:rPr>
                <w:rFonts w:ascii="Arial" w:cs="Arial" w:eastAsia="Arial" w:hAnsi="Arial"/>
                <w:sz w:val="18"/>
                <w:szCs w:val="18"/>
                <w:b w:val="1"/>
                <w:bCs w:val="1"/>
                <w:color w:val="auto"/>
              </w:rPr>
              <w:t>75-1618004</w:t>
            </w:r>
          </w:p>
        </w:tc>
      </w:tr>
      <w:tr>
        <w:trPr>
          <w:trHeight w:val="21"/>
        </w:trPr>
        <w:tc>
          <w:tcPr>
            <w:tcW w:w="1560" w:type="dxa"/>
            <w:vAlign w:val="bottom"/>
            <w:tcBorders>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24"/>
        </w:trPr>
        <w:tc>
          <w:tcPr>
            <w:tcW w:w="3660" w:type="dxa"/>
            <w:vAlign w:val="bottom"/>
            <w:gridSpan w:val="4"/>
          </w:tcPr>
          <w:p>
            <w:pPr>
              <w:jc w:val="center"/>
              <w:ind w:left="90"/>
              <w:spacing w:after="0"/>
              <w:rPr>
                <w:sz w:val="20"/>
                <w:szCs w:val="20"/>
                <w:color w:val="auto"/>
              </w:rPr>
            </w:pPr>
            <w:r>
              <w:rPr>
                <w:rFonts w:ascii="Arial" w:cs="Arial" w:eastAsia="Arial" w:hAnsi="Arial"/>
                <w:sz w:val="18"/>
                <w:szCs w:val="18"/>
                <w:color w:val="auto"/>
                <w:w w:val="92"/>
              </w:rPr>
              <w:t>(State or other jurisdiction of incorporation)</w:t>
            </w:r>
          </w:p>
        </w:tc>
        <w:tc>
          <w:tcPr>
            <w:tcW w:w="4320" w:type="dxa"/>
            <w:vAlign w:val="bottom"/>
            <w:gridSpan w:val="3"/>
          </w:tcPr>
          <w:p>
            <w:pPr>
              <w:jc w:val="center"/>
              <w:ind w:right="180"/>
              <w:spacing w:after="0"/>
              <w:rPr>
                <w:sz w:val="20"/>
                <w:szCs w:val="20"/>
                <w:color w:val="auto"/>
              </w:rPr>
            </w:pPr>
            <w:r>
              <w:rPr>
                <w:rFonts w:ascii="Arial" w:cs="Arial" w:eastAsia="Arial" w:hAnsi="Arial"/>
                <w:sz w:val="18"/>
                <w:szCs w:val="18"/>
                <w:color w:val="auto"/>
                <w:w w:val="92"/>
              </w:rPr>
              <w:t>(Commission File Number)</w:t>
            </w:r>
          </w:p>
        </w:tc>
        <w:tc>
          <w:tcPr>
            <w:tcW w:w="3440" w:type="dxa"/>
            <w:vAlign w:val="bottom"/>
            <w:gridSpan w:val="3"/>
          </w:tcPr>
          <w:p>
            <w:pPr>
              <w:jc w:val="center"/>
              <w:ind w:right="360"/>
              <w:spacing w:after="0"/>
              <w:rPr>
                <w:sz w:val="20"/>
                <w:szCs w:val="20"/>
                <w:color w:val="auto"/>
              </w:rPr>
            </w:pPr>
            <w:r>
              <w:rPr>
                <w:rFonts w:ascii="Arial" w:cs="Arial" w:eastAsia="Arial" w:hAnsi="Arial"/>
                <w:sz w:val="18"/>
                <w:szCs w:val="18"/>
                <w:color w:val="auto"/>
                <w:w w:val="93"/>
              </w:rPr>
              <w:t>(I.R.S. Employer Identification No.)</w:t>
            </w:r>
          </w:p>
        </w:tc>
      </w:tr>
      <w:tr>
        <w:trPr>
          <w:trHeight w:val="670"/>
        </w:trPr>
        <w:tc>
          <w:tcPr>
            <w:tcW w:w="15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3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8"/>
              </w:rPr>
              <w:t>8000 South Federal Way</w:t>
            </w:r>
          </w:p>
        </w:tc>
        <w:tc>
          <w:tcPr>
            <w:tcW w:w="1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34"/>
        </w:trPr>
        <w:tc>
          <w:tcPr>
            <w:tcW w:w="15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4320" w:type="dxa"/>
            <w:vAlign w:val="bottom"/>
            <w:tcBorders>
              <w:bottom w:val="single" w:sz="8" w:color="auto"/>
            </w:tcBorders>
            <w:gridSpan w:val="3"/>
          </w:tcPr>
          <w:p>
            <w:pPr>
              <w:jc w:val="center"/>
              <w:ind w:right="200"/>
              <w:spacing w:after="0"/>
              <w:rPr>
                <w:sz w:val="20"/>
                <w:szCs w:val="20"/>
                <w:color w:val="auto"/>
              </w:rPr>
            </w:pPr>
            <w:r>
              <w:rPr>
                <w:rFonts w:ascii="Arial" w:cs="Arial" w:eastAsia="Arial" w:hAnsi="Arial"/>
                <w:sz w:val="18"/>
                <w:szCs w:val="18"/>
                <w:b w:val="1"/>
                <w:bCs w:val="1"/>
                <w:color w:val="auto"/>
                <w:w w:val="88"/>
              </w:rPr>
              <w:t>Boise, Idaho 83707-006</w:t>
            </w:r>
          </w:p>
        </w:tc>
        <w:tc>
          <w:tcPr>
            <w:tcW w:w="1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24"/>
        </w:trPr>
        <w:tc>
          <w:tcPr>
            <w:tcW w:w="15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320" w:type="dxa"/>
            <w:vAlign w:val="bottom"/>
            <w:gridSpan w:val="3"/>
          </w:tcPr>
          <w:p>
            <w:pPr>
              <w:jc w:val="center"/>
              <w:ind w:right="200"/>
              <w:spacing w:after="0"/>
              <w:rPr>
                <w:sz w:val="20"/>
                <w:szCs w:val="20"/>
                <w:color w:val="auto"/>
              </w:rPr>
            </w:pPr>
            <w:r>
              <w:rPr>
                <w:rFonts w:ascii="Arial" w:cs="Arial" w:eastAsia="Arial" w:hAnsi="Arial"/>
                <w:sz w:val="18"/>
                <w:szCs w:val="18"/>
                <w:color w:val="auto"/>
                <w:w w:val="92"/>
              </w:rPr>
              <w:t>(Address of principal executive offices)</w:t>
            </w:r>
          </w:p>
        </w:tc>
        <w:tc>
          <w:tcPr>
            <w:tcW w:w="1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688"/>
        </w:trPr>
        <w:tc>
          <w:tcPr>
            <w:tcW w:w="15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320" w:type="dxa"/>
            <w:vAlign w:val="bottom"/>
            <w:tcBorders>
              <w:bottom w:val="single" w:sz="8" w:color="auto"/>
            </w:tcBorders>
            <w:gridSpan w:val="3"/>
          </w:tcPr>
          <w:p>
            <w:pPr>
              <w:jc w:val="center"/>
              <w:ind w:right="200"/>
              <w:spacing w:after="0"/>
              <w:rPr>
                <w:sz w:val="20"/>
                <w:szCs w:val="20"/>
                <w:color w:val="auto"/>
              </w:rPr>
            </w:pPr>
            <w:r>
              <w:rPr>
                <w:rFonts w:ascii="Arial" w:cs="Arial" w:eastAsia="Arial" w:hAnsi="Arial"/>
                <w:sz w:val="18"/>
                <w:szCs w:val="18"/>
                <w:b w:val="1"/>
                <w:bCs w:val="1"/>
                <w:color w:val="auto"/>
                <w:w w:val="90"/>
              </w:rPr>
              <w:t>(208) 368-4000</w:t>
            </w:r>
          </w:p>
        </w:tc>
        <w:tc>
          <w:tcPr>
            <w:tcW w:w="1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24"/>
        </w:trPr>
        <w:tc>
          <w:tcPr>
            <w:tcW w:w="15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320" w:type="dxa"/>
            <w:vAlign w:val="bottom"/>
            <w:gridSpan w:val="3"/>
          </w:tcPr>
          <w:p>
            <w:pPr>
              <w:jc w:val="center"/>
              <w:ind w:right="200"/>
              <w:spacing w:after="0"/>
              <w:rPr>
                <w:sz w:val="20"/>
                <w:szCs w:val="20"/>
                <w:color w:val="auto"/>
              </w:rPr>
            </w:pPr>
            <w:r>
              <w:rPr>
                <w:rFonts w:ascii="Arial" w:cs="Arial" w:eastAsia="Arial" w:hAnsi="Arial"/>
                <w:sz w:val="18"/>
                <w:szCs w:val="18"/>
                <w:color w:val="auto"/>
                <w:w w:val="89"/>
              </w:rPr>
              <w:t>(Registrant’s telephone number, including area code)</w:t>
            </w:r>
          </w:p>
        </w:tc>
        <w:tc>
          <w:tcPr>
            <w:tcW w:w="1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60" w:type="dxa"/>
            <w:vAlign w:val="bottom"/>
          </w:tcPr>
          <w:p>
            <w:pPr>
              <w:spacing w:after="0"/>
              <w:rPr>
                <w:sz w:val="19"/>
                <w:szCs w:val="19"/>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539750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608330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4"/>
          <w:szCs w:val="24"/>
          <w:color w:val="auto"/>
        </w:rPr>
      </w:pPr>
    </w:p>
    <w:p>
      <w:pPr>
        <w:jc w:val="both"/>
        <w:ind w:right="60" w:firstLine="1368"/>
        <w:spacing w:after="0" w:line="312" w:lineRule="auto"/>
        <w:rPr>
          <w:sz w:val="20"/>
          <w:szCs w:val="20"/>
          <w:color w:val="auto"/>
        </w:rPr>
      </w:pPr>
      <w:r>
        <w:rPr>
          <w:rFonts w:ascii="Arial" w:cs="Arial" w:eastAsia="Arial" w:hAnsi="Arial"/>
          <w:sz w:val="16"/>
          <w:szCs w:val="16"/>
          <w:color w:val="auto"/>
        </w:rPr>
        <w:t>Filed as an exhibit hereto is the registrant’s press release, dated January 29, 2003, announcing that the registrant priced its offering of $550 million aggregate principal amount (excluding the option for the initial purchasers to the offering to purchase an additional $82.5 million aggregate principal amount of Notes (as defined below)) of convertible subordinated notes (the “Notes”) through an offering to qualified institutional buyers.</w:t>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r>
              <w:rPr>
                <w:rFonts w:ascii="Arial" w:cs="Arial" w:eastAsia="Arial" w:hAnsi="Arial"/>
                <w:sz w:val="18"/>
                <w:szCs w:val="18"/>
                <w:b w:val="1"/>
                <w:bCs w:val="1"/>
                <w:color w:val="auto"/>
              </w:rPr>
              <w:t>Item 7.</w:t>
            </w:r>
          </w:p>
        </w:tc>
        <w:tc>
          <w:tcPr>
            <w:tcW w:w="10380" w:type="dxa"/>
            <w:vAlign w:val="bottom"/>
            <w:gridSpan w:val="2"/>
          </w:tcPr>
          <w:p>
            <w:pPr>
              <w:ind w:left="400"/>
              <w:spacing w:after="0"/>
              <w:rPr>
                <w:sz w:val="20"/>
                <w:szCs w:val="20"/>
                <w:color w:val="auto"/>
              </w:rPr>
            </w:pPr>
            <w:r>
              <w:rPr>
                <w:rFonts w:ascii="Arial" w:cs="Arial" w:eastAsia="Arial" w:hAnsi="Arial"/>
                <w:sz w:val="18"/>
                <w:szCs w:val="18"/>
                <w:b w:val="1"/>
                <w:bCs w:val="1"/>
                <w:color w:val="auto"/>
              </w:rPr>
              <w:t>Financial Statements and Exhibits.</w:t>
            </w:r>
          </w:p>
        </w:tc>
      </w:tr>
      <w:tr>
        <w:trPr>
          <w:trHeight w:val="432"/>
        </w:trPr>
        <w:tc>
          <w:tcPr>
            <w:tcW w:w="1040" w:type="dxa"/>
            <w:vAlign w:val="bottom"/>
          </w:tcPr>
          <w:p>
            <w:pPr>
              <w:spacing w:after="0"/>
              <w:rPr>
                <w:sz w:val="24"/>
                <w:szCs w:val="24"/>
                <w:color w:val="auto"/>
              </w:rPr>
            </w:pPr>
          </w:p>
        </w:tc>
        <w:tc>
          <w:tcPr>
            <w:tcW w:w="10380" w:type="dxa"/>
            <w:vAlign w:val="bottom"/>
            <w:gridSpan w:val="2"/>
          </w:tcPr>
          <w:p>
            <w:pPr>
              <w:ind w:left="400"/>
              <w:spacing w:after="0"/>
              <w:rPr>
                <w:sz w:val="20"/>
                <w:szCs w:val="20"/>
                <w:color w:val="auto"/>
              </w:rPr>
            </w:pPr>
            <w:r>
              <w:rPr>
                <w:rFonts w:ascii="Arial" w:cs="Arial" w:eastAsia="Arial" w:hAnsi="Arial"/>
                <w:sz w:val="18"/>
                <w:szCs w:val="18"/>
                <w:color w:val="auto"/>
              </w:rPr>
              <w:t>(c) Exhibits.</w:t>
            </w:r>
          </w:p>
        </w:tc>
      </w:tr>
      <w:tr>
        <w:trPr>
          <w:trHeight w:val="432"/>
        </w:trPr>
        <w:tc>
          <w:tcPr>
            <w:tcW w:w="1040" w:type="dxa"/>
            <w:vAlign w:val="bottom"/>
          </w:tcPr>
          <w:p>
            <w:pPr>
              <w:spacing w:after="0"/>
              <w:rPr>
                <w:sz w:val="24"/>
                <w:szCs w:val="24"/>
                <w:color w:val="auto"/>
              </w:rPr>
            </w:pPr>
          </w:p>
        </w:tc>
        <w:tc>
          <w:tcPr>
            <w:tcW w:w="10380" w:type="dxa"/>
            <w:vAlign w:val="bottom"/>
            <w:gridSpan w:val="2"/>
          </w:tcPr>
          <w:p>
            <w:pPr>
              <w:ind w:left="400"/>
              <w:spacing w:after="0"/>
              <w:rPr>
                <w:sz w:val="20"/>
                <w:szCs w:val="20"/>
                <w:color w:val="auto"/>
              </w:rPr>
            </w:pPr>
            <w:r>
              <w:rPr>
                <w:rFonts w:ascii="Arial" w:cs="Arial" w:eastAsia="Arial" w:hAnsi="Arial"/>
                <w:sz w:val="18"/>
                <w:szCs w:val="18"/>
                <w:color w:val="auto"/>
              </w:rPr>
              <w:t>The following exhibits are filed herewith:</w:t>
            </w:r>
          </w:p>
        </w:tc>
      </w:tr>
      <w:tr>
        <w:trPr>
          <w:trHeight w:val="581"/>
        </w:trPr>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Exhibit No.</w:t>
            </w:r>
          </w:p>
        </w:tc>
        <w:tc>
          <w:tcPr>
            <w:tcW w:w="500" w:type="dxa"/>
            <w:vAlign w:val="bottom"/>
          </w:tcPr>
          <w:p>
            <w:pPr>
              <w:spacing w:after="0"/>
              <w:rPr>
                <w:sz w:val="24"/>
                <w:szCs w:val="24"/>
                <w:color w:val="auto"/>
              </w:rPr>
            </w:pPr>
          </w:p>
        </w:tc>
        <w:tc>
          <w:tcPr>
            <w:tcW w:w="98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Description</w:t>
            </w:r>
          </w:p>
        </w:tc>
      </w:tr>
      <w:tr>
        <w:trPr>
          <w:trHeight w:val="453"/>
        </w:trPr>
        <w:tc>
          <w:tcPr>
            <w:tcW w:w="1040" w:type="dxa"/>
            <w:vAlign w:val="bottom"/>
          </w:tcPr>
          <w:p>
            <w:pPr>
              <w:jc w:val="right"/>
              <w:ind w:right="276"/>
              <w:spacing w:after="0"/>
              <w:rPr>
                <w:sz w:val="20"/>
                <w:szCs w:val="20"/>
                <w:color w:val="auto"/>
              </w:rPr>
            </w:pPr>
            <w:r>
              <w:rPr>
                <w:rFonts w:ascii="Arial" w:cs="Arial" w:eastAsia="Arial" w:hAnsi="Arial"/>
                <w:sz w:val="18"/>
                <w:szCs w:val="18"/>
                <w:color w:val="auto"/>
              </w:rPr>
              <w:t>99.1</w:t>
            </w:r>
          </w:p>
        </w:tc>
        <w:tc>
          <w:tcPr>
            <w:tcW w:w="500" w:type="dxa"/>
            <w:vAlign w:val="bottom"/>
          </w:tcPr>
          <w:p>
            <w:pPr>
              <w:spacing w:after="0"/>
              <w:rPr>
                <w:sz w:val="24"/>
                <w:szCs w:val="24"/>
                <w:color w:val="auto"/>
              </w:rPr>
            </w:pPr>
          </w:p>
        </w:tc>
        <w:tc>
          <w:tcPr>
            <w:tcW w:w="9880" w:type="dxa"/>
            <w:vAlign w:val="bottom"/>
          </w:tcPr>
          <w:p>
            <w:pPr>
              <w:ind w:left="20"/>
              <w:spacing w:after="0"/>
              <w:rPr>
                <w:sz w:val="20"/>
                <w:szCs w:val="20"/>
                <w:color w:val="auto"/>
              </w:rPr>
            </w:pPr>
            <w:r>
              <w:rPr>
                <w:rFonts w:ascii="Arial" w:cs="Arial" w:eastAsia="Arial" w:hAnsi="Arial"/>
                <w:sz w:val="18"/>
                <w:szCs w:val="18"/>
                <w:color w:val="auto"/>
              </w:rPr>
              <w:t>Press Release issued on January 29, 2003.</w:t>
            </w: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ectPr>
          <w:pgSz w:w="11900" w:h="16838" w:orient="portrait"/>
          <w:cols w:equalWidth="0" w:num="1">
            <w:col w:w="11420"/>
          </w:cols>
          <w:pgMar w:left="240" w:top="1044" w:right="239" w:bottom="144" w:gutter="0" w:footer="0" w:header="0"/>
        </w:sectPr>
      </w:pPr>
    </w:p>
    <w:bookmarkStart w:id="1" w:name="page2"/>
    <w:bookmarkEnd w:id="1"/>
    <w:p>
      <w:pPr>
        <w:ind w:right="44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7560" w:type="dxa"/>
            <w:vAlign w:val="bottom"/>
            <w:gridSpan w:val="2"/>
          </w:tcPr>
          <w:p>
            <w:pPr>
              <w:ind w:left="1880"/>
              <w:spacing w:after="0"/>
              <w:rPr>
                <w:sz w:val="20"/>
                <w:szCs w:val="20"/>
                <w:color w:val="auto"/>
              </w:rPr>
            </w:pPr>
            <w:r>
              <w:rPr>
                <w:rFonts w:ascii="Arial" w:cs="Arial" w:eastAsia="Arial" w:hAnsi="Arial"/>
                <w:sz w:val="18"/>
                <w:szCs w:val="18"/>
                <w:b w:val="1"/>
                <w:bCs w:val="1"/>
                <w:color w:val="auto"/>
              </w:rPr>
              <w:t>MICRON TECHNOLOGY, INC.</w:t>
            </w:r>
          </w:p>
        </w:tc>
        <w:tc>
          <w:tcPr>
            <w:tcW w:w="20" w:type="dxa"/>
            <w:vAlign w:val="bottom"/>
          </w:tcPr>
          <w:p>
            <w:pPr>
              <w:spacing w:after="0"/>
              <w:rPr>
                <w:sz w:val="20"/>
                <w:szCs w:val="20"/>
                <w:color w:val="auto"/>
              </w:rPr>
            </w:pPr>
          </w:p>
        </w:tc>
      </w:tr>
      <w:tr>
        <w:trPr>
          <w:trHeight w:val="702"/>
        </w:trPr>
        <w:tc>
          <w:tcPr>
            <w:tcW w:w="600" w:type="dxa"/>
            <w:vAlign w:val="bottom"/>
          </w:tcPr>
          <w:p>
            <w:pPr>
              <w:ind w:left="20"/>
              <w:spacing w:after="0"/>
              <w:rPr>
                <w:sz w:val="20"/>
                <w:szCs w:val="20"/>
                <w:color w:val="auto"/>
              </w:rPr>
            </w:pPr>
            <w:r>
              <w:rPr>
                <w:rFonts w:ascii="Arial" w:cs="Arial" w:eastAsia="Arial" w:hAnsi="Arial"/>
                <w:sz w:val="18"/>
                <w:szCs w:val="18"/>
                <w:color w:val="auto"/>
              </w:rPr>
              <w:t>Date:</w:t>
            </w:r>
          </w:p>
        </w:tc>
        <w:tc>
          <w:tcPr>
            <w:tcW w:w="3260" w:type="dxa"/>
            <w:vAlign w:val="bottom"/>
          </w:tcPr>
          <w:p>
            <w:pPr>
              <w:ind w:left="200"/>
              <w:spacing w:after="0"/>
              <w:rPr>
                <w:sz w:val="20"/>
                <w:szCs w:val="20"/>
                <w:color w:val="auto"/>
              </w:rPr>
            </w:pPr>
            <w:r>
              <w:rPr>
                <w:rFonts w:ascii="Arial" w:cs="Arial" w:eastAsia="Arial" w:hAnsi="Arial"/>
                <w:sz w:val="18"/>
                <w:szCs w:val="18"/>
                <w:color w:val="auto"/>
              </w:rPr>
              <w:t>February 3, 2003</w:t>
            </w:r>
          </w:p>
        </w:tc>
        <w:tc>
          <w:tcPr>
            <w:tcW w:w="2620" w:type="dxa"/>
            <w:vAlign w:val="bottom"/>
          </w:tcPr>
          <w:p>
            <w:pPr>
              <w:ind w:left="188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W.G. Stover, Jr.</w:t>
            </w:r>
          </w:p>
        </w:tc>
        <w:tc>
          <w:tcPr>
            <w:tcW w:w="20" w:type="dxa"/>
            <w:vAlign w:val="bottom"/>
          </w:tcPr>
          <w:p>
            <w:pPr>
              <w:spacing w:after="0"/>
              <w:rPr>
                <w:sz w:val="24"/>
                <w:szCs w:val="24"/>
                <w:color w:val="auto"/>
              </w:rPr>
            </w:pPr>
          </w:p>
        </w:tc>
      </w:tr>
      <w:tr>
        <w:trPr>
          <w:trHeight w:val="195"/>
        </w:trPr>
        <w:tc>
          <w:tcPr>
            <w:tcW w:w="60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2620" w:type="dxa"/>
            <w:vAlign w:val="bottom"/>
          </w:tcPr>
          <w:p>
            <w:pPr>
              <w:ind w:left="1880"/>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W.G. Stover, Jr.</w:t>
            </w:r>
          </w:p>
        </w:tc>
        <w:tc>
          <w:tcPr>
            <w:tcW w:w="20" w:type="dxa"/>
            <w:vAlign w:val="bottom"/>
          </w:tcPr>
          <w:p>
            <w:pPr>
              <w:spacing w:after="0"/>
              <w:rPr>
                <w:sz w:val="16"/>
                <w:szCs w:val="16"/>
                <w:color w:val="auto"/>
              </w:rPr>
            </w:pPr>
          </w:p>
        </w:tc>
      </w:tr>
      <w:tr>
        <w:trPr>
          <w:trHeight w:val="216"/>
        </w:trPr>
        <w:tc>
          <w:tcPr>
            <w:tcW w:w="60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2620" w:type="dxa"/>
            <w:vAlign w:val="bottom"/>
          </w:tcPr>
          <w:p>
            <w:pPr>
              <w:ind w:left="1880"/>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Vice President of Finance and</w:t>
            </w:r>
          </w:p>
        </w:tc>
        <w:tc>
          <w:tcPr>
            <w:tcW w:w="20" w:type="dxa"/>
            <w:vAlign w:val="bottom"/>
          </w:tcPr>
          <w:p>
            <w:pPr>
              <w:spacing w:after="0"/>
              <w:rPr>
                <w:sz w:val="18"/>
                <w:szCs w:val="18"/>
                <w:color w:val="auto"/>
              </w:rPr>
            </w:pPr>
          </w:p>
        </w:tc>
      </w:tr>
      <w:tr>
        <w:trPr>
          <w:trHeight w:val="230"/>
        </w:trPr>
        <w:tc>
          <w:tcPr>
            <w:tcW w:w="60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20" w:type="dxa"/>
            <w:vAlign w:val="bottom"/>
          </w:tcPr>
          <w:p>
            <w:pPr>
              <w:spacing w:after="0"/>
              <w:rPr>
                <w:sz w:val="20"/>
                <w:szCs w:val="20"/>
                <w:color w:val="auto"/>
              </w:rPr>
            </w:pPr>
          </w:p>
        </w:tc>
      </w:tr>
      <w:tr>
        <w:trPr>
          <w:trHeight w:val="864"/>
        </w:trPr>
        <w:tc>
          <w:tcPr>
            <w:tcW w:w="60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620" w:type="dxa"/>
            <w:vAlign w:val="bottom"/>
          </w:tcPr>
          <w:p>
            <w:pPr>
              <w:ind w:left="1800"/>
              <w:spacing w:after="0"/>
              <w:rPr>
                <w:sz w:val="20"/>
                <w:szCs w:val="20"/>
                <w:color w:val="auto"/>
              </w:rPr>
            </w:pPr>
            <w:r>
              <w:rPr>
                <w:rFonts w:ascii="Arial" w:cs="Arial" w:eastAsia="Arial" w:hAnsi="Arial"/>
                <w:sz w:val="18"/>
                <w:szCs w:val="18"/>
                <w:color w:val="auto"/>
              </w:rPr>
              <w:t>3</w:t>
            </w:r>
          </w:p>
        </w:tc>
        <w:tc>
          <w:tcPr>
            <w:tcW w:w="49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6"/>
        </w:trPr>
        <w:tc>
          <w:tcPr>
            <w:tcW w:w="600" w:type="dxa"/>
            <w:vAlign w:val="bottom"/>
            <w:tcBorders>
              <w:bottom w:val="single" w:sz="8" w:color="808080"/>
            </w:tcBorders>
          </w:tcPr>
          <w:p>
            <w:pPr>
              <w:spacing w:after="0"/>
              <w:rPr>
                <w:sz w:val="19"/>
                <w:szCs w:val="19"/>
                <w:color w:val="auto"/>
              </w:rPr>
            </w:pPr>
          </w:p>
        </w:tc>
        <w:tc>
          <w:tcPr>
            <w:tcW w:w="3260" w:type="dxa"/>
            <w:vAlign w:val="bottom"/>
            <w:tcBorders>
              <w:bottom w:val="single" w:sz="8" w:color="808080"/>
            </w:tcBorders>
          </w:tcPr>
          <w:p>
            <w:pPr>
              <w:spacing w:after="0"/>
              <w:rPr>
                <w:sz w:val="19"/>
                <w:szCs w:val="19"/>
                <w:color w:val="auto"/>
              </w:rPr>
            </w:pPr>
          </w:p>
        </w:tc>
        <w:tc>
          <w:tcPr>
            <w:tcW w:w="2620" w:type="dxa"/>
            <w:vAlign w:val="bottom"/>
            <w:tcBorders>
              <w:bottom w:val="single" w:sz="8" w:color="808080"/>
            </w:tcBorders>
          </w:tcPr>
          <w:p>
            <w:pPr>
              <w:spacing w:after="0"/>
              <w:rPr>
                <w:sz w:val="19"/>
                <w:szCs w:val="19"/>
                <w:color w:val="auto"/>
              </w:rPr>
            </w:pPr>
          </w:p>
        </w:tc>
        <w:tc>
          <w:tcPr>
            <w:tcW w:w="49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INDEX TO EXHIBITS FILED WITH</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THE CURRENT REPORT ON FORM 8-K DATED January 29, 2003</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54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 No.</w:t>
            </w:r>
          </w:p>
        </w:tc>
        <w:tc>
          <w:tcPr>
            <w:tcW w:w="9880" w:type="dxa"/>
            <w:vAlign w:val="bottom"/>
          </w:tcPr>
          <w:p>
            <w:pPr>
              <w:ind w:left="4580"/>
              <w:spacing w:after="0"/>
              <w:rPr>
                <w:sz w:val="20"/>
                <w:szCs w:val="20"/>
                <w:color w:val="auto"/>
              </w:rPr>
            </w:pPr>
            <w:r>
              <w:rPr>
                <w:rFonts w:ascii="Arial" w:cs="Arial" w:eastAsia="Arial" w:hAnsi="Arial"/>
                <w:sz w:val="14"/>
                <w:szCs w:val="14"/>
                <w:b w:val="1"/>
                <w:bCs w:val="1"/>
                <w:color w:val="auto"/>
              </w:rPr>
              <w:t>Description</w:t>
            </w:r>
          </w:p>
        </w:tc>
      </w:tr>
      <w:tr>
        <w:trPr>
          <w:trHeight w:val="453"/>
        </w:trPr>
        <w:tc>
          <w:tcPr>
            <w:tcW w:w="920" w:type="dxa"/>
            <w:vAlign w:val="bottom"/>
            <w:tcBorders>
              <w:top w:val="single" w:sz="8" w:color="auto"/>
            </w:tcBorders>
          </w:tcPr>
          <w:p>
            <w:pPr>
              <w:jc w:val="right"/>
              <w:ind w:right="219"/>
              <w:spacing w:after="0"/>
              <w:rPr>
                <w:sz w:val="20"/>
                <w:szCs w:val="20"/>
                <w:color w:val="auto"/>
              </w:rPr>
            </w:pPr>
            <w:r>
              <w:rPr>
                <w:rFonts w:ascii="Arial" w:cs="Arial" w:eastAsia="Arial" w:hAnsi="Arial"/>
                <w:sz w:val="18"/>
                <w:szCs w:val="18"/>
                <w:color w:val="auto"/>
              </w:rPr>
              <w:t>99.1</w:t>
            </w:r>
          </w:p>
        </w:tc>
        <w:tc>
          <w:tcPr>
            <w:tcW w:w="620" w:type="dxa"/>
            <w:vAlign w:val="bottom"/>
          </w:tcPr>
          <w:p>
            <w:pPr>
              <w:spacing w:after="0"/>
              <w:rPr>
                <w:sz w:val="24"/>
                <w:szCs w:val="24"/>
                <w:color w:val="auto"/>
              </w:rPr>
            </w:pPr>
          </w:p>
        </w:tc>
        <w:tc>
          <w:tcPr>
            <w:tcW w:w="98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Press Release issued on January 29, 2003.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u w:val="single" w:color="auto"/>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MICRON TECHNOLOGY, INC. PRICES $550 MILLION CONVERTIBLE SUBORDINATED NOTE OFFERING</w:t>
      </w:r>
    </w:p>
    <w:p>
      <w:pPr>
        <w:spacing w:after="0" w:line="229"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Boise, Idaho, January 29, 2003 — Micron Technology, Inc. (NYSE: MU) today announced the pricing of its offering of $550 million of convertible subordinated notes due in 2010 to qualified institutional buyers pursuant to Rule 144A. The notes will bear interest at a rate of 2.50 percent per year, will be convertible into the Company’s common stock at a conversion price of $11.79 per share and will be subordinated to all present and future senior debt of Micron. The Company has also granted the initial purchasers of the notes a 30-day option to purchase an additional $82.5 million principal amount of the notes. The sale of the notes is expected to close on February 4, 2003.</w:t>
      </w:r>
    </w:p>
    <w:p>
      <w:pPr>
        <w:spacing w:after="0" w:line="18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Micron plans to use the net proceeds of the offering for general corporate purposes (including working capital, capital expenditures and research and development) and to further facilitate the Company’s transitions to new product and process technologies, including its .11 micron line width process technology and its processing of 300 millimeter wafers. Micron also will use approximately $95 million of the proceeds to enter into call spread options on its common stock to limit exposure to potential dilution from conversion of the notes.</w:t>
      </w:r>
    </w:p>
    <w:p>
      <w:pPr>
        <w:spacing w:after="0" w:line="18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In connection with the call spread options, certain of the initial purchasers are expected to take, and from time to time modify, positions in Micron’s common stock in secondary market transactions and/or enter into, and from time to time modify, various derivative transactions.</w:t>
      </w:r>
    </w:p>
    <w:p>
      <w:pPr>
        <w:spacing w:after="0" w:line="17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At the initial conversion price, each $1,000 principal amount of notes will be convertible into approximately 85 shares of the Company’s common stock. The initial conversion price represents a 40 percent premium over the last reported sale price of the Company’s common stock on January 29, 2003, which was $8.42 per share.</w:t>
      </w:r>
    </w:p>
    <w:p>
      <w:pPr>
        <w:spacing w:after="0" w:line="18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This announcement is neither an offer to sell nor a solicitation of an offer to buy any of these securities and shall not constitute an offer, solicitation or sale in any jurisdiction in which such offer, solicitation or sale is unlawful.</w:t>
      </w:r>
    </w:p>
    <w:p>
      <w:pPr>
        <w:spacing w:after="0" w:line="17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securities will not be registered under the Securities Act of 1933, as amended (the “Securities Act”), or any state securities laws, and unless so registered, may not be offered or sold in the United States except pursuant to an exemption from the registration requirements of the Securities Act and applicable state laws.</w:t>
      </w:r>
    </w:p>
    <w:sectPr>
      <w:pgSz w:w="11900" w:h="16838" w:orient="portrait"/>
      <w:cols w:equalWidth="0" w:num="1">
        <w:col w:w="11420"/>
      </w:cols>
      <w:pgMar w:left="240" w:top="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2019-12-11T20:46:14Z</dcterms:created>
  <dcterms:modified xsi:type="dcterms:W3CDTF">2019-12-11T20:46:14Z</dcterms:modified>
</cp:coreProperties>
</file>